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57146917" w:displacedByCustomXml="next"/>
    <w:sdt>
      <w:sdtPr>
        <w:rPr>
          <w:rFonts w:ascii="Cambria" w:hAnsi="Cambria"/>
          <w:sz w:val="20"/>
          <w:szCs w:val="20"/>
        </w:rPr>
        <w:id w:val="1509940991"/>
        <w:docPartObj>
          <w:docPartGallery w:val="Cover Pages"/>
          <w:docPartUnique/>
        </w:docPartObj>
      </w:sdtPr>
      <w:sdtEndPr>
        <w:rPr>
          <w:rFonts w:cstheme="minorHAnsi"/>
          <w:b/>
          <w:bCs/>
          <w:color w:val="000000" w:themeColor="text1"/>
        </w:rPr>
      </w:sdtEndPr>
      <w:sdtContent>
        <w:p w14:paraId="3F27A4FA" w14:textId="320D6770" w:rsidR="00331FB6" w:rsidRPr="00223CBF" w:rsidRDefault="00331FB6" w:rsidP="000507CA">
          <w:pPr>
            <w:spacing w:line="360" w:lineRule="auto"/>
            <w:rPr>
              <w:rFonts w:ascii="Cambria" w:hAnsi="Cambria"/>
              <w:sz w:val="20"/>
              <w:szCs w:val="20"/>
            </w:rPr>
          </w:pPr>
        </w:p>
        <w:p w14:paraId="44F113FE" w14:textId="47460C41" w:rsidR="00331FB6" w:rsidRPr="00223CBF" w:rsidRDefault="00D20492" w:rsidP="000507CA">
          <w:pPr>
            <w:spacing w:after="0" w:line="360" w:lineRule="auto"/>
            <w:rPr>
              <w:rFonts w:ascii="Cambria" w:eastAsia="Times New Roman" w:hAnsi="Cambria" w:cstheme="minorHAnsi"/>
              <w:b/>
              <w:bCs/>
              <w:color w:val="000000" w:themeColor="text1"/>
              <w:sz w:val="20"/>
              <w:szCs w:val="20"/>
              <w:lang w:eastAsia="en-GB" w:bidi="si-LK"/>
            </w:rPr>
          </w:pPr>
          <w:r w:rsidRPr="00223CBF">
            <w:rPr>
              <w:rFonts w:ascii="Cambria" w:hAnsi="Cambria"/>
              <w:noProof/>
              <w:sz w:val="20"/>
              <w:szCs w:val="20"/>
              <w:lang w:eastAsia="zh-CN"/>
            </w:rPr>
            <mc:AlternateContent>
              <mc:Choice Requires="wpg">
                <w:drawing>
                  <wp:anchor distT="0" distB="0" distL="114300" distR="114300" simplePos="0" relativeHeight="251659264" behindDoc="1" locked="0" layoutInCell="1" allowOverlap="1" wp14:anchorId="2A3BFC2C" wp14:editId="485D73DC">
                    <wp:simplePos x="0" y="0"/>
                    <wp:positionH relativeFrom="margin">
                      <wp:posOffset>-488731</wp:posOffset>
                    </wp:positionH>
                    <wp:positionV relativeFrom="page">
                      <wp:posOffset>1828800</wp:posOffset>
                    </wp:positionV>
                    <wp:extent cx="751078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510780" cy="7068185"/>
                              <a:chOff x="-671473" y="3711052"/>
                              <a:chExt cx="6090949" cy="5404485"/>
                            </a:xfrm>
                          </wpg:grpSpPr>
                          <wps:wsp>
                            <wps:cNvPr id="126" name="Freeform 10"/>
                            <wps:cNvSpPr>
                              <a:spLocks/>
                            </wps:cNvSpPr>
                            <wps:spPr bwMode="auto">
                              <a:xfrm>
                                <a:off x="-671473" y="3711052"/>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570DBB03" w14:textId="5BD71261" w:rsidR="007177F5" w:rsidRDefault="00496492" w:rsidP="00A65CB7">
                                  <w:pPr>
                                    <w:rPr>
                                      <w:rFonts w:ascii="Book Antiqua" w:hAnsi="Book Antiqua" w:cs="Times New Roman"/>
                                      <w:b/>
                                      <w:color w:val="ACCBF9" w:themeColor="background2"/>
                                      <w:spacing w:val="10"/>
                                      <w:sz w:val="44"/>
                                      <w:szCs w:val="44"/>
                                      <w14:glow w14:rad="38100">
                                        <w14:schemeClr w14:val="accent1">
                                          <w14:alpha w14:val="60000"/>
                                        </w14:schemeClr>
                                      </w14:glow>
                                      <w14:textOutline w14:w="9525" w14:cap="flat" w14:cmpd="sng" w14:algn="ctr">
                                        <w14:noFill/>
                                        <w14:prstDash w14:val="solid"/>
                                        <w14:round/>
                                      </w14:textOutline>
                                    </w:rPr>
                                  </w:pPr>
                                  <w:sdt>
                                    <w:sdtPr>
                                      <w:rPr>
                                        <w:rFonts w:ascii="Book Antiqua" w:hAnsi="Book Antiqua" w:cs="Times New Roman"/>
                                        <w:b/>
                                        <w:color w:val="ACCBF9" w:themeColor="background2"/>
                                        <w:spacing w:val="10"/>
                                        <w:sz w:val="44"/>
                                        <w:szCs w:val="44"/>
                                        <w14:glow w14:rad="38100">
                                          <w14:schemeClr w14:val="accent1">
                                            <w14:alpha w14:val="60000"/>
                                          </w14:schemeClr>
                                        </w14:glow>
                                        <w14:textOutline w14:w="9525" w14:cap="flat" w14:cmpd="sng" w14:algn="ctr">
                                          <w14:noFill/>
                                          <w14:prstDash w14:val="solid"/>
                                          <w14:round/>
                                        </w14:textOutline>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7177F5" w:rsidRPr="006C7AA3">
                                        <w:rPr>
                                          <w:rFonts w:ascii="Book Antiqua" w:hAnsi="Book Antiqua" w:cs="Times New Roman"/>
                                          <w:b/>
                                          <w:color w:val="ACCBF9" w:themeColor="background2"/>
                                          <w:spacing w:val="10"/>
                                          <w:sz w:val="44"/>
                                          <w:szCs w:val="44"/>
                                          <w14:glow w14:rad="38100">
                                            <w14:schemeClr w14:val="accent1">
                                              <w14:alpha w14:val="60000"/>
                                            </w14:schemeClr>
                                          </w14:glow>
                                          <w14:textOutline w14:w="9525" w14:cap="flat" w14:cmpd="sng" w14:algn="ctr">
                                            <w14:noFill/>
                                            <w14:prstDash w14:val="solid"/>
                                            <w14:round/>
                                          </w14:textOutline>
                                        </w:rPr>
                                        <w:t>Mid-Term Evaluation of UNDP’s Portfolio on SDG 16- Peace, Justice and Strong Institutions</w:t>
                                      </w:r>
                                    </w:sdtContent>
                                  </w:sdt>
                                </w:p>
                                <w:p w14:paraId="64E8F65E" w14:textId="3969F587" w:rsidR="007177F5" w:rsidRDefault="007177F5" w:rsidP="00A65CB7">
                                  <w:pPr>
                                    <w:rPr>
                                      <w:rFonts w:ascii="Book Antiqua" w:hAnsi="Book Antiqua" w:cs="Times New Roman"/>
                                      <w:b/>
                                      <w:color w:val="ACCBF9" w:themeColor="background2"/>
                                      <w:spacing w:val="10"/>
                                      <w:sz w:val="44"/>
                                      <w:szCs w:val="44"/>
                                      <w14:glow w14:rad="38100">
                                        <w14:schemeClr w14:val="accent1">
                                          <w14:alpha w14:val="60000"/>
                                        </w14:schemeClr>
                                      </w14:glow>
                                      <w14:textOutline w14:w="9525" w14:cap="flat" w14:cmpd="sng" w14:algn="ctr">
                                        <w14:noFill/>
                                        <w14:prstDash w14:val="solid"/>
                                        <w14:round/>
                                      </w14:textOutline>
                                    </w:rPr>
                                  </w:pPr>
                                </w:p>
                                <w:p w14:paraId="30FD1848" w14:textId="78994CA2" w:rsidR="007177F5" w:rsidRDefault="007177F5" w:rsidP="00A65CB7">
                                  <w:pPr>
                                    <w:rPr>
                                      <w:rFonts w:ascii="Book Antiqua" w:hAnsi="Book Antiqua" w:cs="Times New Roman"/>
                                      <w:b/>
                                      <w:color w:val="ACCBF9" w:themeColor="background2"/>
                                      <w:spacing w:val="10"/>
                                      <w:sz w:val="44"/>
                                      <w:szCs w:val="44"/>
                                      <w14:glow w14:rad="38100">
                                        <w14:schemeClr w14:val="accent1">
                                          <w14:alpha w14:val="60000"/>
                                        </w14:schemeClr>
                                      </w14:glow>
                                      <w14:textOutline w14:w="9525" w14:cap="flat" w14:cmpd="sng" w14:algn="ctr">
                                        <w14:noFill/>
                                        <w14:prstDash w14:val="solid"/>
                                        <w14:round/>
                                      </w14:textOutline>
                                    </w:rPr>
                                  </w:pPr>
                                </w:p>
                                <w:p w14:paraId="0F073F95" w14:textId="3F1921BA" w:rsidR="007177F5" w:rsidRPr="00D45EFA" w:rsidRDefault="007177F5" w:rsidP="00D45EFA">
                                  <w:pPr>
                                    <w:rPr>
                                      <w:rFonts w:ascii="Book Antiqua" w:hAnsi="Book Antiqua" w:cs="Times New Roman"/>
                                      <w:b/>
                                      <w:color w:val="70AD47"/>
                                      <w:spacing w:val="10"/>
                                      <w:sz w:val="40"/>
                                      <w:szCs w:val="40"/>
                                      <w14:glow w14:rad="38100">
                                        <w14:schemeClr w14:val="accent1">
                                          <w14:alpha w14:val="60000"/>
                                        </w14:schemeClr>
                                      </w14:glow>
                                      <w14:textOutline w14:w="9525" w14:cap="flat" w14:cmpd="sng" w14:algn="ctr">
                                        <w14:noFill/>
                                        <w14:prstDash w14:val="solid"/>
                                        <w14:round/>
                                      </w14:textOutline>
                                      <w14:textFill>
                                        <w14:solidFill>
                                          <w14:srgbClr w14:val="70AD47">
                                            <w14:tint w14:val="1000"/>
                                          </w14:srgbClr>
                                        </w14:solidFill>
                                      </w14:textFill>
                                    </w:rPr>
                                  </w:pPr>
                                  <w:r>
                                    <w:rPr>
                                      <w:rFonts w:ascii="Book Antiqua" w:hAnsi="Book Antiqua" w:cs="Times New Roman"/>
                                      <w:b/>
                                      <w:color w:val="ACCBF9" w:themeColor="background2"/>
                                      <w:spacing w:val="10"/>
                                      <w:sz w:val="40"/>
                                      <w:szCs w:val="40"/>
                                      <w14:glow w14:rad="38100">
                                        <w14:schemeClr w14:val="accent1">
                                          <w14:alpha w14:val="60000"/>
                                        </w14:schemeClr>
                                      </w14:glow>
                                      <w14:textOutline w14:w="9525" w14:cap="flat" w14:cmpd="sng" w14:algn="ctr">
                                        <w14:noFill/>
                                        <w14:prstDash w14:val="solid"/>
                                        <w14:round/>
                                      </w14:textOutline>
                                    </w:rPr>
                                    <w:t>October -</w:t>
                                  </w:r>
                                  <w:r w:rsidRPr="00D45EFA">
                                    <w:rPr>
                                      <w:rFonts w:ascii="Book Antiqua" w:hAnsi="Book Antiqua" w:cs="Times New Roman"/>
                                      <w:b/>
                                      <w:color w:val="ACCBF9" w:themeColor="background2"/>
                                      <w:spacing w:val="10"/>
                                      <w:sz w:val="40"/>
                                      <w:szCs w:val="40"/>
                                      <w14:glow w14:rad="38100">
                                        <w14:schemeClr w14:val="accent1">
                                          <w14:alpha w14:val="60000"/>
                                        </w14:schemeClr>
                                      </w14:glow>
                                      <w14:textOutline w14:w="9525" w14:cap="flat" w14:cmpd="sng" w14:algn="ctr">
                                        <w14:noFill/>
                                        <w14:prstDash w14:val="solid"/>
                                        <w14:round/>
                                      </w14:textOutline>
                                    </w:rPr>
                                    <w:t>November, 2020</w:t>
                                  </w:r>
                                </w:p>
                                <w:p w14:paraId="2C1DD1D2" w14:textId="77777777" w:rsidR="007177F5" w:rsidRDefault="007177F5" w:rsidP="00A65CB7">
                                  <w:pPr>
                                    <w:rPr>
                                      <w:rFonts w:ascii="Book Antiqua" w:hAnsi="Book Antiqua" w:cs="Times New Roman"/>
                                      <w:b/>
                                      <w:color w:val="ACCBF9" w:themeColor="background2"/>
                                      <w:spacing w:val="10"/>
                                      <w:sz w:val="44"/>
                                      <w:szCs w:val="44"/>
                                      <w14:glow w14:rad="38100">
                                        <w14:schemeClr w14:val="accent1">
                                          <w14:alpha w14:val="60000"/>
                                        </w14:schemeClr>
                                      </w14:glow>
                                      <w14:textOutline w14:w="9525" w14:cap="flat" w14:cmpd="sng" w14:algn="ctr">
                                        <w14:noFill/>
                                        <w14:prstDash w14:val="solid"/>
                                        <w14:round/>
                                      </w14:textOutline>
                                    </w:rPr>
                                  </w:pPr>
                                </w:p>
                              </w:txbxContent>
                            </wps:txbx>
                            <wps:bodyPr rot="0" vert="horz" wrap="square" lIns="914400" tIns="1097280" rIns="1097280" bIns="1097280" anchor="b" anchorCtr="0" upright="1">
                              <a:noAutofit/>
                            </wps:bodyPr>
                          </wps:wsp>
                          <wps:wsp>
                            <wps:cNvPr id="127" name="Freeform 11"/>
                            <wps:cNvSpPr>
                              <a:spLocks/>
                            </wps:cNvSpPr>
                            <wps:spPr bwMode="auto">
                              <a:xfrm>
                                <a:off x="734446" y="5152806"/>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2A3BFC2C" id="Group 125" o:spid="_x0000_s1026" style="position:absolute;margin-left:-38.5pt;margin-top:2in;width:591.4pt;height:556.55pt;z-index:-251657216;mso-position-horizontal-relative:margin;mso-position-vertical-relative:page;mso-width-relative:margin" coordorigin="-6714,37110" coordsize="60909,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">
                    <o:lock v:ext="edit" aspectratio="t"/>
                    <v:shape id="Freeform 10" o:spid="_x0000_s1027" style="position:absolute;left:-6714;top:37110;width:55574;height:54045;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2c3165 [2994]" stroked="f">
                      <v:fill color2="#161933 [2018]" rotate="t" colors="0 #4e5073;.5 #30335e;1 #171b45"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570DBB03" w14:textId="5BD71261" w:rsidR="007177F5" w:rsidRDefault="00F91FAA" w:rsidP="00A65CB7">
                            <w:pPr>
                              <w:rPr>
                                <w:rFonts w:ascii="Book Antiqua" w:hAnsi="Book Antiqua" w:cs="Times New Roman"/>
                                <w:b/>
                                <w:color w:val="ACCBF9" w:themeColor="background2"/>
                                <w:spacing w:val="10"/>
                                <w:sz w:val="44"/>
                                <w:szCs w:val="44"/>
                                <w14:glow w14:rad="38100">
                                  <w14:schemeClr w14:val="accent1">
                                    <w14:alpha w14:val="60000"/>
                                  </w14:schemeClr>
                                </w14:glow>
                                <w14:textOutline w14:w="9525" w14:cap="flat" w14:cmpd="sng" w14:algn="ctr">
                                  <w14:noFill/>
                                  <w14:prstDash w14:val="solid"/>
                                  <w14:round/>
                                </w14:textOutline>
                              </w:rPr>
                            </w:pPr>
                            <w:sdt>
                              <w:sdtPr>
                                <w:rPr>
                                  <w:rFonts w:ascii="Book Antiqua" w:hAnsi="Book Antiqua" w:cs="Times New Roman"/>
                                  <w:b/>
                                  <w:color w:val="ACCBF9" w:themeColor="background2"/>
                                  <w:spacing w:val="10"/>
                                  <w:sz w:val="44"/>
                                  <w:szCs w:val="44"/>
                                  <w14:glow w14:rad="38100">
                                    <w14:schemeClr w14:val="accent1">
                                      <w14:alpha w14:val="60000"/>
                                    </w14:schemeClr>
                                  </w14:glow>
                                  <w14:textOutline w14:w="9525" w14:cap="flat" w14:cmpd="sng" w14:algn="ctr">
                                    <w14:noFill/>
                                    <w14:prstDash w14:val="solid"/>
                                    <w14:round/>
                                  </w14:textOutline>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7177F5" w:rsidRPr="006C7AA3">
                                  <w:rPr>
                                    <w:rFonts w:ascii="Book Antiqua" w:hAnsi="Book Antiqua" w:cs="Times New Roman"/>
                                    <w:b/>
                                    <w:color w:val="ACCBF9" w:themeColor="background2"/>
                                    <w:spacing w:val="10"/>
                                    <w:sz w:val="44"/>
                                    <w:szCs w:val="44"/>
                                    <w14:glow w14:rad="38100">
                                      <w14:schemeClr w14:val="accent1">
                                        <w14:alpha w14:val="60000"/>
                                      </w14:schemeClr>
                                    </w14:glow>
                                    <w14:textOutline w14:w="9525" w14:cap="flat" w14:cmpd="sng" w14:algn="ctr">
                                      <w14:noFill/>
                                      <w14:prstDash w14:val="solid"/>
                                      <w14:round/>
                                    </w14:textOutline>
                                  </w:rPr>
                                  <w:t>Mid-Term Evaluation of UNDP’s Portfolio on SDG 16- Peace, Justice and Strong Institutions</w:t>
                                </w:r>
                              </w:sdtContent>
                            </w:sdt>
                          </w:p>
                          <w:p w14:paraId="64E8F65E" w14:textId="3969F587" w:rsidR="007177F5" w:rsidRDefault="007177F5" w:rsidP="00A65CB7">
                            <w:pPr>
                              <w:rPr>
                                <w:rFonts w:ascii="Book Antiqua" w:hAnsi="Book Antiqua" w:cs="Times New Roman"/>
                                <w:b/>
                                <w:color w:val="ACCBF9" w:themeColor="background2"/>
                                <w:spacing w:val="10"/>
                                <w:sz w:val="44"/>
                                <w:szCs w:val="44"/>
                                <w14:glow w14:rad="38100">
                                  <w14:schemeClr w14:val="accent1">
                                    <w14:alpha w14:val="60000"/>
                                  </w14:schemeClr>
                                </w14:glow>
                                <w14:textOutline w14:w="9525" w14:cap="flat" w14:cmpd="sng" w14:algn="ctr">
                                  <w14:noFill/>
                                  <w14:prstDash w14:val="solid"/>
                                  <w14:round/>
                                </w14:textOutline>
                              </w:rPr>
                            </w:pPr>
                          </w:p>
                          <w:p w14:paraId="30FD1848" w14:textId="78994CA2" w:rsidR="007177F5" w:rsidRDefault="007177F5" w:rsidP="00A65CB7">
                            <w:pPr>
                              <w:rPr>
                                <w:rFonts w:ascii="Book Antiqua" w:hAnsi="Book Antiqua" w:cs="Times New Roman"/>
                                <w:b/>
                                <w:color w:val="ACCBF9" w:themeColor="background2"/>
                                <w:spacing w:val="10"/>
                                <w:sz w:val="44"/>
                                <w:szCs w:val="44"/>
                                <w14:glow w14:rad="38100">
                                  <w14:schemeClr w14:val="accent1">
                                    <w14:alpha w14:val="60000"/>
                                  </w14:schemeClr>
                                </w14:glow>
                                <w14:textOutline w14:w="9525" w14:cap="flat" w14:cmpd="sng" w14:algn="ctr">
                                  <w14:noFill/>
                                  <w14:prstDash w14:val="solid"/>
                                  <w14:round/>
                                </w14:textOutline>
                              </w:rPr>
                            </w:pPr>
                          </w:p>
                          <w:p w14:paraId="0F073F95" w14:textId="3F1921BA" w:rsidR="007177F5" w:rsidRPr="00D45EFA" w:rsidRDefault="007177F5" w:rsidP="00D45EFA">
                            <w:pPr>
                              <w:rPr>
                                <w:rFonts w:ascii="Book Antiqua" w:hAnsi="Book Antiqua" w:cs="Times New Roman"/>
                                <w:b/>
                                <w:color w:val="70AD47"/>
                                <w:spacing w:val="10"/>
                                <w:sz w:val="40"/>
                                <w:szCs w:val="40"/>
                                <w14:glow w14:rad="38100">
                                  <w14:schemeClr w14:val="accent1">
                                    <w14:alpha w14:val="60000"/>
                                  </w14:schemeClr>
                                </w14:glow>
                                <w14:textOutline w14:w="9525" w14:cap="flat" w14:cmpd="sng" w14:algn="ctr">
                                  <w14:noFill/>
                                  <w14:prstDash w14:val="solid"/>
                                  <w14:round/>
                                </w14:textOutline>
                                <w14:textFill>
                                  <w14:solidFill>
                                    <w14:srgbClr w14:val="70AD47">
                                      <w14:tint w14:val="1000"/>
                                    </w14:srgbClr>
                                  </w14:solidFill>
                                </w14:textFill>
                              </w:rPr>
                            </w:pPr>
                            <w:r>
                              <w:rPr>
                                <w:rFonts w:ascii="Book Antiqua" w:hAnsi="Book Antiqua" w:cs="Times New Roman"/>
                                <w:b/>
                                <w:color w:val="ACCBF9" w:themeColor="background2"/>
                                <w:spacing w:val="10"/>
                                <w:sz w:val="40"/>
                                <w:szCs w:val="40"/>
                                <w14:glow w14:rad="38100">
                                  <w14:schemeClr w14:val="accent1">
                                    <w14:alpha w14:val="60000"/>
                                  </w14:schemeClr>
                                </w14:glow>
                                <w14:textOutline w14:w="9525" w14:cap="flat" w14:cmpd="sng" w14:algn="ctr">
                                  <w14:noFill/>
                                  <w14:prstDash w14:val="solid"/>
                                  <w14:round/>
                                </w14:textOutline>
                              </w:rPr>
                              <w:t>October -</w:t>
                            </w:r>
                            <w:r w:rsidRPr="00D45EFA">
                              <w:rPr>
                                <w:rFonts w:ascii="Book Antiqua" w:hAnsi="Book Antiqua" w:cs="Times New Roman"/>
                                <w:b/>
                                <w:color w:val="ACCBF9" w:themeColor="background2"/>
                                <w:spacing w:val="10"/>
                                <w:sz w:val="40"/>
                                <w:szCs w:val="40"/>
                                <w14:glow w14:rad="38100">
                                  <w14:schemeClr w14:val="accent1">
                                    <w14:alpha w14:val="60000"/>
                                  </w14:schemeClr>
                                </w14:glow>
                                <w14:textOutline w14:w="9525" w14:cap="flat" w14:cmpd="sng" w14:algn="ctr">
                                  <w14:noFill/>
                                  <w14:prstDash w14:val="solid"/>
                                  <w14:round/>
                                </w14:textOutline>
                              </w:rPr>
                              <w:t>November, 2020</w:t>
                            </w:r>
                          </w:p>
                          <w:p w14:paraId="2C1DD1D2" w14:textId="77777777" w:rsidR="007177F5" w:rsidRDefault="007177F5" w:rsidP="00A65CB7">
                            <w:pPr>
                              <w:rPr>
                                <w:rFonts w:ascii="Book Antiqua" w:hAnsi="Book Antiqua" w:cs="Times New Roman"/>
                                <w:b/>
                                <w:color w:val="ACCBF9" w:themeColor="background2"/>
                                <w:spacing w:val="10"/>
                                <w:sz w:val="44"/>
                                <w:szCs w:val="44"/>
                                <w14:glow w14:rad="38100">
                                  <w14:schemeClr w14:val="accent1">
                                    <w14:alpha w14:val="60000"/>
                                  </w14:schemeClr>
                                </w14:glow>
                                <w14:textOutline w14:w="9525" w14:cap="flat" w14:cmpd="sng" w14:algn="ctr">
                                  <w14:noFill/>
                                  <w14:prstDash w14:val="solid"/>
                                  <w14:round/>
                                </w14:textOutline>
                              </w:rPr>
                            </w:pPr>
                          </w:p>
                        </w:txbxContent>
                      </v:textbox>
                    </v:shape>
                    <v:shape id="Freeform 11" o:spid="_x0000_s1028" style="position:absolute;left:7344;top:51528;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331FB6" w:rsidRPr="00223CBF">
            <w:rPr>
              <w:rFonts w:ascii="Cambria" w:hAnsi="Cambria"/>
              <w:noProof/>
              <w:sz w:val="20"/>
              <w:szCs w:val="20"/>
              <w:lang w:eastAsia="zh-CN"/>
            </w:rPr>
            <mc:AlternateContent>
              <mc:Choice Requires="wps">
                <w:drawing>
                  <wp:anchor distT="0" distB="0" distL="114300" distR="114300" simplePos="0" relativeHeight="251660288" behindDoc="0" locked="0" layoutInCell="1" allowOverlap="1" wp14:anchorId="371765EE" wp14:editId="56137A30">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19050" b="177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0613BFCC" w14:textId="16E4C8F2" w:rsidR="007177F5" w:rsidRPr="00C20E57" w:rsidRDefault="00496492" w:rsidP="00331FB6">
                                <w:pPr>
                                  <w:pStyle w:val="NoSpacing"/>
                                  <w:jc w:val="center"/>
                                  <w:rPr>
                                    <w:b/>
                                    <w:bCs/>
                                    <w:sz w:val="32"/>
                                    <w:szCs w:val="32"/>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pPr>
                                <w:sdt>
                                  <w:sdtPr>
                                    <w:rPr>
                                      <w:rFonts w:ascii="Times New Roman" w:hAnsi="Times New Roman" w:cs="Times New Roman"/>
                                      <w:b/>
                                      <w:bCs/>
                                      <w:sz w:val="32"/>
                                      <w:szCs w:val="32"/>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alias w:val="Year"/>
                                    <w:tag w:val=""/>
                                    <w:id w:val="1595126926"/>
                                    <w:dataBinding w:prefixMappings="xmlns:ns0='http://schemas.microsoft.com/office/2006/coverPageProps' " w:xpath="/ns0:CoverPageProperties[1]/ns0:PublishDate[1]" w:storeItemID="{55AF091B-3C7A-41E3-B477-F2FDAA23CFDA}"/>
                                    <w:date w:fullDate="2020-01-01T00:00:00Z">
                                      <w:dateFormat w:val="yyyy"/>
                                      <w:lid w:val="en-US"/>
                                      <w:storeMappedDataAs w:val="dateTime"/>
                                      <w:calendar w:val="gregorian"/>
                                    </w:date>
                                  </w:sdtPr>
                                  <w:sdtEndPr/>
                                  <w:sdtContent>
                                    <w:r w:rsidR="007177F5" w:rsidRPr="00C20E57">
                                      <w:rPr>
                                        <w:rFonts w:ascii="Times New Roman" w:hAnsi="Times New Roman" w:cs="Times New Roman"/>
                                        <w:b/>
                                        <w:bCs/>
                                        <w:sz w:val="32"/>
                                        <w:szCs w:val="32"/>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t>2020</w:t>
                                    </w:r>
                                  </w:sdtContent>
                                </w:sdt>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xmlns:w16sdtdh="http://schemas.microsoft.com/office/word/2020/wordml/sdtdatahash">
                <w:pict>
                  <v:rect w14:anchorId="371765EE" id="Rectangle 130" o:spid="_x0000_s1029"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" fillcolor="#6fa9e3 [2166]" strokecolor="#297fd5 [3206]" strokeweight=".5pt">
                    <v:fill color2="#5197dd [2614]" rotate="t" colors="0 #a1bce9;.5 #93b1e5;1 #7ea6e6" focus="100%" type="gradient">
                      <o:fill v:ext="view" type="gradientUnscaled"/>
                    </v:fill>
                    <v:path arrowok="t"/>
                    <o:lock v:ext="edit" aspectratio="t"/>
                    <v:textbox inset="3.6pt,,3.6pt">
                      <w:txbxContent>
                        <w:p w14:paraId="0613BFCC" w14:textId="16E4C8F2" w:rsidR="007177F5" w:rsidRPr="00C20E57" w:rsidRDefault="00081358" w:rsidP="00331FB6">
                          <w:pPr>
                            <w:pStyle w:val="NoSpacing"/>
                            <w:jc w:val="center"/>
                            <w:rPr>
                              <w:b/>
                              <w:bCs/>
                              <w:sz w:val="32"/>
                              <w:szCs w:val="32"/>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pPr>
                          <w:sdt>
                            <w:sdtPr>
                              <w:rPr>
                                <w:rFonts w:ascii="Times New Roman" w:hAnsi="Times New Roman" w:cs="Times New Roman"/>
                                <w:b/>
                                <w:bCs/>
                                <w:sz w:val="32"/>
                                <w:szCs w:val="32"/>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alias w:val="Year"/>
                              <w:tag w:val=""/>
                              <w:id w:val="1595126926"/>
                              <w:dataBinding w:prefixMappings="xmlns:ns0='http://schemas.microsoft.com/office/2006/coverPageProps' " w:xpath="/ns0:CoverPageProperties[1]/ns0:PublishDate[1]" w:storeItemID="{55AF091B-3C7A-41E3-B477-F2FDAA23CFDA}"/>
                              <w:date w:fullDate="2020-01-01T00:00:00Z">
                                <w:dateFormat w:val="yyyy"/>
                                <w:lid w:val="en-US"/>
                                <w:storeMappedDataAs w:val="dateTime"/>
                                <w:calendar w:val="gregorian"/>
                              </w:date>
                            </w:sdtPr>
                            <w:sdtEndPr/>
                            <w:sdtContent>
                              <w:r w:rsidR="007177F5" w:rsidRPr="00C20E57">
                                <w:rPr>
                                  <w:rFonts w:ascii="Times New Roman" w:hAnsi="Times New Roman" w:cs="Times New Roman"/>
                                  <w:b/>
                                  <w:bCs/>
                                  <w:sz w:val="32"/>
                                  <w:szCs w:val="32"/>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t>2020</w:t>
                              </w:r>
                            </w:sdtContent>
                          </w:sdt>
                        </w:p>
                      </w:txbxContent>
                    </v:textbox>
                    <w10:wrap anchorx="margin" anchory="page"/>
                  </v:rect>
                </w:pict>
              </mc:Fallback>
            </mc:AlternateContent>
          </w:r>
          <w:r w:rsidR="00331FB6" w:rsidRPr="00223CBF">
            <w:rPr>
              <w:rFonts w:ascii="Cambria" w:hAnsi="Cambria" w:cstheme="minorHAnsi"/>
              <w:b/>
              <w:bCs/>
              <w:color w:val="000000" w:themeColor="text1"/>
              <w:sz w:val="20"/>
              <w:szCs w:val="20"/>
            </w:rPr>
            <w:br w:type="page"/>
          </w:r>
        </w:p>
      </w:sdtContent>
    </w:sdt>
    <w:sdt>
      <w:sdtPr>
        <w:rPr>
          <w:rFonts w:ascii="Cambria" w:eastAsiaTheme="minorHAnsi" w:hAnsi="Cambria" w:cstheme="minorBidi"/>
          <w:b w:val="0"/>
          <w:bCs w:val="0"/>
          <w:color w:val="auto"/>
          <w:sz w:val="20"/>
          <w:szCs w:val="20"/>
        </w:rPr>
        <w:id w:val="432399005"/>
        <w:docPartObj>
          <w:docPartGallery w:val="Table of Contents"/>
          <w:docPartUnique/>
        </w:docPartObj>
      </w:sdtPr>
      <w:sdtEndPr>
        <w:rPr>
          <w:noProof/>
        </w:rPr>
      </w:sdtEndPr>
      <w:sdtContent>
        <w:p w14:paraId="470BB395" w14:textId="7B4A7CA3" w:rsidR="003147C7" w:rsidRPr="00223CBF" w:rsidRDefault="003147C7" w:rsidP="008778D4">
          <w:pPr>
            <w:pStyle w:val="TOCHeading"/>
            <w:tabs>
              <w:tab w:val="left" w:pos="6897"/>
            </w:tabs>
            <w:rPr>
              <w:rFonts w:ascii="Cambria" w:hAnsi="Cambria"/>
              <w:sz w:val="20"/>
              <w:szCs w:val="20"/>
            </w:rPr>
          </w:pPr>
          <w:r w:rsidRPr="00004A58">
            <w:rPr>
              <w:rFonts w:ascii="Cambria" w:hAnsi="Cambria"/>
              <w:sz w:val="32"/>
              <w:szCs w:val="32"/>
            </w:rPr>
            <w:t>Table of Contents</w:t>
          </w:r>
          <w:r w:rsidR="008778D4" w:rsidRPr="00223CBF">
            <w:rPr>
              <w:rFonts w:ascii="Cambria" w:hAnsi="Cambria"/>
              <w:sz w:val="20"/>
              <w:szCs w:val="20"/>
            </w:rPr>
            <w:tab/>
          </w:r>
        </w:p>
        <w:p w14:paraId="797C3084" w14:textId="659E3438" w:rsidR="003147C7" w:rsidRPr="00223CBF" w:rsidRDefault="003147C7" w:rsidP="003147C7">
          <w:pPr>
            <w:rPr>
              <w:rFonts w:ascii="Cambria" w:hAnsi="Cambria"/>
              <w:sz w:val="20"/>
              <w:szCs w:val="20"/>
            </w:rPr>
          </w:pPr>
          <w:r w:rsidRPr="00223CBF">
            <w:rPr>
              <w:rFonts w:ascii="Cambria" w:hAnsi="Cambria"/>
              <w:sz w:val="20"/>
              <w:szCs w:val="20"/>
            </w:rPr>
            <w:t>List of Acronyms and Abbreviations…………………………………………………………………………………………</w:t>
          </w:r>
          <w:r w:rsidR="00F51133">
            <w:rPr>
              <w:rFonts w:ascii="Cambria" w:hAnsi="Cambria"/>
              <w:sz w:val="20"/>
              <w:szCs w:val="20"/>
            </w:rPr>
            <w:t>………………</w:t>
          </w:r>
          <w:r w:rsidR="00DE2E78">
            <w:rPr>
              <w:rFonts w:ascii="Cambria" w:hAnsi="Cambria"/>
              <w:sz w:val="20"/>
              <w:szCs w:val="20"/>
            </w:rPr>
            <w:t>.</w:t>
          </w:r>
          <w:r w:rsidR="00F51133">
            <w:rPr>
              <w:rFonts w:ascii="Cambria" w:hAnsi="Cambria"/>
              <w:sz w:val="20"/>
              <w:szCs w:val="20"/>
            </w:rPr>
            <w:t>i</w:t>
          </w:r>
          <w:r w:rsidR="00DE2E78">
            <w:rPr>
              <w:rFonts w:ascii="Cambria" w:hAnsi="Cambria"/>
              <w:sz w:val="20"/>
              <w:szCs w:val="20"/>
            </w:rPr>
            <w:t>i</w:t>
          </w:r>
          <w:r w:rsidR="00F51133">
            <w:rPr>
              <w:rFonts w:ascii="Cambria" w:hAnsi="Cambria"/>
              <w:sz w:val="20"/>
              <w:szCs w:val="20"/>
            </w:rPr>
            <w:t>i</w:t>
          </w:r>
        </w:p>
        <w:p w14:paraId="792B9B3A" w14:textId="58C05588" w:rsidR="003147C7" w:rsidRPr="00223CBF" w:rsidRDefault="003147C7" w:rsidP="003147C7">
          <w:pPr>
            <w:rPr>
              <w:rFonts w:ascii="Cambria" w:hAnsi="Cambria"/>
              <w:sz w:val="20"/>
              <w:szCs w:val="20"/>
            </w:rPr>
          </w:pPr>
          <w:r w:rsidRPr="00223CBF">
            <w:rPr>
              <w:rFonts w:ascii="Cambria" w:hAnsi="Cambria"/>
              <w:sz w:val="20"/>
              <w:szCs w:val="20"/>
            </w:rPr>
            <w:t>Acknowledgement</w:t>
          </w:r>
          <w:r w:rsidR="00E078EF" w:rsidRPr="00223CBF">
            <w:rPr>
              <w:rFonts w:ascii="Cambria" w:hAnsi="Cambria"/>
              <w:sz w:val="20"/>
              <w:szCs w:val="20"/>
            </w:rPr>
            <w:t>……………………………………………………………………………………………………………………</w:t>
          </w:r>
          <w:r w:rsidR="00F51133">
            <w:rPr>
              <w:rFonts w:ascii="Cambria" w:hAnsi="Cambria"/>
              <w:sz w:val="20"/>
              <w:szCs w:val="20"/>
            </w:rPr>
            <w:t>……………</w:t>
          </w:r>
          <w:r w:rsidR="00DE2E78">
            <w:rPr>
              <w:rFonts w:ascii="Cambria" w:hAnsi="Cambria"/>
              <w:sz w:val="20"/>
              <w:szCs w:val="20"/>
            </w:rPr>
            <w:t>…</w:t>
          </w:r>
          <w:r w:rsidR="00F51133">
            <w:rPr>
              <w:rFonts w:ascii="Cambria" w:hAnsi="Cambria"/>
              <w:sz w:val="20"/>
              <w:szCs w:val="20"/>
            </w:rPr>
            <w:t>v</w:t>
          </w:r>
          <w:r w:rsidR="00DE2E78">
            <w:rPr>
              <w:rFonts w:ascii="Cambria" w:hAnsi="Cambria"/>
              <w:sz w:val="20"/>
              <w:szCs w:val="20"/>
            </w:rPr>
            <w:t>i</w:t>
          </w:r>
        </w:p>
        <w:p w14:paraId="696B217F" w14:textId="019EC516" w:rsidR="00F51133" w:rsidRDefault="003147C7" w:rsidP="003147C7">
          <w:pPr>
            <w:rPr>
              <w:rFonts w:ascii="Cambria" w:hAnsi="Cambria"/>
              <w:sz w:val="20"/>
              <w:szCs w:val="20"/>
            </w:rPr>
          </w:pPr>
          <w:r w:rsidRPr="00223CBF">
            <w:rPr>
              <w:rFonts w:ascii="Cambria" w:hAnsi="Cambria"/>
              <w:sz w:val="20"/>
              <w:szCs w:val="20"/>
            </w:rPr>
            <w:t>Executive summary</w:t>
          </w:r>
          <w:r w:rsidR="004A3E6D" w:rsidRPr="00223CBF">
            <w:rPr>
              <w:rFonts w:ascii="Cambria" w:hAnsi="Cambria"/>
              <w:sz w:val="20"/>
              <w:szCs w:val="20"/>
            </w:rPr>
            <w:t>…………………………………………………………………………………………………………………</w:t>
          </w:r>
          <w:r w:rsidR="00F51133">
            <w:rPr>
              <w:rFonts w:ascii="Cambria" w:hAnsi="Cambria"/>
              <w:sz w:val="20"/>
              <w:szCs w:val="20"/>
            </w:rPr>
            <w:t>………………</w:t>
          </w:r>
          <w:r w:rsidR="00DE2E78">
            <w:rPr>
              <w:rFonts w:ascii="Cambria" w:hAnsi="Cambria"/>
              <w:sz w:val="20"/>
              <w:szCs w:val="20"/>
            </w:rPr>
            <w:t>viii</w:t>
          </w:r>
        </w:p>
        <w:p w14:paraId="70D804AF" w14:textId="6D7B7949" w:rsidR="001633EF" w:rsidRPr="000C4F19" w:rsidRDefault="001633EF" w:rsidP="00081358">
          <w:pPr>
            <w:pStyle w:val="ListParagraph"/>
            <w:numPr>
              <w:ilvl w:val="0"/>
              <w:numId w:val="78"/>
            </w:numPr>
            <w:rPr>
              <w:rFonts w:ascii="Cambria" w:hAnsi="Cambria"/>
              <w:sz w:val="20"/>
              <w:szCs w:val="20"/>
            </w:rPr>
          </w:pPr>
          <w:r w:rsidRPr="000C4F19">
            <w:rPr>
              <w:rFonts w:ascii="Cambria" w:hAnsi="Cambria"/>
              <w:sz w:val="20"/>
              <w:szCs w:val="20"/>
            </w:rPr>
            <w:t>Introduction and Background</w:t>
          </w:r>
          <w:r w:rsidR="004A3E6D" w:rsidRPr="000C4F19">
            <w:rPr>
              <w:rFonts w:ascii="Cambria" w:hAnsi="Cambria"/>
              <w:sz w:val="20"/>
              <w:szCs w:val="20"/>
            </w:rPr>
            <w:t>…………………………………………………………………………………………………</w:t>
          </w:r>
          <w:r w:rsidR="00F51133" w:rsidRPr="000C4F19">
            <w:rPr>
              <w:rFonts w:ascii="Cambria" w:hAnsi="Cambria"/>
              <w:sz w:val="20"/>
              <w:szCs w:val="20"/>
            </w:rPr>
            <w:t>……………</w:t>
          </w:r>
          <w:r w:rsidR="00CB6D02" w:rsidRPr="000C4F19">
            <w:rPr>
              <w:rFonts w:ascii="Cambria" w:hAnsi="Cambria"/>
              <w:sz w:val="20"/>
              <w:szCs w:val="20"/>
            </w:rPr>
            <w:t>.</w:t>
          </w:r>
          <w:r w:rsidR="00F51133" w:rsidRPr="000C4F19">
            <w:rPr>
              <w:rFonts w:ascii="Cambria" w:hAnsi="Cambria"/>
              <w:sz w:val="20"/>
              <w:szCs w:val="20"/>
            </w:rPr>
            <w:t>…</w:t>
          </w:r>
          <w:r w:rsidR="00DE2E78" w:rsidRPr="000C4F19">
            <w:rPr>
              <w:rFonts w:ascii="Cambria" w:hAnsi="Cambria"/>
              <w:sz w:val="20"/>
              <w:szCs w:val="20"/>
            </w:rPr>
            <w:t>……………..........</w:t>
          </w:r>
          <w:r w:rsidR="00F51133" w:rsidRPr="000C4F19">
            <w:rPr>
              <w:rFonts w:ascii="Cambria" w:hAnsi="Cambria"/>
              <w:sz w:val="20"/>
              <w:szCs w:val="20"/>
            </w:rPr>
            <w:t>01</w:t>
          </w:r>
        </w:p>
        <w:p w14:paraId="1501D6D2" w14:textId="5F39BA41" w:rsidR="001633EF" w:rsidRPr="00DE2E78" w:rsidRDefault="00682299" w:rsidP="00081358">
          <w:pPr>
            <w:pStyle w:val="ListParagraph"/>
            <w:numPr>
              <w:ilvl w:val="1"/>
              <w:numId w:val="78"/>
            </w:numPr>
            <w:rPr>
              <w:rFonts w:ascii="Cambria" w:hAnsi="Cambria"/>
              <w:sz w:val="20"/>
              <w:szCs w:val="20"/>
            </w:rPr>
          </w:pPr>
          <w:r w:rsidRPr="00DE2E78">
            <w:rPr>
              <w:rFonts w:ascii="Cambria" w:hAnsi="Cambria"/>
              <w:sz w:val="20"/>
              <w:szCs w:val="20"/>
            </w:rPr>
            <w:t>Description and Intervention</w:t>
          </w:r>
          <w:r w:rsidR="004A3E6D" w:rsidRPr="00DE2E78">
            <w:rPr>
              <w:rFonts w:ascii="Cambria" w:hAnsi="Cambria"/>
              <w:sz w:val="20"/>
              <w:szCs w:val="20"/>
            </w:rPr>
            <w:t>……………………………………………………………………………………………………</w:t>
          </w:r>
          <w:r w:rsidR="00F51133" w:rsidRPr="00DE2E78">
            <w:rPr>
              <w:rFonts w:ascii="Cambria" w:hAnsi="Cambria"/>
              <w:sz w:val="20"/>
              <w:szCs w:val="20"/>
            </w:rPr>
            <w:t>…………….</w:t>
          </w:r>
          <w:r w:rsidR="00CB6D02" w:rsidRPr="00DE2E78">
            <w:rPr>
              <w:rFonts w:ascii="Cambria" w:hAnsi="Cambria"/>
              <w:sz w:val="20"/>
              <w:szCs w:val="20"/>
            </w:rPr>
            <w:t>.</w:t>
          </w:r>
          <w:r w:rsidR="00F51133" w:rsidRPr="00DE2E78">
            <w:rPr>
              <w:rFonts w:ascii="Cambria" w:hAnsi="Cambria"/>
              <w:sz w:val="20"/>
              <w:szCs w:val="20"/>
            </w:rPr>
            <w:t>..</w:t>
          </w:r>
          <w:r w:rsidR="00DE2E78">
            <w:rPr>
              <w:rFonts w:ascii="Cambria" w:hAnsi="Cambria"/>
              <w:sz w:val="20"/>
              <w:szCs w:val="20"/>
            </w:rPr>
            <w:t>........................</w:t>
          </w:r>
          <w:r w:rsidR="00F51133" w:rsidRPr="00DE2E78">
            <w:rPr>
              <w:rFonts w:ascii="Cambria" w:hAnsi="Cambria"/>
              <w:sz w:val="20"/>
              <w:szCs w:val="20"/>
            </w:rPr>
            <w:t>02</w:t>
          </w:r>
        </w:p>
        <w:p w14:paraId="074571CE" w14:textId="6F665EEE" w:rsidR="00682299" w:rsidRPr="00DE2E78" w:rsidRDefault="00682299" w:rsidP="00081358">
          <w:pPr>
            <w:pStyle w:val="ListParagraph"/>
            <w:numPr>
              <w:ilvl w:val="0"/>
              <w:numId w:val="78"/>
            </w:numPr>
            <w:rPr>
              <w:rFonts w:ascii="Cambria" w:hAnsi="Cambria"/>
              <w:sz w:val="20"/>
              <w:szCs w:val="20"/>
            </w:rPr>
          </w:pPr>
          <w:r w:rsidRPr="00DE2E78">
            <w:rPr>
              <w:rFonts w:ascii="Cambria" w:hAnsi="Cambria"/>
              <w:sz w:val="20"/>
              <w:szCs w:val="20"/>
            </w:rPr>
            <w:t>Outputs to be evaluated</w:t>
          </w:r>
          <w:r w:rsidR="004A3E6D" w:rsidRPr="00DE2E78">
            <w:rPr>
              <w:rFonts w:ascii="Cambria" w:hAnsi="Cambria"/>
              <w:sz w:val="20"/>
              <w:szCs w:val="20"/>
            </w:rPr>
            <w:t>………………………………………………………………………………………………………………</w:t>
          </w:r>
          <w:r w:rsidR="00F51133" w:rsidRPr="00DE2E78">
            <w:rPr>
              <w:rFonts w:ascii="Cambria" w:hAnsi="Cambria"/>
              <w:sz w:val="20"/>
              <w:szCs w:val="20"/>
            </w:rPr>
            <w:t>…………</w:t>
          </w:r>
          <w:r w:rsidR="00DE2E78">
            <w:rPr>
              <w:rFonts w:ascii="Cambria" w:hAnsi="Cambria"/>
              <w:sz w:val="20"/>
              <w:szCs w:val="20"/>
            </w:rPr>
            <w:t>……………..</w:t>
          </w:r>
          <w:r w:rsidR="00F51133" w:rsidRPr="00DE2E78">
            <w:rPr>
              <w:rFonts w:ascii="Cambria" w:hAnsi="Cambria"/>
              <w:sz w:val="20"/>
              <w:szCs w:val="20"/>
            </w:rPr>
            <w:t>…03</w:t>
          </w:r>
        </w:p>
        <w:p w14:paraId="090B32E4" w14:textId="20D6A063" w:rsidR="00682299" w:rsidRPr="00223CBF" w:rsidRDefault="00682299" w:rsidP="003147C7">
          <w:pPr>
            <w:rPr>
              <w:rFonts w:ascii="Cambria" w:hAnsi="Cambria"/>
              <w:sz w:val="20"/>
              <w:szCs w:val="20"/>
            </w:rPr>
          </w:pPr>
          <w:r w:rsidRPr="00223CBF">
            <w:rPr>
              <w:rFonts w:ascii="Cambria" w:hAnsi="Cambria"/>
              <w:sz w:val="20"/>
              <w:szCs w:val="20"/>
            </w:rPr>
            <w:tab/>
            <w:t xml:space="preserve">Pillar One: Parliament and Independent Commissions </w:t>
          </w:r>
          <w:r w:rsidR="004A3E6D" w:rsidRPr="00223CBF">
            <w:rPr>
              <w:rFonts w:ascii="Cambria" w:hAnsi="Cambria"/>
              <w:sz w:val="20"/>
              <w:szCs w:val="20"/>
            </w:rPr>
            <w:t>……………………………………………………</w:t>
          </w:r>
          <w:r w:rsidR="00F51133">
            <w:rPr>
              <w:rFonts w:ascii="Cambria" w:hAnsi="Cambria"/>
              <w:sz w:val="20"/>
              <w:szCs w:val="20"/>
            </w:rPr>
            <w:t>……………03</w:t>
          </w:r>
        </w:p>
        <w:p w14:paraId="7852AFDA" w14:textId="66C4D267" w:rsidR="00682299" w:rsidRPr="00223CBF" w:rsidRDefault="00682299" w:rsidP="003147C7">
          <w:pPr>
            <w:rPr>
              <w:rFonts w:ascii="Cambria" w:hAnsi="Cambria"/>
              <w:sz w:val="20"/>
              <w:szCs w:val="20"/>
            </w:rPr>
          </w:pPr>
          <w:r w:rsidRPr="00223CBF">
            <w:rPr>
              <w:rFonts w:ascii="Cambria" w:hAnsi="Cambria"/>
              <w:sz w:val="20"/>
              <w:szCs w:val="20"/>
            </w:rPr>
            <w:tab/>
            <w:t>Pillar Two: Access to Justice and the Rule of Law</w:t>
          </w:r>
          <w:r w:rsidR="004A3E6D" w:rsidRPr="00223CBF">
            <w:rPr>
              <w:rFonts w:ascii="Cambria" w:hAnsi="Cambria"/>
              <w:sz w:val="20"/>
              <w:szCs w:val="20"/>
            </w:rPr>
            <w:t xml:space="preserve"> ……………………………………………………………</w:t>
          </w:r>
          <w:r w:rsidR="00F51133">
            <w:rPr>
              <w:rFonts w:ascii="Cambria" w:hAnsi="Cambria"/>
              <w:sz w:val="20"/>
              <w:szCs w:val="20"/>
            </w:rPr>
            <w:t>…………….04</w:t>
          </w:r>
        </w:p>
        <w:p w14:paraId="242F3991" w14:textId="70EF60F9" w:rsidR="00682299" w:rsidRPr="00DE2E78" w:rsidRDefault="00682299" w:rsidP="00081358">
          <w:pPr>
            <w:pStyle w:val="ListParagraph"/>
            <w:numPr>
              <w:ilvl w:val="0"/>
              <w:numId w:val="78"/>
            </w:numPr>
            <w:rPr>
              <w:rFonts w:ascii="Cambria" w:hAnsi="Cambria"/>
              <w:sz w:val="20"/>
              <w:szCs w:val="20"/>
            </w:rPr>
          </w:pPr>
          <w:r w:rsidRPr="00DE2E78">
            <w:rPr>
              <w:rFonts w:ascii="Cambria" w:hAnsi="Cambria"/>
              <w:sz w:val="20"/>
              <w:szCs w:val="20"/>
            </w:rPr>
            <w:t>Research, Design and Methodology</w:t>
          </w:r>
          <w:r w:rsidR="00DE2E78">
            <w:rPr>
              <w:rFonts w:ascii="Cambria" w:hAnsi="Cambria"/>
              <w:sz w:val="20"/>
              <w:szCs w:val="20"/>
            </w:rPr>
            <w:t>…………</w:t>
          </w:r>
          <w:r w:rsidR="004A3E6D" w:rsidRPr="00DE2E78">
            <w:rPr>
              <w:rFonts w:ascii="Cambria" w:hAnsi="Cambria"/>
              <w:sz w:val="20"/>
              <w:szCs w:val="20"/>
            </w:rPr>
            <w:t>………………………………………………………………………………</w:t>
          </w:r>
          <w:r w:rsidR="00F51133" w:rsidRPr="00DE2E78">
            <w:rPr>
              <w:rFonts w:ascii="Cambria" w:hAnsi="Cambria"/>
              <w:sz w:val="20"/>
              <w:szCs w:val="20"/>
            </w:rPr>
            <w:t>……</w:t>
          </w:r>
          <w:r w:rsidR="00DE2E78">
            <w:rPr>
              <w:rFonts w:ascii="Cambria" w:hAnsi="Cambria"/>
              <w:sz w:val="20"/>
              <w:szCs w:val="20"/>
            </w:rPr>
            <w:t>………………………………</w:t>
          </w:r>
          <w:r w:rsidR="00F51133" w:rsidRPr="00DE2E78">
            <w:rPr>
              <w:rFonts w:ascii="Cambria" w:hAnsi="Cambria"/>
              <w:sz w:val="20"/>
              <w:szCs w:val="20"/>
            </w:rPr>
            <w:t>……</w:t>
          </w:r>
          <w:r w:rsidR="00EC26DA">
            <w:rPr>
              <w:rFonts w:ascii="Cambria" w:hAnsi="Cambria"/>
              <w:sz w:val="20"/>
              <w:szCs w:val="20"/>
            </w:rPr>
            <w:t>.</w:t>
          </w:r>
          <w:r w:rsidR="00F51133" w:rsidRPr="00DE2E78">
            <w:rPr>
              <w:rFonts w:ascii="Cambria" w:hAnsi="Cambria"/>
              <w:sz w:val="20"/>
              <w:szCs w:val="20"/>
            </w:rPr>
            <w:t>..05</w:t>
          </w:r>
        </w:p>
        <w:p w14:paraId="11453F70" w14:textId="2A682100" w:rsidR="00682299" w:rsidRPr="00DE2E78" w:rsidRDefault="00682299" w:rsidP="00081358">
          <w:pPr>
            <w:pStyle w:val="ListParagraph"/>
            <w:numPr>
              <w:ilvl w:val="1"/>
              <w:numId w:val="78"/>
            </w:numPr>
            <w:rPr>
              <w:rFonts w:ascii="Cambria" w:hAnsi="Cambria"/>
              <w:sz w:val="20"/>
              <w:szCs w:val="20"/>
            </w:rPr>
          </w:pPr>
          <w:r w:rsidRPr="00DE2E78">
            <w:rPr>
              <w:rFonts w:ascii="Cambria" w:hAnsi="Cambria"/>
              <w:sz w:val="20"/>
              <w:szCs w:val="20"/>
            </w:rPr>
            <w:t xml:space="preserve">The Scope and Purpose of the Evaluation </w:t>
          </w:r>
          <w:r w:rsidR="004A3E6D" w:rsidRPr="00DE2E78">
            <w:rPr>
              <w:rFonts w:ascii="Cambria" w:hAnsi="Cambria"/>
              <w:sz w:val="20"/>
              <w:szCs w:val="20"/>
            </w:rPr>
            <w:t>…………………………………………………………………………</w:t>
          </w:r>
          <w:r w:rsidR="00F51133" w:rsidRPr="00DE2E78">
            <w:rPr>
              <w:rFonts w:ascii="Cambria" w:hAnsi="Cambria"/>
              <w:sz w:val="20"/>
              <w:szCs w:val="20"/>
            </w:rPr>
            <w:t>…………</w:t>
          </w:r>
          <w:r w:rsidR="00DE2E78">
            <w:rPr>
              <w:rFonts w:ascii="Cambria" w:hAnsi="Cambria"/>
              <w:sz w:val="20"/>
              <w:szCs w:val="20"/>
            </w:rPr>
            <w:t>…….</w:t>
          </w:r>
          <w:r w:rsidR="00F51133" w:rsidRPr="00DE2E78">
            <w:rPr>
              <w:rFonts w:ascii="Cambria" w:hAnsi="Cambria"/>
              <w:sz w:val="20"/>
              <w:szCs w:val="20"/>
            </w:rPr>
            <w:t>.</w:t>
          </w:r>
          <w:r w:rsidR="00EC26DA">
            <w:rPr>
              <w:rFonts w:ascii="Cambria" w:hAnsi="Cambria"/>
              <w:sz w:val="20"/>
              <w:szCs w:val="20"/>
            </w:rPr>
            <w:t>.</w:t>
          </w:r>
          <w:r w:rsidR="00F51133" w:rsidRPr="00DE2E78">
            <w:rPr>
              <w:rFonts w:ascii="Cambria" w:hAnsi="Cambria"/>
              <w:sz w:val="20"/>
              <w:szCs w:val="20"/>
            </w:rPr>
            <w:t>05</w:t>
          </w:r>
        </w:p>
        <w:p w14:paraId="29BAF1A8" w14:textId="27728197" w:rsidR="00DE2E78" w:rsidRDefault="00DE2E78" w:rsidP="00081358">
          <w:pPr>
            <w:pStyle w:val="ListParagraph"/>
            <w:numPr>
              <w:ilvl w:val="1"/>
              <w:numId w:val="78"/>
            </w:numPr>
            <w:rPr>
              <w:rFonts w:ascii="Cambria" w:hAnsi="Cambria"/>
              <w:sz w:val="20"/>
              <w:szCs w:val="20"/>
            </w:rPr>
          </w:pPr>
          <w:r>
            <w:rPr>
              <w:rFonts w:ascii="Cambria" w:hAnsi="Cambria"/>
              <w:sz w:val="20"/>
              <w:szCs w:val="20"/>
            </w:rPr>
            <w:t>Evaluation Criteria……………………………………………………………………………………………………………………………..05</w:t>
          </w:r>
        </w:p>
        <w:p w14:paraId="6617F1ED" w14:textId="53078041" w:rsidR="00682299" w:rsidRPr="00DE2E78" w:rsidRDefault="00DE2E78" w:rsidP="00081358">
          <w:pPr>
            <w:pStyle w:val="ListParagraph"/>
            <w:numPr>
              <w:ilvl w:val="1"/>
              <w:numId w:val="78"/>
            </w:numPr>
            <w:rPr>
              <w:rFonts w:ascii="Cambria" w:hAnsi="Cambria"/>
              <w:sz w:val="20"/>
              <w:szCs w:val="20"/>
            </w:rPr>
          </w:pPr>
          <w:r>
            <w:rPr>
              <w:rFonts w:ascii="Cambria" w:hAnsi="Cambria"/>
              <w:sz w:val="20"/>
              <w:szCs w:val="20"/>
            </w:rPr>
            <w:t xml:space="preserve"> </w:t>
          </w:r>
          <w:r w:rsidR="00682299" w:rsidRPr="00DE2E78">
            <w:rPr>
              <w:rFonts w:ascii="Cambria" w:hAnsi="Cambria"/>
              <w:sz w:val="20"/>
              <w:szCs w:val="20"/>
            </w:rPr>
            <w:t>Approach and Methodology</w:t>
          </w:r>
          <w:r w:rsidR="004A3E6D" w:rsidRPr="00DE2E78">
            <w:rPr>
              <w:rFonts w:ascii="Cambria" w:hAnsi="Cambria"/>
              <w:sz w:val="20"/>
              <w:szCs w:val="20"/>
            </w:rPr>
            <w:t>……………………………………………………………………………………………</w:t>
          </w:r>
          <w:r w:rsidR="00F51133" w:rsidRPr="00DE2E78">
            <w:rPr>
              <w:rFonts w:ascii="Cambria" w:hAnsi="Cambria"/>
              <w:sz w:val="20"/>
              <w:szCs w:val="20"/>
            </w:rPr>
            <w:t>……………</w:t>
          </w:r>
          <w:r>
            <w:rPr>
              <w:rFonts w:ascii="Cambria" w:hAnsi="Cambria"/>
              <w:sz w:val="20"/>
              <w:szCs w:val="20"/>
            </w:rPr>
            <w:t>…….</w:t>
          </w:r>
          <w:r w:rsidR="00F51133" w:rsidRPr="00DE2E78">
            <w:rPr>
              <w:rFonts w:ascii="Cambria" w:hAnsi="Cambria"/>
              <w:sz w:val="20"/>
              <w:szCs w:val="20"/>
            </w:rPr>
            <w:t>06</w:t>
          </w:r>
        </w:p>
        <w:p w14:paraId="7CEF1CEA" w14:textId="59055731" w:rsidR="00682299" w:rsidRPr="00223CBF" w:rsidRDefault="00DE2E78" w:rsidP="00DE2E78">
          <w:pPr>
            <w:ind w:left="360"/>
            <w:rPr>
              <w:rFonts w:ascii="Cambria" w:hAnsi="Cambria"/>
              <w:sz w:val="20"/>
              <w:szCs w:val="20"/>
            </w:rPr>
          </w:pPr>
          <w:r>
            <w:rPr>
              <w:rFonts w:ascii="Cambria" w:hAnsi="Cambria"/>
              <w:sz w:val="20"/>
              <w:szCs w:val="20"/>
            </w:rPr>
            <w:t xml:space="preserve">3.3.1. </w:t>
          </w:r>
          <w:r w:rsidR="00682299" w:rsidRPr="00223CBF">
            <w:rPr>
              <w:rFonts w:ascii="Cambria" w:hAnsi="Cambria"/>
              <w:sz w:val="20"/>
              <w:szCs w:val="20"/>
            </w:rPr>
            <w:t>Approach</w:t>
          </w:r>
          <w:r w:rsidR="004A3E6D" w:rsidRPr="00223CBF">
            <w:rPr>
              <w:rFonts w:ascii="Cambria" w:hAnsi="Cambria"/>
              <w:sz w:val="20"/>
              <w:szCs w:val="20"/>
            </w:rPr>
            <w:t>……………………………………………………………………………………………………………</w:t>
          </w:r>
          <w:r w:rsidR="00F51133">
            <w:rPr>
              <w:rFonts w:ascii="Cambria" w:hAnsi="Cambria"/>
              <w:sz w:val="20"/>
              <w:szCs w:val="20"/>
            </w:rPr>
            <w:t>…………</w:t>
          </w:r>
          <w:r>
            <w:rPr>
              <w:rFonts w:ascii="Cambria" w:hAnsi="Cambria"/>
              <w:sz w:val="20"/>
              <w:szCs w:val="20"/>
            </w:rPr>
            <w:t>…………</w:t>
          </w:r>
          <w:r w:rsidR="00F51133">
            <w:rPr>
              <w:rFonts w:ascii="Cambria" w:hAnsi="Cambria"/>
              <w:sz w:val="20"/>
              <w:szCs w:val="20"/>
            </w:rPr>
            <w:t>.06</w:t>
          </w:r>
        </w:p>
        <w:p w14:paraId="4862C87C" w14:textId="00377031" w:rsidR="00682299" w:rsidRPr="00223CBF" w:rsidRDefault="00DE2E78" w:rsidP="00DE2E78">
          <w:pPr>
            <w:ind w:left="360"/>
            <w:rPr>
              <w:rFonts w:ascii="Cambria" w:hAnsi="Cambria"/>
              <w:sz w:val="20"/>
              <w:szCs w:val="20"/>
            </w:rPr>
          </w:pPr>
          <w:r>
            <w:rPr>
              <w:rFonts w:ascii="Cambria" w:hAnsi="Cambria"/>
              <w:sz w:val="20"/>
              <w:szCs w:val="20"/>
            </w:rPr>
            <w:t xml:space="preserve">3.3.2. </w:t>
          </w:r>
          <w:r w:rsidR="00682299" w:rsidRPr="00223CBF">
            <w:rPr>
              <w:rFonts w:ascii="Cambria" w:hAnsi="Cambria"/>
              <w:sz w:val="20"/>
              <w:szCs w:val="20"/>
            </w:rPr>
            <w:t>Methodology</w:t>
          </w:r>
          <w:r w:rsidR="004A3E6D" w:rsidRPr="00223CBF">
            <w:rPr>
              <w:rFonts w:ascii="Cambria" w:hAnsi="Cambria"/>
              <w:sz w:val="20"/>
              <w:szCs w:val="20"/>
            </w:rPr>
            <w:t>………………………………………………………………………………………………………</w:t>
          </w:r>
          <w:r w:rsidR="00F51133">
            <w:rPr>
              <w:rFonts w:ascii="Cambria" w:hAnsi="Cambria"/>
              <w:sz w:val="20"/>
              <w:szCs w:val="20"/>
            </w:rPr>
            <w:t>…………</w:t>
          </w:r>
          <w:r>
            <w:rPr>
              <w:rFonts w:ascii="Cambria" w:hAnsi="Cambria"/>
              <w:sz w:val="20"/>
              <w:szCs w:val="20"/>
            </w:rPr>
            <w:t>…………..</w:t>
          </w:r>
          <w:r w:rsidR="00F51133">
            <w:rPr>
              <w:rFonts w:ascii="Cambria" w:hAnsi="Cambria"/>
              <w:sz w:val="20"/>
              <w:szCs w:val="20"/>
            </w:rPr>
            <w:t>06</w:t>
          </w:r>
        </w:p>
        <w:p w14:paraId="302EF349" w14:textId="4AD439D0" w:rsidR="00682299" w:rsidRPr="00223CBF" w:rsidRDefault="00DE2E78" w:rsidP="00DE2E78">
          <w:pPr>
            <w:ind w:left="360"/>
            <w:rPr>
              <w:rFonts w:ascii="Cambria" w:hAnsi="Cambria"/>
              <w:sz w:val="20"/>
              <w:szCs w:val="20"/>
            </w:rPr>
          </w:pPr>
          <w:r>
            <w:rPr>
              <w:rFonts w:ascii="Cambria" w:hAnsi="Cambria"/>
              <w:sz w:val="20"/>
              <w:szCs w:val="20"/>
            </w:rPr>
            <w:t xml:space="preserve">3.3.3. </w:t>
          </w:r>
          <w:r w:rsidR="00682299" w:rsidRPr="00223CBF">
            <w:rPr>
              <w:rFonts w:ascii="Cambria" w:hAnsi="Cambria"/>
              <w:sz w:val="20"/>
              <w:szCs w:val="20"/>
            </w:rPr>
            <w:t>Data Collection Tools</w:t>
          </w:r>
          <w:r w:rsidR="004A3E6D" w:rsidRPr="00223CBF">
            <w:rPr>
              <w:rFonts w:ascii="Cambria" w:hAnsi="Cambria"/>
              <w:sz w:val="20"/>
              <w:szCs w:val="20"/>
            </w:rPr>
            <w:t>……………………………………………………………………………………………</w:t>
          </w:r>
          <w:r w:rsidR="00F51133">
            <w:rPr>
              <w:rFonts w:ascii="Cambria" w:hAnsi="Cambria"/>
              <w:sz w:val="20"/>
              <w:szCs w:val="20"/>
            </w:rPr>
            <w:t>……</w:t>
          </w:r>
          <w:r>
            <w:rPr>
              <w:rFonts w:ascii="Cambria" w:hAnsi="Cambria"/>
              <w:sz w:val="20"/>
              <w:szCs w:val="20"/>
            </w:rPr>
            <w:t>…………</w:t>
          </w:r>
          <w:r w:rsidR="00F51133">
            <w:rPr>
              <w:rFonts w:ascii="Cambria" w:hAnsi="Cambria"/>
              <w:sz w:val="20"/>
              <w:szCs w:val="20"/>
            </w:rPr>
            <w:t>……07</w:t>
          </w:r>
        </w:p>
        <w:p w14:paraId="559D290A" w14:textId="46164D8D" w:rsidR="00682299" w:rsidRPr="00223CBF" w:rsidRDefault="00DE2E78" w:rsidP="00DE2E78">
          <w:pPr>
            <w:ind w:left="360"/>
            <w:rPr>
              <w:rFonts w:ascii="Cambria" w:hAnsi="Cambria"/>
              <w:sz w:val="20"/>
              <w:szCs w:val="20"/>
            </w:rPr>
          </w:pPr>
          <w:r>
            <w:rPr>
              <w:rFonts w:ascii="Cambria" w:hAnsi="Cambria"/>
              <w:sz w:val="20"/>
              <w:szCs w:val="20"/>
            </w:rPr>
            <w:t xml:space="preserve">3.3.4. </w:t>
          </w:r>
          <w:r w:rsidR="00682299" w:rsidRPr="00223CBF">
            <w:rPr>
              <w:rFonts w:ascii="Cambria" w:hAnsi="Cambria"/>
              <w:sz w:val="20"/>
              <w:szCs w:val="20"/>
            </w:rPr>
            <w:t>Limitations</w:t>
          </w:r>
          <w:r w:rsidR="004A3E6D" w:rsidRPr="00223CBF">
            <w:rPr>
              <w:rFonts w:ascii="Cambria" w:hAnsi="Cambria"/>
              <w:sz w:val="20"/>
              <w:szCs w:val="20"/>
            </w:rPr>
            <w:t>………………………………</w:t>
          </w:r>
          <w:r>
            <w:rPr>
              <w:rFonts w:ascii="Cambria" w:hAnsi="Cambria"/>
              <w:sz w:val="20"/>
              <w:szCs w:val="20"/>
            </w:rPr>
            <w:t>..</w:t>
          </w:r>
          <w:r w:rsidR="004A3E6D" w:rsidRPr="00223CBF">
            <w:rPr>
              <w:rFonts w:ascii="Cambria" w:hAnsi="Cambria"/>
              <w:sz w:val="20"/>
              <w:szCs w:val="20"/>
            </w:rPr>
            <w:t>………………………………………………………………………</w:t>
          </w:r>
          <w:r w:rsidR="00F51133">
            <w:rPr>
              <w:rFonts w:ascii="Cambria" w:hAnsi="Cambria"/>
              <w:sz w:val="20"/>
              <w:szCs w:val="20"/>
            </w:rPr>
            <w:t>…</w:t>
          </w:r>
          <w:r>
            <w:rPr>
              <w:rFonts w:ascii="Cambria" w:hAnsi="Cambria"/>
              <w:sz w:val="20"/>
              <w:szCs w:val="20"/>
            </w:rPr>
            <w:t>………….</w:t>
          </w:r>
          <w:r w:rsidR="00F51133">
            <w:rPr>
              <w:rFonts w:ascii="Cambria" w:hAnsi="Cambria"/>
              <w:sz w:val="20"/>
              <w:szCs w:val="20"/>
            </w:rPr>
            <w:t>………..07</w:t>
          </w:r>
        </w:p>
        <w:p w14:paraId="445A96CB" w14:textId="44410BD8" w:rsidR="00460038" w:rsidRDefault="00460038" w:rsidP="003147C7">
          <w:pPr>
            <w:rPr>
              <w:rFonts w:ascii="Cambria" w:hAnsi="Cambria"/>
              <w:sz w:val="20"/>
              <w:szCs w:val="20"/>
            </w:rPr>
          </w:pPr>
          <w:r>
            <w:rPr>
              <w:rFonts w:ascii="Cambria" w:hAnsi="Cambria"/>
              <w:sz w:val="20"/>
              <w:szCs w:val="20"/>
            </w:rPr>
            <w:t>4.Country Context and Portfolio Rationale…………………………………………………………………………………………………</w:t>
          </w:r>
          <w:r w:rsidR="003B5402">
            <w:rPr>
              <w:rFonts w:ascii="Cambria" w:hAnsi="Cambria"/>
              <w:sz w:val="20"/>
              <w:szCs w:val="20"/>
            </w:rPr>
            <w:t>09</w:t>
          </w:r>
        </w:p>
        <w:p w14:paraId="1BCBE914" w14:textId="0EFF40BF" w:rsidR="00460038" w:rsidRDefault="00460038" w:rsidP="003147C7">
          <w:pPr>
            <w:rPr>
              <w:rFonts w:ascii="Cambria" w:hAnsi="Cambria"/>
              <w:sz w:val="20"/>
              <w:szCs w:val="20"/>
            </w:rPr>
          </w:pPr>
          <w:r>
            <w:rPr>
              <w:rFonts w:ascii="Cambria" w:hAnsi="Cambria"/>
              <w:sz w:val="20"/>
              <w:szCs w:val="20"/>
            </w:rPr>
            <w:t>4.1. Current Context and Challenges</w:t>
          </w:r>
          <w:r w:rsidR="003B5402">
            <w:rPr>
              <w:rFonts w:ascii="Cambria" w:hAnsi="Cambria"/>
              <w:sz w:val="20"/>
              <w:szCs w:val="20"/>
            </w:rPr>
            <w:t xml:space="preserve"> 2018-2020</w:t>
          </w:r>
          <w:r>
            <w:rPr>
              <w:rFonts w:ascii="Cambria" w:hAnsi="Cambria"/>
              <w:sz w:val="20"/>
              <w:szCs w:val="20"/>
            </w:rPr>
            <w:t>………………………………………………………………………………………</w:t>
          </w:r>
          <w:r w:rsidR="003B5402">
            <w:rPr>
              <w:rFonts w:ascii="Cambria" w:hAnsi="Cambria"/>
              <w:sz w:val="20"/>
              <w:szCs w:val="20"/>
            </w:rPr>
            <w:t>...11</w:t>
          </w:r>
        </w:p>
        <w:p w14:paraId="29EC0F5A" w14:textId="24B87191" w:rsidR="00682299" w:rsidRPr="00223CBF" w:rsidRDefault="00460038" w:rsidP="003147C7">
          <w:pPr>
            <w:rPr>
              <w:rFonts w:ascii="Cambria" w:hAnsi="Cambria"/>
              <w:sz w:val="20"/>
              <w:szCs w:val="20"/>
            </w:rPr>
          </w:pPr>
          <w:r>
            <w:rPr>
              <w:rFonts w:ascii="Cambria" w:hAnsi="Cambria"/>
              <w:sz w:val="20"/>
              <w:szCs w:val="20"/>
            </w:rPr>
            <w:t xml:space="preserve">5. </w:t>
          </w:r>
          <w:r w:rsidR="00682299" w:rsidRPr="00223CBF">
            <w:rPr>
              <w:rFonts w:ascii="Cambria" w:hAnsi="Cambria"/>
              <w:sz w:val="20"/>
              <w:szCs w:val="20"/>
            </w:rPr>
            <w:t>Evaluation against Criteria</w:t>
          </w:r>
          <w:r w:rsidR="004A3E6D" w:rsidRPr="00223CBF">
            <w:rPr>
              <w:rFonts w:ascii="Cambria" w:hAnsi="Cambria"/>
              <w:sz w:val="20"/>
              <w:szCs w:val="20"/>
            </w:rPr>
            <w:t>……………………………………………………………………………………………………</w:t>
          </w:r>
          <w:r>
            <w:rPr>
              <w:rFonts w:ascii="Cambria" w:hAnsi="Cambria"/>
              <w:sz w:val="20"/>
              <w:szCs w:val="20"/>
            </w:rPr>
            <w:t>..</w:t>
          </w:r>
          <w:r w:rsidR="004A3E6D" w:rsidRPr="00223CBF">
            <w:rPr>
              <w:rFonts w:ascii="Cambria" w:hAnsi="Cambria"/>
              <w:sz w:val="20"/>
              <w:szCs w:val="20"/>
            </w:rPr>
            <w:t>…</w:t>
          </w:r>
          <w:r w:rsidR="00F51133">
            <w:rPr>
              <w:rFonts w:ascii="Cambria" w:hAnsi="Cambria"/>
              <w:sz w:val="20"/>
              <w:szCs w:val="20"/>
            </w:rPr>
            <w:t>…………..1</w:t>
          </w:r>
          <w:r w:rsidR="003B5402">
            <w:rPr>
              <w:rFonts w:ascii="Cambria" w:hAnsi="Cambria"/>
              <w:sz w:val="20"/>
              <w:szCs w:val="20"/>
            </w:rPr>
            <w:t>5</w:t>
          </w:r>
        </w:p>
        <w:p w14:paraId="6B99BB7C" w14:textId="640C22FB" w:rsidR="00682299" w:rsidRPr="00223CBF" w:rsidRDefault="00460038" w:rsidP="003147C7">
          <w:pPr>
            <w:rPr>
              <w:rFonts w:ascii="Cambria" w:hAnsi="Cambria"/>
              <w:sz w:val="20"/>
              <w:szCs w:val="20"/>
            </w:rPr>
          </w:pPr>
          <w:r>
            <w:rPr>
              <w:rFonts w:ascii="Cambria" w:hAnsi="Cambria"/>
              <w:sz w:val="20"/>
              <w:szCs w:val="20"/>
            </w:rPr>
            <w:t xml:space="preserve">5.1. </w:t>
          </w:r>
          <w:r w:rsidR="00682299" w:rsidRPr="00223CBF">
            <w:rPr>
              <w:rFonts w:ascii="Cambria" w:hAnsi="Cambria"/>
              <w:sz w:val="20"/>
              <w:szCs w:val="20"/>
            </w:rPr>
            <w:t xml:space="preserve">Pillar One: Parliament and Independent Commissions </w:t>
          </w:r>
          <w:r w:rsidR="004A3E6D" w:rsidRPr="00223CBF">
            <w:rPr>
              <w:rFonts w:ascii="Cambria" w:hAnsi="Cambria"/>
              <w:sz w:val="20"/>
              <w:szCs w:val="20"/>
            </w:rPr>
            <w:t>………………………………………………………</w:t>
          </w:r>
          <w:r w:rsidR="00F51133">
            <w:rPr>
              <w:rFonts w:ascii="Cambria" w:hAnsi="Cambria"/>
              <w:sz w:val="20"/>
              <w:szCs w:val="20"/>
            </w:rPr>
            <w:t>…………</w:t>
          </w:r>
          <w:r>
            <w:rPr>
              <w:rFonts w:ascii="Cambria" w:hAnsi="Cambria"/>
              <w:sz w:val="20"/>
              <w:szCs w:val="20"/>
            </w:rPr>
            <w:t>……..</w:t>
          </w:r>
          <w:r w:rsidR="00F51133">
            <w:rPr>
              <w:rFonts w:ascii="Cambria" w:hAnsi="Cambria"/>
              <w:sz w:val="20"/>
              <w:szCs w:val="20"/>
            </w:rPr>
            <w:t>1</w:t>
          </w:r>
          <w:r w:rsidR="003B5402">
            <w:rPr>
              <w:rFonts w:ascii="Cambria" w:hAnsi="Cambria"/>
              <w:sz w:val="20"/>
              <w:szCs w:val="20"/>
            </w:rPr>
            <w:t>5</w:t>
          </w:r>
        </w:p>
        <w:p w14:paraId="534D13CC" w14:textId="31B29387" w:rsidR="00682299" w:rsidRPr="00223CBF" w:rsidRDefault="00460038" w:rsidP="00460038">
          <w:pPr>
            <w:ind w:left="720"/>
            <w:rPr>
              <w:rFonts w:ascii="Cambria" w:hAnsi="Cambria"/>
              <w:sz w:val="20"/>
              <w:szCs w:val="20"/>
            </w:rPr>
          </w:pPr>
          <w:r>
            <w:rPr>
              <w:rFonts w:ascii="Cambria" w:hAnsi="Cambria"/>
              <w:sz w:val="20"/>
              <w:szCs w:val="20"/>
            </w:rPr>
            <w:t xml:space="preserve">5.1.1. </w:t>
          </w:r>
          <w:r w:rsidR="00682299" w:rsidRPr="00223CBF">
            <w:rPr>
              <w:rFonts w:ascii="Cambria" w:hAnsi="Cambria"/>
              <w:sz w:val="20"/>
              <w:szCs w:val="20"/>
            </w:rPr>
            <w:t>Explanation of Outcome/outputs</w:t>
          </w:r>
          <w:r w:rsidR="004A3E6D" w:rsidRPr="00223CBF">
            <w:rPr>
              <w:rFonts w:ascii="Cambria" w:hAnsi="Cambria"/>
              <w:sz w:val="20"/>
              <w:szCs w:val="20"/>
            </w:rPr>
            <w:t>…………………………………………………………………………</w:t>
          </w:r>
          <w:r w:rsidR="00CB6D02">
            <w:rPr>
              <w:rFonts w:ascii="Cambria" w:hAnsi="Cambria"/>
              <w:sz w:val="20"/>
              <w:szCs w:val="20"/>
            </w:rPr>
            <w:t>…………</w:t>
          </w:r>
          <w:r>
            <w:rPr>
              <w:rFonts w:ascii="Cambria" w:hAnsi="Cambria"/>
              <w:sz w:val="20"/>
              <w:szCs w:val="20"/>
            </w:rPr>
            <w:t>…</w:t>
          </w:r>
          <w:r w:rsidR="003B5402">
            <w:rPr>
              <w:rFonts w:ascii="Cambria" w:hAnsi="Cambria"/>
              <w:sz w:val="20"/>
              <w:szCs w:val="20"/>
            </w:rPr>
            <w:t>…</w:t>
          </w:r>
          <w:r w:rsidR="00CB6D02">
            <w:rPr>
              <w:rFonts w:ascii="Cambria" w:hAnsi="Cambria"/>
              <w:sz w:val="20"/>
              <w:szCs w:val="20"/>
            </w:rPr>
            <w:t>1</w:t>
          </w:r>
          <w:r w:rsidR="003B5402">
            <w:rPr>
              <w:rFonts w:ascii="Cambria" w:hAnsi="Cambria"/>
              <w:sz w:val="20"/>
              <w:szCs w:val="20"/>
            </w:rPr>
            <w:t>5</w:t>
          </w:r>
        </w:p>
        <w:p w14:paraId="252DE28C" w14:textId="60511DEB" w:rsidR="00E078EF" w:rsidRPr="00223CBF" w:rsidRDefault="00682299" w:rsidP="003147C7">
          <w:pPr>
            <w:rPr>
              <w:rFonts w:ascii="Cambria" w:hAnsi="Cambria"/>
              <w:sz w:val="20"/>
              <w:szCs w:val="20"/>
            </w:rPr>
          </w:pPr>
          <w:r w:rsidRPr="00223CBF">
            <w:rPr>
              <w:rFonts w:ascii="Cambria" w:hAnsi="Cambria"/>
              <w:sz w:val="20"/>
              <w:szCs w:val="20"/>
            </w:rPr>
            <w:tab/>
          </w:r>
          <w:r w:rsidRPr="00223CBF">
            <w:rPr>
              <w:rFonts w:ascii="Cambria" w:hAnsi="Cambria"/>
              <w:sz w:val="20"/>
              <w:szCs w:val="20"/>
            </w:rPr>
            <w:tab/>
          </w:r>
          <w:r w:rsidRPr="00223CBF">
            <w:rPr>
              <w:rFonts w:ascii="Cambria" w:hAnsi="Cambria"/>
              <w:sz w:val="20"/>
              <w:szCs w:val="20"/>
            </w:rPr>
            <w:tab/>
            <w:t>Parliament</w:t>
          </w:r>
          <w:r w:rsidR="004A3E6D" w:rsidRPr="00223CBF">
            <w:rPr>
              <w:rFonts w:ascii="Cambria" w:hAnsi="Cambria"/>
              <w:sz w:val="20"/>
              <w:szCs w:val="20"/>
            </w:rPr>
            <w:t>………………………………………………………………………………………………</w:t>
          </w:r>
          <w:r w:rsidR="00CB6D02">
            <w:rPr>
              <w:rFonts w:ascii="Cambria" w:hAnsi="Cambria"/>
              <w:sz w:val="20"/>
              <w:szCs w:val="20"/>
            </w:rPr>
            <w:t>…………1</w:t>
          </w:r>
          <w:r w:rsidR="00E121A5">
            <w:rPr>
              <w:rFonts w:ascii="Cambria" w:hAnsi="Cambria"/>
              <w:sz w:val="20"/>
              <w:szCs w:val="20"/>
            </w:rPr>
            <w:t>7</w:t>
          </w:r>
        </w:p>
        <w:p w14:paraId="06C53EBF" w14:textId="7B26F551" w:rsidR="00682299" w:rsidRPr="00223CBF" w:rsidRDefault="00682299" w:rsidP="003147C7">
          <w:pPr>
            <w:rPr>
              <w:rFonts w:ascii="Cambria" w:hAnsi="Cambria"/>
              <w:sz w:val="20"/>
              <w:szCs w:val="20"/>
            </w:rPr>
          </w:pPr>
          <w:r w:rsidRPr="00223CBF">
            <w:rPr>
              <w:rFonts w:ascii="Cambria" w:hAnsi="Cambria"/>
              <w:sz w:val="20"/>
              <w:szCs w:val="20"/>
            </w:rPr>
            <w:tab/>
          </w:r>
          <w:r w:rsidRPr="00223CBF">
            <w:rPr>
              <w:rFonts w:ascii="Cambria" w:hAnsi="Cambria"/>
              <w:sz w:val="20"/>
              <w:szCs w:val="20"/>
            </w:rPr>
            <w:tab/>
          </w:r>
          <w:r w:rsidRPr="00223CBF">
            <w:rPr>
              <w:rFonts w:ascii="Cambria" w:hAnsi="Cambria"/>
              <w:sz w:val="20"/>
              <w:szCs w:val="20"/>
            </w:rPr>
            <w:tab/>
            <w:t>Independent Commissions</w:t>
          </w:r>
          <w:r w:rsidR="004A3E6D" w:rsidRPr="00223CBF">
            <w:rPr>
              <w:rFonts w:ascii="Cambria" w:hAnsi="Cambria"/>
              <w:sz w:val="20"/>
              <w:szCs w:val="20"/>
            </w:rPr>
            <w:t>…………………………………………………………………………</w:t>
          </w:r>
          <w:r w:rsidR="00CB6D02">
            <w:rPr>
              <w:rFonts w:ascii="Cambria" w:hAnsi="Cambria"/>
              <w:sz w:val="20"/>
              <w:szCs w:val="20"/>
            </w:rPr>
            <w:t>……….</w:t>
          </w:r>
          <w:r w:rsidR="003B5402">
            <w:rPr>
              <w:rFonts w:ascii="Cambria" w:hAnsi="Cambria"/>
              <w:sz w:val="20"/>
              <w:szCs w:val="20"/>
            </w:rPr>
            <w:t>3</w:t>
          </w:r>
          <w:r w:rsidR="005A1817">
            <w:rPr>
              <w:rFonts w:ascii="Cambria" w:hAnsi="Cambria"/>
              <w:sz w:val="20"/>
              <w:szCs w:val="20"/>
            </w:rPr>
            <w:t>0</w:t>
          </w:r>
        </w:p>
        <w:p w14:paraId="35AACC21" w14:textId="014E064A" w:rsidR="00682299" w:rsidRPr="00223CBF" w:rsidRDefault="00682299" w:rsidP="003147C7">
          <w:pPr>
            <w:rPr>
              <w:rFonts w:ascii="Cambria" w:hAnsi="Cambria"/>
              <w:sz w:val="20"/>
              <w:szCs w:val="20"/>
            </w:rPr>
          </w:pPr>
          <w:r w:rsidRPr="00223CBF">
            <w:rPr>
              <w:rFonts w:ascii="Cambria" w:hAnsi="Cambria"/>
              <w:sz w:val="20"/>
              <w:szCs w:val="20"/>
            </w:rPr>
            <w:tab/>
          </w:r>
          <w:r w:rsidRPr="00223CBF">
            <w:rPr>
              <w:rFonts w:ascii="Cambria" w:hAnsi="Cambria"/>
              <w:sz w:val="20"/>
              <w:szCs w:val="20"/>
            </w:rPr>
            <w:tab/>
          </w:r>
        </w:p>
        <w:p w14:paraId="3C936F19" w14:textId="6B1BA6D3" w:rsidR="00682299" w:rsidRPr="00223CBF" w:rsidRDefault="00460038" w:rsidP="003147C7">
          <w:pPr>
            <w:rPr>
              <w:rFonts w:ascii="Cambria" w:hAnsi="Cambria"/>
              <w:sz w:val="20"/>
              <w:szCs w:val="20"/>
            </w:rPr>
          </w:pPr>
          <w:r>
            <w:rPr>
              <w:rFonts w:ascii="Cambria" w:hAnsi="Cambria"/>
              <w:sz w:val="20"/>
              <w:szCs w:val="20"/>
            </w:rPr>
            <w:t xml:space="preserve">5.2. </w:t>
          </w:r>
          <w:r w:rsidR="00682299" w:rsidRPr="00223CBF">
            <w:rPr>
              <w:rFonts w:ascii="Cambria" w:hAnsi="Cambria"/>
              <w:sz w:val="20"/>
              <w:szCs w:val="20"/>
            </w:rPr>
            <w:t xml:space="preserve">Pillar Two: Access to Justice </w:t>
          </w:r>
          <w:r w:rsidR="00CB6D02">
            <w:rPr>
              <w:rFonts w:ascii="Cambria" w:hAnsi="Cambria"/>
              <w:sz w:val="20"/>
              <w:szCs w:val="20"/>
            </w:rPr>
            <w:t>and Rule of Law</w:t>
          </w:r>
          <w:r w:rsidR="004A3E6D" w:rsidRPr="00223CBF">
            <w:rPr>
              <w:rFonts w:ascii="Cambria" w:hAnsi="Cambria"/>
              <w:sz w:val="20"/>
              <w:szCs w:val="20"/>
            </w:rPr>
            <w:t>………………………………………………………………</w:t>
          </w:r>
          <w:r w:rsidR="00CB6D02">
            <w:rPr>
              <w:rFonts w:ascii="Cambria" w:hAnsi="Cambria"/>
              <w:sz w:val="20"/>
              <w:szCs w:val="20"/>
            </w:rPr>
            <w:t>…</w:t>
          </w:r>
          <w:r>
            <w:rPr>
              <w:rFonts w:ascii="Cambria" w:hAnsi="Cambria"/>
              <w:sz w:val="20"/>
              <w:szCs w:val="20"/>
            </w:rPr>
            <w:t>……..</w:t>
          </w:r>
          <w:r w:rsidR="00CB6D02">
            <w:rPr>
              <w:rFonts w:ascii="Cambria" w:hAnsi="Cambria"/>
              <w:sz w:val="20"/>
              <w:szCs w:val="20"/>
            </w:rPr>
            <w:t>……………..4</w:t>
          </w:r>
          <w:r w:rsidR="005A1817">
            <w:rPr>
              <w:rFonts w:ascii="Cambria" w:hAnsi="Cambria"/>
              <w:sz w:val="20"/>
              <w:szCs w:val="20"/>
            </w:rPr>
            <w:t>1</w:t>
          </w:r>
        </w:p>
        <w:p w14:paraId="538072BD" w14:textId="71BC31AF" w:rsidR="00682299" w:rsidRPr="00223CBF" w:rsidRDefault="00460038" w:rsidP="00460038">
          <w:pPr>
            <w:ind w:left="720"/>
            <w:rPr>
              <w:rFonts w:ascii="Cambria" w:hAnsi="Cambria"/>
              <w:sz w:val="20"/>
              <w:szCs w:val="20"/>
            </w:rPr>
          </w:pPr>
          <w:r>
            <w:rPr>
              <w:rFonts w:ascii="Cambria" w:hAnsi="Cambria"/>
              <w:sz w:val="20"/>
              <w:szCs w:val="20"/>
            </w:rPr>
            <w:t xml:space="preserve">5.2.1. </w:t>
          </w:r>
          <w:r w:rsidR="00682299" w:rsidRPr="00223CBF">
            <w:rPr>
              <w:rFonts w:ascii="Cambria" w:hAnsi="Cambria"/>
              <w:sz w:val="20"/>
              <w:szCs w:val="20"/>
            </w:rPr>
            <w:t>Explanation of Outcome/outputs</w:t>
          </w:r>
          <w:r w:rsidR="004A3E6D" w:rsidRPr="00223CBF">
            <w:rPr>
              <w:rFonts w:ascii="Cambria" w:hAnsi="Cambria"/>
              <w:sz w:val="20"/>
              <w:szCs w:val="20"/>
            </w:rPr>
            <w:t>…………………………………………</w:t>
          </w:r>
          <w:r>
            <w:rPr>
              <w:rFonts w:ascii="Cambria" w:hAnsi="Cambria"/>
              <w:sz w:val="20"/>
              <w:szCs w:val="20"/>
            </w:rPr>
            <w:t>……</w:t>
          </w:r>
          <w:r w:rsidR="004A3E6D" w:rsidRPr="00223CBF">
            <w:rPr>
              <w:rFonts w:ascii="Cambria" w:hAnsi="Cambria"/>
              <w:sz w:val="20"/>
              <w:szCs w:val="20"/>
            </w:rPr>
            <w:t>…</w:t>
          </w:r>
          <w:r>
            <w:rPr>
              <w:rFonts w:ascii="Cambria" w:hAnsi="Cambria"/>
              <w:sz w:val="20"/>
              <w:szCs w:val="20"/>
            </w:rPr>
            <w:t>………………….</w:t>
          </w:r>
          <w:r w:rsidR="004A3E6D" w:rsidRPr="00223CBF">
            <w:rPr>
              <w:rFonts w:ascii="Cambria" w:hAnsi="Cambria"/>
              <w:sz w:val="20"/>
              <w:szCs w:val="20"/>
            </w:rPr>
            <w:t>………</w:t>
          </w:r>
          <w:r w:rsidR="00CB6D02">
            <w:rPr>
              <w:rFonts w:ascii="Cambria" w:hAnsi="Cambria"/>
              <w:sz w:val="20"/>
              <w:szCs w:val="20"/>
            </w:rPr>
            <w:t>………….</w:t>
          </w:r>
          <w:r w:rsidR="003B5402">
            <w:rPr>
              <w:rFonts w:ascii="Cambria" w:hAnsi="Cambria"/>
              <w:sz w:val="20"/>
              <w:szCs w:val="20"/>
            </w:rPr>
            <w:t>.</w:t>
          </w:r>
          <w:r w:rsidR="00CB6D02">
            <w:rPr>
              <w:rFonts w:ascii="Cambria" w:hAnsi="Cambria"/>
              <w:sz w:val="20"/>
              <w:szCs w:val="20"/>
            </w:rPr>
            <w:t>4</w:t>
          </w:r>
          <w:r w:rsidR="005A1817">
            <w:rPr>
              <w:rFonts w:ascii="Cambria" w:hAnsi="Cambria"/>
              <w:sz w:val="20"/>
              <w:szCs w:val="20"/>
            </w:rPr>
            <w:t>1</w:t>
          </w:r>
        </w:p>
        <w:p w14:paraId="761CC932" w14:textId="179BE8EF" w:rsidR="00682299" w:rsidRPr="00223CBF" w:rsidRDefault="00682299" w:rsidP="00682299">
          <w:pPr>
            <w:rPr>
              <w:rFonts w:ascii="Cambria" w:hAnsi="Cambria"/>
              <w:sz w:val="20"/>
              <w:szCs w:val="20"/>
            </w:rPr>
          </w:pPr>
          <w:r w:rsidRPr="00223CBF">
            <w:rPr>
              <w:rFonts w:ascii="Cambria" w:hAnsi="Cambria"/>
              <w:sz w:val="20"/>
              <w:szCs w:val="20"/>
            </w:rPr>
            <w:tab/>
          </w:r>
          <w:r w:rsidRPr="00223CBF">
            <w:rPr>
              <w:rFonts w:ascii="Cambria" w:hAnsi="Cambria"/>
              <w:sz w:val="20"/>
              <w:szCs w:val="20"/>
            </w:rPr>
            <w:tab/>
          </w:r>
          <w:r w:rsidR="00460038">
            <w:rPr>
              <w:rFonts w:ascii="Cambria" w:hAnsi="Cambria"/>
              <w:sz w:val="20"/>
              <w:szCs w:val="20"/>
            </w:rPr>
            <w:tab/>
          </w:r>
          <w:r w:rsidRPr="00223CBF">
            <w:rPr>
              <w:rFonts w:ascii="Cambria" w:hAnsi="Cambria"/>
              <w:sz w:val="20"/>
              <w:szCs w:val="20"/>
            </w:rPr>
            <w:t>Rule of Law and Access to Justice</w:t>
          </w:r>
          <w:r w:rsidR="004A3E6D" w:rsidRPr="00223CBF">
            <w:rPr>
              <w:rFonts w:ascii="Cambria" w:hAnsi="Cambria"/>
              <w:sz w:val="20"/>
              <w:szCs w:val="20"/>
            </w:rPr>
            <w:t>…………………………………………………………</w:t>
          </w:r>
          <w:r w:rsidR="00460038">
            <w:rPr>
              <w:rFonts w:ascii="Cambria" w:hAnsi="Cambria"/>
              <w:sz w:val="20"/>
              <w:szCs w:val="20"/>
            </w:rPr>
            <w:t>……</w:t>
          </w:r>
          <w:r w:rsidR="00CB6D02">
            <w:rPr>
              <w:rFonts w:ascii="Cambria" w:hAnsi="Cambria"/>
              <w:sz w:val="20"/>
              <w:szCs w:val="20"/>
            </w:rPr>
            <w:t>……….</w:t>
          </w:r>
          <w:r w:rsidR="003B5402">
            <w:rPr>
              <w:rFonts w:ascii="Cambria" w:hAnsi="Cambria"/>
              <w:sz w:val="20"/>
              <w:szCs w:val="20"/>
            </w:rPr>
            <w:t>.</w:t>
          </w:r>
          <w:r w:rsidR="00CB6D02">
            <w:rPr>
              <w:rFonts w:ascii="Cambria" w:hAnsi="Cambria"/>
              <w:sz w:val="20"/>
              <w:szCs w:val="20"/>
            </w:rPr>
            <w:t>4</w:t>
          </w:r>
          <w:r w:rsidR="005A1817">
            <w:rPr>
              <w:rFonts w:ascii="Cambria" w:hAnsi="Cambria"/>
              <w:sz w:val="20"/>
              <w:szCs w:val="20"/>
            </w:rPr>
            <w:t>2</w:t>
          </w:r>
        </w:p>
        <w:p w14:paraId="433D7646" w14:textId="6F2BE7A9" w:rsidR="00682299" w:rsidRPr="00223CBF" w:rsidRDefault="00682299" w:rsidP="00460038">
          <w:pPr>
            <w:rPr>
              <w:rFonts w:ascii="Cambria" w:hAnsi="Cambria"/>
              <w:sz w:val="20"/>
              <w:szCs w:val="20"/>
            </w:rPr>
          </w:pPr>
          <w:r w:rsidRPr="00223CBF">
            <w:rPr>
              <w:rFonts w:ascii="Cambria" w:hAnsi="Cambria"/>
              <w:sz w:val="20"/>
              <w:szCs w:val="20"/>
            </w:rPr>
            <w:tab/>
          </w:r>
          <w:r w:rsidR="00460038">
            <w:rPr>
              <w:rFonts w:ascii="Cambria" w:hAnsi="Cambria"/>
              <w:sz w:val="20"/>
              <w:szCs w:val="20"/>
            </w:rPr>
            <w:tab/>
          </w:r>
          <w:r w:rsidR="00460038">
            <w:rPr>
              <w:rFonts w:ascii="Cambria" w:hAnsi="Cambria"/>
              <w:sz w:val="20"/>
              <w:szCs w:val="20"/>
            </w:rPr>
            <w:tab/>
          </w:r>
          <w:r w:rsidRPr="00223CBF">
            <w:rPr>
              <w:rFonts w:ascii="Cambria" w:hAnsi="Cambria"/>
              <w:sz w:val="20"/>
              <w:szCs w:val="20"/>
            </w:rPr>
            <w:t>Business and Human Rights</w:t>
          </w:r>
          <w:r w:rsidR="004A3E6D" w:rsidRPr="00223CBF">
            <w:rPr>
              <w:rFonts w:ascii="Cambria" w:hAnsi="Cambria"/>
              <w:sz w:val="20"/>
              <w:szCs w:val="20"/>
            </w:rPr>
            <w:t>……………………………………………………………</w:t>
          </w:r>
          <w:r w:rsidR="00460038">
            <w:rPr>
              <w:rFonts w:ascii="Cambria" w:hAnsi="Cambria"/>
              <w:sz w:val="20"/>
              <w:szCs w:val="20"/>
            </w:rPr>
            <w:t>…….</w:t>
          </w:r>
          <w:r w:rsidR="00CB6D02">
            <w:rPr>
              <w:rFonts w:ascii="Cambria" w:hAnsi="Cambria"/>
              <w:sz w:val="20"/>
              <w:szCs w:val="20"/>
            </w:rPr>
            <w:t>……………</w:t>
          </w:r>
          <w:r w:rsidR="007C79D6">
            <w:rPr>
              <w:rFonts w:ascii="Cambria" w:hAnsi="Cambria"/>
              <w:sz w:val="20"/>
              <w:szCs w:val="20"/>
            </w:rPr>
            <w:t>.</w:t>
          </w:r>
          <w:r w:rsidR="00CB6D02">
            <w:rPr>
              <w:rFonts w:ascii="Cambria" w:hAnsi="Cambria"/>
              <w:sz w:val="20"/>
              <w:szCs w:val="20"/>
            </w:rPr>
            <w:t>6</w:t>
          </w:r>
          <w:r w:rsidR="005A1817">
            <w:rPr>
              <w:rFonts w:ascii="Cambria" w:hAnsi="Cambria"/>
              <w:sz w:val="20"/>
              <w:szCs w:val="20"/>
            </w:rPr>
            <w:t>1</w:t>
          </w:r>
        </w:p>
        <w:p w14:paraId="508EA157" w14:textId="352B9C55" w:rsidR="00682299" w:rsidRPr="00223CBF" w:rsidRDefault="00E76716" w:rsidP="00E76716">
          <w:pPr>
            <w:rPr>
              <w:rFonts w:ascii="Cambria" w:hAnsi="Cambria"/>
              <w:sz w:val="20"/>
              <w:szCs w:val="20"/>
            </w:rPr>
          </w:pPr>
          <w:r>
            <w:rPr>
              <w:rFonts w:ascii="Cambria" w:hAnsi="Cambria"/>
              <w:sz w:val="20"/>
              <w:szCs w:val="20"/>
            </w:rPr>
            <w:t xml:space="preserve">6. </w:t>
          </w:r>
          <w:r w:rsidR="00682299" w:rsidRPr="00223CBF">
            <w:rPr>
              <w:rFonts w:ascii="Cambria" w:hAnsi="Cambria"/>
              <w:sz w:val="20"/>
              <w:szCs w:val="20"/>
            </w:rPr>
            <w:t>Management and Monitoring</w:t>
          </w:r>
          <w:r w:rsidR="004A3E6D" w:rsidRPr="00223CBF">
            <w:rPr>
              <w:rFonts w:ascii="Cambria" w:hAnsi="Cambria"/>
              <w:sz w:val="20"/>
              <w:szCs w:val="20"/>
            </w:rPr>
            <w:t>………………………………………………………………………………</w:t>
          </w:r>
          <w:r w:rsidR="00CB6D02">
            <w:rPr>
              <w:rFonts w:ascii="Cambria" w:hAnsi="Cambria"/>
              <w:sz w:val="20"/>
              <w:szCs w:val="20"/>
            </w:rPr>
            <w:t>…………</w:t>
          </w:r>
          <w:r>
            <w:rPr>
              <w:rFonts w:ascii="Cambria" w:hAnsi="Cambria"/>
              <w:sz w:val="20"/>
              <w:szCs w:val="20"/>
            </w:rPr>
            <w:t>…………………….</w:t>
          </w:r>
          <w:r w:rsidR="00CB6D02">
            <w:rPr>
              <w:rFonts w:ascii="Cambria" w:hAnsi="Cambria"/>
              <w:sz w:val="20"/>
              <w:szCs w:val="20"/>
            </w:rPr>
            <w:t>..6</w:t>
          </w:r>
          <w:r w:rsidR="005A1817">
            <w:rPr>
              <w:rFonts w:ascii="Cambria" w:hAnsi="Cambria"/>
              <w:sz w:val="20"/>
              <w:szCs w:val="20"/>
            </w:rPr>
            <w:t>6</w:t>
          </w:r>
        </w:p>
        <w:p w14:paraId="376AAB55" w14:textId="1C3449A1" w:rsidR="00682299" w:rsidRPr="00223CBF" w:rsidRDefault="00E76716" w:rsidP="00E76716">
          <w:pPr>
            <w:rPr>
              <w:rFonts w:ascii="Cambria" w:hAnsi="Cambria"/>
              <w:sz w:val="20"/>
              <w:szCs w:val="20"/>
            </w:rPr>
          </w:pPr>
          <w:r>
            <w:rPr>
              <w:rFonts w:ascii="Cambria" w:hAnsi="Cambria"/>
              <w:sz w:val="20"/>
              <w:szCs w:val="20"/>
            </w:rPr>
            <w:t xml:space="preserve">6.1. </w:t>
          </w:r>
          <w:r w:rsidR="00E078EF" w:rsidRPr="00223CBF">
            <w:rPr>
              <w:rFonts w:ascii="Cambria" w:hAnsi="Cambria"/>
              <w:sz w:val="20"/>
              <w:szCs w:val="20"/>
            </w:rPr>
            <w:t>Resource Mobilisation and Allocation</w:t>
          </w:r>
          <w:r w:rsidR="004A3E6D" w:rsidRPr="00223CBF">
            <w:rPr>
              <w:rFonts w:ascii="Cambria" w:hAnsi="Cambria"/>
              <w:sz w:val="20"/>
              <w:szCs w:val="20"/>
            </w:rPr>
            <w:t>………………………………………………………</w:t>
          </w:r>
          <w:r>
            <w:rPr>
              <w:rFonts w:ascii="Cambria" w:hAnsi="Cambria"/>
              <w:sz w:val="20"/>
              <w:szCs w:val="20"/>
            </w:rPr>
            <w:t>………………….</w:t>
          </w:r>
          <w:r w:rsidR="004A3E6D" w:rsidRPr="00223CBF">
            <w:rPr>
              <w:rFonts w:ascii="Cambria" w:hAnsi="Cambria"/>
              <w:sz w:val="20"/>
              <w:szCs w:val="20"/>
            </w:rPr>
            <w:t>…………</w:t>
          </w:r>
          <w:r w:rsidR="00CB6D02">
            <w:rPr>
              <w:rFonts w:ascii="Cambria" w:hAnsi="Cambria"/>
              <w:sz w:val="20"/>
              <w:szCs w:val="20"/>
            </w:rPr>
            <w:t>……………</w:t>
          </w:r>
          <w:r w:rsidR="005A1817">
            <w:rPr>
              <w:rFonts w:ascii="Cambria" w:hAnsi="Cambria"/>
              <w:sz w:val="20"/>
              <w:szCs w:val="20"/>
            </w:rPr>
            <w:t>68</w:t>
          </w:r>
        </w:p>
        <w:p w14:paraId="55609197" w14:textId="280168EF" w:rsidR="00E078EF" w:rsidRPr="00223CBF" w:rsidRDefault="00E76716" w:rsidP="00E078EF">
          <w:pPr>
            <w:rPr>
              <w:rFonts w:ascii="Cambria" w:hAnsi="Cambria"/>
              <w:sz w:val="20"/>
              <w:szCs w:val="20"/>
            </w:rPr>
          </w:pPr>
          <w:r>
            <w:rPr>
              <w:rFonts w:ascii="Cambria" w:hAnsi="Cambria"/>
              <w:sz w:val="20"/>
              <w:szCs w:val="20"/>
            </w:rPr>
            <w:t xml:space="preserve">7. </w:t>
          </w:r>
          <w:r w:rsidR="00E078EF" w:rsidRPr="00223CBF">
            <w:rPr>
              <w:rFonts w:ascii="Cambria" w:hAnsi="Cambria"/>
              <w:sz w:val="20"/>
              <w:szCs w:val="20"/>
            </w:rPr>
            <w:t>Cross-cutting issues and the Portfolios</w:t>
          </w:r>
          <w:r w:rsidR="004A3E6D" w:rsidRPr="00223CBF">
            <w:rPr>
              <w:rFonts w:ascii="Cambria" w:hAnsi="Cambria"/>
              <w:sz w:val="20"/>
              <w:szCs w:val="20"/>
            </w:rPr>
            <w:t>………………………………………………………</w:t>
          </w:r>
          <w:r>
            <w:rPr>
              <w:rFonts w:ascii="Cambria" w:hAnsi="Cambria"/>
              <w:sz w:val="20"/>
              <w:szCs w:val="20"/>
            </w:rPr>
            <w:t>…..</w:t>
          </w:r>
          <w:r w:rsidR="004A3E6D" w:rsidRPr="00223CBF">
            <w:rPr>
              <w:rFonts w:ascii="Cambria" w:hAnsi="Cambria"/>
              <w:sz w:val="20"/>
              <w:szCs w:val="20"/>
            </w:rPr>
            <w:t>………………………</w:t>
          </w:r>
          <w:r w:rsidR="00CB6D02">
            <w:rPr>
              <w:rFonts w:ascii="Cambria" w:hAnsi="Cambria"/>
              <w:sz w:val="20"/>
              <w:szCs w:val="20"/>
            </w:rPr>
            <w:t>………………</w:t>
          </w:r>
          <w:r w:rsidR="007C79D6">
            <w:rPr>
              <w:rFonts w:ascii="Cambria" w:hAnsi="Cambria"/>
              <w:sz w:val="20"/>
              <w:szCs w:val="20"/>
            </w:rPr>
            <w:t>7</w:t>
          </w:r>
          <w:r w:rsidR="005A1817">
            <w:rPr>
              <w:rFonts w:ascii="Cambria" w:hAnsi="Cambria"/>
              <w:sz w:val="20"/>
              <w:szCs w:val="20"/>
            </w:rPr>
            <w:t>0</w:t>
          </w:r>
        </w:p>
        <w:p w14:paraId="73D0F869" w14:textId="3E32499B" w:rsidR="00E078EF" w:rsidRPr="00223CBF" w:rsidRDefault="00A45928" w:rsidP="00E078EF">
          <w:pPr>
            <w:ind w:firstLine="720"/>
            <w:rPr>
              <w:rFonts w:ascii="Cambria" w:hAnsi="Cambria"/>
              <w:sz w:val="20"/>
              <w:szCs w:val="20"/>
            </w:rPr>
          </w:pPr>
          <w:r>
            <w:rPr>
              <w:rFonts w:ascii="Cambria" w:hAnsi="Cambria"/>
              <w:sz w:val="20"/>
              <w:szCs w:val="20"/>
            </w:rPr>
            <w:t xml:space="preserve">7.1. </w:t>
          </w:r>
          <w:r w:rsidR="00E078EF" w:rsidRPr="00223CBF">
            <w:rPr>
              <w:rFonts w:ascii="Cambria" w:hAnsi="Cambria"/>
              <w:sz w:val="20"/>
              <w:szCs w:val="20"/>
            </w:rPr>
            <w:t>Gender Equality and Women’s Empowerment</w:t>
          </w:r>
          <w:r w:rsidR="004A3E6D" w:rsidRPr="00223CBF">
            <w:rPr>
              <w:rFonts w:ascii="Cambria" w:hAnsi="Cambria"/>
              <w:sz w:val="20"/>
              <w:szCs w:val="20"/>
            </w:rPr>
            <w:t>………………………………………………………………</w:t>
          </w:r>
          <w:r w:rsidR="00CB6D02">
            <w:rPr>
              <w:rFonts w:ascii="Cambria" w:hAnsi="Cambria"/>
              <w:sz w:val="20"/>
              <w:szCs w:val="20"/>
            </w:rPr>
            <w:t>………</w:t>
          </w:r>
          <w:r w:rsidR="00A71C3C">
            <w:rPr>
              <w:rFonts w:ascii="Cambria" w:hAnsi="Cambria"/>
              <w:sz w:val="20"/>
              <w:szCs w:val="20"/>
            </w:rPr>
            <w:t>..</w:t>
          </w:r>
          <w:r w:rsidR="007C79D6">
            <w:rPr>
              <w:rFonts w:ascii="Cambria" w:hAnsi="Cambria"/>
              <w:sz w:val="20"/>
              <w:szCs w:val="20"/>
            </w:rPr>
            <w:t>7</w:t>
          </w:r>
          <w:r w:rsidR="005A1817">
            <w:rPr>
              <w:rFonts w:ascii="Cambria" w:hAnsi="Cambria"/>
              <w:sz w:val="20"/>
              <w:szCs w:val="20"/>
            </w:rPr>
            <w:t>0</w:t>
          </w:r>
        </w:p>
        <w:p w14:paraId="25A95C22" w14:textId="3D10694A" w:rsidR="00E078EF" w:rsidRPr="00223CBF" w:rsidRDefault="00A45928" w:rsidP="00E078EF">
          <w:pPr>
            <w:ind w:firstLine="720"/>
            <w:rPr>
              <w:rFonts w:ascii="Cambria" w:hAnsi="Cambria"/>
              <w:sz w:val="20"/>
              <w:szCs w:val="20"/>
            </w:rPr>
          </w:pPr>
          <w:r>
            <w:rPr>
              <w:rFonts w:ascii="Cambria" w:hAnsi="Cambria"/>
              <w:sz w:val="20"/>
              <w:szCs w:val="20"/>
            </w:rPr>
            <w:t>7.</w:t>
          </w:r>
          <w:r w:rsidR="00E121A5">
            <w:rPr>
              <w:rFonts w:ascii="Cambria" w:hAnsi="Cambria"/>
              <w:sz w:val="20"/>
              <w:szCs w:val="20"/>
            </w:rPr>
            <w:t>2</w:t>
          </w:r>
          <w:r>
            <w:rPr>
              <w:rFonts w:ascii="Cambria" w:hAnsi="Cambria"/>
              <w:sz w:val="20"/>
              <w:szCs w:val="20"/>
            </w:rPr>
            <w:t xml:space="preserve">. </w:t>
          </w:r>
          <w:r w:rsidR="00E078EF" w:rsidRPr="00223CBF">
            <w:rPr>
              <w:rFonts w:ascii="Cambria" w:hAnsi="Cambria"/>
              <w:sz w:val="20"/>
              <w:szCs w:val="20"/>
            </w:rPr>
            <w:t xml:space="preserve">Human Rights Based Approach </w:t>
          </w:r>
          <w:r w:rsidR="007C79D6">
            <w:rPr>
              <w:rFonts w:ascii="Cambria" w:hAnsi="Cambria"/>
              <w:sz w:val="20"/>
              <w:szCs w:val="20"/>
            </w:rPr>
            <w:t>…………………………………………………………………………………………….7</w:t>
          </w:r>
          <w:r w:rsidR="005A1817">
            <w:rPr>
              <w:rFonts w:ascii="Cambria" w:hAnsi="Cambria"/>
              <w:sz w:val="20"/>
              <w:szCs w:val="20"/>
            </w:rPr>
            <w:t>1</w:t>
          </w:r>
        </w:p>
        <w:p w14:paraId="2110180F" w14:textId="669D2EFB" w:rsidR="00E078EF" w:rsidRPr="00223CBF" w:rsidRDefault="00A45928" w:rsidP="00E078EF">
          <w:pPr>
            <w:ind w:firstLine="720"/>
            <w:rPr>
              <w:rFonts w:ascii="Cambria" w:hAnsi="Cambria"/>
              <w:sz w:val="20"/>
              <w:szCs w:val="20"/>
            </w:rPr>
          </w:pPr>
          <w:r>
            <w:rPr>
              <w:rFonts w:ascii="Cambria" w:hAnsi="Cambria"/>
              <w:sz w:val="20"/>
              <w:szCs w:val="20"/>
            </w:rPr>
            <w:t>7.</w:t>
          </w:r>
          <w:r w:rsidR="00E121A5">
            <w:rPr>
              <w:rFonts w:ascii="Cambria" w:hAnsi="Cambria"/>
              <w:sz w:val="20"/>
              <w:szCs w:val="20"/>
            </w:rPr>
            <w:t>3</w:t>
          </w:r>
          <w:r>
            <w:rPr>
              <w:rFonts w:ascii="Cambria" w:hAnsi="Cambria"/>
              <w:sz w:val="20"/>
              <w:szCs w:val="20"/>
            </w:rPr>
            <w:t xml:space="preserve">. </w:t>
          </w:r>
          <w:r w:rsidR="00E078EF" w:rsidRPr="00223CBF">
            <w:rPr>
              <w:rFonts w:ascii="Cambria" w:hAnsi="Cambria"/>
              <w:sz w:val="20"/>
              <w:szCs w:val="20"/>
            </w:rPr>
            <w:t>Innovation</w:t>
          </w:r>
          <w:r w:rsidR="007C79D6">
            <w:rPr>
              <w:rFonts w:ascii="Cambria" w:hAnsi="Cambria"/>
              <w:sz w:val="20"/>
              <w:szCs w:val="20"/>
            </w:rPr>
            <w:t>…………………………………………………………………………………………………………………………….7</w:t>
          </w:r>
          <w:r w:rsidR="005A1817">
            <w:rPr>
              <w:rFonts w:ascii="Cambria" w:hAnsi="Cambria"/>
              <w:sz w:val="20"/>
              <w:szCs w:val="20"/>
            </w:rPr>
            <w:t>1</w:t>
          </w:r>
        </w:p>
        <w:p w14:paraId="37079494" w14:textId="6BADAB58" w:rsidR="00E078EF" w:rsidRDefault="00A45928" w:rsidP="00E078EF">
          <w:pPr>
            <w:ind w:firstLine="720"/>
            <w:rPr>
              <w:rFonts w:ascii="Cambria" w:hAnsi="Cambria"/>
              <w:sz w:val="20"/>
              <w:szCs w:val="20"/>
            </w:rPr>
          </w:pPr>
          <w:r>
            <w:rPr>
              <w:rFonts w:ascii="Cambria" w:hAnsi="Cambria"/>
              <w:sz w:val="20"/>
              <w:szCs w:val="20"/>
            </w:rPr>
            <w:t>7.</w:t>
          </w:r>
          <w:r w:rsidR="00E121A5">
            <w:rPr>
              <w:rFonts w:ascii="Cambria" w:hAnsi="Cambria"/>
              <w:sz w:val="20"/>
              <w:szCs w:val="20"/>
            </w:rPr>
            <w:t>4</w:t>
          </w:r>
          <w:r>
            <w:rPr>
              <w:rFonts w:ascii="Cambria" w:hAnsi="Cambria"/>
              <w:sz w:val="20"/>
              <w:szCs w:val="20"/>
            </w:rPr>
            <w:t xml:space="preserve">. </w:t>
          </w:r>
          <w:r w:rsidR="00E078EF" w:rsidRPr="00223CBF">
            <w:rPr>
              <w:rFonts w:ascii="Cambria" w:hAnsi="Cambria"/>
              <w:sz w:val="20"/>
              <w:szCs w:val="20"/>
            </w:rPr>
            <w:t>Capacity Development</w:t>
          </w:r>
          <w:r w:rsidR="004A3E6D" w:rsidRPr="00223CBF">
            <w:rPr>
              <w:rFonts w:ascii="Cambria" w:hAnsi="Cambria"/>
              <w:sz w:val="20"/>
              <w:szCs w:val="20"/>
            </w:rPr>
            <w:t>……………………………………………………………………………………………</w:t>
          </w:r>
          <w:r w:rsidR="00CB6D02">
            <w:rPr>
              <w:rFonts w:ascii="Cambria" w:hAnsi="Cambria"/>
              <w:sz w:val="20"/>
              <w:szCs w:val="20"/>
            </w:rPr>
            <w:t>………</w:t>
          </w:r>
          <w:r>
            <w:rPr>
              <w:rFonts w:ascii="Cambria" w:hAnsi="Cambria"/>
              <w:sz w:val="20"/>
              <w:szCs w:val="20"/>
            </w:rPr>
            <w:t>...</w:t>
          </w:r>
          <w:r w:rsidR="00CB6D02">
            <w:rPr>
              <w:rFonts w:ascii="Cambria" w:hAnsi="Cambria"/>
              <w:sz w:val="20"/>
              <w:szCs w:val="20"/>
            </w:rPr>
            <w:t>……7</w:t>
          </w:r>
          <w:r w:rsidR="005A1817">
            <w:rPr>
              <w:rFonts w:ascii="Cambria" w:hAnsi="Cambria"/>
              <w:sz w:val="20"/>
              <w:szCs w:val="20"/>
            </w:rPr>
            <w:t>2</w:t>
          </w:r>
        </w:p>
        <w:p w14:paraId="69466E72" w14:textId="2D5FA799" w:rsidR="00A45928" w:rsidRDefault="00A45928" w:rsidP="00A45928">
          <w:pPr>
            <w:rPr>
              <w:rFonts w:ascii="Cambria" w:hAnsi="Cambria"/>
              <w:sz w:val="20"/>
              <w:szCs w:val="20"/>
            </w:rPr>
          </w:pPr>
          <w:r>
            <w:rPr>
              <w:rFonts w:ascii="Cambria" w:hAnsi="Cambria"/>
              <w:sz w:val="20"/>
              <w:szCs w:val="20"/>
            </w:rPr>
            <w:t>8. Conclusions and Recommendations………………………………………………………………………………………………………</w:t>
          </w:r>
          <w:r w:rsidR="007C79D6">
            <w:rPr>
              <w:rFonts w:ascii="Cambria" w:hAnsi="Cambria"/>
              <w:sz w:val="20"/>
              <w:szCs w:val="20"/>
            </w:rPr>
            <w:t>7</w:t>
          </w:r>
          <w:r w:rsidR="005A1817">
            <w:rPr>
              <w:rFonts w:ascii="Cambria" w:hAnsi="Cambria"/>
              <w:sz w:val="20"/>
              <w:szCs w:val="20"/>
            </w:rPr>
            <w:t>3</w:t>
          </w:r>
        </w:p>
        <w:p w14:paraId="32B130C7" w14:textId="22CDD27E" w:rsidR="00A45928" w:rsidRDefault="00A45928" w:rsidP="00A45928">
          <w:pPr>
            <w:rPr>
              <w:rFonts w:ascii="Cambria" w:hAnsi="Cambria"/>
              <w:sz w:val="20"/>
              <w:szCs w:val="20"/>
            </w:rPr>
          </w:pPr>
          <w:r>
            <w:rPr>
              <w:rFonts w:ascii="Cambria" w:hAnsi="Cambria"/>
              <w:sz w:val="20"/>
              <w:szCs w:val="20"/>
            </w:rPr>
            <w:t xml:space="preserve">8.1. </w:t>
          </w:r>
          <w:r w:rsidR="00266DC0">
            <w:rPr>
              <w:rFonts w:ascii="Cambria" w:hAnsi="Cambria"/>
              <w:sz w:val="20"/>
              <w:szCs w:val="20"/>
            </w:rPr>
            <w:t xml:space="preserve">Subject Specific </w:t>
          </w:r>
          <w:r>
            <w:rPr>
              <w:rFonts w:ascii="Cambria" w:hAnsi="Cambria"/>
              <w:sz w:val="20"/>
              <w:szCs w:val="20"/>
            </w:rPr>
            <w:t xml:space="preserve">Conclusions </w:t>
          </w:r>
          <w:r w:rsidR="005A1817">
            <w:rPr>
              <w:rFonts w:ascii="Cambria" w:hAnsi="Cambria"/>
              <w:sz w:val="20"/>
              <w:szCs w:val="20"/>
            </w:rPr>
            <w:t>……………………………</w:t>
          </w:r>
          <w:r>
            <w:rPr>
              <w:rFonts w:ascii="Cambria" w:hAnsi="Cambria"/>
              <w:sz w:val="20"/>
              <w:szCs w:val="20"/>
            </w:rPr>
            <w:t>…………………………………</w:t>
          </w:r>
          <w:r w:rsidR="007C79D6">
            <w:rPr>
              <w:rFonts w:ascii="Cambria" w:hAnsi="Cambria"/>
              <w:sz w:val="20"/>
              <w:szCs w:val="20"/>
            </w:rPr>
            <w:t>...</w:t>
          </w:r>
          <w:r w:rsidR="00E121A5">
            <w:rPr>
              <w:rFonts w:ascii="Cambria" w:hAnsi="Cambria"/>
              <w:sz w:val="20"/>
              <w:szCs w:val="20"/>
            </w:rPr>
            <w:t>...............................................................</w:t>
          </w:r>
          <w:r w:rsidR="007C79D6">
            <w:rPr>
              <w:rFonts w:ascii="Cambria" w:hAnsi="Cambria"/>
              <w:sz w:val="20"/>
              <w:szCs w:val="20"/>
            </w:rPr>
            <w:t>7</w:t>
          </w:r>
          <w:r w:rsidR="005A1817">
            <w:rPr>
              <w:rFonts w:ascii="Cambria" w:hAnsi="Cambria"/>
              <w:sz w:val="20"/>
              <w:szCs w:val="20"/>
            </w:rPr>
            <w:t>3</w:t>
          </w:r>
        </w:p>
        <w:p w14:paraId="4D10F0B5" w14:textId="45D4DFB6" w:rsidR="005A1817" w:rsidRDefault="005A1817" w:rsidP="00A45928">
          <w:pPr>
            <w:rPr>
              <w:rFonts w:ascii="Cambria" w:hAnsi="Cambria"/>
              <w:sz w:val="20"/>
              <w:szCs w:val="20"/>
            </w:rPr>
          </w:pPr>
          <w:r>
            <w:rPr>
              <w:rFonts w:ascii="Cambria" w:hAnsi="Cambria"/>
              <w:sz w:val="20"/>
              <w:szCs w:val="20"/>
            </w:rPr>
            <w:t>8.2. Subject Specific Recommendations……………………………………………………………………………………………………..77</w:t>
          </w:r>
        </w:p>
        <w:p w14:paraId="2A858B9B" w14:textId="60F3935C" w:rsidR="00A45928" w:rsidRDefault="00A45928" w:rsidP="00A45928">
          <w:pPr>
            <w:rPr>
              <w:rFonts w:ascii="Cambria" w:hAnsi="Cambria"/>
              <w:sz w:val="20"/>
              <w:szCs w:val="20"/>
            </w:rPr>
          </w:pPr>
          <w:r>
            <w:rPr>
              <w:rFonts w:ascii="Cambria" w:hAnsi="Cambria"/>
              <w:sz w:val="20"/>
              <w:szCs w:val="20"/>
            </w:rPr>
            <w:lastRenderedPageBreak/>
            <w:t>8.</w:t>
          </w:r>
          <w:r w:rsidR="005A1817">
            <w:rPr>
              <w:rFonts w:ascii="Cambria" w:hAnsi="Cambria"/>
              <w:sz w:val="20"/>
              <w:szCs w:val="20"/>
            </w:rPr>
            <w:t>3</w:t>
          </w:r>
          <w:r>
            <w:rPr>
              <w:rFonts w:ascii="Cambria" w:hAnsi="Cambria"/>
              <w:sz w:val="20"/>
              <w:szCs w:val="20"/>
            </w:rPr>
            <w:t>. General Conclusions and recommendations………………………………………………………………………………………</w:t>
          </w:r>
          <w:r w:rsidR="007C79D6">
            <w:rPr>
              <w:rFonts w:ascii="Cambria" w:hAnsi="Cambria"/>
              <w:sz w:val="20"/>
              <w:szCs w:val="20"/>
            </w:rPr>
            <w:t>..</w:t>
          </w:r>
          <w:r w:rsidR="00B7167F">
            <w:rPr>
              <w:rFonts w:ascii="Cambria" w:hAnsi="Cambria"/>
              <w:sz w:val="20"/>
              <w:szCs w:val="20"/>
            </w:rPr>
            <w:t>.</w:t>
          </w:r>
          <w:r w:rsidR="007C79D6">
            <w:rPr>
              <w:rFonts w:ascii="Cambria" w:hAnsi="Cambria"/>
              <w:sz w:val="20"/>
              <w:szCs w:val="20"/>
            </w:rPr>
            <w:t>8</w:t>
          </w:r>
          <w:r w:rsidR="005A1817">
            <w:rPr>
              <w:rFonts w:ascii="Cambria" w:hAnsi="Cambria"/>
              <w:sz w:val="20"/>
              <w:szCs w:val="20"/>
            </w:rPr>
            <w:t>4</w:t>
          </w:r>
        </w:p>
        <w:p w14:paraId="7B691E7D" w14:textId="7785A0AE" w:rsidR="005A1817" w:rsidRDefault="005A1817" w:rsidP="00A45928">
          <w:pPr>
            <w:rPr>
              <w:rFonts w:ascii="Cambria" w:hAnsi="Cambria"/>
              <w:sz w:val="20"/>
              <w:szCs w:val="20"/>
            </w:rPr>
          </w:pPr>
          <w:r>
            <w:rPr>
              <w:rFonts w:ascii="Cambria" w:hAnsi="Cambria"/>
              <w:sz w:val="20"/>
              <w:szCs w:val="20"/>
            </w:rPr>
            <w:t>9. Lessons Learned …………………………………………………………………………………………………………………………………..94</w:t>
          </w:r>
        </w:p>
        <w:p w14:paraId="71FB17A5" w14:textId="77777777" w:rsidR="00A45928" w:rsidRDefault="00A45928" w:rsidP="00A45928">
          <w:pPr>
            <w:rPr>
              <w:rFonts w:ascii="Cambria" w:hAnsi="Cambria"/>
              <w:sz w:val="20"/>
              <w:szCs w:val="20"/>
            </w:rPr>
          </w:pPr>
        </w:p>
        <w:p w14:paraId="090A88D8" w14:textId="23734389" w:rsidR="00BD657A" w:rsidRPr="00223CBF" w:rsidRDefault="00BD657A" w:rsidP="00A45928">
          <w:pPr>
            <w:rPr>
              <w:rFonts w:ascii="Cambria" w:hAnsi="Cambria"/>
              <w:sz w:val="20"/>
              <w:szCs w:val="20"/>
            </w:rPr>
          </w:pPr>
          <w:r w:rsidRPr="00004A58">
            <w:rPr>
              <w:rFonts w:ascii="Cambria" w:hAnsi="Cambria"/>
              <w:b/>
              <w:bCs/>
              <w:sz w:val="20"/>
              <w:szCs w:val="20"/>
            </w:rPr>
            <w:t>Annexes</w:t>
          </w:r>
          <w:r>
            <w:rPr>
              <w:rFonts w:ascii="Cambria" w:hAnsi="Cambria"/>
              <w:sz w:val="20"/>
              <w:szCs w:val="20"/>
            </w:rPr>
            <w:t>………………………………………………………………………………………………………………………………………</w:t>
          </w:r>
          <w:r w:rsidR="00A45928">
            <w:rPr>
              <w:rFonts w:ascii="Cambria" w:hAnsi="Cambria"/>
              <w:sz w:val="20"/>
              <w:szCs w:val="20"/>
            </w:rPr>
            <w:t>…………</w:t>
          </w:r>
          <w:r w:rsidR="007C79D6">
            <w:rPr>
              <w:rFonts w:ascii="Cambria" w:hAnsi="Cambria"/>
              <w:sz w:val="20"/>
              <w:szCs w:val="20"/>
            </w:rPr>
            <w:t>.</w:t>
          </w:r>
          <w:r w:rsidR="00B7167F">
            <w:rPr>
              <w:rFonts w:ascii="Cambria" w:hAnsi="Cambria"/>
              <w:sz w:val="20"/>
              <w:szCs w:val="20"/>
            </w:rPr>
            <w:t>.</w:t>
          </w:r>
          <w:r w:rsidR="007C79D6">
            <w:rPr>
              <w:rFonts w:ascii="Cambria" w:hAnsi="Cambria"/>
              <w:sz w:val="20"/>
              <w:szCs w:val="20"/>
            </w:rPr>
            <w:t>9</w:t>
          </w:r>
          <w:r w:rsidR="005A1817">
            <w:rPr>
              <w:rFonts w:ascii="Cambria" w:hAnsi="Cambria"/>
              <w:sz w:val="20"/>
              <w:szCs w:val="20"/>
            </w:rPr>
            <w:t>5</w:t>
          </w:r>
        </w:p>
        <w:p w14:paraId="5DCAD13B" w14:textId="1CF87DB1" w:rsidR="003147C7" w:rsidRPr="00223CBF" w:rsidRDefault="00496492" w:rsidP="00E078EF">
          <w:pPr>
            <w:rPr>
              <w:rFonts w:ascii="Cambria" w:hAnsi="Cambria"/>
              <w:sz w:val="20"/>
              <w:szCs w:val="20"/>
            </w:rPr>
          </w:pPr>
        </w:p>
      </w:sdtContent>
    </w:sdt>
    <w:p w14:paraId="193DB9A3" w14:textId="77777777" w:rsidR="00004A58" w:rsidRDefault="00004A58" w:rsidP="00004A58">
      <w:pPr>
        <w:spacing w:line="360" w:lineRule="auto"/>
        <w:rPr>
          <w:rFonts w:ascii="Cambria" w:hAnsi="Cambria" w:cs="Times New Roman"/>
          <w:color w:val="000000" w:themeColor="text1"/>
          <w:sz w:val="20"/>
          <w:szCs w:val="20"/>
        </w:rPr>
      </w:pPr>
      <w:r w:rsidRPr="00004A58">
        <w:rPr>
          <w:rFonts w:ascii="Cambria" w:hAnsi="Cambria" w:cs="Times New Roman"/>
          <w:b/>
          <w:bCs/>
          <w:color w:val="000000" w:themeColor="text1"/>
          <w:sz w:val="20"/>
          <w:szCs w:val="20"/>
        </w:rPr>
        <w:t>Annex One:</w:t>
      </w:r>
      <w:r w:rsidRPr="00A137E6">
        <w:rPr>
          <w:rFonts w:ascii="Cambria" w:hAnsi="Cambria" w:cs="Times New Roman"/>
          <w:color w:val="000000" w:themeColor="text1"/>
          <w:sz w:val="20"/>
          <w:szCs w:val="20"/>
        </w:rPr>
        <w:t xml:space="preserve"> Approved Inception Evaluation Report</w:t>
      </w:r>
    </w:p>
    <w:p w14:paraId="70075D08" w14:textId="77777777" w:rsidR="00004A58" w:rsidRDefault="00004A58" w:rsidP="00004A58">
      <w:pPr>
        <w:spacing w:line="360" w:lineRule="auto"/>
        <w:rPr>
          <w:rFonts w:ascii="Cambria" w:hAnsi="Cambria" w:cs="Times New Roman"/>
          <w:color w:val="000000" w:themeColor="text1"/>
          <w:sz w:val="20"/>
          <w:szCs w:val="20"/>
        </w:rPr>
      </w:pPr>
      <w:r>
        <w:rPr>
          <w:rFonts w:ascii="Cambria" w:hAnsi="Cambria" w:cs="Times New Roman"/>
          <w:color w:val="000000" w:themeColor="text1"/>
          <w:sz w:val="20"/>
          <w:szCs w:val="20"/>
        </w:rPr>
        <w:t>Evaluation Matrix</w:t>
      </w:r>
    </w:p>
    <w:p w14:paraId="6588EC4C" w14:textId="77777777" w:rsidR="00004A58" w:rsidRDefault="00004A58" w:rsidP="00004A58">
      <w:pPr>
        <w:spacing w:line="360" w:lineRule="auto"/>
        <w:rPr>
          <w:rFonts w:ascii="Cambria" w:hAnsi="Cambria" w:cs="Times New Roman"/>
          <w:color w:val="000000" w:themeColor="text1"/>
          <w:sz w:val="20"/>
          <w:szCs w:val="20"/>
        </w:rPr>
      </w:pPr>
      <w:r>
        <w:rPr>
          <w:rFonts w:ascii="Cambria" w:hAnsi="Cambria" w:cs="Times New Roman"/>
          <w:color w:val="000000" w:themeColor="text1"/>
          <w:sz w:val="20"/>
          <w:szCs w:val="20"/>
        </w:rPr>
        <w:t>Documentation provided for the Inception Report</w:t>
      </w:r>
    </w:p>
    <w:p w14:paraId="50DE0B21" w14:textId="77777777" w:rsidR="00004A58" w:rsidRDefault="00004A58" w:rsidP="00004A58">
      <w:pPr>
        <w:spacing w:line="360" w:lineRule="auto"/>
        <w:rPr>
          <w:rFonts w:ascii="Cambria" w:hAnsi="Cambria" w:cs="Times New Roman"/>
          <w:color w:val="000000" w:themeColor="text1"/>
          <w:sz w:val="20"/>
          <w:szCs w:val="20"/>
        </w:rPr>
      </w:pPr>
      <w:r>
        <w:rPr>
          <w:rFonts w:ascii="Cambria" w:hAnsi="Cambria" w:cs="Times New Roman"/>
          <w:color w:val="000000" w:themeColor="text1"/>
          <w:sz w:val="20"/>
          <w:szCs w:val="20"/>
        </w:rPr>
        <w:t>Evaluation Tool</w:t>
      </w:r>
    </w:p>
    <w:p w14:paraId="715DE3ED" w14:textId="77777777" w:rsidR="00004A58" w:rsidRDefault="00004A58" w:rsidP="00004A58">
      <w:pPr>
        <w:spacing w:line="360" w:lineRule="auto"/>
        <w:rPr>
          <w:rFonts w:ascii="Cambria" w:hAnsi="Cambria" w:cs="Times New Roman"/>
          <w:color w:val="000000" w:themeColor="text1"/>
          <w:sz w:val="20"/>
          <w:szCs w:val="20"/>
        </w:rPr>
      </w:pPr>
      <w:r w:rsidRPr="00004A58">
        <w:rPr>
          <w:rFonts w:ascii="Cambria" w:hAnsi="Cambria" w:cs="Times New Roman"/>
          <w:b/>
          <w:bCs/>
          <w:color w:val="000000" w:themeColor="text1"/>
          <w:sz w:val="20"/>
          <w:szCs w:val="20"/>
        </w:rPr>
        <w:t>Annex Two:</w:t>
      </w:r>
      <w:r>
        <w:rPr>
          <w:rFonts w:ascii="Cambria" w:hAnsi="Cambria" w:cs="Times New Roman"/>
          <w:color w:val="000000" w:themeColor="text1"/>
          <w:sz w:val="20"/>
          <w:szCs w:val="20"/>
        </w:rPr>
        <w:t xml:space="preserve"> Documents Reviewed</w:t>
      </w:r>
    </w:p>
    <w:p w14:paraId="39FDED5D" w14:textId="77777777" w:rsidR="00004A58" w:rsidRDefault="00004A58" w:rsidP="00004A58">
      <w:pPr>
        <w:spacing w:line="360" w:lineRule="auto"/>
        <w:rPr>
          <w:rFonts w:ascii="Cambria" w:hAnsi="Cambria" w:cs="Times New Roman"/>
          <w:color w:val="000000" w:themeColor="text1"/>
          <w:sz w:val="20"/>
          <w:szCs w:val="20"/>
        </w:rPr>
      </w:pPr>
      <w:r w:rsidRPr="00004A58">
        <w:rPr>
          <w:rFonts w:ascii="Cambria" w:hAnsi="Cambria" w:cs="Times New Roman"/>
          <w:b/>
          <w:bCs/>
          <w:color w:val="000000" w:themeColor="text1"/>
          <w:sz w:val="20"/>
          <w:szCs w:val="20"/>
        </w:rPr>
        <w:t>Annex Three:</w:t>
      </w:r>
      <w:r>
        <w:rPr>
          <w:rFonts w:ascii="Cambria" w:hAnsi="Cambria" w:cs="Times New Roman"/>
          <w:color w:val="000000" w:themeColor="text1"/>
          <w:sz w:val="20"/>
          <w:szCs w:val="20"/>
        </w:rPr>
        <w:t xml:space="preserve"> List of Interviews</w:t>
      </w:r>
    </w:p>
    <w:p w14:paraId="5D87E2C6" w14:textId="77777777" w:rsidR="00004A58" w:rsidRDefault="00004A58" w:rsidP="00004A58">
      <w:pPr>
        <w:spacing w:line="360" w:lineRule="auto"/>
        <w:rPr>
          <w:rFonts w:ascii="Cambria" w:hAnsi="Cambria" w:cs="Times New Roman"/>
          <w:color w:val="000000" w:themeColor="text1"/>
          <w:sz w:val="20"/>
          <w:szCs w:val="20"/>
        </w:rPr>
      </w:pPr>
      <w:r w:rsidRPr="00004A58">
        <w:rPr>
          <w:rFonts w:ascii="Cambria" w:hAnsi="Cambria" w:cs="Times New Roman"/>
          <w:b/>
          <w:bCs/>
          <w:color w:val="000000" w:themeColor="text1"/>
          <w:sz w:val="20"/>
          <w:szCs w:val="20"/>
        </w:rPr>
        <w:t xml:space="preserve">Annex Four: </w:t>
      </w:r>
      <w:r>
        <w:rPr>
          <w:rFonts w:ascii="Cambria" w:hAnsi="Cambria" w:cs="Times New Roman"/>
          <w:color w:val="000000" w:themeColor="text1"/>
          <w:sz w:val="20"/>
          <w:szCs w:val="20"/>
        </w:rPr>
        <w:t xml:space="preserve">Partner Summary </w:t>
      </w:r>
    </w:p>
    <w:p w14:paraId="4113A58A" w14:textId="77777777" w:rsidR="00004A58" w:rsidRPr="00A137E6" w:rsidRDefault="00004A58" w:rsidP="00004A58">
      <w:pPr>
        <w:spacing w:line="360" w:lineRule="auto"/>
        <w:rPr>
          <w:rFonts w:ascii="Cambria" w:hAnsi="Cambria" w:cs="Times New Roman"/>
          <w:color w:val="000000" w:themeColor="text1"/>
          <w:sz w:val="20"/>
          <w:szCs w:val="20"/>
        </w:rPr>
      </w:pPr>
      <w:r w:rsidRPr="00004A58">
        <w:rPr>
          <w:rFonts w:ascii="Cambria" w:hAnsi="Cambria" w:cs="Times New Roman"/>
          <w:b/>
          <w:bCs/>
          <w:color w:val="000000" w:themeColor="text1"/>
          <w:sz w:val="20"/>
          <w:szCs w:val="20"/>
        </w:rPr>
        <w:t>Annex Five:</w:t>
      </w:r>
      <w:r>
        <w:rPr>
          <w:rFonts w:ascii="Cambria" w:hAnsi="Cambria" w:cs="Times New Roman"/>
          <w:color w:val="000000" w:themeColor="text1"/>
          <w:sz w:val="20"/>
          <w:szCs w:val="20"/>
        </w:rPr>
        <w:t xml:space="preserve"> </w:t>
      </w:r>
      <w:r w:rsidRPr="00A137E6">
        <w:rPr>
          <w:rFonts w:ascii="Cambria" w:hAnsi="Cambria" w:cs="Times New Roman"/>
          <w:color w:val="000000" w:themeColor="text1"/>
          <w:sz w:val="20"/>
          <w:szCs w:val="20"/>
        </w:rPr>
        <w:t xml:space="preserve">Approved Terms of Reference </w:t>
      </w:r>
    </w:p>
    <w:p w14:paraId="6E79E429" w14:textId="77777777" w:rsidR="00E078EF" w:rsidRPr="00223CBF" w:rsidRDefault="00E078EF" w:rsidP="005C789D">
      <w:pPr>
        <w:spacing w:line="360" w:lineRule="auto"/>
        <w:jc w:val="center"/>
        <w:rPr>
          <w:rFonts w:ascii="Cambria" w:hAnsi="Cambria" w:cs="Times New Roman"/>
          <w:b/>
          <w:bCs/>
          <w:color w:val="000000" w:themeColor="text1"/>
          <w:sz w:val="20"/>
          <w:szCs w:val="20"/>
        </w:rPr>
      </w:pPr>
    </w:p>
    <w:p w14:paraId="04BCDB2F" w14:textId="10248D4F" w:rsidR="00F51133" w:rsidRPr="00A137E6" w:rsidRDefault="00F51133" w:rsidP="005906AF">
      <w:pPr>
        <w:spacing w:line="360" w:lineRule="auto"/>
        <w:rPr>
          <w:rFonts w:ascii="Cambria" w:hAnsi="Cambria" w:cs="Times New Roman"/>
          <w:color w:val="000000" w:themeColor="text1"/>
          <w:sz w:val="20"/>
          <w:szCs w:val="20"/>
        </w:rPr>
      </w:pPr>
    </w:p>
    <w:p w14:paraId="086FE509" w14:textId="77777777" w:rsidR="005611DA" w:rsidRDefault="005611DA" w:rsidP="00A137E6">
      <w:pPr>
        <w:spacing w:line="360" w:lineRule="auto"/>
        <w:rPr>
          <w:rFonts w:ascii="Cambria" w:hAnsi="Cambria" w:cs="Times New Roman"/>
          <w:b/>
          <w:bCs/>
          <w:color w:val="000000" w:themeColor="text1"/>
          <w:sz w:val="20"/>
          <w:szCs w:val="20"/>
        </w:rPr>
      </w:pPr>
    </w:p>
    <w:p w14:paraId="1EB21AA2" w14:textId="77777777" w:rsidR="005611DA" w:rsidRDefault="005611DA" w:rsidP="00A137E6">
      <w:pPr>
        <w:spacing w:line="360" w:lineRule="auto"/>
        <w:rPr>
          <w:rFonts w:ascii="Cambria" w:hAnsi="Cambria" w:cs="Times New Roman"/>
          <w:b/>
          <w:bCs/>
          <w:color w:val="000000" w:themeColor="text1"/>
          <w:sz w:val="20"/>
          <w:szCs w:val="20"/>
        </w:rPr>
      </w:pPr>
    </w:p>
    <w:p w14:paraId="76C2C99A" w14:textId="77777777" w:rsidR="005611DA" w:rsidRDefault="005611DA" w:rsidP="00A137E6">
      <w:pPr>
        <w:spacing w:line="360" w:lineRule="auto"/>
        <w:rPr>
          <w:rFonts w:ascii="Cambria" w:hAnsi="Cambria" w:cs="Times New Roman"/>
          <w:b/>
          <w:bCs/>
          <w:color w:val="000000" w:themeColor="text1"/>
          <w:sz w:val="20"/>
          <w:szCs w:val="20"/>
        </w:rPr>
      </w:pPr>
    </w:p>
    <w:p w14:paraId="529AE53E" w14:textId="77777777" w:rsidR="005611DA" w:rsidRDefault="005611DA" w:rsidP="00A137E6">
      <w:pPr>
        <w:spacing w:line="360" w:lineRule="auto"/>
        <w:rPr>
          <w:rFonts w:ascii="Cambria" w:hAnsi="Cambria" w:cs="Times New Roman"/>
          <w:b/>
          <w:bCs/>
          <w:color w:val="000000" w:themeColor="text1"/>
          <w:sz w:val="20"/>
          <w:szCs w:val="20"/>
        </w:rPr>
      </w:pPr>
    </w:p>
    <w:p w14:paraId="4F8B272B" w14:textId="77777777" w:rsidR="005611DA" w:rsidRDefault="005611DA" w:rsidP="00A137E6">
      <w:pPr>
        <w:spacing w:line="360" w:lineRule="auto"/>
        <w:rPr>
          <w:rFonts w:ascii="Cambria" w:hAnsi="Cambria" w:cs="Times New Roman"/>
          <w:b/>
          <w:bCs/>
          <w:color w:val="000000" w:themeColor="text1"/>
          <w:sz w:val="20"/>
          <w:szCs w:val="20"/>
        </w:rPr>
      </w:pPr>
    </w:p>
    <w:p w14:paraId="1929A934" w14:textId="77777777" w:rsidR="005611DA" w:rsidRDefault="005611DA" w:rsidP="00A137E6">
      <w:pPr>
        <w:spacing w:line="360" w:lineRule="auto"/>
        <w:rPr>
          <w:rFonts w:ascii="Cambria" w:hAnsi="Cambria" w:cs="Times New Roman"/>
          <w:b/>
          <w:bCs/>
          <w:color w:val="000000" w:themeColor="text1"/>
          <w:sz w:val="20"/>
          <w:szCs w:val="20"/>
        </w:rPr>
      </w:pPr>
    </w:p>
    <w:p w14:paraId="183F6D5D" w14:textId="77777777" w:rsidR="005611DA" w:rsidRDefault="005611DA" w:rsidP="00A137E6">
      <w:pPr>
        <w:spacing w:line="360" w:lineRule="auto"/>
        <w:rPr>
          <w:rFonts w:ascii="Cambria" w:hAnsi="Cambria" w:cs="Times New Roman"/>
          <w:b/>
          <w:bCs/>
          <w:color w:val="000000" w:themeColor="text1"/>
          <w:sz w:val="20"/>
          <w:szCs w:val="20"/>
        </w:rPr>
      </w:pPr>
    </w:p>
    <w:p w14:paraId="1B0A47AF" w14:textId="77777777" w:rsidR="005611DA" w:rsidRDefault="005611DA" w:rsidP="00A137E6">
      <w:pPr>
        <w:spacing w:line="360" w:lineRule="auto"/>
        <w:rPr>
          <w:rFonts w:ascii="Cambria" w:hAnsi="Cambria" w:cs="Times New Roman"/>
          <w:b/>
          <w:bCs/>
          <w:color w:val="000000" w:themeColor="text1"/>
          <w:sz w:val="20"/>
          <w:szCs w:val="20"/>
        </w:rPr>
      </w:pPr>
    </w:p>
    <w:p w14:paraId="0AA1139B" w14:textId="77777777" w:rsidR="005611DA" w:rsidRDefault="005611DA" w:rsidP="00A137E6">
      <w:pPr>
        <w:spacing w:line="360" w:lineRule="auto"/>
        <w:rPr>
          <w:rFonts w:ascii="Cambria" w:hAnsi="Cambria" w:cs="Times New Roman"/>
          <w:b/>
          <w:bCs/>
          <w:color w:val="000000" w:themeColor="text1"/>
          <w:sz w:val="20"/>
          <w:szCs w:val="20"/>
        </w:rPr>
      </w:pPr>
    </w:p>
    <w:p w14:paraId="3B190962" w14:textId="77777777" w:rsidR="005611DA" w:rsidRDefault="005611DA" w:rsidP="00A137E6">
      <w:pPr>
        <w:spacing w:line="360" w:lineRule="auto"/>
        <w:rPr>
          <w:rFonts w:ascii="Cambria" w:hAnsi="Cambria" w:cs="Times New Roman"/>
          <w:b/>
          <w:bCs/>
          <w:color w:val="000000" w:themeColor="text1"/>
          <w:sz w:val="20"/>
          <w:szCs w:val="20"/>
        </w:rPr>
      </w:pPr>
    </w:p>
    <w:p w14:paraId="24C44B16" w14:textId="77777777" w:rsidR="005611DA" w:rsidRDefault="005611DA" w:rsidP="00A137E6">
      <w:pPr>
        <w:spacing w:line="360" w:lineRule="auto"/>
        <w:rPr>
          <w:rFonts w:ascii="Cambria" w:hAnsi="Cambria" w:cs="Times New Roman"/>
          <w:b/>
          <w:bCs/>
          <w:color w:val="000000" w:themeColor="text1"/>
          <w:sz w:val="20"/>
          <w:szCs w:val="20"/>
        </w:rPr>
      </w:pPr>
    </w:p>
    <w:p w14:paraId="101DBE0F" w14:textId="77777777" w:rsidR="005611DA" w:rsidRDefault="005611DA" w:rsidP="00A137E6">
      <w:pPr>
        <w:spacing w:line="360" w:lineRule="auto"/>
        <w:rPr>
          <w:rFonts w:ascii="Cambria" w:hAnsi="Cambria" w:cs="Times New Roman"/>
          <w:b/>
          <w:bCs/>
          <w:color w:val="000000" w:themeColor="text1"/>
          <w:sz w:val="20"/>
          <w:szCs w:val="20"/>
        </w:rPr>
      </w:pPr>
    </w:p>
    <w:p w14:paraId="084C9534" w14:textId="2ABACB7B" w:rsidR="005611DA" w:rsidRDefault="005611DA" w:rsidP="00A137E6">
      <w:pPr>
        <w:spacing w:line="360" w:lineRule="auto"/>
        <w:rPr>
          <w:rFonts w:ascii="Cambria" w:hAnsi="Cambria" w:cs="Times New Roman"/>
          <w:b/>
          <w:bCs/>
          <w:color w:val="000000" w:themeColor="text1"/>
          <w:sz w:val="20"/>
          <w:szCs w:val="20"/>
        </w:rPr>
      </w:pPr>
    </w:p>
    <w:p w14:paraId="5B1CE8A7" w14:textId="76811BEC" w:rsidR="00163343" w:rsidRDefault="00163343" w:rsidP="00A137E6">
      <w:pPr>
        <w:spacing w:line="360" w:lineRule="auto"/>
        <w:rPr>
          <w:rFonts w:ascii="Cambria" w:hAnsi="Cambria" w:cs="Times New Roman"/>
          <w:b/>
          <w:bCs/>
          <w:color w:val="000000" w:themeColor="text1"/>
          <w:sz w:val="20"/>
          <w:szCs w:val="20"/>
        </w:rPr>
      </w:pPr>
    </w:p>
    <w:p w14:paraId="52192571" w14:textId="29BE51DE" w:rsidR="00E121A5" w:rsidRDefault="00E121A5" w:rsidP="00A137E6">
      <w:pPr>
        <w:spacing w:line="360" w:lineRule="auto"/>
        <w:rPr>
          <w:rFonts w:ascii="Cambria" w:hAnsi="Cambria" w:cs="Times New Roman"/>
          <w:b/>
          <w:bCs/>
          <w:color w:val="000000" w:themeColor="text1"/>
          <w:sz w:val="20"/>
          <w:szCs w:val="20"/>
        </w:rPr>
      </w:pPr>
    </w:p>
    <w:p w14:paraId="0557881F" w14:textId="77777777" w:rsidR="00E121A5" w:rsidRDefault="00E121A5" w:rsidP="00A137E6">
      <w:pPr>
        <w:spacing w:line="360" w:lineRule="auto"/>
        <w:rPr>
          <w:rFonts w:ascii="Cambria" w:hAnsi="Cambria" w:cs="Times New Roman"/>
          <w:b/>
          <w:bCs/>
          <w:color w:val="000000" w:themeColor="text1"/>
          <w:sz w:val="20"/>
          <w:szCs w:val="20"/>
        </w:rPr>
      </w:pPr>
    </w:p>
    <w:p w14:paraId="0FD4F823" w14:textId="77777777" w:rsidR="00163343" w:rsidRDefault="00163343" w:rsidP="00A137E6">
      <w:pPr>
        <w:spacing w:line="360" w:lineRule="auto"/>
        <w:rPr>
          <w:rFonts w:ascii="Cambria" w:hAnsi="Cambria" w:cs="Times New Roman"/>
          <w:b/>
          <w:bCs/>
          <w:color w:val="000000" w:themeColor="text1"/>
          <w:sz w:val="20"/>
          <w:szCs w:val="20"/>
        </w:rPr>
      </w:pPr>
    </w:p>
    <w:p w14:paraId="1E590B9F" w14:textId="45142B9E" w:rsidR="005C789D" w:rsidRPr="00827882" w:rsidRDefault="005C789D" w:rsidP="00A137E6">
      <w:pPr>
        <w:spacing w:line="360" w:lineRule="auto"/>
        <w:rPr>
          <w:rFonts w:ascii="Cambria" w:hAnsi="Cambria" w:cs="Times New Roman"/>
          <w:b/>
          <w:bCs/>
          <w:color w:val="000000" w:themeColor="text1"/>
          <w:sz w:val="32"/>
          <w:szCs w:val="32"/>
        </w:rPr>
      </w:pPr>
      <w:r w:rsidRPr="00827882">
        <w:rPr>
          <w:rFonts w:ascii="Cambria" w:hAnsi="Cambria" w:cs="Times New Roman"/>
          <w:b/>
          <w:bCs/>
          <w:color w:val="000000" w:themeColor="text1"/>
          <w:sz w:val="32"/>
          <w:szCs w:val="32"/>
        </w:rPr>
        <w:t>List of Acronyms and Abbreviations</w:t>
      </w: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2"/>
        <w:gridCol w:w="3968"/>
      </w:tblGrid>
      <w:tr w:rsidR="00ED6C35" w:rsidRPr="00223CBF" w14:paraId="353E417B" w14:textId="77777777" w:rsidTr="005C7DD8">
        <w:tc>
          <w:tcPr>
            <w:tcW w:w="5752" w:type="dxa"/>
          </w:tcPr>
          <w:p w14:paraId="30169123" w14:textId="77777777" w:rsidR="00ED6C35" w:rsidRPr="00223CBF" w:rsidRDefault="00ED6C35" w:rsidP="00F041A4">
            <w:pPr>
              <w:spacing w:line="360" w:lineRule="auto"/>
              <w:rPr>
                <w:rFonts w:ascii="Cambria" w:hAnsi="Cambria" w:cs="Times New Roman"/>
                <w:color w:val="000000" w:themeColor="text1"/>
                <w:spacing w:val="4"/>
                <w:sz w:val="20"/>
                <w:szCs w:val="20"/>
                <w:shd w:val="clear" w:color="auto" w:fill="FEFEFE"/>
              </w:rPr>
            </w:pPr>
            <w:r w:rsidRPr="00223CBF">
              <w:rPr>
                <w:rFonts w:ascii="Cambria" w:hAnsi="Cambria" w:cs="Times New Roman"/>
                <w:color w:val="000000" w:themeColor="text1"/>
                <w:sz w:val="20"/>
                <w:szCs w:val="20"/>
              </w:rPr>
              <w:t>Alternative Dispute Resolution</w:t>
            </w:r>
          </w:p>
        </w:tc>
        <w:tc>
          <w:tcPr>
            <w:tcW w:w="3968" w:type="dxa"/>
          </w:tcPr>
          <w:p w14:paraId="6CCAA58F" w14:textId="77777777" w:rsidR="00ED6C35" w:rsidRPr="00223CBF" w:rsidRDefault="00ED6C35" w:rsidP="00F041A4">
            <w:pPr>
              <w:pStyle w:val="NormalWeb"/>
              <w:spacing w:line="360" w:lineRule="auto"/>
              <w:jc w:val="right"/>
              <w:rPr>
                <w:rFonts w:ascii="Cambria" w:hAnsi="Cambria"/>
                <w:color w:val="000000" w:themeColor="text1"/>
                <w:spacing w:val="4"/>
                <w:sz w:val="20"/>
                <w:szCs w:val="20"/>
                <w:shd w:val="clear" w:color="auto" w:fill="FEFEFE"/>
              </w:rPr>
            </w:pPr>
            <w:r w:rsidRPr="00223CBF">
              <w:rPr>
                <w:rFonts w:ascii="Cambria" w:hAnsi="Cambria"/>
                <w:color w:val="000000" w:themeColor="text1"/>
                <w:spacing w:val="4"/>
                <w:sz w:val="20"/>
                <w:szCs w:val="20"/>
                <w:shd w:val="clear" w:color="auto" w:fill="FEFEFE"/>
              </w:rPr>
              <w:t>ADR</w:t>
            </w:r>
          </w:p>
        </w:tc>
      </w:tr>
      <w:tr w:rsidR="00ED6C35" w:rsidRPr="00223CBF" w14:paraId="301AE8F5" w14:textId="77777777" w:rsidTr="005C7DD8">
        <w:tc>
          <w:tcPr>
            <w:tcW w:w="5752" w:type="dxa"/>
          </w:tcPr>
          <w:p w14:paraId="3062E021" w14:textId="77777777" w:rsidR="00ED6C35" w:rsidRPr="00223CBF" w:rsidRDefault="00ED6C35" w:rsidP="00F041A4">
            <w:pPr>
              <w:spacing w:line="360" w:lineRule="auto"/>
              <w:rPr>
                <w:rFonts w:ascii="Cambria" w:hAnsi="Cambria" w:cs="Times New Roman"/>
                <w:color w:val="000000" w:themeColor="text1"/>
                <w:sz w:val="20"/>
                <w:szCs w:val="20"/>
              </w:rPr>
            </w:pPr>
            <w:r w:rsidRPr="00223CBF">
              <w:rPr>
                <w:rFonts w:ascii="Cambria" w:hAnsi="Cambria" w:cs="Times New Roman"/>
                <w:color w:val="000000" w:themeColor="text1"/>
                <w:sz w:val="20"/>
                <w:szCs w:val="20"/>
              </w:rPr>
              <w:t>Attorney General’s Department</w:t>
            </w:r>
          </w:p>
        </w:tc>
        <w:tc>
          <w:tcPr>
            <w:tcW w:w="3968" w:type="dxa"/>
          </w:tcPr>
          <w:p w14:paraId="5C3D20A9" w14:textId="77777777" w:rsidR="00ED6C35" w:rsidRPr="00223CBF" w:rsidRDefault="00ED6C35" w:rsidP="00F041A4">
            <w:pPr>
              <w:pStyle w:val="NormalWeb"/>
              <w:spacing w:line="360" w:lineRule="auto"/>
              <w:jc w:val="right"/>
              <w:rPr>
                <w:rFonts w:ascii="Cambria" w:hAnsi="Cambria"/>
                <w:color w:val="000000" w:themeColor="text1"/>
                <w:sz w:val="20"/>
                <w:szCs w:val="20"/>
                <w:shd w:val="clear" w:color="auto" w:fill="FFFFFF"/>
              </w:rPr>
            </w:pPr>
            <w:r w:rsidRPr="00223CBF">
              <w:rPr>
                <w:rFonts w:ascii="Cambria" w:hAnsi="Cambria"/>
                <w:color w:val="000000" w:themeColor="text1"/>
                <w:sz w:val="20"/>
                <w:szCs w:val="20"/>
                <w:shd w:val="clear" w:color="auto" w:fill="FFFFFF"/>
              </w:rPr>
              <w:t>AGD</w:t>
            </w:r>
          </w:p>
        </w:tc>
      </w:tr>
      <w:tr w:rsidR="00ED6C35" w:rsidRPr="00223CBF" w14:paraId="73CA08CB" w14:textId="77777777" w:rsidTr="005C7DD8">
        <w:tc>
          <w:tcPr>
            <w:tcW w:w="5752" w:type="dxa"/>
          </w:tcPr>
          <w:p w14:paraId="1367D89F" w14:textId="77777777" w:rsidR="00ED6C35" w:rsidRPr="00223CBF" w:rsidRDefault="00ED6C35" w:rsidP="00F041A4">
            <w:pPr>
              <w:spacing w:line="360" w:lineRule="auto"/>
              <w:rPr>
                <w:rFonts w:ascii="Cambria" w:hAnsi="Cambria" w:cs="Times New Roman"/>
                <w:color w:val="000000" w:themeColor="text1"/>
                <w:sz w:val="20"/>
                <w:szCs w:val="20"/>
              </w:rPr>
            </w:pPr>
            <w:r w:rsidRPr="00223CBF">
              <w:rPr>
                <w:rFonts w:ascii="Cambria" w:hAnsi="Cambria" w:cs="Times New Roman"/>
                <w:color w:val="000000" w:themeColor="text1"/>
                <w:sz w:val="20"/>
                <w:szCs w:val="20"/>
              </w:rPr>
              <w:t>Bar Association of Sri Lanka</w:t>
            </w:r>
          </w:p>
        </w:tc>
        <w:tc>
          <w:tcPr>
            <w:tcW w:w="3968" w:type="dxa"/>
          </w:tcPr>
          <w:p w14:paraId="11EE0888" w14:textId="77777777" w:rsidR="00ED6C35" w:rsidRPr="00223CBF" w:rsidRDefault="00ED6C35" w:rsidP="00F041A4">
            <w:pPr>
              <w:pStyle w:val="NormalWeb"/>
              <w:spacing w:line="360" w:lineRule="auto"/>
              <w:jc w:val="right"/>
              <w:rPr>
                <w:rFonts w:ascii="Cambria" w:hAnsi="Cambria"/>
                <w:color w:val="000000" w:themeColor="text1"/>
                <w:sz w:val="20"/>
                <w:szCs w:val="20"/>
                <w:shd w:val="clear" w:color="auto" w:fill="FFFFFF"/>
              </w:rPr>
            </w:pPr>
            <w:r w:rsidRPr="00223CBF">
              <w:rPr>
                <w:rFonts w:ascii="Cambria" w:hAnsi="Cambria"/>
                <w:color w:val="000000" w:themeColor="text1"/>
                <w:sz w:val="20"/>
                <w:szCs w:val="20"/>
                <w:shd w:val="clear" w:color="auto" w:fill="FFFFFF"/>
              </w:rPr>
              <w:t>BASL</w:t>
            </w:r>
          </w:p>
        </w:tc>
      </w:tr>
      <w:tr w:rsidR="00ED6C35" w:rsidRPr="00223CBF" w14:paraId="795E6C1F" w14:textId="77777777" w:rsidTr="005C7DD8">
        <w:tc>
          <w:tcPr>
            <w:tcW w:w="5752" w:type="dxa"/>
          </w:tcPr>
          <w:p w14:paraId="28C04736" w14:textId="77777777" w:rsidR="00ED6C35" w:rsidRPr="00223CBF" w:rsidRDefault="00ED6C35" w:rsidP="00F041A4">
            <w:pPr>
              <w:spacing w:line="360" w:lineRule="auto"/>
              <w:rPr>
                <w:rFonts w:ascii="Cambria" w:hAnsi="Cambria" w:cs="Times New Roman"/>
                <w:color w:val="000000" w:themeColor="text1"/>
                <w:sz w:val="20"/>
                <w:szCs w:val="20"/>
              </w:rPr>
            </w:pPr>
            <w:r>
              <w:rPr>
                <w:rFonts w:ascii="Cambria" w:hAnsi="Cambria" w:cs="Times New Roman"/>
                <w:color w:val="000000" w:themeColor="text1"/>
                <w:sz w:val="20"/>
                <w:szCs w:val="20"/>
              </w:rPr>
              <w:t>Business and Human Rights</w:t>
            </w:r>
          </w:p>
        </w:tc>
        <w:tc>
          <w:tcPr>
            <w:tcW w:w="3968" w:type="dxa"/>
          </w:tcPr>
          <w:p w14:paraId="7378B902" w14:textId="77777777" w:rsidR="00ED6C35" w:rsidRPr="00223CBF" w:rsidRDefault="00ED6C35" w:rsidP="00F041A4">
            <w:pPr>
              <w:pStyle w:val="NormalWeb"/>
              <w:spacing w:line="360" w:lineRule="auto"/>
              <w:jc w:val="right"/>
              <w:rPr>
                <w:rFonts w:ascii="Cambria" w:hAnsi="Cambria"/>
                <w:color w:val="000000" w:themeColor="text1"/>
                <w:sz w:val="20"/>
                <w:szCs w:val="20"/>
                <w:shd w:val="clear" w:color="auto" w:fill="FFFFFF"/>
              </w:rPr>
            </w:pPr>
            <w:r>
              <w:rPr>
                <w:rFonts w:ascii="Cambria" w:hAnsi="Cambria"/>
                <w:color w:val="000000" w:themeColor="text1"/>
                <w:sz w:val="20"/>
                <w:szCs w:val="20"/>
                <w:shd w:val="clear" w:color="auto" w:fill="FFFFFF"/>
              </w:rPr>
              <w:t>BHR</w:t>
            </w:r>
          </w:p>
        </w:tc>
      </w:tr>
      <w:tr w:rsidR="00ED6C35" w:rsidRPr="00223CBF" w14:paraId="09F56A1E" w14:textId="77777777" w:rsidTr="005C7DD8">
        <w:tc>
          <w:tcPr>
            <w:tcW w:w="5752" w:type="dxa"/>
          </w:tcPr>
          <w:p w14:paraId="3666DEC4" w14:textId="77777777" w:rsidR="00ED6C35" w:rsidRPr="00223CBF" w:rsidRDefault="00ED6C35" w:rsidP="00F041A4">
            <w:pPr>
              <w:spacing w:line="360" w:lineRule="auto"/>
              <w:rPr>
                <w:rFonts w:ascii="Cambria" w:hAnsi="Cambria" w:cs="Times New Roman"/>
                <w:color w:val="000000" w:themeColor="text1"/>
                <w:sz w:val="20"/>
                <w:szCs w:val="20"/>
              </w:rPr>
            </w:pPr>
            <w:r>
              <w:rPr>
                <w:rFonts w:ascii="Cambria" w:hAnsi="Cambria" w:cs="Times New Roman"/>
                <w:color w:val="000000" w:themeColor="text1"/>
                <w:sz w:val="20"/>
                <w:szCs w:val="20"/>
              </w:rPr>
              <w:t>Civil Society Organizations</w:t>
            </w:r>
          </w:p>
        </w:tc>
        <w:tc>
          <w:tcPr>
            <w:tcW w:w="3968" w:type="dxa"/>
          </w:tcPr>
          <w:p w14:paraId="237CE8A3" w14:textId="77777777" w:rsidR="00ED6C35" w:rsidRPr="00223CBF" w:rsidRDefault="00ED6C35" w:rsidP="00F041A4">
            <w:pPr>
              <w:pStyle w:val="NormalWeb"/>
              <w:spacing w:line="360" w:lineRule="auto"/>
              <w:jc w:val="right"/>
              <w:rPr>
                <w:rFonts w:ascii="Cambria" w:hAnsi="Cambria"/>
                <w:color w:val="000000" w:themeColor="text1"/>
                <w:sz w:val="20"/>
                <w:szCs w:val="20"/>
                <w:shd w:val="clear" w:color="auto" w:fill="FFFFFF"/>
              </w:rPr>
            </w:pPr>
            <w:r>
              <w:rPr>
                <w:rFonts w:ascii="Cambria" w:hAnsi="Cambria"/>
                <w:color w:val="000000" w:themeColor="text1"/>
                <w:sz w:val="20"/>
                <w:szCs w:val="20"/>
                <w:shd w:val="clear" w:color="auto" w:fill="FFFFFF"/>
              </w:rPr>
              <w:t>CSO</w:t>
            </w:r>
          </w:p>
        </w:tc>
      </w:tr>
      <w:tr w:rsidR="00ED6C35" w:rsidRPr="00223CBF" w14:paraId="164F82EA" w14:textId="77777777" w:rsidTr="005C7DD8">
        <w:tc>
          <w:tcPr>
            <w:tcW w:w="5752" w:type="dxa"/>
          </w:tcPr>
          <w:p w14:paraId="26F4BD84" w14:textId="77777777" w:rsidR="00ED6C35" w:rsidRPr="00223CBF" w:rsidRDefault="00ED6C35" w:rsidP="00F041A4">
            <w:pPr>
              <w:spacing w:line="360" w:lineRule="auto"/>
              <w:rPr>
                <w:rFonts w:ascii="Cambria" w:hAnsi="Cambria" w:cs="Times New Roman"/>
                <w:color w:val="000000" w:themeColor="text1"/>
                <w:sz w:val="20"/>
                <w:szCs w:val="20"/>
              </w:rPr>
            </w:pPr>
            <w:r w:rsidRPr="00223CBF">
              <w:rPr>
                <w:rFonts w:ascii="Cambria" w:hAnsi="Cambria" w:cs="Times New Roman"/>
                <w:color w:val="000000" w:themeColor="text1"/>
                <w:sz w:val="20"/>
                <w:szCs w:val="20"/>
              </w:rPr>
              <w:t xml:space="preserve">Committee on Public Accounts </w:t>
            </w:r>
          </w:p>
        </w:tc>
        <w:tc>
          <w:tcPr>
            <w:tcW w:w="3968" w:type="dxa"/>
          </w:tcPr>
          <w:p w14:paraId="161748C6" w14:textId="77777777" w:rsidR="00ED6C35" w:rsidRPr="00223CBF" w:rsidRDefault="00ED6C35" w:rsidP="00F041A4">
            <w:pPr>
              <w:pStyle w:val="NormalWeb"/>
              <w:spacing w:line="360" w:lineRule="auto"/>
              <w:jc w:val="right"/>
              <w:rPr>
                <w:rFonts w:ascii="Cambria" w:hAnsi="Cambria"/>
                <w:color w:val="000000" w:themeColor="text1"/>
                <w:sz w:val="20"/>
                <w:szCs w:val="20"/>
              </w:rPr>
            </w:pPr>
            <w:r w:rsidRPr="00223CBF">
              <w:rPr>
                <w:rFonts w:ascii="Cambria" w:hAnsi="Cambria"/>
                <w:color w:val="000000" w:themeColor="text1"/>
                <w:sz w:val="20"/>
                <w:szCs w:val="20"/>
              </w:rPr>
              <w:t>COPA</w:t>
            </w:r>
          </w:p>
        </w:tc>
      </w:tr>
      <w:tr w:rsidR="00ED6C35" w:rsidRPr="00223CBF" w14:paraId="1C595478" w14:textId="77777777" w:rsidTr="005C7DD8">
        <w:tc>
          <w:tcPr>
            <w:tcW w:w="5752" w:type="dxa"/>
          </w:tcPr>
          <w:p w14:paraId="035DFA37" w14:textId="77777777" w:rsidR="00ED6C35" w:rsidRPr="00223CBF" w:rsidRDefault="00ED6C35" w:rsidP="00F041A4">
            <w:pPr>
              <w:spacing w:line="360" w:lineRule="auto"/>
              <w:rPr>
                <w:rFonts w:ascii="Cambria" w:hAnsi="Cambria" w:cs="Times New Roman"/>
                <w:color w:val="000000" w:themeColor="text1"/>
                <w:sz w:val="20"/>
                <w:szCs w:val="20"/>
              </w:rPr>
            </w:pPr>
            <w:r w:rsidRPr="00223CBF">
              <w:rPr>
                <w:rFonts w:ascii="Cambria" w:hAnsi="Cambria" w:cs="Times New Roman"/>
                <w:color w:val="000000" w:themeColor="text1"/>
                <w:sz w:val="20"/>
                <w:szCs w:val="20"/>
              </w:rPr>
              <w:t>Committee on Public Enterprise</w:t>
            </w:r>
          </w:p>
        </w:tc>
        <w:tc>
          <w:tcPr>
            <w:tcW w:w="3968" w:type="dxa"/>
          </w:tcPr>
          <w:p w14:paraId="4754D417" w14:textId="77777777" w:rsidR="00ED6C35" w:rsidRPr="00223CBF" w:rsidRDefault="00ED6C35" w:rsidP="00F041A4">
            <w:pPr>
              <w:pStyle w:val="NormalWeb"/>
              <w:spacing w:line="360" w:lineRule="auto"/>
              <w:jc w:val="right"/>
              <w:rPr>
                <w:rFonts w:ascii="Cambria" w:hAnsi="Cambria"/>
                <w:color w:val="000000" w:themeColor="text1"/>
                <w:sz w:val="20"/>
                <w:szCs w:val="20"/>
              </w:rPr>
            </w:pPr>
            <w:r w:rsidRPr="00223CBF">
              <w:rPr>
                <w:rFonts w:ascii="Cambria" w:hAnsi="Cambria"/>
                <w:color w:val="000000" w:themeColor="text1"/>
                <w:sz w:val="20"/>
                <w:szCs w:val="20"/>
              </w:rPr>
              <w:t>COPE</w:t>
            </w:r>
          </w:p>
        </w:tc>
      </w:tr>
      <w:tr w:rsidR="00ED6C35" w:rsidRPr="00223CBF" w14:paraId="57C6B822" w14:textId="77777777" w:rsidTr="005C7DD8">
        <w:tc>
          <w:tcPr>
            <w:tcW w:w="5752" w:type="dxa"/>
          </w:tcPr>
          <w:p w14:paraId="2A0A3877" w14:textId="77777777" w:rsidR="00ED6C35" w:rsidRPr="00223CBF" w:rsidRDefault="00ED6C35" w:rsidP="00F041A4">
            <w:pPr>
              <w:spacing w:line="360" w:lineRule="auto"/>
              <w:rPr>
                <w:rFonts w:ascii="Cambria" w:hAnsi="Cambria" w:cs="Times New Roman"/>
                <w:color w:val="000000" w:themeColor="text1"/>
                <w:sz w:val="20"/>
                <w:szCs w:val="20"/>
              </w:rPr>
            </w:pPr>
            <w:r w:rsidRPr="00223CBF">
              <w:rPr>
                <w:rFonts w:ascii="Cambria" w:hAnsi="Cambria" w:cs="Times New Roman"/>
                <w:bCs/>
                <w:color w:val="000000" w:themeColor="text1"/>
                <w:sz w:val="20"/>
                <w:szCs w:val="20"/>
                <w:lang w:val="en-GB"/>
              </w:rPr>
              <w:t>Community-Based Organisations</w:t>
            </w:r>
          </w:p>
        </w:tc>
        <w:tc>
          <w:tcPr>
            <w:tcW w:w="3968" w:type="dxa"/>
          </w:tcPr>
          <w:p w14:paraId="652501E6" w14:textId="77777777" w:rsidR="00ED6C35" w:rsidRPr="00223CBF" w:rsidRDefault="00ED6C35" w:rsidP="00F041A4">
            <w:pPr>
              <w:pStyle w:val="NormalWeb"/>
              <w:spacing w:line="360" w:lineRule="auto"/>
              <w:jc w:val="right"/>
              <w:rPr>
                <w:rFonts w:ascii="Cambria" w:hAnsi="Cambria"/>
                <w:color w:val="000000" w:themeColor="text1"/>
                <w:sz w:val="20"/>
                <w:szCs w:val="20"/>
              </w:rPr>
            </w:pPr>
            <w:r w:rsidRPr="00223CBF">
              <w:rPr>
                <w:rFonts w:ascii="Cambria" w:hAnsi="Cambria"/>
                <w:color w:val="000000" w:themeColor="text1"/>
                <w:sz w:val="20"/>
                <w:szCs w:val="20"/>
              </w:rPr>
              <w:t>CBO</w:t>
            </w:r>
          </w:p>
        </w:tc>
      </w:tr>
      <w:tr w:rsidR="00ED6C35" w:rsidRPr="00223CBF" w14:paraId="6B4D4601" w14:textId="77777777" w:rsidTr="005C7DD8">
        <w:tc>
          <w:tcPr>
            <w:tcW w:w="5752" w:type="dxa"/>
          </w:tcPr>
          <w:p w14:paraId="7D92D98C" w14:textId="77777777" w:rsidR="00ED6C35" w:rsidRPr="000328D8" w:rsidRDefault="00ED6C35" w:rsidP="00F041A4">
            <w:pPr>
              <w:spacing w:line="360" w:lineRule="auto"/>
              <w:rPr>
                <w:rFonts w:ascii="Cambria" w:hAnsi="Cambria" w:cs="Times New Roman"/>
                <w:bCs/>
                <w:color w:val="000000" w:themeColor="text1"/>
                <w:sz w:val="20"/>
                <w:szCs w:val="20"/>
                <w:lang w:val="en-GB"/>
              </w:rPr>
            </w:pPr>
            <w:r w:rsidRPr="000328D8">
              <w:rPr>
                <w:rFonts w:ascii="Cambria" w:hAnsi="Cambria" w:cs="Times New Roman"/>
                <w:bCs/>
                <w:color w:val="000000" w:themeColor="text1"/>
                <w:sz w:val="20"/>
                <w:szCs w:val="20"/>
                <w:lang w:val="en-GB"/>
              </w:rPr>
              <w:t>Constitutional Council</w:t>
            </w:r>
          </w:p>
        </w:tc>
        <w:tc>
          <w:tcPr>
            <w:tcW w:w="3968" w:type="dxa"/>
          </w:tcPr>
          <w:p w14:paraId="05B0D0F7" w14:textId="77777777" w:rsidR="00ED6C35" w:rsidRPr="000328D8" w:rsidRDefault="00ED6C35" w:rsidP="00F041A4">
            <w:pPr>
              <w:pStyle w:val="NormalWeb"/>
              <w:spacing w:line="360" w:lineRule="auto"/>
              <w:jc w:val="right"/>
              <w:rPr>
                <w:rFonts w:ascii="Cambria" w:hAnsi="Cambria"/>
                <w:color w:val="000000" w:themeColor="text1"/>
                <w:sz w:val="20"/>
                <w:szCs w:val="20"/>
              </w:rPr>
            </w:pPr>
            <w:r w:rsidRPr="000328D8">
              <w:rPr>
                <w:rFonts w:ascii="Cambria" w:hAnsi="Cambria"/>
                <w:color w:val="000000" w:themeColor="text1"/>
                <w:sz w:val="20"/>
                <w:szCs w:val="20"/>
              </w:rPr>
              <w:t>CC</w:t>
            </w:r>
          </w:p>
        </w:tc>
      </w:tr>
      <w:tr w:rsidR="00ED6C35" w:rsidRPr="00223CBF" w14:paraId="4640C422" w14:textId="77777777" w:rsidTr="005C7DD8">
        <w:tc>
          <w:tcPr>
            <w:tcW w:w="5752" w:type="dxa"/>
          </w:tcPr>
          <w:p w14:paraId="0E839000" w14:textId="77777777" w:rsidR="00ED6C35" w:rsidRPr="000328D8" w:rsidRDefault="00ED6C35" w:rsidP="00F041A4">
            <w:pPr>
              <w:spacing w:line="360" w:lineRule="auto"/>
              <w:rPr>
                <w:rFonts w:ascii="Cambria" w:hAnsi="Cambria" w:cs="Times New Roman"/>
                <w:color w:val="000000" w:themeColor="text1"/>
                <w:sz w:val="20"/>
                <w:szCs w:val="20"/>
                <w:shd w:val="clear" w:color="auto" w:fill="FFFFFF"/>
              </w:rPr>
            </w:pPr>
            <w:r w:rsidRPr="000328D8">
              <w:rPr>
                <w:rFonts w:ascii="Cambria" w:hAnsi="Cambria" w:cs="Times New Roman"/>
                <w:color w:val="000000" w:themeColor="text1"/>
                <w:sz w:val="20"/>
                <w:szCs w:val="20"/>
                <w:shd w:val="clear" w:color="auto" w:fill="FFFFFF"/>
              </w:rPr>
              <w:t>Convention on the Rights of Persons with Disabilities </w:t>
            </w:r>
          </w:p>
        </w:tc>
        <w:tc>
          <w:tcPr>
            <w:tcW w:w="3968" w:type="dxa"/>
          </w:tcPr>
          <w:p w14:paraId="6837F862" w14:textId="77777777" w:rsidR="00ED6C35" w:rsidRPr="000328D8" w:rsidRDefault="00ED6C35" w:rsidP="00F041A4">
            <w:pPr>
              <w:pStyle w:val="NormalWeb"/>
              <w:spacing w:line="360" w:lineRule="auto"/>
              <w:jc w:val="right"/>
              <w:rPr>
                <w:rFonts w:ascii="Cambria" w:hAnsi="Cambria"/>
                <w:color w:val="000000" w:themeColor="text1"/>
                <w:sz w:val="20"/>
                <w:szCs w:val="20"/>
                <w:shd w:val="clear" w:color="auto" w:fill="FFFFFF"/>
              </w:rPr>
            </w:pPr>
            <w:r w:rsidRPr="000328D8">
              <w:rPr>
                <w:rFonts w:ascii="Cambria" w:hAnsi="Cambria"/>
                <w:color w:val="000000" w:themeColor="text1"/>
                <w:sz w:val="20"/>
                <w:szCs w:val="20"/>
                <w:shd w:val="clear" w:color="auto" w:fill="FFFFFF"/>
              </w:rPr>
              <w:t>CRPD</w:t>
            </w:r>
          </w:p>
        </w:tc>
      </w:tr>
      <w:tr w:rsidR="000328D8" w:rsidRPr="00223CBF" w14:paraId="4EA8A5B5" w14:textId="77777777" w:rsidTr="005C7DD8">
        <w:tc>
          <w:tcPr>
            <w:tcW w:w="5752" w:type="dxa"/>
          </w:tcPr>
          <w:p w14:paraId="207DC9CF" w14:textId="39FE2396" w:rsidR="000328D8" w:rsidRPr="000328D8" w:rsidRDefault="000328D8" w:rsidP="00F041A4">
            <w:pPr>
              <w:spacing w:line="360" w:lineRule="auto"/>
              <w:rPr>
                <w:rFonts w:ascii="Cambria" w:hAnsi="Cambria" w:cs="Times New Roman"/>
                <w:color w:val="000000" w:themeColor="text1"/>
                <w:sz w:val="20"/>
                <w:szCs w:val="20"/>
                <w:shd w:val="clear" w:color="auto" w:fill="FFFFFF"/>
              </w:rPr>
            </w:pPr>
            <w:r w:rsidRPr="000328D8">
              <w:rPr>
                <w:rFonts w:ascii="Cambria" w:hAnsi="Cambria" w:cs="Times New Roman"/>
                <w:color w:val="000000" w:themeColor="text1"/>
                <w:sz w:val="20"/>
                <w:szCs w:val="20"/>
              </w:rPr>
              <w:t xml:space="preserve">Commission to Investigate Allegations of Bribery or Corruption </w:t>
            </w:r>
          </w:p>
        </w:tc>
        <w:tc>
          <w:tcPr>
            <w:tcW w:w="3968" w:type="dxa"/>
          </w:tcPr>
          <w:p w14:paraId="14B3BEBA" w14:textId="65EE2BE1" w:rsidR="000328D8" w:rsidRPr="000328D8" w:rsidRDefault="000328D8" w:rsidP="00F041A4">
            <w:pPr>
              <w:pStyle w:val="NormalWeb"/>
              <w:spacing w:line="360" w:lineRule="auto"/>
              <w:jc w:val="right"/>
              <w:rPr>
                <w:rFonts w:ascii="Cambria" w:hAnsi="Cambria"/>
                <w:color w:val="000000" w:themeColor="text1"/>
                <w:sz w:val="20"/>
                <w:szCs w:val="20"/>
                <w:shd w:val="clear" w:color="auto" w:fill="FFFFFF"/>
              </w:rPr>
            </w:pPr>
            <w:r w:rsidRPr="000328D8">
              <w:rPr>
                <w:rFonts w:ascii="Cambria" w:hAnsi="Cambria"/>
                <w:color w:val="000000" w:themeColor="text1"/>
                <w:sz w:val="20"/>
                <w:szCs w:val="20"/>
                <w:shd w:val="clear" w:color="auto" w:fill="FFFFFF"/>
              </w:rPr>
              <w:t>CIABOA</w:t>
            </w:r>
          </w:p>
        </w:tc>
      </w:tr>
      <w:tr w:rsidR="00ED6C35" w:rsidRPr="00223CBF" w14:paraId="06B8B8B1" w14:textId="77777777" w:rsidTr="005C7DD8">
        <w:tc>
          <w:tcPr>
            <w:tcW w:w="5752" w:type="dxa"/>
          </w:tcPr>
          <w:p w14:paraId="3DB121D8" w14:textId="77777777" w:rsidR="00ED6C35" w:rsidRPr="000328D8" w:rsidRDefault="00ED6C35" w:rsidP="00F041A4">
            <w:pPr>
              <w:pStyle w:val="NormalWeb"/>
              <w:spacing w:line="360" w:lineRule="auto"/>
              <w:jc w:val="both"/>
              <w:rPr>
                <w:rFonts w:ascii="Cambria" w:hAnsi="Cambria"/>
                <w:b/>
                <w:bCs/>
                <w:color w:val="FF0000"/>
                <w:sz w:val="20"/>
                <w:szCs w:val="20"/>
              </w:rPr>
            </w:pPr>
            <w:r w:rsidRPr="000328D8">
              <w:rPr>
                <w:rFonts w:ascii="Cambria" w:hAnsi="Cambria"/>
                <w:color w:val="000000" w:themeColor="text1"/>
                <w:sz w:val="20"/>
                <w:szCs w:val="20"/>
              </w:rPr>
              <w:t>Country Programme Document</w:t>
            </w:r>
          </w:p>
        </w:tc>
        <w:tc>
          <w:tcPr>
            <w:tcW w:w="3968" w:type="dxa"/>
          </w:tcPr>
          <w:p w14:paraId="4F6C3EF9" w14:textId="77777777" w:rsidR="00ED6C35" w:rsidRPr="000328D8" w:rsidRDefault="00ED6C35" w:rsidP="00F041A4">
            <w:pPr>
              <w:pStyle w:val="NormalWeb"/>
              <w:spacing w:line="360" w:lineRule="auto"/>
              <w:jc w:val="right"/>
              <w:rPr>
                <w:rFonts w:ascii="Cambria" w:hAnsi="Cambria"/>
                <w:color w:val="FF0000"/>
                <w:sz w:val="20"/>
                <w:szCs w:val="20"/>
              </w:rPr>
            </w:pPr>
            <w:r w:rsidRPr="000328D8">
              <w:rPr>
                <w:rFonts w:ascii="Cambria" w:hAnsi="Cambria"/>
                <w:color w:val="000000" w:themeColor="text1"/>
                <w:sz w:val="20"/>
                <w:szCs w:val="20"/>
              </w:rPr>
              <w:t>CPD</w:t>
            </w:r>
          </w:p>
        </w:tc>
      </w:tr>
      <w:tr w:rsidR="00ED6C35" w:rsidRPr="00223CBF" w14:paraId="66F6612B" w14:textId="77777777" w:rsidTr="005C7DD8">
        <w:tc>
          <w:tcPr>
            <w:tcW w:w="5752" w:type="dxa"/>
          </w:tcPr>
          <w:p w14:paraId="21EBE9F2" w14:textId="77777777" w:rsidR="00ED6C35" w:rsidRPr="000328D8" w:rsidRDefault="00ED6C35" w:rsidP="00F041A4">
            <w:pPr>
              <w:pStyle w:val="NormalWeb"/>
              <w:spacing w:line="360" w:lineRule="auto"/>
              <w:jc w:val="both"/>
              <w:rPr>
                <w:rFonts w:ascii="Cambria" w:hAnsi="Cambria"/>
                <w:color w:val="000000" w:themeColor="text1"/>
                <w:sz w:val="20"/>
                <w:szCs w:val="20"/>
              </w:rPr>
            </w:pPr>
            <w:r w:rsidRPr="000328D8">
              <w:rPr>
                <w:rFonts w:ascii="Cambria" w:hAnsi="Cambria"/>
                <w:color w:val="000000" w:themeColor="text1"/>
                <w:sz w:val="20"/>
                <w:szCs w:val="20"/>
              </w:rPr>
              <w:t xml:space="preserve">Development Partners </w:t>
            </w:r>
          </w:p>
        </w:tc>
        <w:tc>
          <w:tcPr>
            <w:tcW w:w="3968" w:type="dxa"/>
          </w:tcPr>
          <w:p w14:paraId="727AAAC6" w14:textId="77777777" w:rsidR="00ED6C35" w:rsidRPr="000328D8" w:rsidRDefault="00ED6C35" w:rsidP="00F041A4">
            <w:pPr>
              <w:pStyle w:val="NormalWeb"/>
              <w:spacing w:line="360" w:lineRule="auto"/>
              <w:jc w:val="right"/>
              <w:rPr>
                <w:rFonts w:ascii="Cambria" w:hAnsi="Cambria"/>
                <w:color w:val="000000" w:themeColor="text1"/>
                <w:sz w:val="20"/>
                <w:szCs w:val="20"/>
              </w:rPr>
            </w:pPr>
            <w:r w:rsidRPr="000328D8">
              <w:rPr>
                <w:rFonts w:ascii="Cambria" w:hAnsi="Cambria"/>
                <w:color w:val="000000" w:themeColor="text1"/>
                <w:sz w:val="20"/>
                <w:szCs w:val="20"/>
              </w:rPr>
              <w:t>DPs</w:t>
            </w:r>
          </w:p>
        </w:tc>
      </w:tr>
      <w:tr w:rsidR="007C79D6" w:rsidRPr="00223CBF" w14:paraId="5AE1C5E5" w14:textId="77777777" w:rsidTr="005C7DD8">
        <w:tc>
          <w:tcPr>
            <w:tcW w:w="5752" w:type="dxa"/>
          </w:tcPr>
          <w:p w14:paraId="4351CFC0" w14:textId="6C8DE885" w:rsidR="007C79D6" w:rsidRPr="000328D8" w:rsidRDefault="007C79D6" w:rsidP="00F041A4">
            <w:pPr>
              <w:pStyle w:val="NormalWeb"/>
              <w:spacing w:line="360" w:lineRule="auto"/>
              <w:jc w:val="both"/>
              <w:rPr>
                <w:rFonts w:ascii="Cambria" w:hAnsi="Cambria"/>
                <w:color w:val="000000" w:themeColor="text1"/>
                <w:sz w:val="20"/>
                <w:szCs w:val="20"/>
              </w:rPr>
            </w:pPr>
            <w:r w:rsidRPr="007C79D6">
              <w:rPr>
                <w:rFonts w:ascii="Cambria" w:hAnsi="Cambria"/>
                <w:color w:val="000000" w:themeColor="text1"/>
                <w:sz w:val="20"/>
                <w:szCs w:val="20"/>
              </w:rPr>
              <w:t xml:space="preserve">Ethical Code of Conduct </w:t>
            </w:r>
          </w:p>
        </w:tc>
        <w:tc>
          <w:tcPr>
            <w:tcW w:w="3968" w:type="dxa"/>
          </w:tcPr>
          <w:p w14:paraId="349BDFB4" w14:textId="4B8E9322" w:rsidR="007C79D6" w:rsidRPr="000328D8" w:rsidRDefault="007C79D6" w:rsidP="00F041A4">
            <w:pPr>
              <w:pStyle w:val="NormalWeb"/>
              <w:spacing w:line="360" w:lineRule="auto"/>
              <w:jc w:val="right"/>
              <w:rPr>
                <w:rFonts w:ascii="Cambria" w:hAnsi="Cambria"/>
                <w:color w:val="000000" w:themeColor="text1"/>
                <w:sz w:val="20"/>
                <w:szCs w:val="20"/>
              </w:rPr>
            </w:pPr>
            <w:r w:rsidRPr="007C79D6">
              <w:rPr>
                <w:rFonts w:ascii="Cambria" w:hAnsi="Cambria"/>
                <w:color w:val="000000" w:themeColor="text1"/>
                <w:sz w:val="20"/>
                <w:szCs w:val="20"/>
              </w:rPr>
              <w:t>ECoC</w:t>
            </w:r>
          </w:p>
        </w:tc>
      </w:tr>
      <w:tr w:rsidR="00ED6C35" w:rsidRPr="00223CBF" w14:paraId="15167E8D" w14:textId="77777777" w:rsidTr="005C7DD8">
        <w:tc>
          <w:tcPr>
            <w:tcW w:w="5752" w:type="dxa"/>
          </w:tcPr>
          <w:p w14:paraId="66FAFC19" w14:textId="77777777" w:rsidR="00ED6C35" w:rsidRPr="00223CBF" w:rsidRDefault="00ED6C35" w:rsidP="00F041A4">
            <w:pPr>
              <w:spacing w:line="360" w:lineRule="auto"/>
              <w:rPr>
                <w:rFonts w:ascii="Cambria" w:hAnsi="Cambria" w:cs="Times New Roman"/>
                <w:color w:val="000000" w:themeColor="text1"/>
                <w:sz w:val="20"/>
                <w:szCs w:val="20"/>
              </w:rPr>
            </w:pPr>
            <w:r w:rsidRPr="00223CBF">
              <w:rPr>
                <w:rFonts w:ascii="Cambria" w:hAnsi="Cambria" w:cs="Times New Roman"/>
                <w:color w:val="000000" w:themeColor="text1"/>
                <w:sz w:val="20"/>
                <w:szCs w:val="20"/>
              </w:rPr>
              <w:t>Gender Equality and Women’s Empowerment</w:t>
            </w:r>
          </w:p>
        </w:tc>
        <w:tc>
          <w:tcPr>
            <w:tcW w:w="3968" w:type="dxa"/>
          </w:tcPr>
          <w:p w14:paraId="45A63A47" w14:textId="77777777" w:rsidR="00ED6C35" w:rsidRPr="00223CBF" w:rsidRDefault="00ED6C35" w:rsidP="00F041A4">
            <w:pPr>
              <w:pStyle w:val="NormalWeb"/>
              <w:spacing w:line="360" w:lineRule="auto"/>
              <w:jc w:val="right"/>
              <w:rPr>
                <w:rFonts w:ascii="Cambria" w:hAnsi="Cambria"/>
                <w:color w:val="000000" w:themeColor="text1"/>
                <w:sz w:val="20"/>
                <w:szCs w:val="20"/>
              </w:rPr>
            </w:pPr>
            <w:r w:rsidRPr="00223CBF">
              <w:rPr>
                <w:rFonts w:ascii="Cambria" w:hAnsi="Cambria"/>
                <w:color w:val="000000" w:themeColor="text1"/>
                <w:sz w:val="20"/>
                <w:szCs w:val="20"/>
              </w:rPr>
              <w:t>GEWE</w:t>
            </w:r>
          </w:p>
        </w:tc>
      </w:tr>
      <w:tr w:rsidR="00ED6C35" w:rsidRPr="00223CBF" w14:paraId="6A632B88" w14:textId="77777777" w:rsidTr="005C7DD8">
        <w:tc>
          <w:tcPr>
            <w:tcW w:w="5752" w:type="dxa"/>
          </w:tcPr>
          <w:p w14:paraId="1B01A903" w14:textId="77777777" w:rsidR="00ED6C35" w:rsidRPr="00223CBF" w:rsidRDefault="00ED6C35" w:rsidP="00F041A4">
            <w:pPr>
              <w:spacing w:line="360" w:lineRule="auto"/>
              <w:rPr>
                <w:rFonts w:ascii="Cambria" w:hAnsi="Cambria" w:cs="Times New Roman"/>
                <w:i/>
                <w:iCs/>
                <w:color w:val="000000" w:themeColor="text1"/>
                <w:sz w:val="20"/>
                <w:szCs w:val="20"/>
              </w:rPr>
            </w:pPr>
            <w:r w:rsidRPr="00223CBF">
              <w:rPr>
                <w:rFonts w:ascii="Cambria" w:hAnsi="Cambria" w:cs="Arial"/>
                <w:color w:val="000000" w:themeColor="text1"/>
                <w:sz w:val="20"/>
                <w:szCs w:val="20"/>
              </w:rPr>
              <w:t>G</w:t>
            </w:r>
            <w:r>
              <w:rPr>
                <w:rFonts w:ascii="Cambria" w:hAnsi="Cambria" w:cs="Arial"/>
                <w:color w:val="000000" w:themeColor="text1"/>
                <w:sz w:val="20"/>
                <w:szCs w:val="20"/>
              </w:rPr>
              <w:t xml:space="preserve">eneralised </w:t>
            </w:r>
            <w:r w:rsidRPr="00223CBF">
              <w:rPr>
                <w:rFonts w:ascii="Cambria" w:hAnsi="Cambria" w:cs="Arial"/>
                <w:color w:val="000000" w:themeColor="text1"/>
                <w:sz w:val="20"/>
                <w:szCs w:val="20"/>
              </w:rPr>
              <w:t>S</w:t>
            </w:r>
            <w:r>
              <w:rPr>
                <w:rFonts w:ascii="Cambria" w:hAnsi="Cambria" w:cs="Arial"/>
                <w:color w:val="000000" w:themeColor="text1"/>
                <w:sz w:val="20"/>
                <w:szCs w:val="20"/>
              </w:rPr>
              <w:t xml:space="preserve">cheme of </w:t>
            </w:r>
            <w:r w:rsidRPr="00223CBF">
              <w:rPr>
                <w:rFonts w:ascii="Cambria" w:hAnsi="Cambria" w:cs="Arial"/>
                <w:color w:val="000000" w:themeColor="text1"/>
                <w:sz w:val="20"/>
                <w:szCs w:val="20"/>
              </w:rPr>
              <w:t>P</w:t>
            </w:r>
            <w:r>
              <w:rPr>
                <w:rFonts w:ascii="Cambria" w:hAnsi="Cambria" w:cs="Arial"/>
                <w:color w:val="000000" w:themeColor="text1"/>
                <w:sz w:val="20"/>
                <w:szCs w:val="20"/>
              </w:rPr>
              <w:t>references</w:t>
            </w:r>
          </w:p>
        </w:tc>
        <w:tc>
          <w:tcPr>
            <w:tcW w:w="3968" w:type="dxa"/>
          </w:tcPr>
          <w:p w14:paraId="29BD9E00" w14:textId="77777777" w:rsidR="00ED6C35" w:rsidRPr="00223CBF" w:rsidRDefault="00ED6C35" w:rsidP="00F041A4">
            <w:pPr>
              <w:pStyle w:val="NormalWeb"/>
              <w:spacing w:line="360" w:lineRule="auto"/>
              <w:jc w:val="right"/>
              <w:rPr>
                <w:rFonts w:ascii="Cambria" w:hAnsi="Cambria"/>
                <w:color w:val="000000" w:themeColor="text1"/>
                <w:sz w:val="20"/>
                <w:szCs w:val="20"/>
              </w:rPr>
            </w:pPr>
            <w:r>
              <w:rPr>
                <w:rFonts w:ascii="Cambria" w:hAnsi="Cambria"/>
                <w:color w:val="000000" w:themeColor="text1"/>
                <w:sz w:val="20"/>
                <w:szCs w:val="20"/>
              </w:rPr>
              <w:t>GSP</w:t>
            </w:r>
          </w:p>
        </w:tc>
      </w:tr>
      <w:tr w:rsidR="00ED6C35" w:rsidRPr="00223CBF" w14:paraId="28698C00" w14:textId="77777777" w:rsidTr="005C7DD8">
        <w:tc>
          <w:tcPr>
            <w:tcW w:w="5752" w:type="dxa"/>
          </w:tcPr>
          <w:p w14:paraId="7989EFD2" w14:textId="77777777" w:rsidR="00ED6C35" w:rsidRPr="00223CBF" w:rsidRDefault="00ED6C35" w:rsidP="00F041A4">
            <w:pPr>
              <w:spacing w:line="360" w:lineRule="auto"/>
              <w:rPr>
                <w:rFonts w:ascii="Cambria" w:hAnsi="Cambria" w:cs="Times New Roman"/>
                <w:color w:val="000000" w:themeColor="text1"/>
                <w:sz w:val="20"/>
                <w:szCs w:val="20"/>
              </w:rPr>
            </w:pPr>
            <w:r w:rsidRPr="00223CBF">
              <w:rPr>
                <w:rFonts w:ascii="Cambria" w:hAnsi="Cambria" w:cs="Times New Roman"/>
                <w:color w:val="000000" w:themeColor="text1"/>
                <w:sz w:val="20"/>
                <w:szCs w:val="20"/>
              </w:rPr>
              <w:t>Government Analyst’s department</w:t>
            </w:r>
          </w:p>
        </w:tc>
        <w:tc>
          <w:tcPr>
            <w:tcW w:w="3968" w:type="dxa"/>
          </w:tcPr>
          <w:p w14:paraId="3BC24F50" w14:textId="77777777" w:rsidR="00ED6C35" w:rsidRPr="00223CBF" w:rsidRDefault="00ED6C35" w:rsidP="00F041A4">
            <w:pPr>
              <w:pStyle w:val="NormalWeb"/>
              <w:spacing w:line="360" w:lineRule="auto"/>
              <w:jc w:val="right"/>
              <w:rPr>
                <w:rFonts w:ascii="Cambria" w:hAnsi="Cambria"/>
                <w:color w:val="000000" w:themeColor="text1"/>
                <w:spacing w:val="4"/>
                <w:sz w:val="20"/>
                <w:szCs w:val="20"/>
                <w:shd w:val="clear" w:color="auto" w:fill="FEFEFE"/>
              </w:rPr>
            </w:pPr>
            <w:r w:rsidRPr="00223CBF">
              <w:rPr>
                <w:rFonts w:ascii="Cambria" w:hAnsi="Cambria"/>
                <w:color w:val="000000" w:themeColor="text1"/>
                <w:spacing w:val="4"/>
                <w:sz w:val="20"/>
                <w:szCs w:val="20"/>
                <w:shd w:val="clear" w:color="auto" w:fill="FEFEFE"/>
              </w:rPr>
              <w:t>GAD</w:t>
            </w:r>
          </w:p>
        </w:tc>
      </w:tr>
      <w:tr w:rsidR="00ED6C35" w:rsidRPr="00223CBF" w14:paraId="6DB72ADD" w14:textId="77777777" w:rsidTr="005C7DD8">
        <w:tc>
          <w:tcPr>
            <w:tcW w:w="5752" w:type="dxa"/>
          </w:tcPr>
          <w:p w14:paraId="742CB0F7" w14:textId="77777777" w:rsidR="00ED6C35" w:rsidRPr="00223CBF" w:rsidRDefault="00ED6C35" w:rsidP="00F041A4">
            <w:pPr>
              <w:spacing w:line="360" w:lineRule="auto"/>
              <w:rPr>
                <w:rFonts w:ascii="Cambria" w:hAnsi="Cambria" w:cs="Times New Roman"/>
                <w:color w:val="000000" w:themeColor="text1"/>
                <w:sz w:val="20"/>
                <w:szCs w:val="20"/>
              </w:rPr>
            </w:pPr>
            <w:r w:rsidRPr="00223CBF">
              <w:rPr>
                <w:rFonts w:ascii="Cambria" w:hAnsi="Cambria" w:cs="Times New Roman"/>
                <w:color w:val="000000" w:themeColor="text1"/>
                <w:sz w:val="20"/>
                <w:szCs w:val="20"/>
              </w:rPr>
              <w:t>Government of Sri Lanka</w:t>
            </w:r>
          </w:p>
        </w:tc>
        <w:tc>
          <w:tcPr>
            <w:tcW w:w="3968" w:type="dxa"/>
          </w:tcPr>
          <w:p w14:paraId="718DF32E" w14:textId="77777777" w:rsidR="00ED6C35" w:rsidRPr="00223CBF" w:rsidRDefault="00ED6C35" w:rsidP="00F041A4">
            <w:pPr>
              <w:pStyle w:val="NormalWeb"/>
              <w:spacing w:line="360" w:lineRule="auto"/>
              <w:jc w:val="right"/>
              <w:rPr>
                <w:rFonts w:ascii="Cambria" w:hAnsi="Cambria"/>
                <w:color w:val="000000" w:themeColor="text1"/>
                <w:spacing w:val="4"/>
                <w:sz w:val="20"/>
                <w:szCs w:val="20"/>
                <w:shd w:val="clear" w:color="auto" w:fill="FEFEFE"/>
              </w:rPr>
            </w:pPr>
            <w:r w:rsidRPr="00223CBF">
              <w:rPr>
                <w:rFonts w:ascii="Cambria" w:hAnsi="Cambria"/>
                <w:color w:val="000000" w:themeColor="text1"/>
                <w:spacing w:val="4"/>
                <w:sz w:val="20"/>
                <w:szCs w:val="20"/>
                <w:shd w:val="clear" w:color="auto" w:fill="FEFEFE"/>
              </w:rPr>
              <w:t>GoSL</w:t>
            </w:r>
          </w:p>
        </w:tc>
      </w:tr>
      <w:tr w:rsidR="00ED6C35" w:rsidRPr="00223CBF" w14:paraId="7F0ACE17" w14:textId="77777777" w:rsidTr="005C7DD8">
        <w:tc>
          <w:tcPr>
            <w:tcW w:w="5752" w:type="dxa"/>
          </w:tcPr>
          <w:p w14:paraId="26F44391" w14:textId="77777777" w:rsidR="00ED6C35" w:rsidRPr="00223CBF" w:rsidRDefault="00ED6C35" w:rsidP="00F041A4">
            <w:pPr>
              <w:spacing w:line="360" w:lineRule="auto"/>
              <w:rPr>
                <w:rFonts w:ascii="Cambria" w:hAnsi="Cambria" w:cs="Times New Roman"/>
                <w:color w:val="000000" w:themeColor="text1"/>
                <w:sz w:val="20"/>
                <w:szCs w:val="20"/>
              </w:rPr>
            </w:pPr>
            <w:r w:rsidRPr="00223CBF">
              <w:rPr>
                <w:rFonts w:ascii="Cambria" w:hAnsi="Cambria" w:cs="Times New Roman"/>
                <w:i/>
                <w:iCs/>
                <w:color w:val="000000" w:themeColor="text1"/>
                <w:sz w:val="20"/>
                <w:szCs w:val="20"/>
              </w:rPr>
              <w:t>Grama</w:t>
            </w:r>
            <w:r w:rsidRPr="00223CBF">
              <w:rPr>
                <w:rFonts w:ascii="Cambria" w:hAnsi="Cambria" w:cs="Times New Roman"/>
                <w:color w:val="000000" w:themeColor="text1"/>
                <w:sz w:val="20"/>
                <w:szCs w:val="20"/>
              </w:rPr>
              <w:t xml:space="preserve"> </w:t>
            </w:r>
            <w:r w:rsidRPr="00223CBF">
              <w:rPr>
                <w:rFonts w:ascii="Cambria" w:hAnsi="Cambria" w:cs="Times New Roman"/>
                <w:i/>
                <w:iCs/>
                <w:color w:val="000000" w:themeColor="text1"/>
                <w:sz w:val="20"/>
                <w:szCs w:val="20"/>
              </w:rPr>
              <w:t>Niladhari</w:t>
            </w:r>
          </w:p>
        </w:tc>
        <w:tc>
          <w:tcPr>
            <w:tcW w:w="3968" w:type="dxa"/>
          </w:tcPr>
          <w:p w14:paraId="03D0DF15" w14:textId="77777777" w:rsidR="00ED6C35" w:rsidRPr="00223CBF" w:rsidRDefault="00ED6C35" w:rsidP="00F041A4">
            <w:pPr>
              <w:pStyle w:val="NormalWeb"/>
              <w:spacing w:line="360" w:lineRule="auto"/>
              <w:jc w:val="right"/>
              <w:rPr>
                <w:rFonts w:ascii="Cambria" w:hAnsi="Cambria"/>
                <w:color w:val="000000" w:themeColor="text1"/>
                <w:sz w:val="20"/>
                <w:szCs w:val="20"/>
              </w:rPr>
            </w:pPr>
            <w:r w:rsidRPr="00223CBF">
              <w:rPr>
                <w:rFonts w:ascii="Cambria" w:hAnsi="Cambria"/>
                <w:color w:val="000000" w:themeColor="text1"/>
                <w:sz w:val="20"/>
                <w:szCs w:val="20"/>
              </w:rPr>
              <w:t>GN</w:t>
            </w:r>
          </w:p>
        </w:tc>
      </w:tr>
      <w:tr w:rsidR="00ED6C35" w:rsidRPr="00223CBF" w14:paraId="12DDEA15" w14:textId="77777777" w:rsidTr="005C7DD8">
        <w:tc>
          <w:tcPr>
            <w:tcW w:w="5752" w:type="dxa"/>
          </w:tcPr>
          <w:p w14:paraId="5C9141AA" w14:textId="77777777" w:rsidR="00ED6C35" w:rsidRPr="00F25DF1" w:rsidRDefault="00ED6C35" w:rsidP="00F041A4">
            <w:pPr>
              <w:pStyle w:val="NormalWeb"/>
              <w:spacing w:line="360" w:lineRule="auto"/>
              <w:jc w:val="both"/>
              <w:rPr>
                <w:rFonts w:ascii="Cambria" w:hAnsi="Cambria"/>
                <w:b/>
                <w:bCs/>
                <w:color w:val="000000" w:themeColor="text1"/>
                <w:sz w:val="20"/>
                <w:szCs w:val="20"/>
              </w:rPr>
            </w:pPr>
            <w:r w:rsidRPr="00F25DF1">
              <w:rPr>
                <w:rFonts w:ascii="Cambria" w:hAnsi="Cambria"/>
                <w:color w:val="000000" w:themeColor="text1"/>
                <w:sz w:val="20"/>
                <w:szCs w:val="20"/>
              </w:rPr>
              <w:t xml:space="preserve">Human Rights Commission of Sri Lanka </w:t>
            </w:r>
          </w:p>
        </w:tc>
        <w:tc>
          <w:tcPr>
            <w:tcW w:w="3968" w:type="dxa"/>
          </w:tcPr>
          <w:p w14:paraId="4B90F398" w14:textId="77777777" w:rsidR="00ED6C35" w:rsidRPr="00F25DF1" w:rsidRDefault="00ED6C35" w:rsidP="00F041A4">
            <w:pPr>
              <w:pStyle w:val="NormalWeb"/>
              <w:spacing w:line="360" w:lineRule="auto"/>
              <w:jc w:val="right"/>
              <w:rPr>
                <w:rFonts w:ascii="Cambria" w:hAnsi="Cambria"/>
                <w:b/>
                <w:bCs/>
                <w:color w:val="000000" w:themeColor="text1"/>
                <w:sz w:val="20"/>
                <w:szCs w:val="20"/>
              </w:rPr>
            </w:pPr>
            <w:r w:rsidRPr="00F25DF1">
              <w:rPr>
                <w:rFonts w:ascii="Cambria" w:hAnsi="Cambria"/>
                <w:color w:val="000000" w:themeColor="text1"/>
                <w:sz w:val="20"/>
                <w:szCs w:val="20"/>
              </w:rPr>
              <w:t>HRCSL</w:t>
            </w:r>
          </w:p>
        </w:tc>
      </w:tr>
      <w:tr w:rsidR="00ED6C35" w:rsidRPr="00223CBF" w14:paraId="6337F15E" w14:textId="77777777" w:rsidTr="005C7DD8">
        <w:tc>
          <w:tcPr>
            <w:tcW w:w="5752" w:type="dxa"/>
          </w:tcPr>
          <w:p w14:paraId="6669F5A1" w14:textId="3D6FABA9" w:rsidR="00ED6C35" w:rsidRPr="00223CBF" w:rsidRDefault="00ED6C35" w:rsidP="00F041A4">
            <w:pPr>
              <w:pStyle w:val="NormalWeb"/>
              <w:spacing w:line="360" w:lineRule="auto"/>
              <w:jc w:val="both"/>
              <w:rPr>
                <w:rFonts w:ascii="Cambria" w:hAnsi="Cambria"/>
                <w:color w:val="000000" w:themeColor="text1"/>
                <w:sz w:val="20"/>
                <w:szCs w:val="20"/>
              </w:rPr>
            </w:pPr>
            <w:r w:rsidRPr="00223CBF">
              <w:rPr>
                <w:rFonts w:ascii="Cambria" w:hAnsi="Cambria"/>
                <w:bCs/>
                <w:color w:val="000000" w:themeColor="text1"/>
                <w:sz w:val="20"/>
                <w:szCs w:val="20"/>
              </w:rPr>
              <w:t>Implementing</w:t>
            </w:r>
            <w:r w:rsidRPr="00223CBF">
              <w:rPr>
                <w:rFonts w:ascii="Cambria" w:hAnsi="Cambria"/>
                <w:b/>
                <w:color w:val="000000" w:themeColor="text1"/>
                <w:sz w:val="20"/>
                <w:szCs w:val="20"/>
              </w:rPr>
              <w:t xml:space="preserve"> </w:t>
            </w:r>
            <w:r w:rsidR="00F25DF1">
              <w:rPr>
                <w:rFonts w:ascii="Cambria" w:hAnsi="Cambria"/>
                <w:bCs/>
                <w:color w:val="000000" w:themeColor="text1"/>
                <w:sz w:val="20"/>
                <w:szCs w:val="20"/>
              </w:rPr>
              <w:t>P</w:t>
            </w:r>
            <w:r w:rsidRPr="00223CBF">
              <w:rPr>
                <w:rFonts w:ascii="Cambria" w:hAnsi="Cambria"/>
                <w:bCs/>
                <w:color w:val="000000" w:themeColor="text1"/>
                <w:sz w:val="20"/>
                <w:szCs w:val="20"/>
              </w:rPr>
              <w:t>artner</w:t>
            </w:r>
            <w:r w:rsidRPr="00223CBF">
              <w:rPr>
                <w:rFonts w:ascii="Cambria" w:hAnsi="Cambria"/>
                <w:b/>
                <w:color w:val="000000" w:themeColor="text1"/>
                <w:sz w:val="20"/>
                <w:szCs w:val="20"/>
              </w:rPr>
              <w:t xml:space="preserve"> </w:t>
            </w:r>
          </w:p>
        </w:tc>
        <w:tc>
          <w:tcPr>
            <w:tcW w:w="3968" w:type="dxa"/>
          </w:tcPr>
          <w:p w14:paraId="0A00FEB4" w14:textId="77777777" w:rsidR="00ED6C35" w:rsidRPr="00223CBF" w:rsidRDefault="00ED6C35" w:rsidP="00F041A4">
            <w:pPr>
              <w:pStyle w:val="NormalWeb"/>
              <w:spacing w:line="360" w:lineRule="auto"/>
              <w:jc w:val="right"/>
              <w:rPr>
                <w:rFonts w:ascii="Cambria" w:hAnsi="Cambria"/>
                <w:color w:val="000000" w:themeColor="text1"/>
                <w:sz w:val="20"/>
                <w:szCs w:val="20"/>
              </w:rPr>
            </w:pPr>
            <w:r w:rsidRPr="00223CBF">
              <w:rPr>
                <w:rFonts w:ascii="Cambria" w:hAnsi="Cambria"/>
                <w:color w:val="000000" w:themeColor="text1"/>
                <w:sz w:val="20"/>
                <w:szCs w:val="20"/>
              </w:rPr>
              <w:t>IP</w:t>
            </w:r>
          </w:p>
        </w:tc>
      </w:tr>
      <w:tr w:rsidR="00ED6C35" w:rsidRPr="00223CBF" w14:paraId="4F0625F5" w14:textId="77777777" w:rsidTr="005C7DD8">
        <w:tc>
          <w:tcPr>
            <w:tcW w:w="5752" w:type="dxa"/>
          </w:tcPr>
          <w:p w14:paraId="743382E7" w14:textId="001942DF" w:rsidR="00ED6C35" w:rsidRPr="00223CBF" w:rsidRDefault="00ED6C35" w:rsidP="00F041A4">
            <w:pPr>
              <w:pStyle w:val="NormalWeb"/>
              <w:spacing w:line="360" w:lineRule="auto"/>
              <w:jc w:val="both"/>
              <w:rPr>
                <w:rFonts w:ascii="Cambria" w:hAnsi="Cambria"/>
                <w:b/>
                <w:color w:val="000000" w:themeColor="text1"/>
                <w:sz w:val="20"/>
                <w:szCs w:val="20"/>
              </w:rPr>
            </w:pPr>
            <w:r w:rsidRPr="00223CBF">
              <w:rPr>
                <w:rFonts w:ascii="Cambria" w:hAnsi="Cambria"/>
                <w:color w:val="000000" w:themeColor="text1"/>
                <w:sz w:val="20"/>
                <w:szCs w:val="20"/>
                <w:lang w:val="en-GB"/>
              </w:rPr>
              <w:t>Independent Commission</w:t>
            </w:r>
          </w:p>
        </w:tc>
        <w:tc>
          <w:tcPr>
            <w:tcW w:w="3968" w:type="dxa"/>
          </w:tcPr>
          <w:p w14:paraId="7731DD5D" w14:textId="64271BA2" w:rsidR="00ED6C35" w:rsidRPr="00223CBF" w:rsidRDefault="00ED6C35" w:rsidP="00F041A4">
            <w:pPr>
              <w:pStyle w:val="NormalWeb"/>
              <w:spacing w:line="360" w:lineRule="auto"/>
              <w:jc w:val="right"/>
              <w:rPr>
                <w:rFonts w:ascii="Cambria" w:hAnsi="Cambria"/>
                <w:color w:val="000000" w:themeColor="text1"/>
                <w:sz w:val="20"/>
                <w:szCs w:val="20"/>
              </w:rPr>
            </w:pPr>
            <w:r w:rsidRPr="00223CBF">
              <w:rPr>
                <w:rFonts w:ascii="Cambria" w:hAnsi="Cambria"/>
                <w:color w:val="000000" w:themeColor="text1"/>
                <w:sz w:val="20"/>
                <w:szCs w:val="20"/>
              </w:rPr>
              <w:t>IC</w:t>
            </w:r>
          </w:p>
        </w:tc>
      </w:tr>
      <w:tr w:rsidR="00ED6C35" w:rsidRPr="00223CBF" w14:paraId="3AE7D6EE" w14:textId="77777777" w:rsidTr="005C7DD8">
        <w:tc>
          <w:tcPr>
            <w:tcW w:w="5752" w:type="dxa"/>
          </w:tcPr>
          <w:p w14:paraId="39EAF482" w14:textId="77777777" w:rsidR="00ED6C35" w:rsidRPr="00223CBF" w:rsidRDefault="00ED6C35" w:rsidP="00F041A4">
            <w:pPr>
              <w:spacing w:line="360" w:lineRule="auto"/>
              <w:rPr>
                <w:rFonts w:ascii="Cambria" w:hAnsi="Cambria" w:cs="Times New Roman"/>
                <w:bCs/>
                <w:color w:val="000000" w:themeColor="text1"/>
                <w:sz w:val="20"/>
                <w:szCs w:val="20"/>
                <w:lang w:val="en-GB"/>
              </w:rPr>
            </w:pPr>
            <w:r w:rsidRPr="00223CBF">
              <w:rPr>
                <w:rFonts w:ascii="Cambria" w:hAnsi="Cambria" w:cs="Times New Roman"/>
                <w:color w:val="000000" w:themeColor="text1"/>
                <w:sz w:val="20"/>
                <w:szCs w:val="20"/>
                <w:shd w:val="clear" w:color="auto" w:fill="FFFFFF"/>
              </w:rPr>
              <w:t>International Convention for the Protection of All Persons from Enforced Disappearance </w:t>
            </w:r>
          </w:p>
        </w:tc>
        <w:tc>
          <w:tcPr>
            <w:tcW w:w="3968" w:type="dxa"/>
          </w:tcPr>
          <w:p w14:paraId="05B2E42A" w14:textId="77777777" w:rsidR="00ED6C35" w:rsidRPr="00223CBF" w:rsidRDefault="00ED6C35" w:rsidP="00F041A4">
            <w:pPr>
              <w:pStyle w:val="NormalWeb"/>
              <w:spacing w:line="360" w:lineRule="auto"/>
              <w:jc w:val="right"/>
              <w:rPr>
                <w:rFonts w:ascii="Cambria" w:hAnsi="Cambria"/>
                <w:color w:val="000000" w:themeColor="text1"/>
                <w:sz w:val="20"/>
                <w:szCs w:val="20"/>
              </w:rPr>
            </w:pPr>
            <w:r w:rsidRPr="00223CBF">
              <w:rPr>
                <w:rFonts w:ascii="Cambria" w:hAnsi="Cambria"/>
                <w:color w:val="000000" w:themeColor="text1"/>
                <w:sz w:val="20"/>
                <w:szCs w:val="20"/>
                <w:shd w:val="clear" w:color="auto" w:fill="FFFFFF"/>
              </w:rPr>
              <w:t>ICPPED</w:t>
            </w:r>
          </w:p>
        </w:tc>
      </w:tr>
      <w:tr w:rsidR="00C54552" w:rsidRPr="00223CBF" w14:paraId="7292D1F3" w14:textId="77777777" w:rsidTr="005C7DD8">
        <w:tc>
          <w:tcPr>
            <w:tcW w:w="5752" w:type="dxa"/>
          </w:tcPr>
          <w:p w14:paraId="50C18226" w14:textId="57D6FB32" w:rsidR="00C54552" w:rsidRPr="00223CBF" w:rsidRDefault="00C54552" w:rsidP="00F041A4">
            <w:pPr>
              <w:spacing w:line="360" w:lineRule="auto"/>
              <w:rPr>
                <w:rFonts w:ascii="Cambria" w:hAnsi="Cambria" w:cs="Times New Roman"/>
                <w:color w:val="000000" w:themeColor="text1"/>
                <w:sz w:val="20"/>
                <w:szCs w:val="20"/>
                <w:shd w:val="clear" w:color="auto" w:fill="FFFFFF"/>
              </w:rPr>
            </w:pPr>
            <w:r w:rsidRPr="00C54552">
              <w:rPr>
                <w:rFonts w:ascii="Cambria" w:eastAsia="Times New Roman" w:hAnsi="Cambria" w:cs="Times New Roman"/>
                <w:color w:val="000000" w:themeColor="text1"/>
                <w:sz w:val="20"/>
                <w:szCs w:val="20"/>
                <w:lang w:eastAsia="en-GB"/>
              </w:rPr>
              <w:t xml:space="preserve">Intended Nationally Determined Contributions </w:t>
            </w:r>
          </w:p>
        </w:tc>
        <w:tc>
          <w:tcPr>
            <w:tcW w:w="3968" w:type="dxa"/>
          </w:tcPr>
          <w:p w14:paraId="2AAAB948" w14:textId="57B12CA0" w:rsidR="00C54552" w:rsidRPr="00223CBF" w:rsidRDefault="00C54552" w:rsidP="00F041A4">
            <w:pPr>
              <w:pStyle w:val="NormalWeb"/>
              <w:spacing w:line="360" w:lineRule="auto"/>
              <w:jc w:val="right"/>
              <w:rPr>
                <w:rFonts w:ascii="Cambria" w:hAnsi="Cambria"/>
                <w:color w:val="000000" w:themeColor="text1"/>
                <w:sz w:val="20"/>
                <w:szCs w:val="20"/>
                <w:shd w:val="clear" w:color="auto" w:fill="FFFFFF"/>
              </w:rPr>
            </w:pPr>
            <w:r w:rsidRPr="00C54552">
              <w:rPr>
                <w:rFonts w:ascii="Cambria" w:hAnsi="Cambria"/>
                <w:color w:val="000000" w:themeColor="text1"/>
                <w:sz w:val="20"/>
                <w:szCs w:val="20"/>
              </w:rPr>
              <w:t>INDCs</w:t>
            </w:r>
          </w:p>
        </w:tc>
      </w:tr>
      <w:tr w:rsidR="00ED6C35" w:rsidRPr="00223CBF" w14:paraId="52FCC4B3" w14:textId="77777777" w:rsidTr="005C7DD8">
        <w:tc>
          <w:tcPr>
            <w:tcW w:w="5752" w:type="dxa"/>
          </w:tcPr>
          <w:p w14:paraId="6B2D40B9" w14:textId="77777777" w:rsidR="00ED6C35" w:rsidRPr="00223CBF" w:rsidRDefault="00ED6C35" w:rsidP="00F041A4">
            <w:pPr>
              <w:spacing w:line="360" w:lineRule="auto"/>
              <w:rPr>
                <w:rFonts w:ascii="Cambria" w:hAnsi="Cambria" w:cs="Times New Roman"/>
                <w:color w:val="000000" w:themeColor="text1"/>
                <w:sz w:val="20"/>
                <w:szCs w:val="20"/>
                <w:shd w:val="clear" w:color="auto" w:fill="FFFFFF"/>
              </w:rPr>
            </w:pPr>
            <w:r>
              <w:rPr>
                <w:rFonts w:ascii="Cambria" w:hAnsi="Cambria" w:cs="Times New Roman"/>
                <w:color w:val="000000" w:themeColor="text1"/>
                <w:sz w:val="20"/>
                <w:szCs w:val="20"/>
                <w:shd w:val="clear" w:color="auto" w:fill="FFFFFF"/>
              </w:rPr>
              <w:t>International Non-Governmental Organizations</w:t>
            </w:r>
          </w:p>
        </w:tc>
        <w:tc>
          <w:tcPr>
            <w:tcW w:w="3968" w:type="dxa"/>
          </w:tcPr>
          <w:p w14:paraId="4218F85C" w14:textId="77777777" w:rsidR="00ED6C35" w:rsidRPr="00223CBF" w:rsidRDefault="00ED6C35" w:rsidP="00F041A4">
            <w:pPr>
              <w:pStyle w:val="NormalWeb"/>
              <w:spacing w:line="360" w:lineRule="auto"/>
              <w:jc w:val="right"/>
              <w:rPr>
                <w:rFonts w:ascii="Cambria" w:hAnsi="Cambria"/>
                <w:color w:val="000000" w:themeColor="text1"/>
                <w:sz w:val="20"/>
                <w:szCs w:val="20"/>
                <w:shd w:val="clear" w:color="auto" w:fill="FFFFFF"/>
              </w:rPr>
            </w:pPr>
            <w:r>
              <w:rPr>
                <w:rFonts w:ascii="Cambria" w:hAnsi="Cambria"/>
                <w:color w:val="000000" w:themeColor="text1"/>
                <w:sz w:val="20"/>
                <w:szCs w:val="20"/>
                <w:shd w:val="clear" w:color="auto" w:fill="FFFFFF"/>
              </w:rPr>
              <w:t>INGOs</w:t>
            </w:r>
          </w:p>
        </w:tc>
      </w:tr>
      <w:tr w:rsidR="00ED6C35" w:rsidRPr="00223CBF" w14:paraId="0331B576" w14:textId="77777777" w:rsidTr="005C7DD8">
        <w:tc>
          <w:tcPr>
            <w:tcW w:w="5752" w:type="dxa"/>
          </w:tcPr>
          <w:p w14:paraId="4612FAB7" w14:textId="77777777" w:rsidR="00ED6C35" w:rsidRPr="00223CBF" w:rsidRDefault="00ED6C35" w:rsidP="00F041A4">
            <w:pPr>
              <w:spacing w:line="360" w:lineRule="auto"/>
              <w:rPr>
                <w:rFonts w:ascii="Cambria" w:hAnsi="Cambria" w:cs="Times New Roman"/>
                <w:color w:val="000000" w:themeColor="text1"/>
                <w:sz w:val="20"/>
                <w:szCs w:val="20"/>
              </w:rPr>
            </w:pPr>
            <w:r w:rsidRPr="00223CBF">
              <w:rPr>
                <w:rFonts w:ascii="Cambria" w:hAnsi="Cambria" w:cs="Times New Roman"/>
                <w:color w:val="000000" w:themeColor="text1"/>
                <w:sz w:val="20"/>
                <w:szCs w:val="20"/>
              </w:rPr>
              <w:t>Judicial Medical Officers</w:t>
            </w:r>
          </w:p>
        </w:tc>
        <w:tc>
          <w:tcPr>
            <w:tcW w:w="3968" w:type="dxa"/>
          </w:tcPr>
          <w:p w14:paraId="612929B3" w14:textId="77777777" w:rsidR="00ED6C35" w:rsidRPr="00223CBF" w:rsidRDefault="00ED6C35" w:rsidP="00F041A4">
            <w:pPr>
              <w:pStyle w:val="NormalWeb"/>
              <w:spacing w:line="360" w:lineRule="auto"/>
              <w:jc w:val="right"/>
              <w:rPr>
                <w:rFonts w:ascii="Cambria" w:hAnsi="Cambria"/>
                <w:color w:val="000000" w:themeColor="text1"/>
                <w:spacing w:val="4"/>
                <w:sz w:val="20"/>
                <w:szCs w:val="20"/>
                <w:shd w:val="clear" w:color="auto" w:fill="FEFEFE"/>
              </w:rPr>
            </w:pPr>
            <w:r w:rsidRPr="00223CBF">
              <w:rPr>
                <w:rFonts w:ascii="Cambria" w:hAnsi="Cambria"/>
                <w:color w:val="000000" w:themeColor="text1"/>
                <w:sz w:val="20"/>
                <w:szCs w:val="20"/>
              </w:rPr>
              <w:t>JMOs</w:t>
            </w:r>
          </w:p>
        </w:tc>
      </w:tr>
      <w:tr w:rsidR="00ED6C35" w:rsidRPr="00223CBF" w14:paraId="60AD6C40" w14:textId="77777777" w:rsidTr="005C7DD8">
        <w:tc>
          <w:tcPr>
            <w:tcW w:w="5752" w:type="dxa"/>
          </w:tcPr>
          <w:p w14:paraId="250B25E4" w14:textId="77777777" w:rsidR="00ED6C35" w:rsidRPr="00223CBF" w:rsidRDefault="00ED6C35" w:rsidP="00F041A4">
            <w:pPr>
              <w:spacing w:line="360" w:lineRule="auto"/>
              <w:rPr>
                <w:rFonts w:ascii="Cambria" w:hAnsi="Cambria" w:cs="Times New Roman"/>
                <w:color w:val="000000" w:themeColor="text1"/>
                <w:spacing w:val="4"/>
                <w:sz w:val="20"/>
                <w:szCs w:val="20"/>
                <w:shd w:val="clear" w:color="auto" w:fill="FEFEFE"/>
              </w:rPr>
            </w:pPr>
            <w:r w:rsidRPr="00223CBF">
              <w:rPr>
                <w:rFonts w:ascii="Cambria" w:hAnsi="Cambria" w:cs="Times New Roman"/>
                <w:color w:val="000000" w:themeColor="text1"/>
                <w:sz w:val="20"/>
                <w:szCs w:val="20"/>
              </w:rPr>
              <w:t>Judicial Service Commission</w:t>
            </w:r>
          </w:p>
        </w:tc>
        <w:tc>
          <w:tcPr>
            <w:tcW w:w="3968" w:type="dxa"/>
          </w:tcPr>
          <w:p w14:paraId="37B9743F" w14:textId="77777777" w:rsidR="00ED6C35" w:rsidRPr="00223CBF" w:rsidRDefault="00ED6C35" w:rsidP="00F041A4">
            <w:pPr>
              <w:pStyle w:val="NormalWeb"/>
              <w:spacing w:line="360" w:lineRule="auto"/>
              <w:jc w:val="right"/>
              <w:rPr>
                <w:rFonts w:ascii="Cambria" w:hAnsi="Cambria"/>
                <w:color w:val="000000" w:themeColor="text1"/>
                <w:spacing w:val="4"/>
                <w:sz w:val="20"/>
                <w:szCs w:val="20"/>
                <w:shd w:val="clear" w:color="auto" w:fill="FEFEFE"/>
              </w:rPr>
            </w:pPr>
            <w:r w:rsidRPr="00223CBF">
              <w:rPr>
                <w:rFonts w:ascii="Cambria" w:hAnsi="Cambria"/>
                <w:color w:val="000000" w:themeColor="text1"/>
                <w:spacing w:val="4"/>
                <w:sz w:val="20"/>
                <w:szCs w:val="20"/>
                <w:shd w:val="clear" w:color="auto" w:fill="FEFEFE"/>
              </w:rPr>
              <w:t>JSC</w:t>
            </w:r>
          </w:p>
        </w:tc>
      </w:tr>
      <w:tr w:rsidR="00ED6C35" w:rsidRPr="00223CBF" w14:paraId="46895E8B" w14:textId="77777777" w:rsidTr="005C7DD8">
        <w:tc>
          <w:tcPr>
            <w:tcW w:w="5752" w:type="dxa"/>
          </w:tcPr>
          <w:p w14:paraId="781ECB82" w14:textId="77777777" w:rsidR="00ED6C35" w:rsidRPr="00223CBF" w:rsidRDefault="00ED6C35" w:rsidP="00F041A4">
            <w:pPr>
              <w:spacing w:line="360" w:lineRule="auto"/>
              <w:rPr>
                <w:rFonts w:ascii="Cambria" w:hAnsi="Cambria" w:cs="Times New Roman"/>
                <w:color w:val="000000" w:themeColor="text1"/>
                <w:sz w:val="20"/>
                <w:szCs w:val="20"/>
              </w:rPr>
            </w:pPr>
            <w:r>
              <w:rPr>
                <w:rFonts w:ascii="Cambria" w:hAnsi="Cambria" w:cs="Times New Roman"/>
                <w:color w:val="000000" w:themeColor="text1"/>
                <w:sz w:val="20"/>
                <w:szCs w:val="20"/>
              </w:rPr>
              <w:lastRenderedPageBreak/>
              <w:t>Judges Training Institute</w:t>
            </w:r>
          </w:p>
        </w:tc>
        <w:tc>
          <w:tcPr>
            <w:tcW w:w="3968" w:type="dxa"/>
          </w:tcPr>
          <w:p w14:paraId="50722885" w14:textId="77777777" w:rsidR="00ED6C35" w:rsidRPr="00223CBF" w:rsidRDefault="00ED6C35" w:rsidP="00F041A4">
            <w:pPr>
              <w:pStyle w:val="NormalWeb"/>
              <w:spacing w:line="360" w:lineRule="auto"/>
              <w:jc w:val="right"/>
              <w:rPr>
                <w:rFonts w:ascii="Cambria" w:hAnsi="Cambria"/>
                <w:color w:val="000000" w:themeColor="text1"/>
                <w:spacing w:val="4"/>
                <w:sz w:val="20"/>
                <w:szCs w:val="20"/>
                <w:shd w:val="clear" w:color="auto" w:fill="FEFEFE"/>
              </w:rPr>
            </w:pPr>
            <w:r>
              <w:rPr>
                <w:rFonts w:ascii="Cambria" w:hAnsi="Cambria"/>
                <w:color w:val="000000" w:themeColor="text1"/>
                <w:spacing w:val="4"/>
                <w:sz w:val="20"/>
                <w:szCs w:val="20"/>
                <w:shd w:val="clear" w:color="auto" w:fill="FEFEFE"/>
              </w:rPr>
              <w:t>JTI</w:t>
            </w:r>
          </w:p>
        </w:tc>
      </w:tr>
      <w:tr w:rsidR="00ED6C35" w:rsidRPr="00223CBF" w14:paraId="67AF334F" w14:textId="77777777" w:rsidTr="005C7DD8">
        <w:tc>
          <w:tcPr>
            <w:tcW w:w="5752" w:type="dxa"/>
          </w:tcPr>
          <w:p w14:paraId="1EFCC760" w14:textId="67D8F23A" w:rsidR="00ED6C35" w:rsidRPr="00223CBF" w:rsidRDefault="00ED6C35" w:rsidP="00F041A4">
            <w:pPr>
              <w:spacing w:line="360" w:lineRule="auto"/>
              <w:rPr>
                <w:rFonts w:ascii="Cambria" w:hAnsi="Cambria" w:cs="Times New Roman"/>
                <w:color w:val="000000" w:themeColor="text1"/>
                <w:sz w:val="20"/>
                <w:szCs w:val="20"/>
              </w:rPr>
            </w:pPr>
            <w:r w:rsidRPr="00223CBF">
              <w:rPr>
                <w:rFonts w:ascii="Cambria" w:hAnsi="Cambria" w:cs="Times New Roman"/>
                <w:color w:val="000000" w:themeColor="text1"/>
                <w:sz w:val="20"/>
                <w:szCs w:val="20"/>
              </w:rPr>
              <w:t>Key Person Interview</w:t>
            </w:r>
            <w:r w:rsidR="001411E0">
              <w:rPr>
                <w:rFonts w:ascii="Cambria" w:hAnsi="Cambria" w:cs="Times New Roman"/>
                <w:color w:val="000000" w:themeColor="text1"/>
                <w:sz w:val="20"/>
                <w:szCs w:val="20"/>
              </w:rPr>
              <w:t>ed</w:t>
            </w:r>
          </w:p>
        </w:tc>
        <w:tc>
          <w:tcPr>
            <w:tcW w:w="3968" w:type="dxa"/>
          </w:tcPr>
          <w:p w14:paraId="62796F49" w14:textId="77777777" w:rsidR="00ED6C35" w:rsidRPr="00223CBF" w:rsidRDefault="00ED6C35" w:rsidP="00F041A4">
            <w:pPr>
              <w:pStyle w:val="NormalWeb"/>
              <w:spacing w:line="360" w:lineRule="auto"/>
              <w:jc w:val="right"/>
              <w:rPr>
                <w:rFonts w:ascii="Cambria" w:hAnsi="Cambria"/>
                <w:color w:val="000000" w:themeColor="text1"/>
                <w:spacing w:val="4"/>
                <w:sz w:val="20"/>
                <w:szCs w:val="20"/>
                <w:shd w:val="clear" w:color="auto" w:fill="FEFEFE"/>
              </w:rPr>
            </w:pPr>
            <w:r w:rsidRPr="00223CBF">
              <w:rPr>
                <w:rFonts w:ascii="Cambria" w:hAnsi="Cambria"/>
                <w:color w:val="000000" w:themeColor="text1"/>
                <w:spacing w:val="4"/>
                <w:sz w:val="20"/>
                <w:szCs w:val="20"/>
                <w:shd w:val="clear" w:color="auto" w:fill="FEFEFE"/>
              </w:rPr>
              <w:t>KPI</w:t>
            </w:r>
          </w:p>
        </w:tc>
      </w:tr>
      <w:tr w:rsidR="00ED6C35" w:rsidRPr="00223CBF" w14:paraId="74B479CE" w14:textId="77777777" w:rsidTr="005C7DD8">
        <w:tc>
          <w:tcPr>
            <w:tcW w:w="5752" w:type="dxa"/>
          </w:tcPr>
          <w:p w14:paraId="47505E33" w14:textId="77777777" w:rsidR="00ED6C35" w:rsidRPr="00223CBF" w:rsidRDefault="00ED6C35" w:rsidP="00F041A4">
            <w:pPr>
              <w:spacing w:line="360" w:lineRule="auto"/>
              <w:rPr>
                <w:rFonts w:ascii="Cambria" w:hAnsi="Cambria" w:cs="Times New Roman"/>
                <w:color w:val="000000" w:themeColor="text1"/>
                <w:sz w:val="20"/>
                <w:szCs w:val="20"/>
              </w:rPr>
            </w:pPr>
            <w:r w:rsidRPr="00223CBF">
              <w:rPr>
                <w:rFonts w:ascii="Cambria" w:hAnsi="Cambria" w:cs="Times New Roman"/>
                <w:color w:val="000000" w:themeColor="text1"/>
                <w:sz w:val="20"/>
                <w:szCs w:val="20"/>
              </w:rPr>
              <w:t>Legal Aid Commission</w:t>
            </w:r>
          </w:p>
        </w:tc>
        <w:tc>
          <w:tcPr>
            <w:tcW w:w="3968" w:type="dxa"/>
          </w:tcPr>
          <w:p w14:paraId="713AB812" w14:textId="77777777" w:rsidR="00ED6C35" w:rsidRPr="00223CBF" w:rsidRDefault="00ED6C35" w:rsidP="00F041A4">
            <w:pPr>
              <w:pStyle w:val="NormalWeb"/>
              <w:spacing w:line="360" w:lineRule="auto"/>
              <w:jc w:val="right"/>
              <w:rPr>
                <w:rFonts w:ascii="Cambria" w:hAnsi="Cambria"/>
                <w:color w:val="000000" w:themeColor="text1"/>
                <w:sz w:val="20"/>
                <w:szCs w:val="20"/>
                <w:shd w:val="clear" w:color="auto" w:fill="FFFFFF"/>
              </w:rPr>
            </w:pPr>
            <w:r w:rsidRPr="00223CBF">
              <w:rPr>
                <w:rFonts w:ascii="Cambria" w:hAnsi="Cambria"/>
                <w:color w:val="000000" w:themeColor="text1"/>
                <w:sz w:val="20"/>
                <w:szCs w:val="20"/>
                <w:shd w:val="clear" w:color="auto" w:fill="FFFFFF"/>
              </w:rPr>
              <w:t>LAC</w:t>
            </w:r>
          </w:p>
        </w:tc>
      </w:tr>
      <w:tr w:rsidR="00ED6C35" w:rsidRPr="00223CBF" w14:paraId="719CDD3F" w14:textId="77777777" w:rsidTr="005C7DD8">
        <w:tc>
          <w:tcPr>
            <w:tcW w:w="5752" w:type="dxa"/>
          </w:tcPr>
          <w:p w14:paraId="4AB1C9FF" w14:textId="77777777" w:rsidR="00ED6C35" w:rsidRPr="00223CBF" w:rsidRDefault="00ED6C35" w:rsidP="00F041A4">
            <w:pPr>
              <w:spacing w:line="360" w:lineRule="auto"/>
              <w:rPr>
                <w:rFonts w:ascii="Cambria" w:hAnsi="Cambria" w:cs="Times New Roman"/>
                <w:color w:val="000000" w:themeColor="text1"/>
                <w:sz w:val="20"/>
                <w:szCs w:val="20"/>
              </w:rPr>
            </w:pPr>
            <w:r w:rsidRPr="00223CBF">
              <w:rPr>
                <w:rFonts w:ascii="Cambria" w:hAnsi="Cambria" w:cs="Times New Roman"/>
                <w:color w:val="000000" w:themeColor="text1"/>
                <w:sz w:val="20"/>
                <w:szCs w:val="20"/>
              </w:rPr>
              <w:t>Legal Draftsman’s Department</w:t>
            </w:r>
          </w:p>
        </w:tc>
        <w:tc>
          <w:tcPr>
            <w:tcW w:w="3968" w:type="dxa"/>
          </w:tcPr>
          <w:p w14:paraId="219F26B6" w14:textId="77777777" w:rsidR="00ED6C35" w:rsidRPr="00223CBF" w:rsidRDefault="00ED6C35" w:rsidP="00F041A4">
            <w:pPr>
              <w:pStyle w:val="NormalWeb"/>
              <w:spacing w:line="360" w:lineRule="auto"/>
              <w:jc w:val="right"/>
              <w:rPr>
                <w:rFonts w:ascii="Cambria" w:hAnsi="Cambria"/>
                <w:color w:val="000000" w:themeColor="text1"/>
                <w:sz w:val="20"/>
                <w:szCs w:val="20"/>
                <w:shd w:val="clear" w:color="auto" w:fill="FFFFFF"/>
              </w:rPr>
            </w:pPr>
            <w:r w:rsidRPr="00223CBF">
              <w:rPr>
                <w:rFonts w:ascii="Cambria" w:hAnsi="Cambria"/>
                <w:color w:val="000000" w:themeColor="text1"/>
                <w:sz w:val="20"/>
                <w:szCs w:val="20"/>
                <w:shd w:val="clear" w:color="auto" w:fill="FFFFFF"/>
              </w:rPr>
              <w:t>LDD</w:t>
            </w:r>
          </w:p>
        </w:tc>
      </w:tr>
      <w:tr w:rsidR="00ED6C35" w:rsidRPr="00223CBF" w14:paraId="659D4C09" w14:textId="77777777" w:rsidTr="005C7DD8">
        <w:tc>
          <w:tcPr>
            <w:tcW w:w="5752" w:type="dxa"/>
          </w:tcPr>
          <w:p w14:paraId="29E09E84" w14:textId="77777777" w:rsidR="00ED6C35" w:rsidRPr="00223CBF" w:rsidRDefault="00ED6C35" w:rsidP="00F041A4">
            <w:pPr>
              <w:spacing w:line="360" w:lineRule="auto"/>
              <w:rPr>
                <w:rFonts w:ascii="Cambria" w:hAnsi="Cambria" w:cs="Times New Roman"/>
                <w:color w:val="000000" w:themeColor="text1"/>
                <w:sz w:val="20"/>
                <w:szCs w:val="20"/>
              </w:rPr>
            </w:pPr>
            <w:r w:rsidRPr="00223CBF">
              <w:rPr>
                <w:rFonts w:ascii="Cambria" w:hAnsi="Cambria" w:cs="Times New Roman"/>
                <w:color w:val="000000" w:themeColor="text1"/>
                <w:sz w:val="20"/>
                <w:szCs w:val="20"/>
              </w:rPr>
              <w:t>Liberation of Tigers of Tamil Eelam</w:t>
            </w:r>
          </w:p>
        </w:tc>
        <w:tc>
          <w:tcPr>
            <w:tcW w:w="3968" w:type="dxa"/>
          </w:tcPr>
          <w:p w14:paraId="292E05B2" w14:textId="77777777" w:rsidR="00ED6C35" w:rsidRPr="00223CBF" w:rsidRDefault="00ED6C35" w:rsidP="00F041A4">
            <w:pPr>
              <w:pStyle w:val="NormalWeb"/>
              <w:spacing w:line="360" w:lineRule="auto"/>
              <w:jc w:val="right"/>
              <w:rPr>
                <w:rFonts w:ascii="Cambria" w:hAnsi="Cambria"/>
                <w:color w:val="000000" w:themeColor="text1"/>
                <w:sz w:val="20"/>
                <w:szCs w:val="20"/>
                <w:shd w:val="clear" w:color="auto" w:fill="FFFFFF"/>
              </w:rPr>
            </w:pPr>
            <w:r w:rsidRPr="00223CBF">
              <w:rPr>
                <w:rFonts w:ascii="Cambria" w:hAnsi="Cambria"/>
                <w:color w:val="000000" w:themeColor="text1"/>
                <w:sz w:val="20"/>
                <w:szCs w:val="20"/>
                <w:shd w:val="clear" w:color="auto" w:fill="FFFFFF"/>
              </w:rPr>
              <w:t>LTTE</w:t>
            </w:r>
          </w:p>
        </w:tc>
      </w:tr>
      <w:tr w:rsidR="00C54552" w:rsidRPr="00223CBF" w14:paraId="6F0CEA3C" w14:textId="77777777" w:rsidTr="005C7DD8">
        <w:tc>
          <w:tcPr>
            <w:tcW w:w="5752" w:type="dxa"/>
          </w:tcPr>
          <w:p w14:paraId="464471B6" w14:textId="2B87E4FE" w:rsidR="00C54552" w:rsidRPr="00223CBF" w:rsidRDefault="00C54552" w:rsidP="00F041A4">
            <w:pPr>
              <w:spacing w:line="360" w:lineRule="auto"/>
              <w:rPr>
                <w:rFonts w:ascii="Cambria" w:hAnsi="Cambria" w:cs="Times New Roman"/>
                <w:color w:val="000000" w:themeColor="text1"/>
                <w:sz w:val="20"/>
                <w:szCs w:val="20"/>
              </w:rPr>
            </w:pPr>
            <w:r w:rsidRPr="00C54552">
              <w:rPr>
                <w:rFonts w:ascii="Cambria" w:hAnsi="Cambria" w:cs="Times New Roman"/>
                <w:color w:val="000000" w:themeColor="text1"/>
                <w:sz w:val="20"/>
                <w:szCs w:val="20"/>
              </w:rPr>
              <w:t xml:space="preserve">Ministry of Mahaweli Development and Environment </w:t>
            </w:r>
          </w:p>
        </w:tc>
        <w:tc>
          <w:tcPr>
            <w:tcW w:w="3968" w:type="dxa"/>
          </w:tcPr>
          <w:p w14:paraId="4ACB29BC" w14:textId="5E88DC68" w:rsidR="00C54552" w:rsidRPr="00223CBF" w:rsidRDefault="00C54552" w:rsidP="00F041A4">
            <w:pPr>
              <w:pStyle w:val="NormalWeb"/>
              <w:spacing w:line="360" w:lineRule="auto"/>
              <w:jc w:val="right"/>
              <w:rPr>
                <w:rFonts w:ascii="Cambria" w:hAnsi="Cambria"/>
                <w:color w:val="000000" w:themeColor="text1"/>
                <w:sz w:val="20"/>
                <w:szCs w:val="20"/>
                <w:shd w:val="clear" w:color="auto" w:fill="FFFFFF"/>
              </w:rPr>
            </w:pPr>
            <w:r w:rsidRPr="00C54552">
              <w:rPr>
                <w:rFonts w:ascii="Cambria" w:hAnsi="Cambria"/>
                <w:color w:val="000000" w:themeColor="text1"/>
                <w:sz w:val="20"/>
                <w:szCs w:val="20"/>
              </w:rPr>
              <w:t>MMDE</w:t>
            </w:r>
          </w:p>
        </w:tc>
      </w:tr>
      <w:tr w:rsidR="00ED6C35" w:rsidRPr="00223CBF" w14:paraId="7153CA18" w14:textId="77777777" w:rsidTr="005C7DD8">
        <w:tc>
          <w:tcPr>
            <w:tcW w:w="5752" w:type="dxa"/>
          </w:tcPr>
          <w:p w14:paraId="5E7AF552" w14:textId="77777777" w:rsidR="00ED6C35" w:rsidRPr="00223CBF" w:rsidRDefault="00ED6C35" w:rsidP="00F041A4">
            <w:pPr>
              <w:spacing w:line="360" w:lineRule="auto"/>
              <w:rPr>
                <w:rFonts w:ascii="Cambria" w:hAnsi="Cambria" w:cs="Times New Roman"/>
                <w:color w:val="000000" w:themeColor="text1"/>
                <w:sz w:val="20"/>
                <w:szCs w:val="20"/>
              </w:rPr>
            </w:pPr>
            <w:r w:rsidRPr="00223CBF">
              <w:rPr>
                <w:rFonts w:ascii="Cambria" w:hAnsi="Cambria" w:cs="Times New Roman"/>
                <w:color w:val="000000" w:themeColor="text1"/>
                <w:sz w:val="20"/>
                <w:szCs w:val="20"/>
              </w:rPr>
              <w:t>Member of Parliament</w:t>
            </w:r>
          </w:p>
        </w:tc>
        <w:tc>
          <w:tcPr>
            <w:tcW w:w="3968" w:type="dxa"/>
          </w:tcPr>
          <w:p w14:paraId="2E2234E4" w14:textId="77777777" w:rsidR="00ED6C35" w:rsidRPr="00223CBF" w:rsidRDefault="00ED6C35" w:rsidP="00F041A4">
            <w:pPr>
              <w:pStyle w:val="NormalWeb"/>
              <w:spacing w:line="360" w:lineRule="auto"/>
              <w:jc w:val="right"/>
              <w:rPr>
                <w:rFonts w:ascii="Cambria" w:hAnsi="Cambria"/>
                <w:color w:val="000000" w:themeColor="text1"/>
                <w:sz w:val="20"/>
                <w:szCs w:val="20"/>
                <w:shd w:val="clear" w:color="auto" w:fill="FFFFFF"/>
              </w:rPr>
            </w:pPr>
            <w:r w:rsidRPr="00223CBF">
              <w:rPr>
                <w:rFonts w:ascii="Cambria" w:hAnsi="Cambria"/>
                <w:color w:val="000000" w:themeColor="text1"/>
                <w:sz w:val="20"/>
                <w:szCs w:val="20"/>
                <w:shd w:val="clear" w:color="auto" w:fill="FFFFFF"/>
              </w:rPr>
              <w:t>MP</w:t>
            </w:r>
          </w:p>
        </w:tc>
      </w:tr>
      <w:tr w:rsidR="00ED6C35" w:rsidRPr="00223CBF" w14:paraId="21ED4BF4" w14:textId="77777777" w:rsidTr="005C7DD8">
        <w:tc>
          <w:tcPr>
            <w:tcW w:w="5752" w:type="dxa"/>
          </w:tcPr>
          <w:p w14:paraId="367CEE8F" w14:textId="77777777" w:rsidR="00ED6C35" w:rsidRPr="001411E0" w:rsidRDefault="00ED6C35" w:rsidP="00F041A4">
            <w:pPr>
              <w:pStyle w:val="NormalWeb"/>
              <w:spacing w:line="360" w:lineRule="auto"/>
              <w:jc w:val="both"/>
              <w:rPr>
                <w:rFonts w:ascii="Cambria" w:hAnsi="Cambria"/>
                <w:color w:val="000000" w:themeColor="text1"/>
                <w:sz w:val="20"/>
                <w:szCs w:val="20"/>
              </w:rPr>
            </w:pPr>
            <w:r w:rsidRPr="001411E0">
              <w:rPr>
                <w:rFonts w:ascii="Cambria" w:hAnsi="Cambria"/>
                <w:color w:val="000000" w:themeColor="text1"/>
                <w:sz w:val="20"/>
                <w:szCs w:val="20"/>
              </w:rPr>
              <w:t xml:space="preserve">Mid-Term Evaluation </w:t>
            </w:r>
          </w:p>
        </w:tc>
        <w:tc>
          <w:tcPr>
            <w:tcW w:w="3968" w:type="dxa"/>
          </w:tcPr>
          <w:p w14:paraId="71D8B6E4" w14:textId="77777777" w:rsidR="00ED6C35" w:rsidRPr="001411E0" w:rsidRDefault="00ED6C35" w:rsidP="00F041A4">
            <w:pPr>
              <w:pStyle w:val="NormalWeb"/>
              <w:spacing w:line="360" w:lineRule="auto"/>
              <w:jc w:val="right"/>
              <w:rPr>
                <w:rFonts w:ascii="Cambria" w:hAnsi="Cambria"/>
                <w:color w:val="000000" w:themeColor="text1"/>
                <w:sz w:val="20"/>
                <w:szCs w:val="20"/>
              </w:rPr>
            </w:pPr>
            <w:r w:rsidRPr="001411E0">
              <w:rPr>
                <w:rFonts w:ascii="Cambria" w:hAnsi="Cambria"/>
                <w:color w:val="000000" w:themeColor="text1"/>
                <w:sz w:val="20"/>
                <w:szCs w:val="20"/>
              </w:rPr>
              <w:t>MTE</w:t>
            </w:r>
          </w:p>
        </w:tc>
      </w:tr>
      <w:tr w:rsidR="00ED6C35" w:rsidRPr="00223CBF" w14:paraId="4FA2F472" w14:textId="77777777" w:rsidTr="005C7DD8">
        <w:tc>
          <w:tcPr>
            <w:tcW w:w="5752" w:type="dxa"/>
          </w:tcPr>
          <w:p w14:paraId="2787A4B0" w14:textId="77777777" w:rsidR="00ED6C35" w:rsidRPr="001411E0" w:rsidRDefault="00ED6C35" w:rsidP="00F041A4">
            <w:pPr>
              <w:pStyle w:val="NormalWeb"/>
              <w:spacing w:line="360" w:lineRule="auto"/>
              <w:jc w:val="both"/>
              <w:rPr>
                <w:rFonts w:ascii="Cambria" w:hAnsi="Cambria"/>
                <w:color w:val="000000" w:themeColor="text1"/>
                <w:sz w:val="20"/>
                <w:szCs w:val="20"/>
              </w:rPr>
            </w:pPr>
            <w:r w:rsidRPr="001411E0">
              <w:rPr>
                <w:rFonts w:ascii="Cambria" w:hAnsi="Cambria"/>
                <w:color w:val="000000" w:themeColor="text1"/>
                <w:sz w:val="20"/>
                <w:szCs w:val="20"/>
              </w:rPr>
              <w:t>Millennium Development Goals</w:t>
            </w:r>
          </w:p>
        </w:tc>
        <w:tc>
          <w:tcPr>
            <w:tcW w:w="3968" w:type="dxa"/>
          </w:tcPr>
          <w:p w14:paraId="19C5ADA3" w14:textId="3F4840BA" w:rsidR="00ED6C35" w:rsidRPr="001411E0" w:rsidRDefault="00ED6C35" w:rsidP="00F041A4">
            <w:pPr>
              <w:pStyle w:val="NormalWeb"/>
              <w:spacing w:line="360" w:lineRule="auto"/>
              <w:jc w:val="right"/>
              <w:rPr>
                <w:rFonts w:ascii="Cambria" w:hAnsi="Cambria"/>
                <w:color w:val="000000" w:themeColor="text1"/>
                <w:sz w:val="20"/>
                <w:szCs w:val="20"/>
              </w:rPr>
            </w:pPr>
            <w:r w:rsidRPr="001411E0">
              <w:rPr>
                <w:rFonts w:ascii="Cambria" w:hAnsi="Cambria"/>
                <w:color w:val="000000" w:themeColor="text1"/>
                <w:sz w:val="20"/>
                <w:szCs w:val="20"/>
              </w:rPr>
              <w:t>MDG</w:t>
            </w:r>
            <w:r w:rsidR="001411E0" w:rsidRPr="001411E0">
              <w:rPr>
                <w:rFonts w:ascii="Cambria" w:hAnsi="Cambria"/>
                <w:color w:val="000000" w:themeColor="text1"/>
                <w:sz w:val="20"/>
                <w:szCs w:val="20"/>
              </w:rPr>
              <w:t>s</w:t>
            </w:r>
          </w:p>
        </w:tc>
      </w:tr>
      <w:tr w:rsidR="00ED6C35" w:rsidRPr="00223CBF" w14:paraId="697375DC" w14:textId="77777777" w:rsidTr="005C7DD8">
        <w:tc>
          <w:tcPr>
            <w:tcW w:w="5752" w:type="dxa"/>
          </w:tcPr>
          <w:p w14:paraId="39889607" w14:textId="77777777" w:rsidR="00ED6C35" w:rsidRPr="001411E0" w:rsidRDefault="00ED6C35" w:rsidP="00F041A4">
            <w:pPr>
              <w:pStyle w:val="NormalWeb"/>
              <w:spacing w:line="360" w:lineRule="auto"/>
              <w:jc w:val="both"/>
              <w:rPr>
                <w:rFonts w:ascii="Cambria" w:hAnsi="Cambria"/>
                <w:color w:val="000000" w:themeColor="text1"/>
                <w:sz w:val="20"/>
                <w:szCs w:val="20"/>
              </w:rPr>
            </w:pPr>
            <w:r w:rsidRPr="001411E0">
              <w:rPr>
                <w:rFonts w:ascii="Cambria" w:hAnsi="Cambria"/>
                <w:color w:val="000000" w:themeColor="text1"/>
                <w:sz w:val="20"/>
                <w:szCs w:val="20"/>
              </w:rPr>
              <w:t xml:space="preserve">Ministry of Justice </w:t>
            </w:r>
          </w:p>
        </w:tc>
        <w:tc>
          <w:tcPr>
            <w:tcW w:w="3968" w:type="dxa"/>
          </w:tcPr>
          <w:p w14:paraId="47F05180" w14:textId="77777777" w:rsidR="00ED6C35" w:rsidRPr="001411E0" w:rsidRDefault="00ED6C35" w:rsidP="00F041A4">
            <w:pPr>
              <w:pStyle w:val="NormalWeb"/>
              <w:spacing w:line="360" w:lineRule="auto"/>
              <w:jc w:val="right"/>
              <w:rPr>
                <w:rFonts w:ascii="Cambria" w:hAnsi="Cambria"/>
                <w:color w:val="000000" w:themeColor="text1"/>
                <w:sz w:val="20"/>
                <w:szCs w:val="20"/>
              </w:rPr>
            </w:pPr>
            <w:r w:rsidRPr="001411E0">
              <w:rPr>
                <w:rFonts w:ascii="Cambria" w:hAnsi="Cambria"/>
                <w:color w:val="000000" w:themeColor="text1"/>
                <w:sz w:val="20"/>
                <w:szCs w:val="20"/>
              </w:rPr>
              <w:t>MOJ</w:t>
            </w:r>
          </w:p>
        </w:tc>
      </w:tr>
      <w:tr w:rsidR="00ED6C35" w:rsidRPr="00223CBF" w14:paraId="7AE5AFB7" w14:textId="77777777" w:rsidTr="005C7DD8">
        <w:tc>
          <w:tcPr>
            <w:tcW w:w="5752" w:type="dxa"/>
          </w:tcPr>
          <w:p w14:paraId="0D7D7B60" w14:textId="77777777" w:rsidR="00ED6C35" w:rsidRPr="00223CBF" w:rsidRDefault="00ED6C35" w:rsidP="00F041A4">
            <w:pPr>
              <w:pStyle w:val="NormalWeb"/>
              <w:spacing w:line="360" w:lineRule="auto"/>
              <w:jc w:val="both"/>
              <w:rPr>
                <w:rFonts w:ascii="Cambria" w:hAnsi="Cambria"/>
                <w:color w:val="000000" w:themeColor="text1"/>
                <w:sz w:val="20"/>
                <w:szCs w:val="20"/>
              </w:rPr>
            </w:pPr>
            <w:r w:rsidRPr="00223CBF">
              <w:rPr>
                <w:rFonts w:ascii="Cambria" w:hAnsi="Cambria"/>
                <w:color w:val="000000" w:themeColor="text1"/>
                <w:sz w:val="20"/>
                <w:szCs w:val="20"/>
              </w:rPr>
              <w:t xml:space="preserve">Ministry of Women and Child Affairs </w:t>
            </w:r>
          </w:p>
        </w:tc>
        <w:tc>
          <w:tcPr>
            <w:tcW w:w="3968" w:type="dxa"/>
          </w:tcPr>
          <w:p w14:paraId="21F2CE6B" w14:textId="77777777" w:rsidR="00ED6C35" w:rsidRPr="00223CBF" w:rsidRDefault="00ED6C35" w:rsidP="00F041A4">
            <w:pPr>
              <w:pStyle w:val="NormalWeb"/>
              <w:spacing w:line="360" w:lineRule="auto"/>
              <w:jc w:val="right"/>
              <w:rPr>
                <w:rFonts w:ascii="Cambria" w:hAnsi="Cambria"/>
                <w:color w:val="000000" w:themeColor="text1"/>
                <w:sz w:val="20"/>
                <w:szCs w:val="20"/>
              </w:rPr>
            </w:pPr>
            <w:r w:rsidRPr="00223CBF">
              <w:rPr>
                <w:rFonts w:ascii="Cambria" w:hAnsi="Cambria"/>
                <w:color w:val="000000" w:themeColor="text1"/>
                <w:sz w:val="20"/>
                <w:szCs w:val="20"/>
              </w:rPr>
              <w:t>MWCA</w:t>
            </w:r>
          </w:p>
        </w:tc>
      </w:tr>
      <w:tr w:rsidR="00ED6C35" w:rsidRPr="00223CBF" w14:paraId="6F3A2E90" w14:textId="77777777" w:rsidTr="005C7DD8">
        <w:tc>
          <w:tcPr>
            <w:tcW w:w="5752" w:type="dxa"/>
          </w:tcPr>
          <w:p w14:paraId="5892FF4F" w14:textId="163F9B88" w:rsidR="00ED6C35" w:rsidRPr="00223CBF" w:rsidRDefault="00F041A4" w:rsidP="00F041A4">
            <w:pPr>
              <w:pStyle w:val="NormalWeb"/>
              <w:spacing w:line="360" w:lineRule="auto"/>
              <w:jc w:val="both"/>
              <w:rPr>
                <w:rFonts w:ascii="Cambria" w:hAnsi="Cambria"/>
                <w:color w:val="000000" w:themeColor="text1"/>
                <w:sz w:val="20"/>
                <w:szCs w:val="20"/>
              </w:rPr>
            </w:pPr>
            <w:r>
              <w:rPr>
                <w:rFonts w:ascii="Cambria" w:hAnsi="Cambria"/>
                <w:color w:val="000000" w:themeColor="text1"/>
                <w:sz w:val="20"/>
                <w:szCs w:val="20"/>
              </w:rPr>
              <w:t>National Action Plan</w:t>
            </w:r>
          </w:p>
        </w:tc>
        <w:tc>
          <w:tcPr>
            <w:tcW w:w="3968" w:type="dxa"/>
          </w:tcPr>
          <w:p w14:paraId="1A594F0C" w14:textId="77777777" w:rsidR="00ED6C35" w:rsidRPr="00223CBF" w:rsidRDefault="00ED6C35" w:rsidP="00F041A4">
            <w:pPr>
              <w:pStyle w:val="NormalWeb"/>
              <w:spacing w:line="360" w:lineRule="auto"/>
              <w:jc w:val="right"/>
              <w:rPr>
                <w:rFonts w:ascii="Cambria" w:hAnsi="Cambria"/>
                <w:color w:val="000000" w:themeColor="text1"/>
                <w:sz w:val="20"/>
                <w:szCs w:val="20"/>
              </w:rPr>
            </w:pPr>
            <w:r>
              <w:rPr>
                <w:rFonts w:ascii="Cambria" w:hAnsi="Cambria"/>
                <w:color w:val="000000" w:themeColor="text1"/>
                <w:sz w:val="20"/>
                <w:szCs w:val="20"/>
              </w:rPr>
              <w:t>NAP</w:t>
            </w:r>
          </w:p>
        </w:tc>
      </w:tr>
      <w:tr w:rsidR="00ED6C35" w:rsidRPr="00223CBF" w14:paraId="2C6E6E18" w14:textId="77777777" w:rsidTr="005C7DD8">
        <w:tc>
          <w:tcPr>
            <w:tcW w:w="5752" w:type="dxa"/>
          </w:tcPr>
          <w:p w14:paraId="261934CA" w14:textId="77777777" w:rsidR="00ED6C35" w:rsidRPr="00F041A4" w:rsidRDefault="00ED6C35" w:rsidP="00F041A4">
            <w:pPr>
              <w:pStyle w:val="NormalWeb"/>
              <w:spacing w:line="360" w:lineRule="auto"/>
              <w:jc w:val="both"/>
              <w:rPr>
                <w:rFonts w:ascii="Cambria" w:hAnsi="Cambria"/>
                <w:color w:val="000000" w:themeColor="text1"/>
                <w:sz w:val="20"/>
                <w:szCs w:val="20"/>
              </w:rPr>
            </w:pPr>
            <w:r w:rsidRPr="00F041A4">
              <w:rPr>
                <w:rFonts w:ascii="Cambria" w:hAnsi="Cambria"/>
                <w:color w:val="000000" w:themeColor="text1"/>
                <w:sz w:val="20"/>
                <w:szCs w:val="20"/>
              </w:rPr>
              <w:t xml:space="preserve">National Police Commission </w:t>
            </w:r>
          </w:p>
        </w:tc>
        <w:tc>
          <w:tcPr>
            <w:tcW w:w="3968" w:type="dxa"/>
          </w:tcPr>
          <w:p w14:paraId="300AE135" w14:textId="77777777" w:rsidR="00ED6C35" w:rsidRPr="00F041A4" w:rsidRDefault="00ED6C35" w:rsidP="00F041A4">
            <w:pPr>
              <w:pStyle w:val="NormalWeb"/>
              <w:spacing w:line="360" w:lineRule="auto"/>
              <w:jc w:val="right"/>
              <w:rPr>
                <w:rFonts w:ascii="Cambria" w:hAnsi="Cambria"/>
                <w:color w:val="000000" w:themeColor="text1"/>
                <w:sz w:val="20"/>
                <w:szCs w:val="20"/>
              </w:rPr>
            </w:pPr>
            <w:r w:rsidRPr="00F041A4">
              <w:rPr>
                <w:rFonts w:ascii="Cambria" w:hAnsi="Cambria"/>
                <w:color w:val="000000" w:themeColor="text1"/>
                <w:sz w:val="20"/>
                <w:szCs w:val="20"/>
              </w:rPr>
              <w:t>NPC</w:t>
            </w:r>
          </w:p>
        </w:tc>
      </w:tr>
      <w:tr w:rsidR="00ED6C35" w:rsidRPr="00223CBF" w14:paraId="61FFEDB5" w14:textId="77777777" w:rsidTr="005C7DD8">
        <w:tc>
          <w:tcPr>
            <w:tcW w:w="5752" w:type="dxa"/>
          </w:tcPr>
          <w:p w14:paraId="23825F45" w14:textId="77777777" w:rsidR="00ED6C35" w:rsidRPr="00223CBF" w:rsidRDefault="00ED6C35" w:rsidP="00F041A4">
            <w:pPr>
              <w:spacing w:line="360" w:lineRule="auto"/>
              <w:rPr>
                <w:rFonts w:ascii="Cambria" w:hAnsi="Cambria" w:cs="Times New Roman"/>
                <w:color w:val="000000" w:themeColor="text1"/>
                <w:sz w:val="20"/>
                <w:szCs w:val="20"/>
              </w:rPr>
            </w:pPr>
            <w:r w:rsidRPr="00223CBF">
              <w:rPr>
                <w:rFonts w:ascii="Cambria" w:hAnsi="Cambria" w:cs="Times New Roman"/>
                <w:color w:val="000000" w:themeColor="text1"/>
                <w:sz w:val="20"/>
                <w:szCs w:val="20"/>
              </w:rPr>
              <w:t>National Victim and Witness Protection Authority</w:t>
            </w:r>
          </w:p>
        </w:tc>
        <w:tc>
          <w:tcPr>
            <w:tcW w:w="3968" w:type="dxa"/>
          </w:tcPr>
          <w:p w14:paraId="5B8D97A8" w14:textId="77777777" w:rsidR="00ED6C35" w:rsidRPr="00223CBF" w:rsidRDefault="00ED6C35" w:rsidP="00F041A4">
            <w:pPr>
              <w:pStyle w:val="NormalWeb"/>
              <w:spacing w:line="360" w:lineRule="auto"/>
              <w:jc w:val="right"/>
              <w:rPr>
                <w:rFonts w:ascii="Cambria" w:hAnsi="Cambria"/>
                <w:color w:val="000000" w:themeColor="text1"/>
                <w:sz w:val="20"/>
                <w:szCs w:val="20"/>
                <w:shd w:val="clear" w:color="auto" w:fill="FFFFFF"/>
              </w:rPr>
            </w:pPr>
            <w:r w:rsidRPr="00223CBF">
              <w:rPr>
                <w:rFonts w:ascii="Cambria" w:hAnsi="Cambria"/>
                <w:color w:val="000000" w:themeColor="text1"/>
                <w:sz w:val="20"/>
                <w:szCs w:val="20"/>
                <w:shd w:val="clear" w:color="auto" w:fill="FFFFFF"/>
              </w:rPr>
              <w:t>NVWPA</w:t>
            </w:r>
          </w:p>
        </w:tc>
      </w:tr>
      <w:tr w:rsidR="00ED6C35" w:rsidRPr="00223CBF" w14:paraId="50895CFE" w14:textId="77777777" w:rsidTr="005C7DD8">
        <w:tc>
          <w:tcPr>
            <w:tcW w:w="5752" w:type="dxa"/>
          </w:tcPr>
          <w:p w14:paraId="324F2540" w14:textId="345367E7" w:rsidR="00ED6C35" w:rsidRPr="00223CBF" w:rsidRDefault="00F041A4" w:rsidP="00F041A4">
            <w:pPr>
              <w:spacing w:line="360" w:lineRule="auto"/>
              <w:rPr>
                <w:rFonts w:ascii="Cambria" w:hAnsi="Cambria" w:cs="Times New Roman"/>
                <w:color w:val="000000" w:themeColor="text1"/>
                <w:sz w:val="20"/>
                <w:szCs w:val="20"/>
              </w:rPr>
            </w:pPr>
            <w:r>
              <w:rPr>
                <w:rFonts w:ascii="Cambria" w:hAnsi="Cambria" w:cs="Times New Roman"/>
                <w:color w:val="000000" w:themeColor="text1"/>
                <w:sz w:val="20"/>
                <w:szCs w:val="20"/>
              </w:rPr>
              <w:t>National Human Rights Action Plan</w:t>
            </w:r>
          </w:p>
        </w:tc>
        <w:tc>
          <w:tcPr>
            <w:tcW w:w="3968" w:type="dxa"/>
          </w:tcPr>
          <w:p w14:paraId="2154E2B1" w14:textId="77777777" w:rsidR="00ED6C35" w:rsidRPr="00223CBF" w:rsidRDefault="00ED6C35" w:rsidP="00F041A4">
            <w:pPr>
              <w:pStyle w:val="NormalWeb"/>
              <w:spacing w:line="360" w:lineRule="auto"/>
              <w:jc w:val="right"/>
              <w:rPr>
                <w:rFonts w:ascii="Cambria" w:hAnsi="Cambria"/>
                <w:color w:val="000000" w:themeColor="text1"/>
                <w:sz w:val="20"/>
                <w:szCs w:val="20"/>
                <w:shd w:val="clear" w:color="auto" w:fill="FFFFFF"/>
              </w:rPr>
            </w:pPr>
            <w:r>
              <w:rPr>
                <w:rFonts w:ascii="Cambria" w:hAnsi="Cambria"/>
                <w:color w:val="000000" w:themeColor="text1"/>
                <w:sz w:val="20"/>
                <w:szCs w:val="20"/>
                <w:shd w:val="clear" w:color="auto" w:fill="FFFFFF"/>
              </w:rPr>
              <w:t>NHRAP</w:t>
            </w:r>
          </w:p>
        </w:tc>
      </w:tr>
      <w:tr w:rsidR="00ED6C35" w:rsidRPr="00223CBF" w14:paraId="28FEDF6E" w14:textId="77777777" w:rsidTr="005C7DD8">
        <w:tc>
          <w:tcPr>
            <w:tcW w:w="5752" w:type="dxa"/>
          </w:tcPr>
          <w:p w14:paraId="40C15B0F" w14:textId="77777777" w:rsidR="00ED6C35" w:rsidRPr="00223CBF" w:rsidRDefault="00ED6C35" w:rsidP="00F041A4">
            <w:pPr>
              <w:spacing w:line="360" w:lineRule="auto"/>
              <w:rPr>
                <w:rFonts w:ascii="Cambria" w:hAnsi="Cambria" w:cs="Times New Roman"/>
                <w:color w:val="000000" w:themeColor="text1"/>
                <w:sz w:val="20"/>
                <w:szCs w:val="20"/>
              </w:rPr>
            </w:pPr>
            <w:r>
              <w:rPr>
                <w:rFonts w:ascii="Cambria" w:hAnsi="Cambria" w:cs="Times New Roman"/>
                <w:color w:val="000000" w:themeColor="text1"/>
                <w:sz w:val="20"/>
                <w:szCs w:val="20"/>
              </w:rPr>
              <w:t>Non-Governmental Organisations</w:t>
            </w:r>
          </w:p>
        </w:tc>
        <w:tc>
          <w:tcPr>
            <w:tcW w:w="3968" w:type="dxa"/>
          </w:tcPr>
          <w:p w14:paraId="54CF1FAC" w14:textId="77777777" w:rsidR="00ED6C35" w:rsidRPr="00223CBF" w:rsidRDefault="00ED6C35" w:rsidP="00F041A4">
            <w:pPr>
              <w:pStyle w:val="NormalWeb"/>
              <w:spacing w:line="360" w:lineRule="auto"/>
              <w:jc w:val="right"/>
              <w:rPr>
                <w:rFonts w:ascii="Cambria" w:hAnsi="Cambria"/>
                <w:color w:val="000000" w:themeColor="text1"/>
                <w:sz w:val="20"/>
                <w:szCs w:val="20"/>
                <w:shd w:val="clear" w:color="auto" w:fill="FFFFFF"/>
              </w:rPr>
            </w:pPr>
            <w:r>
              <w:rPr>
                <w:rFonts w:ascii="Cambria" w:hAnsi="Cambria"/>
                <w:color w:val="000000" w:themeColor="text1"/>
                <w:sz w:val="20"/>
                <w:szCs w:val="20"/>
                <w:shd w:val="clear" w:color="auto" w:fill="FFFFFF"/>
              </w:rPr>
              <w:t>NGOs</w:t>
            </w:r>
          </w:p>
        </w:tc>
      </w:tr>
      <w:tr w:rsidR="00ED6C35" w:rsidRPr="00223CBF" w14:paraId="5AA939AD" w14:textId="77777777" w:rsidTr="005C7DD8">
        <w:tc>
          <w:tcPr>
            <w:tcW w:w="5752" w:type="dxa"/>
          </w:tcPr>
          <w:p w14:paraId="54CE3F8C" w14:textId="77777777" w:rsidR="00ED6C35" w:rsidRDefault="00ED6C35" w:rsidP="00F041A4">
            <w:pPr>
              <w:spacing w:line="360" w:lineRule="auto"/>
              <w:rPr>
                <w:rFonts w:ascii="Cambria" w:hAnsi="Cambria" w:cs="Times New Roman"/>
                <w:color w:val="000000" w:themeColor="text1"/>
                <w:sz w:val="20"/>
                <w:szCs w:val="20"/>
              </w:rPr>
            </w:pPr>
            <w:r>
              <w:rPr>
                <w:rFonts w:ascii="Cambria" w:hAnsi="Cambria" w:cs="Times New Roman"/>
                <w:color w:val="000000" w:themeColor="text1"/>
                <w:sz w:val="20"/>
                <w:szCs w:val="20"/>
              </w:rPr>
              <w:t>Office of the High Commissioner of Human Rights</w:t>
            </w:r>
          </w:p>
        </w:tc>
        <w:tc>
          <w:tcPr>
            <w:tcW w:w="3968" w:type="dxa"/>
          </w:tcPr>
          <w:p w14:paraId="0768CDBB" w14:textId="77777777" w:rsidR="00ED6C35" w:rsidRDefault="00ED6C35" w:rsidP="00F041A4">
            <w:pPr>
              <w:pStyle w:val="NormalWeb"/>
              <w:spacing w:line="360" w:lineRule="auto"/>
              <w:jc w:val="right"/>
              <w:rPr>
                <w:rFonts w:ascii="Cambria" w:hAnsi="Cambria"/>
                <w:color w:val="000000" w:themeColor="text1"/>
                <w:sz w:val="20"/>
                <w:szCs w:val="20"/>
                <w:shd w:val="clear" w:color="auto" w:fill="FFFFFF"/>
              </w:rPr>
            </w:pPr>
            <w:r>
              <w:rPr>
                <w:rFonts w:ascii="Cambria" w:hAnsi="Cambria"/>
                <w:color w:val="000000" w:themeColor="text1"/>
                <w:sz w:val="20"/>
                <w:szCs w:val="20"/>
                <w:shd w:val="clear" w:color="auto" w:fill="FFFFFF"/>
              </w:rPr>
              <w:t>OHCHR</w:t>
            </w:r>
          </w:p>
        </w:tc>
      </w:tr>
      <w:tr w:rsidR="00ED6C35" w:rsidRPr="00223CBF" w14:paraId="0352A353" w14:textId="77777777" w:rsidTr="005C7DD8">
        <w:tc>
          <w:tcPr>
            <w:tcW w:w="5752" w:type="dxa"/>
          </w:tcPr>
          <w:p w14:paraId="29168B46" w14:textId="77777777" w:rsidR="00ED6C35" w:rsidRPr="00223CBF" w:rsidRDefault="00ED6C35" w:rsidP="00F041A4">
            <w:pPr>
              <w:spacing w:line="360" w:lineRule="auto"/>
              <w:rPr>
                <w:rFonts w:ascii="Cambria" w:hAnsi="Cambria" w:cs="Times New Roman"/>
                <w:bCs/>
                <w:color w:val="000000" w:themeColor="text1"/>
                <w:sz w:val="20"/>
                <w:szCs w:val="20"/>
                <w:lang w:val="en-GB"/>
              </w:rPr>
            </w:pPr>
            <w:r w:rsidRPr="00223CBF">
              <w:rPr>
                <w:rFonts w:ascii="Cambria" w:hAnsi="Cambria" w:cs="Times New Roman"/>
                <w:color w:val="000000" w:themeColor="text1"/>
                <w:sz w:val="20"/>
                <w:szCs w:val="20"/>
              </w:rPr>
              <w:t>Office of Missions Persons</w:t>
            </w:r>
          </w:p>
        </w:tc>
        <w:tc>
          <w:tcPr>
            <w:tcW w:w="3968" w:type="dxa"/>
          </w:tcPr>
          <w:p w14:paraId="60E9C5B5" w14:textId="77777777" w:rsidR="00ED6C35" w:rsidRPr="00223CBF" w:rsidRDefault="00ED6C35" w:rsidP="00F041A4">
            <w:pPr>
              <w:pStyle w:val="NormalWeb"/>
              <w:spacing w:line="360" w:lineRule="auto"/>
              <w:jc w:val="right"/>
              <w:rPr>
                <w:rFonts w:ascii="Cambria" w:hAnsi="Cambria"/>
                <w:color w:val="000000" w:themeColor="text1"/>
                <w:sz w:val="20"/>
                <w:szCs w:val="20"/>
                <w:shd w:val="clear" w:color="auto" w:fill="FFFFFF"/>
              </w:rPr>
            </w:pPr>
            <w:r w:rsidRPr="00223CBF">
              <w:rPr>
                <w:rFonts w:ascii="Cambria" w:hAnsi="Cambria"/>
                <w:color w:val="000000" w:themeColor="text1"/>
                <w:sz w:val="20"/>
                <w:szCs w:val="20"/>
                <w:shd w:val="clear" w:color="auto" w:fill="FFFFFF"/>
              </w:rPr>
              <w:t>OMP</w:t>
            </w:r>
          </w:p>
        </w:tc>
      </w:tr>
      <w:tr w:rsidR="00ED6C35" w:rsidRPr="00223CBF" w14:paraId="7EB82A7B" w14:textId="77777777" w:rsidTr="005C7DD8">
        <w:tc>
          <w:tcPr>
            <w:tcW w:w="5752" w:type="dxa"/>
          </w:tcPr>
          <w:p w14:paraId="14505037" w14:textId="77777777" w:rsidR="00ED6C35" w:rsidRPr="00223CBF" w:rsidRDefault="00ED6C35" w:rsidP="00F041A4">
            <w:pPr>
              <w:spacing w:line="360" w:lineRule="auto"/>
              <w:rPr>
                <w:rFonts w:ascii="Cambria" w:hAnsi="Cambria" w:cs="Times New Roman"/>
                <w:color w:val="000000" w:themeColor="text1"/>
                <w:sz w:val="20"/>
                <w:szCs w:val="20"/>
                <w:shd w:val="clear" w:color="auto" w:fill="FFFFFF"/>
              </w:rPr>
            </w:pPr>
            <w:r w:rsidRPr="00223CBF">
              <w:rPr>
                <w:rFonts w:ascii="Cambria" w:hAnsi="Cambria" w:cs="Times New Roman"/>
                <w:color w:val="000000" w:themeColor="text1"/>
                <w:sz w:val="20"/>
                <w:szCs w:val="20"/>
                <w:shd w:val="clear" w:color="auto" w:fill="FFFFFF"/>
              </w:rPr>
              <w:t>Optional Protocol to the Convention Against Torture</w:t>
            </w:r>
          </w:p>
        </w:tc>
        <w:tc>
          <w:tcPr>
            <w:tcW w:w="3968" w:type="dxa"/>
          </w:tcPr>
          <w:p w14:paraId="68221623" w14:textId="77777777" w:rsidR="00ED6C35" w:rsidRPr="00223CBF" w:rsidRDefault="00ED6C35" w:rsidP="00F041A4">
            <w:pPr>
              <w:pStyle w:val="NormalWeb"/>
              <w:spacing w:line="360" w:lineRule="auto"/>
              <w:jc w:val="right"/>
              <w:rPr>
                <w:rFonts w:ascii="Cambria" w:hAnsi="Cambria"/>
                <w:color w:val="000000" w:themeColor="text1"/>
                <w:sz w:val="20"/>
                <w:szCs w:val="20"/>
                <w:shd w:val="clear" w:color="auto" w:fill="FFFFFF"/>
              </w:rPr>
            </w:pPr>
            <w:r w:rsidRPr="00223CBF">
              <w:rPr>
                <w:rFonts w:ascii="Cambria" w:hAnsi="Cambria"/>
                <w:color w:val="000000" w:themeColor="text1"/>
                <w:sz w:val="20"/>
                <w:szCs w:val="20"/>
                <w:shd w:val="clear" w:color="auto" w:fill="FFFFFF"/>
              </w:rPr>
              <w:t>OPCAT</w:t>
            </w:r>
          </w:p>
        </w:tc>
      </w:tr>
      <w:tr w:rsidR="00ED6C35" w:rsidRPr="00223CBF" w14:paraId="4DB9F262" w14:textId="77777777" w:rsidTr="005C7DD8">
        <w:tc>
          <w:tcPr>
            <w:tcW w:w="5752" w:type="dxa"/>
          </w:tcPr>
          <w:p w14:paraId="7A42B4DB" w14:textId="77777777" w:rsidR="00ED6C35" w:rsidRPr="00223CBF" w:rsidRDefault="00ED6C35" w:rsidP="00F041A4">
            <w:pPr>
              <w:pStyle w:val="NormalWeb"/>
              <w:spacing w:line="360" w:lineRule="auto"/>
              <w:jc w:val="both"/>
              <w:rPr>
                <w:rFonts w:ascii="Cambria" w:hAnsi="Cambria"/>
                <w:color w:val="000000" w:themeColor="text1"/>
                <w:sz w:val="20"/>
                <w:szCs w:val="20"/>
                <w:lang w:val="en-GB"/>
              </w:rPr>
            </w:pPr>
            <w:r w:rsidRPr="00223CBF">
              <w:rPr>
                <w:rFonts w:ascii="Cambria" w:hAnsi="Cambria"/>
                <w:color w:val="000000" w:themeColor="text1"/>
                <w:sz w:val="20"/>
                <w:szCs w:val="20"/>
              </w:rPr>
              <w:t>Parliamentary Development Action Plan</w:t>
            </w:r>
          </w:p>
        </w:tc>
        <w:tc>
          <w:tcPr>
            <w:tcW w:w="3968" w:type="dxa"/>
          </w:tcPr>
          <w:p w14:paraId="6C211F48" w14:textId="77777777" w:rsidR="00ED6C35" w:rsidRPr="00223CBF" w:rsidRDefault="00ED6C35" w:rsidP="00F041A4">
            <w:pPr>
              <w:pStyle w:val="NormalWeb"/>
              <w:spacing w:line="360" w:lineRule="auto"/>
              <w:jc w:val="right"/>
              <w:rPr>
                <w:rFonts w:ascii="Cambria" w:hAnsi="Cambria"/>
                <w:color w:val="000000" w:themeColor="text1"/>
                <w:sz w:val="20"/>
                <w:szCs w:val="20"/>
              </w:rPr>
            </w:pPr>
            <w:r w:rsidRPr="00223CBF">
              <w:rPr>
                <w:rFonts w:ascii="Cambria" w:hAnsi="Cambria"/>
                <w:color w:val="000000" w:themeColor="text1"/>
                <w:sz w:val="20"/>
                <w:szCs w:val="20"/>
              </w:rPr>
              <w:t>PDAP</w:t>
            </w:r>
          </w:p>
        </w:tc>
      </w:tr>
      <w:tr w:rsidR="00ED6C35" w:rsidRPr="00223CBF" w14:paraId="5308FF71" w14:textId="77777777" w:rsidTr="005C7DD8">
        <w:tc>
          <w:tcPr>
            <w:tcW w:w="5752" w:type="dxa"/>
          </w:tcPr>
          <w:p w14:paraId="719482B9" w14:textId="77777777" w:rsidR="00ED6C35" w:rsidRPr="00223CBF" w:rsidRDefault="00ED6C35" w:rsidP="00F041A4">
            <w:pPr>
              <w:spacing w:line="360" w:lineRule="auto"/>
              <w:rPr>
                <w:rFonts w:ascii="Cambria" w:hAnsi="Cambria" w:cs="Times New Roman"/>
                <w:color w:val="000000" w:themeColor="text1"/>
                <w:sz w:val="20"/>
                <w:szCs w:val="20"/>
              </w:rPr>
            </w:pPr>
            <w:r w:rsidRPr="00223CBF">
              <w:rPr>
                <w:rFonts w:ascii="Cambria" w:hAnsi="Cambria" w:cs="Times New Roman"/>
                <w:color w:val="000000" w:themeColor="text1"/>
                <w:sz w:val="20"/>
                <w:szCs w:val="20"/>
              </w:rPr>
              <w:t>Parliamentary Secretariat</w:t>
            </w:r>
          </w:p>
        </w:tc>
        <w:tc>
          <w:tcPr>
            <w:tcW w:w="3968" w:type="dxa"/>
          </w:tcPr>
          <w:p w14:paraId="6967ED57" w14:textId="77777777" w:rsidR="00ED6C35" w:rsidRPr="00223CBF" w:rsidRDefault="00ED6C35" w:rsidP="00F041A4">
            <w:pPr>
              <w:pStyle w:val="NormalWeb"/>
              <w:spacing w:line="360" w:lineRule="auto"/>
              <w:jc w:val="right"/>
              <w:rPr>
                <w:rFonts w:ascii="Cambria" w:hAnsi="Cambria"/>
                <w:color w:val="000000" w:themeColor="text1"/>
                <w:sz w:val="20"/>
                <w:szCs w:val="20"/>
              </w:rPr>
            </w:pPr>
            <w:r w:rsidRPr="00223CBF">
              <w:rPr>
                <w:rFonts w:ascii="Cambria" w:hAnsi="Cambria"/>
                <w:color w:val="000000" w:themeColor="text1"/>
                <w:sz w:val="20"/>
                <w:szCs w:val="20"/>
              </w:rPr>
              <w:t>PS</w:t>
            </w:r>
          </w:p>
        </w:tc>
      </w:tr>
      <w:tr w:rsidR="00ED6C35" w:rsidRPr="00223CBF" w14:paraId="6875C1EF" w14:textId="77777777" w:rsidTr="005C7DD8">
        <w:tc>
          <w:tcPr>
            <w:tcW w:w="5752" w:type="dxa"/>
          </w:tcPr>
          <w:p w14:paraId="1B3C6DEA" w14:textId="77777777" w:rsidR="00ED6C35" w:rsidRPr="00223CBF" w:rsidRDefault="00ED6C35" w:rsidP="00F041A4">
            <w:pPr>
              <w:spacing w:line="360" w:lineRule="auto"/>
              <w:rPr>
                <w:rFonts w:ascii="Cambria" w:hAnsi="Cambria" w:cs="Times New Roman"/>
                <w:color w:val="000000" w:themeColor="text1"/>
                <w:sz w:val="20"/>
                <w:szCs w:val="20"/>
              </w:rPr>
            </w:pPr>
            <w:r w:rsidRPr="00223CBF">
              <w:rPr>
                <w:rFonts w:ascii="Cambria" w:hAnsi="Cambria" w:cs="Times New Roman"/>
                <w:color w:val="000000" w:themeColor="text1"/>
                <w:spacing w:val="4"/>
                <w:sz w:val="20"/>
                <w:szCs w:val="20"/>
                <w:shd w:val="clear" w:color="auto" w:fill="FEFEFE"/>
              </w:rPr>
              <w:t>Police Protection Division</w:t>
            </w:r>
          </w:p>
        </w:tc>
        <w:tc>
          <w:tcPr>
            <w:tcW w:w="3968" w:type="dxa"/>
          </w:tcPr>
          <w:p w14:paraId="78517801" w14:textId="77777777" w:rsidR="00ED6C35" w:rsidRPr="00223CBF" w:rsidRDefault="00ED6C35" w:rsidP="00F041A4">
            <w:pPr>
              <w:pStyle w:val="NormalWeb"/>
              <w:spacing w:line="360" w:lineRule="auto"/>
              <w:jc w:val="right"/>
              <w:rPr>
                <w:rFonts w:ascii="Cambria" w:hAnsi="Cambria"/>
                <w:color w:val="000000" w:themeColor="text1"/>
                <w:spacing w:val="4"/>
                <w:sz w:val="20"/>
                <w:szCs w:val="20"/>
                <w:shd w:val="clear" w:color="auto" w:fill="FEFEFE"/>
              </w:rPr>
            </w:pPr>
            <w:r w:rsidRPr="00223CBF">
              <w:rPr>
                <w:rFonts w:ascii="Cambria" w:hAnsi="Cambria"/>
                <w:color w:val="000000" w:themeColor="text1"/>
                <w:spacing w:val="4"/>
                <w:sz w:val="20"/>
                <w:szCs w:val="20"/>
                <w:shd w:val="clear" w:color="auto" w:fill="FEFEFE"/>
              </w:rPr>
              <w:t>PPD</w:t>
            </w:r>
          </w:p>
        </w:tc>
      </w:tr>
      <w:tr w:rsidR="00ED6C35" w:rsidRPr="00223CBF" w14:paraId="3A233B5B" w14:textId="77777777" w:rsidTr="005C7DD8">
        <w:tc>
          <w:tcPr>
            <w:tcW w:w="5752" w:type="dxa"/>
          </w:tcPr>
          <w:p w14:paraId="250715AF" w14:textId="77777777" w:rsidR="00ED6C35" w:rsidRPr="00F041A4" w:rsidRDefault="00ED6C35" w:rsidP="00F041A4">
            <w:pPr>
              <w:pStyle w:val="NormalWeb"/>
              <w:spacing w:line="360" w:lineRule="auto"/>
              <w:jc w:val="both"/>
              <w:rPr>
                <w:rFonts w:ascii="Cambria" w:hAnsi="Cambria"/>
                <w:color w:val="000000" w:themeColor="text1"/>
                <w:sz w:val="20"/>
                <w:szCs w:val="20"/>
              </w:rPr>
            </w:pPr>
            <w:r w:rsidRPr="00F041A4">
              <w:rPr>
                <w:rFonts w:ascii="Cambria" w:hAnsi="Cambria"/>
                <w:color w:val="000000" w:themeColor="text1"/>
                <w:sz w:val="20"/>
                <w:szCs w:val="20"/>
              </w:rPr>
              <w:t xml:space="preserve">Right to Information Commission </w:t>
            </w:r>
          </w:p>
        </w:tc>
        <w:tc>
          <w:tcPr>
            <w:tcW w:w="3968" w:type="dxa"/>
          </w:tcPr>
          <w:p w14:paraId="1BD7A009" w14:textId="77777777" w:rsidR="00ED6C35" w:rsidRPr="00F041A4" w:rsidRDefault="00ED6C35" w:rsidP="00F041A4">
            <w:pPr>
              <w:pStyle w:val="NormalWeb"/>
              <w:spacing w:line="360" w:lineRule="auto"/>
              <w:jc w:val="right"/>
              <w:rPr>
                <w:rFonts w:ascii="Cambria" w:hAnsi="Cambria"/>
                <w:color w:val="000000" w:themeColor="text1"/>
                <w:sz w:val="20"/>
                <w:szCs w:val="20"/>
              </w:rPr>
            </w:pPr>
            <w:r w:rsidRPr="00F041A4">
              <w:rPr>
                <w:rFonts w:ascii="Cambria" w:hAnsi="Cambria"/>
                <w:color w:val="000000" w:themeColor="text1"/>
                <w:sz w:val="20"/>
                <w:szCs w:val="20"/>
              </w:rPr>
              <w:t>RTIC</w:t>
            </w:r>
          </w:p>
        </w:tc>
      </w:tr>
      <w:tr w:rsidR="00ED6C35" w:rsidRPr="00223CBF" w14:paraId="4C606ADF" w14:textId="77777777" w:rsidTr="005C7DD8">
        <w:tc>
          <w:tcPr>
            <w:tcW w:w="5752" w:type="dxa"/>
          </w:tcPr>
          <w:p w14:paraId="74A8F3D6" w14:textId="77777777" w:rsidR="00ED6C35" w:rsidRPr="00223CBF" w:rsidRDefault="00ED6C35" w:rsidP="00F041A4">
            <w:pPr>
              <w:pStyle w:val="NormalWeb"/>
              <w:spacing w:line="360" w:lineRule="auto"/>
              <w:jc w:val="both"/>
              <w:rPr>
                <w:rFonts w:ascii="Cambria" w:hAnsi="Cambria"/>
                <w:color w:val="000000" w:themeColor="text1"/>
                <w:sz w:val="20"/>
                <w:szCs w:val="20"/>
              </w:rPr>
            </w:pPr>
            <w:r w:rsidRPr="00223CBF">
              <w:rPr>
                <w:rFonts w:ascii="Cambria" w:hAnsi="Cambria"/>
                <w:color w:val="000000" w:themeColor="text1"/>
                <w:sz w:val="20"/>
                <w:szCs w:val="20"/>
              </w:rPr>
              <w:t>Secretary General of Parliament</w:t>
            </w:r>
          </w:p>
        </w:tc>
        <w:tc>
          <w:tcPr>
            <w:tcW w:w="3968" w:type="dxa"/>
          </w:tcPr>
          <w:p w14:paraId="109F5A85" w14:textId="77777777" w:rsidR="00ED6C35" w:rsidRPr="00223CBF" w:rsidRDefault="00ED6C35" w:rsidP="00F041A4">
            <w:pPr>
              <w:pStyle w:val="NormalWeb"/>
              <w:spacing w:line="360" w:lineRule="auto"/>
              <w:jc w:val="right"/>
              <w:rPr>
                <w:rFonts w:ascii="Cambria" w:hAnsi="Cambria"/>
                <w:color w:val="000000" w:themeColor="text1"/>
                <w:sz w:val="20"/>
                <w:szCs w:val="20"/>
              </w:rPr>
            </w:pPr>
            <w:r w:rsidRPr="00223CBF">
              <w:rPr>
                <w:rFonts w:ascii="Cambria" w:hAnsi="Cambria"/>
                <w:color w:val="000000" w:themeColor="text1"/>
                <w:sz w:val="20"/>
                <w:szCs w:val="20"/>
              </w:rPr>
              <w:t>SG</w:t>
            </w:r>
          </w:p>
        </w:tc>
      </w:tr>
      <w:tr w:rsidR="00ED6C35" w:rsidRPr="00223CBF" w14:paraId="21A6F505" w14:textId="77777777" w:rsidTr="005C7DD8">
        <w:tc>
          <w:tcPr>
            <w:tcW w:w="5752" w:type="dxa"/>
          </w:tcPr>
          <w:p w14:paraId="29F0BC96" w14:textId="77777777" w:rsidR="00ED6C35" w:rsidRPr="00223CBF" w:rsidRDefault="00ED6C35" w:rsidP="00F041A4">
            <w:pPr>
              <w:spacing w:line="360" w:lineRule="auto"/>
              <w:rPr>
                <w:rFonts w:ascii="Cambria" w:hAnsi="Cambria" w:cs="Times New Roman"/>
                <w:color w:val="000000" w:themeColor="text1"/>
                <w:sz w:val="20"/>
                <w:szCs w:val="20"/>
              </w:rPr>
            </w:pPr>
            <w:r w:rsidRPr="00223CBF">
              <w:rPr>
                <w:rFonts w:ascii="Cambria" w:hAnsi="Cambria" w:cs="Times New Roman"/>
                <w:color w:val="000000" w:themeColor="text1"/>
                <w:sz w:val="20"/>
                <w:szCs w:val="20"/>
              </w:rPr>
              <w:t>Sectoral Oversight Committee</w:t>
            </w:r>
          </w:p>
        </w:tc>
        <w:tc>
          <w:tcPr>
            <w:tcW w:w="3968" w:type="dxa"/>
          </w:tcPr>
          <w:p w14:paraId="137F9C96" w14:textId="77777777" w:rsidR="00ED6C35" w:rsidRPr="00223CBF" w:rsidRDefault="00ED6C35" w:rsidP="00F041A4">
            <w:pPr>
              <w:pStyle w:val="NormalWeb"/>
              <w:spacing w:line="360" w:lineRule="auto"/>
              <w:jc w:val="right"/>
              <w:rPr>
                <w:rFonts w:ascii="Cambria" w:hAnsi="Cambria"/>
                <w:color w:val="000000" w:themeColor="text1"/>
                <w:sz w:val="20"/>
                <w:szCs w:val="20"/>
              </w:rPr>
            </w:pPr>
            <w:r w:rsidRPr="00223CBF">
              <w:rPr>
                <w:rFonts w:ascii="Cambria" w:hAnsi="Cambria"/>
                <w:color w:val="000000" w:themeColor="text1"/>
                <w:sz w:val="20"/>
                <w:szCs w:val="20"/>
              </w:rPr>
              <w:t>SOC</w:t>
            </w:r>
          </w:p>
        </w:tc>
      </w:tr>
      <w:tr w:rsidR="00ED6C35" w:rsidRPr="00223CBF" w14:paraId="46BE56A4" w14:textId="77777777" w:rsidTr="005C7DD8">
        <w:tc>
          <w:tcPr>
            <w:tcW w:w="5752" w:type="dxa"/>
          </w:tcPr>
          <w:p w14:paraId="1D128215" w14:textId="77777777" w:rsidR="00ED6C35" w:rsidRPr="00223CBF" w:rsidRDefault="00ED6C35" w:rsidP="00F041A4">
            <w:pPr>
              <w:spacing w:line="360" w:lineRule="auto"/>
              <w:rPr>
                <w:rFonts w:ascii="Cambria" w:hAnsi="Cambria" w:cs="Times New Roman"/>
                <w:color w:val="000000" w:themeColor="text1"/>
                <w:sz w:val="20"/>
                <w:szCs w:val="20"/>
              </w:rPr>
            </w:pPr>
            <w:r w:rsidRPr="00223CBF">
              <w:rPr>
                <w:rFonts w:ascii="Cambria" w:hAnsi="Cambria" w:cs="Times New Roman"/>
                <w:color w:val="000000" w:themeColor="text1"/>
                <w:sz w:val="20"/>
                <w:szCs w:val="20"/>
              </w:rPr>
              <w:t>Sexual and Gender Based Violence</w:t>
            </w:r>
          </w:p>
        </w:tc>
        <w:tc>
          <w:tcPr>
            <w:tcW w:w="3968" w:type="dxa"/>
          </w:tcPr>
          <w:p w14:paraId="6A151B1F" w14:textId="77777777" w:rsidR="00ED6C35" w:rsidRPr="00223CBF" w:rsidRDefault="00ED6C35" w:rsidP="00F041A4">
            <w:pPr>
              <w:pStyle w:val="NormalWeb"/>
              <w:spacing w:line="360" w:lineRule="auto"/>
              <w:jc w:val="right"/>
              <w:rPr>
                <w:rFonts w:ascii="Cambria" w:hAnsi="Cambria"/>
                <w:color w:val="000000" w:themeColor="text1"/>
                <w:spacing w:val="4"/>
                <w:sz w:val="20"/>
                <w:szCs w:val="20"/>
                <w:shd w:val="clear" w:color="auto" w:fill="FEFEFE"/>
              </w:rPr>
            </w:pPr>
            <w:r w:rsidRPr="00223CBF">
              <w:rPr>
                <w:rFonts w:ascii="Cambria" w:hAnsi="Cambria"/>
                <w:color w:val="000000" w:themeColor="text1"/>
                <w:spacing w:val="4"/>
                <w:sz w:val="20"/>
                <w:szCs w:val="20"/>
                <w:shd w:val="clear" w:color="auto" w:fill="FEFEFE"/>
              </w:rPr>
              <w:t>SGBV</w:t>
            </w:r>
          </w:p>
        </w:tc>
      </w:tr>
      <w:tr w:rsidR="00ED6C35" w:rsidRPr="00223CBF" w14:paraId="7452C938" w14:textId="77777777" w:rsidTr="005C7DD8">
        <w:tc>
          <w:tcPr>
            <w:tcW w:w="5752" w:type="dxa"/>
          </w:tcPr>
          <w:p w14:paraId="0F0EBE61" w14:textId="77777777" w:rsidR="00ED6C35" w:rsidRPr="00223CBF" w:rsidRDefault="00ED6C35" w:rsidP="00F041A4">
            <w:pPr>
              <w:spacing w:line="360" w:lineRule="auto"/>
              <w:rPr>
                <w:rFonts w:ascii="Cambria" w:hAnsi="Cambria" w:cs="Times New Roman"/>
                <w:color w:val="000000" w:themeColor="text1"/>
                <w:sz w:val="20"/>
                <w:szCs w:val="20"/>
                <w:shd w:val="clear" w:color="auto" w:fill="FFFFFF"/>
              </w:rPr>
            </w:pPr>
            <w:r w:rsidRPr="00223CBF">
              <w:rPr>
                <w:rFonts w:ascii="Cambria" w:hAnsi="Cambria" w:cs="Times New Roman"/>
                <w:bCs/>
                <w:color w:val="000000" w:themeColor="text1"/>
                <w:sz w:val="20"/>
                <w:szCs w:val="20"/>
              </w:rPr>
              <w:t>Smart Commission Meeting System</w:t>
            </w:r>
          </w:p>
        </w:tc>
        <w:tc>
          <w:tcPr>
            <w:tcW w:w="3968" w:type="dxa"/>
          </w:tcPr>
          <w:p w14:paraId="43AA38D3" w14:textId="77777777" w:rsidR="00ED6C35" w:rsidRPr="00223CBF" w:rsidRDefault="00ED6C35" w:rsidP="00F041A4">
            <w:pPr>
              <w:pStyle w:val="NormalWeb"/>
              <w:spacing w:line="360" w:lineRule="auto"/>
              <w:jc w:val="right"/>
              <w:rPr>
                <w:rFonts w:ascii="Cambria" w:hAnsi="Cambria"/>
                <w:color w:val="000000" w:themeColor="text1"/>
                <w:sz w:val="20"/>
                <w:szCs w:val="20"/>
                <w:shd w:val="clear" w:color="auto" w:fill="FFFFFF"/>
              </w:rPr>
            </w:pPr>
            <w:r w:rsidRPr="00223CBF">
              <w:rPr>
                <w:rFonts w:ascii="Cambria" w:hAnsi="Cambria"/>
                <w:color w:val="000000" w:themeColor="text1"/>
                <w:sz w:val="20"/>
                <w:szCs w:val="20"/>
                <w:shd w:val="clear" w:color="auto" w:fill="FFFFFF"/>
              </w:rPr>
              <w:t>SCMS</w:t>
            </w:r>
          </w:p>
        </w:tc>
      </w:tr>
      <w:tr w:rsidR="00ED6C35" w:rsidRPr="00223CBF" w14:paraId="4EA03A43" w14:textId="77777777" w:rsidTr="005C7DD8">
        <w:tc>
          <w:tcPr>
            <w:tcW w:w="5752" w:type="dxa"/>
          </w:tcPr>
          <w:p w14:paraId="26FE6FFE" w14:textId="77777777" w:rsidR="00ED6C35" w:rsidRPr="00223CBF" w:rsidRDefault="00ED6C35" w:rsidP="00F041A4">
            <w:pPr>
              <w:spacing w:line="360" w:lineRule="auto"/>
              <w:rPr>
                <w:rFonts w:ascii="Cambria" w:hAnsi="Cambria" w:cs="Times New Roman"/>
                <w:bCs/>
                <w:color w:val="000000" w:themeColor="text1"/>
                <w:sz w:val="20"/>
                <w:szCs w:val="20"/>
              </w:rPr>
            </w:pPr>
            <w:r w:rsidRPr="00223CBF">
              <w:rPr>
                <w:rFonts w:ascii="Cambria" w:hAnsi="Cambria" w:cs="Arial"/>
                <w:color w:val="000000" w:themeColor="text1"/>
                <w:sz w:val="20"/>
                <w:szCs w:val="20"/>
              </w:rPr>
              <w:t xml:space="preserve">Sri Lanka Podujana Peramuna </w:t>
            </w:r>
          </w:p>
        </w:tc>
        <w:tc>
          <w:tcPr>
            <w:tcW w:w="3968" w:type="dxa"/>
          </w:tcPr>
          <w:p w14:paraId="0A1B267D" w14:textId="77777777" w:rsidR="00ED6C35" w:rsidRPr="00223CBF" w:rsidRDefault="00ED6C35" w:rsidP="00F041A4">
            <w:pPr>
              <w:pStyle w:val="NormalWeb"/>
              <w:spacing w:line="360" w:lineRule="auto"/>
              <w:jc w:val="right"/>
              <w:rPr>
                <w:rFonts w:ascii="Cambria" w:hAnsi="Cambria"/>
                <w:color w:val="000000" w:themeColor="text1"/>
                <w:sz w:val="20"/>
                <w:szCs w:val="20"/>
                <w:shd w:val="clear" w:color="auto" w:fill="FFFFFF"/>
              </w:rPr>
            </w:pPr>
            <w:r w:rsidRPr="00223CBF">
              <w:rPr>
                <w:rFonts w:ascii="Cambria" w:hAnsi="Cambria" w:cs="Arial"/>
                <w:color w:val="000000" w:themeColor="text1"/>
                <w:sz w:val="20"/>
                <w:szCs w:val="20"/>
              </w:rPr>
              <w:t>SLPP</w:t>
            </w:r>
          </w:p>
        </w:tc>
      </w:tr>
      <w:tr w:rsidR="00ED6C35" w:rsidRPr="00223CBF" w14:paraId="6E89CD16" w14:textId="77777777" w:rsidTr="005C7DD8">
        <w:tc>
          <w:tcPr>
            <w:tcW w:w="5752" w:type="dxa"/>
          </w:tcPr>
          <w:p w14:paraId="73E806A9" w14:textId="77777777" w:rsidR="00ED6C35" w:rsidRPr="00223CBF" w:rsidRDefault="00ED6C35" w:rsidP="00F041A4">
            <w:pPr>
              <w:spacing w:line="360" w:lineRule="auto"/>
              <w:rPr>
                <w:rFonts w:ascii="Cambria" w:hAnsi="Cambria" w:cs="Times New Roman"/>
                <w:bCs/>
                <w:color w:val="000000" w:themeColor="text1"/>
                <w:sz w:val="20"/>
                <w:szCs w:val="20"/>
              </w:rPr>
            </w:pPr>
            <w:r w:rsidRPr="00223CBF">
              <w:rPr>
                <w:rFonts w:ascii="Cambria" w:hAnsi="Cambria" w:cs="Times New Roman"/>
                <w:color w:val="000000" w:themeColor="text1"/>
                <w:sz w:val="20"/>
                <w:szCs w:val="20"/>
              </w:rPr>
              <w:t>Standard Operating Procedures</w:t>
            </w:r>
          </w:p>
        </w:tc>
        <w:tc>
          <w:tcPr>
            <w:tcW w:w="3968" w:type="dxa"/>
          </w:tcPr>
          <w:p w14:paraId="275477EF" w14:textId="77777777" w:rsidR="00ED6C35" w:rsidRPr="00223CBF" w:rsidRDefault="00ED6C35" w:rsidP="00F041A4">
            <w:pPr>
              <w:pStyle w:val="NormalWeb"/>
              <w:spacing w:line="360" w:lineRule="auto"/>
              <w:jc w:val="right"/>
              <w:rPr>
                <w:rFonts w:ascii="Cambria" w:hAnsi="Cambria"/>
                <w:color w:val="000000" w:themeColor="text1"/>
                <w:sz w:val="20"/>
                <w:szCs w:val="20"/>
                <w:shd w:val="clear" w:color="auto" w:fill="FFFFFF"/>
              </w:rPr>
            </w:pPr>
            <w:r w:rsidRPr="00223CBF">
              <w:rPr>
                <w:rFonts w:ascii="Cambria" w:hAnsi="Cambria"/>
                <w:color w:val="000000" w:themeColor="text1"/>
                <w:sz w:val="20"/>
                <w:szCs w:val="20"/>
                <w:shd w:val="clear" w:color="auto" w:fill="FFFFFF"/>
              </w:rPr>
              <w:t>SOP</w:t>
            </w:r>
          </w:p>
        </w:tc>
      </w:tr>
      <w:tr w:rsidR="00ED6C35" w:rsidRPr="00223CBF" w14:paraId="43A88528" w14:textId="77777777" w:rsidTr="005C7DD8">
        <w:tc>
          <w:tcPr>
            <w:tcW w:w="5752" w:type="dxa"/>
          </w:tcPr>
          <w:p w14:paraId="378DA6D9" w14:textId="77777777" w:rsidR="00ED6C35" w:rsidRPr="00223CBF" w:rsidRDefault="00ED6C35" w:rsidP="00F041A4">
            <w:pPr>
              <w:spacing w:line="360" w:lineRule="auto"/>
              <w:rPr>
                <w:rFonts w:ascii="Cambria" w:hAnsi="Cambria" w:cs="Times New Roman"/>
                <w:color w:val="000000" w:themeColor="text1"/>
                <w:sz w:val="20"/>
                <w:szCs w:val="20"/>
              </w:rPr>
            </w:pPr>
            <w:r w:rsidRPr="00223CBF">
              <w:rPr>
                <w:rFonts w:ascii="Cambria" w:hAnsi="Cambria" w:cs="Times New Roman"/>
                <w:color w:val="000000" w:themeColor="text1"/>
                <w:spacing w:val="4"/>
                <w:sz w:val="20"/>
                <w:szCs w:val="20"/>
                <w:shd w:val="clear" w:color="auto" w:fill="FEFEFE"/>
              </w:rPr>
              <w:t>Strengthening Enforcement of Law, Access to Justice and Social Integration Programme</w:t>
            </w:r>
          </w:p>
        </w:tc>
        <w:tc>
          <w:tcPr>
            <w:tcW w:w="3968" w:type="dxa"/>
          </w:tcPr>
          <w:p w14:paraId="5046B55D" w14:textId="77777777" w:rsidR="00ED6C35" w:rsidRPr="00223CBF" w:rsidRDefault="00ED6C35" w:rsidP="00F041A4">
            <w:pPr>
              <w:pStyle w:val="NormalWeb"/>
              <w:spacing w:line="360" w:lineRule="auto"/>
              <w:jc w:val="right"/>
              <w:rPr>
                <w:rFonts w:ascii="Cambria" w:hAnsi="Cambria"/>
                <w:color w:val="000000" w:themeColor="text1"/>
                <w:sz w:val="20"/>
                <w:szCs w:val="20"/>
                <w:shd w:val="clear" w:color="auto" w:fill="FFFFFF"/>
              </w:rPr>
            </w:pPr>
            <w:r w:rsidRPr="00223CBF">
              <w:rPr>
                <w:rFonts w:ascii="Cambria" w:hAnsi="Cambria"/>
                <w:color w:val="000000" w:themeColor="text1"/>
                <w:spacing w:val="4"/>
                <w:sz w:val="20"/>
                <w:szCs w:val="20"/>
                <w:shd w:val="clear" w:color="auto" w:fill="FEFEFE"/>
              </w:rPr>
              <w:t>SELAJSI</w:t>
            </w:r>
          </w:p>
        </w:tc>
      </w:tr>
      <w:tr w:rsidR="00F34E52" w:rsidRPr="00223CBF" w14:paraId="28FD7B39" w14:textId="77777777" w:rsidTr="005C7DD8">
        <w:tc>
          <w:tcPr>
            <w:tcW w:w="5752" w:type="dxa"/>
          </w:tcPr>
          <w:p w14:paraId="6DF359AE" w14:textId="10F1AD89" w:rsidR="00F34E52" w:rsidRPr="00223CBF" w:rsidRDefault="00F34E52" w:rsidP="00F041A4">
            <w:pPr>
              <w:pStyle w:val="NormalWeb"/>
              <w:spacing w:line="360" w:lineRule="auto"/>
              <w:jc w:val="both"/>
              <w:rPr>
                <w:rFonts w:ascii="Cambria" w:hAnsi="Cambria"/>
                <w:color w:val="000000" w:themeColor="text1"/>
                <w:sz w:val="20"/>
                <w:szCs w:val="20"/>
              </w:rPr>
            </w:pPr>
            <w:r>
              <w:rPr>
                <w:rFonts w:ascii="Cambria" w:hAnsi="Cambria"/>
                <w:color w:val="000000" w:themeColor="text1"/>
                <w:sz w:val="20"/>
                <w:szCs w:val="20"/>
              </w:rPr>
              <w:t>Sustainable Development Goals</w:t>
            </w:r>
          </w:p>
        </w:tc>
        <w:tc>
          <w:tcPr>
            <w:tcW w:w="3968" w:type="dxa"/>
          </w:tcPr>
          <w:p w14:paraId="2BC46904" w14:textId="46C35748" w:rsidR="00F34E52" w:rsidRPr="00223CBF" w:rsidRDefault="00F34E52" w:rsidP="00F041A4">
            <w:pPr>
              <w:pStyle w:val="NormalWeb"/>
              <w:spacing w:line="360" w:lineRule="auto"/>
              <w:jc w:val="right"/>
              <w:rPr>
                <w:rFonts w:ascii="Cambria" w:hAnsi="Cambria"/>
                <w:color w:val="000000" w:themeColor="text1"/>
                <w:sz w:val="20"/>
                <w:szCs w:val="20"/>
              </w:rPr>
            </w:pPr>
            <w:r>
              <w:rPr>
                <w:rFonts w:ascii="Cambria" w:hAnsi="Cambria"/>
                <w:color w:val="000000" w:themeColor="text1"/>
                <w:sz w:val="20"/>
                <w:szCs w:val="20"/>
              </w:rPr>
              <w:t>SDGs</w:t>
            </w:r>
          </w:p>
        </w:tc>
      </w:tr>
      <w:tr w:rsidR="00ED6C35" w:rsidRPr="00223CBF" w14:paraId="25E211ED" w14:textId="77777777" w:rsidTr="005C7DD8">
        <w:tc>
          <w:tcPr>
            <w:tcW w:w="5752" w:type="dxa"/>
          </w:tcPr>
          <w:p w14:paraId="3309173D" w14:textId="77777777" w:rsidR="00ED6C35" w:rsidRPr="00223CBF" w:rsidRDefault="00ED6C35" w:rsidP="00F041A4">
            <w:pPr>
              <w:pStyle w:val="NormalWeb"/>
              <w:spacing w:line="360" w:lineRule="auto"/>
              <w:jc w:val="both"/>
              <w:rPr>
                <w:rFonts w:ascii="Cambria" w:hAnsi="Cambria"/>
                <w:b/>
                <w:bCs/>
                <w:color w:val="000000" w:themeColor="text1"/>
                <w:sz w:val="20"/>
                <w:szCs w:val="20"/>
              </w:rPr>
            </w:pPr>
            <w:r w:rsidRPr="00223CBF">
              <w:rPr>
                <w:rFonts w:ascii="Cambria" w:hAnsi="Cambria"/>
                <w:color w:val="000000" w:themeColor="text1"/>
                <w:sz w:val="20"/>
                <w:szCs w:val="20"/>
              </w:rPr>
              <w:lastRenderedPageBreak/>
              <w:t>Sustainable Development Goal 16</w:t>
            </w:r>
          </w:p>
        </w:tc>
        <w:tc>
          <w:tcPr>
            <w:tcW w:w="3968" w:type="dxa"/>
          </w:tcPr>
          <w:p w14:paraId="7ECD527A" w14:textId="77777777" w:rsidR="00ED6C35" w:rsidRPr="00223CBF" w:rsidRDefault="00ED6C35" w:rsidP="00F041A4">
            <w:pPr>
              <w:pStyle w:val="NormalWeb"/>
              <w:spacing w:line="360" w:lineRule="auto"/>
              <w:jc w:val="right"/>
              <w:rPr>
                <w:rFonts w:ascii="Cambria" w:hAnsi="Cambria"/>
                <w:color w:val="000000" w:themeColor="text1"/>
                <w:sz w:val="20"/>
                <w:szCs w:val="20"/>
              </w:rPr>
            </w:pPr>
            <w:r w:rsidRPr="00223CBF">
              <w:rPr>
                <w:rFonts w:ascii="Cambria" w:hAnsi="Cambria"/>
                <w:color w:val="000000" w:themeColor="text1"/>
                <w:sz w:val="20"/>
                <w:szCs w:val="20"/>
              </w:rPr>
              <w:t>SDG 16</w:t>
            </w:r>
          </w:p>
        </w:tc>
      </w:tr>
      <w:tr w:rsidR="00ED6C35" w:rsidRPr="00223CBF" w14:paraId="126630A4" w14:textId="77777777" w:rsidTr="005C7DD8">
        <w:tc>
          <w:tcPr>
            <w:tcW w:w="5752" w:type="dxa"/>
          </w:tcPr>
          <w:p w14:paraId="6CD67175" w14:textId="77777777" w:rsidR="00ED6C35" w:rsidRPr="00223CBF" w:rsidRDefault="00ED6C35" w:rsidP="00F041A4">
            <w:pPr>
              <w:pStyle w:val="NormalWeb"/>
              <w:spacing w:line="360" w:lineRule="auto"/>
              <w:jc w:val="both"/>
              <w:rPr>
                <w:rFonts w:ascii="Cambria" w:hAnsi="Cambria"/>
                <w:color w:val="000000" w:themeColor="text1"/>
                <w:sz w:val="20"/>
                <w:szCs w:val="20"/>
                <w:lang w:val="en-GB"/>
              </w:rPr>
            </w:pPr>
            <w:r w:rsidRPr="00223CBF">
              <w:rPr>
                <w:rFonts w:ascii="Cambria" w:hAnsi="Cambria"/>
                <w:color w:val="000000" w:themeColor="text1"/>
                <w:sz w:val="20"/>
                <w:szCs w:val="20"/>
                <w:lang w:val="en-GB"/>
              </w:rPr>
              <w:t>Terms of Reference</w:t>
            </w:r>
          </w:p>
        </w:tc>
        <w:tc>
          <w:tcPr>
            <w:tcW w:w="3968" w:type="dxa"/>
          </w:tcPr>
          <w:p w14:paraId="79CB96D4" w14:textId="77777777" w:rsidR="00ED6C35" w:rsidRPr="00223CBF" w:rsidRDefault="00ED6C35" w:rsidP="00F041A4">
            <w:pPr>
              <w:pStyle w:val="NormalWeb"/>
              <w:spacing w:line="360" w:lineRule="auto"/>
              <w:jc w:val="right"/>
              <w:rPr>
                <w:rFonts w:ascii="Cambria" w:hAnsi="Cambria"/>
                <w:color w:val="000000" w:themeColor="text1"/>
                <w:sz w:val="20"/>
                <w:szCs w:val="20"/>
              </w:rPr>
            </w:pPr>
            <w:r w:rsidRPr="00223CBF">
              <w:rPr>
                <w:rFonts w:ascii="Cambria" w:hAnsi="Cambria"/>
                <w:color w:val="000000" w:themeColor="text1"/>
                <w:sz w:val="20"/>
                <w:szCs w:val="20"/>
              </w:rPr>
              <w:t>TOR</w:t>
            </w:r>
          </w:p>
        </w:tc>
      </w:tr>
      <w:tr w:rsidR="00ED6C35" w:rsidRPr="00223CBF" w14:paraId="5A310372" w14:textId="77777777" w:rsidTr="005C7DD8">
        <w:tc>
          <w:tcPr>
            <w:tcW w:w="5752" w:type="dxa"/>
          </w:tcPr>
          <w:p w14:paraId="7564AD29" w14:textId="77777777" w:rsidR="00ED6C35" w:rsidRPr="00223CBF" w:rsidRDefault="00ED6C35" w:rsidP="00F041A4">
            <w:pPr>
              <w:pStyle w:val="NormalWeb"/>
              <w:spacing w:line="360" w:lineRule="auto"/>
              <w:jc w:val="both"/>
              <w:rPr>
                <w:rFonts w:ascii="Cambria" w:hAnsi="Cambria"/>
                <w:color w:val="000000" w:themeColor="text1"/>
                <w:sz w:val="20"/>
                <w:szCs w:val="20"/>
                <w:lang w:val="en-GB"/>
              </w:rPr>
            </w:pPr>
            <w:r w:rsidRPr="00223CBF">
              <w:rPr>
                <w:rFonts w:ascii="Cambria" w:hAnsi="Cambria"/>
                <w:color w:val="000000" w:themeColor="text1"/>
                <w:sz w:val="20"/>
                <w:szCs w:val="20"/>
                <w:lang w:val="en-GB"/>
              </w:rPr>
              <w:t>The Nineteenth Amendment to the Constitution</w:t>
            </w:r>
          </w:p>
        </w:tc>
        <w:tc>
          <w:tcPr>
            <w:tcW w:w="3968" w:type="dxa"/>
          </w:tcPr>
          <w:p w14:paraId="3253F6D4" w14:textId="77777777" w:rsidR="00ED6C35" w:rsidRPr="00223CBF" w:rsidRDefault="00ED6C35" w:rsidP="00F041A4">
            <w:pPr>
              <w:pStyle w:val="NormalWeb"/>
              <w:spacing w:line="360" w:lineRule="auto"/>
              <w:jc w:val="right"/>
              <w:rPr>
                <w:rFonts w:ascii="Cambria" w:hAnsi="Cambria"/>
                <w:color w:val="000000" w:themeColor="text1"/>
                <w:sz w:val="20"/>
                <w:szCs w:val="20"/>
              </w:rPr>
            </w:pPr>
            <w:r w:rsidRPr="00223CBF">
              <w:rPr>
                <w:rFonts w:ascii="Cambria" w:hAnsi="Cambria"/>
                <w:color w:val="000000" w:themeColor="text1"/>
                <w:sz w:val="20"/>
                <w:szCs w:val="20"/>
              </w:rPr>
              <w:t>19</w:t>
            </w:r>
            <w:r w:rsidRPr="00223CBF">
              <w:rPr>
                <w:rFonts w:ascii="Cambria" w:hAnsi="Cambria"/>
                <w:color w:val="000000" w:themeColor="text1"/>
                <w:sz w:val="20"/>
                <w:szCs w:val="20"/>
                <w:vertAlign w:val="superscript"/>
              </w:rPr>
              <w:t>th</w:t>
            </w:r>
            <w:r w:rsidRPr="00223CBF">
              <w:rPr>
                <w:rFonts w:ascii="Cambria" w:hAnsi="Cambria"/>
                <w:color w:val="000000" w:themeColor="text1"/>
                <w:sz w:val="20"/>
                <w:szCs w:val="20"/>
              </w:rPr>
              <w:t xml:space="preserve"> Amendment</w:t>
            </w:r>
          </w:p>
        </w:tc>
      </w:tr>
      <w:tr w:rsidR="00ED6C35" w:rsidRPr="00223CBF" w14:paraId="2D69D5B9" w14:textId="77777777" w:rsidTr="005C7DD8">
        <w:tc>
          <w:tcPr>
            <w:tcW w:w="5752" w:type="dxa"/>
          </w:tcPr>
          <w:p w14:paraId="255E23DA" w14:textId="77777777" w:rsidR="00ED6C35" w:rsidRPr="00223CBF" w:rsidRDefault="00ED6C35" w:rsidP="00F041A4">
            <w:pPr>
              <w:spacing w:line="360" w:lineRule="auto"/>
              <w:rPr>
                <w:rFonts w:ascii="Cambria" w:hAnsi="Cambria" w:cs="Times New Roman"/>
                <w:color w:val="000000" w:themeColor="text1"/>
                <w:spacing w:val="4"/>
                <w:sz w:val="20"/>
                <w:szCs w:val="20"/>
                <w:shd w:val="clear" w:color="auto" w:fill="FEFEFE"/>
              </w:rPr>
            </w:pPr>
            <w:r w:rsidRPr="00223CBF">
              <w:rPr>
                <w:rFonts w:ascii="Cambria" w:hAnsi="Cambria" w:cs="Times New Roman"/>
                <w:color w:val="000000" w:themeColor="text1"/>
                <w:spacing w:val="4"/>
                <w:sz w:val="20"/>
                <w:szCs w:val="20"/>
                <w:shd w:val="clear" w:color="auto" w:fill="FEFEFE"/>
              </w:rPr>
              <w:t>Transitional Justice</w:t>
            </w:r>
          </w:p>
        </w:tc>
        <w:tc>
          <w:tcPr>
            <w:tcW w:w="3968" w:type="dxa"/>
          </w:tcPr>
          <w:p w14:paraId="27922A34" w14:textId="77777777" w:rsidR="00ED6C35" w:rsidRPr="00223CBF" w:rsidRDefault="00ED6C35" w:rsidP="00F041A4">
            <w:pPr>
              <w:pStyle w:val="NormalWeb"/>
              <w:spacing w:line="360" w:lineRule="auto"/>
              <w:jc w:val="right"/>
              <w:rPr>
                <w:rFonts w:ascii="Cambria" w:hAnsi="Cambria"/>
                <w:color w:val="000000" w:themeColor="text1"/>
                <w:spacing w:val="4"/>
                <w:sz w:val="20"/>
                <w:szCs w:val="20"/>
                <w:shd w:val="clear" w:color="auto" w:fill="FEFEFE"/>
              </w:rPr>
            </w:pPr>
            <w:r w:rsidRPr="00223CBF">
              <w:rPr>
                <w:rFonts w:ascii="Cambria" w:hAnsi="Cambria"/>
                <w:color w:val="000000" w:themeColor="text1"/>
                <w:spacing w:val="4"/>
                <w:sz w:val="20"/>
                <w:szCs w:val="20"/>
                <w:shd w:val="clear" w:color="auto" w:fill="FEFEFE"/>
              </w:rPr>
              <w:t>TJ</w:t>
            </w:r>
          </w:p>
        </w:tc>
      </w:tr>
      <w:tr w:rsidR="00ED6C35" w:rsidRPr="00223CBF" w14:paraId="78F6B739" w14:textId="77777777" w:rsidTr="005C7DD8">
        <w:tc>
          <w:tcPr>
            <w:tcW w:w="5752" w:type="dxa"/>
          </w:tcPr>
          <w:p w14:paraId="5038E2F6" w14:textId="77777777" w:rsidR="00ED6C35" w:rsidRPr="00223CBF" w:rsidRDefault="00ED6C35" w:rsidP="00F041A4">
            <w:pPr>
              <w:spacing w:line="360" w:lineRule="auto"/>
              <w:rPr>
                <w:rFonts w:ascii="Cambria" w:hAnsi="Cambria" w:cs="Times New Roman"/>
                <w:color w:val="000000" w:themeColor="text1"/>
                <w:sz w:val="20"/>
                <w:szCs w:val="20"/>
              </w:rPr>
            </w:pPr>
            <w:r w:rsidRPr="00223CBF">
              <w:rPr>
                <w:rFonts w:ascii="Cambria" w:hAnsi="Cambria" w:cs="Times New Roman"/>
                <w:bCs/>
                <w:color w:val="000000" w:themeColor="text1"/>
                <w:sz w:val="20"/>
                <w:szCs w:val="20"/>
                <w:lang w:val="en-GB"/>
              </w:rPr>
              <w:t>Twentieth Amendment to the Constitution</w:t>
            </w:r>
          </w:p>
        </w:tc>
        <w:tc>
          <w:tcPr>
            <w:tcW w:w="3968" w:type="dxa"/>
          </w:tcPr>
          <w:p w14:paraId="3167DF85" w14:textId="77777777" w:rsidR="00ED6C35" w:rsidRPr="00223CBF" w:rsidRDefault="00ED6C35" w:rsidP="00F041A4">
            <w:pPr>
              <w:pStyle w:val="NormalWeb"/>
              <w:spacing w:line="360" w:lineRule="auto"/>
              <w:jc w:val="right"/>
              <w:rPr>
                <w:rFonts w:ascii="Cambria" w:hAnsi="Cambria"/>
                <w:color w:val="000000" w:themeColor="text1"/>
                <w:sz w:val="20"/>
                <w:szCs w:val="20"/>
                <w:shd w:val="clear" w:color="auto" w:fill="FFFFFF"/>
              </w:rPr>
            </w:pPr>
            <w:r w:rsidRPr="00223CBF">
              <w:rPr>
                <w:rFonts w:ascii="Cambria" w:hAnsi="Cambria"/>
                <w:color w:val="000000" w:themeColor="text1"/>
                <w:sz w:val="20"/>
                <w:szCs w:val="20"/>
                <w:shd w:val="clear" w:color="auto" w:fill="FFFFFF"/>
              </w:rPr>
              <w:t>20</w:t>
            </w:r>
            <w:r w:rsidRPr="00223CBF">
              <w:rPr>
                <w:rFonts w:ascii="Cambria" w:hAnsi="Cambria"/>
                <w:color w:val="000000" w:themeColor="text1"/>
                <w:sz w:val="20"/>
                <w:szCs w:val="20"/>
                <w:shd w:val="clear" w:color="auto" w:fill="FFFFFF"/>
                <w:vertAlign w:val="superscript"/>
              </w:rPr>
              <w:t>th</w:t>
            </w:r>
            <w:r w:rsidRPr="00223CBF">
              <w:rPr>
                <w:rFonts w:ascii="Cambria" w:hAnsi="Cambria"/>
                <w:color w:val="000000" w:themeColor="text1"/>
                <w:sz w:val="20"/>
                <w:szCs w:val="20"/>
                <w:shd w:val="clear" w:color="auto" w:fill="FFFFFF"/>
              </w:rPr>
              <w:t xml:space="preserve"> Amendment</w:t>
            </w:r>
          </w:p>
        </w:tc>
      </w:tr>
      <w:tr w:rsidR="000328D8" w:rsidRPr="00223CBF" w14:paraId="0B840165" w14:textId="77777777" w:rsidTr="005C7DD8">
        <w:tc>
          <w:tcPr>
            <w:tcW w:w="5752" w:type="dxa"/>
          </w:tcPr>
          <w:p w14:paraId="65B1AEC2" w14:textId="790D2B38" w:rsidR="000328D8" w:rsidRPr="00223CBF" w:rsidRDefault="000328D8" w:rsidP="00F041A4">
            <w:pPr>
              <w:spacing w:line="360" w:lineRule="auto"/>
              <w:rPr>
                <w:rFonts w:ascii="Cambria" w:hAnsi="Cambria" w:cs="Times New Roman"/>
                <w:bCs/>
                <w:color w:val="000000" w:themeColor="text1"/>
                <w:sz w:val="20"/>
                <w:szCs w:val="20"/>
                <w:lang w:val="en-GB"/>
              </w:rPr>
            </w:pPr>
            <w:r>
              <w:rPr>
                <w:rFonts w:ascii="Cambria" w:hAnsi="Cambria" w:cs="Times New Roman"/>
                <w:bCs/>
                <w:color w:val="000000" w:themeColor="text1"/>
                <w:sz w:val="20"/>
                <w:szCs w:val="20"/>
                <w:lang w:val="en-GB"/>
              </w:rPr>
              <w:t xml:space="preserve">United Nations </w:t>
            </w:r>
            <w:r w:rsidRPr="000328D8">
              <w:rPr>
                <w:rFonts w:ascii="Cambria" w:hAnsi="Cambria" w:cs="Times New Roman"/>
                <w:color w:val="000000" w:themeColor="text1"/>
                <w:sz w:val="20"/>
                <w:szCs w:val="20"/>
              </w:rPr>
              <w:t xml:space="preserve">Convention Against Corruption and any other related international Convention </w:t>
            </w:r>
          </w:p>
        </w:tc>
        <w:tc>
          <w:tcPr>
            <w:tcW w:w="3968" w:type="dxa"/>
          </w:tcPr>
          <w:p w14:paraId="6C8A2A41" w14:textId="117ED7F0" w:rsidR="000328D8" w:rsidRPr="00F34E52" w:rsidRDefault="000328D8" w:rsidP="00F041A4">
            <w:pPr>
              <w:pStyle w:val="NormalWeb"/>
              <w:spacing w:line="360" w:lineRule="auto"/>
              <w:jc w:val="right"/>
              <w:rPr>
                <w:rFonts w:ascii="Cambria" w:hAnsi="Cambria"/>
                <w:color w:val="000000" w:themeColor="text1"/>
                <w:sz w:val="20"/>
                <w:szCs w:val="20"/>
                <w:highlight w:val="yellow"/>
                <w:shd w:val="clear" w:color="auto" w:fill="FFFFFF"/>
              </w:rPr>
            </w:pPr>
            <w:r w:rsidRPr="000328D8">
              <w:rPr>
                <w:rFonts w:ascii="Cambria" w:hAnsi="Cambria"/>
                <w:color w:val="000000" w:themeColor="text1"/>
                <w:sz w:val="20"/>
                <w:szCs w:val="20"/>
              </w:rPr>
              <w:t>UNCAC</w:t>
            </w:r>
          </w:p>
        </w:tc>
      </w:tr>
      <w:tr w:rsidR="00C54552" w:rsidRPr="00223CBF" w14:paraId="0175E8C5" w14:textId="77777777" w:rsidTr="005C7DD8">
        <w:tc>
          <w:tcPr>
            <w:tcW w:w="5752" w:type="dxa"/>
          </w:tcPr>
          <w:p w14:paraId="0FE99E52" w14:textId="0414ED3E" w:rsidR="00C54552" w:rsidRPr="00C54552" w:rsidRDefault="00C54552" w:rsidP="00F041A4">
            <w:pPr>
              <w:spacing w:line="360" w:lineRule="auto"/>
              <w:rPr>
                <w:rFonts w:ascii="Cambria" w:hAnsi="Cambria" w:cs="Times New Roman"/>
                <w:bCs/>
                <w:color w:val="000000" w:themeColor="text1"/>
                <w:sz w:val="20"/>
                <w:szCs w:val="20"/>
                <w:lang w:val="en-GB"/>
              </w:rPr>
            </w:pPr>
            <w:r w:rsidRPr="00C54552">
              <w:rPr>
                <w:rFonts w:ascii="Cambria" w:eastAsia="Times New Roman" w:hAnsi="Cambria" w:cs="Times New Roman"/>
                <w:color w:val="000000" w:themeColor="text1"/>
                <w:sz w:val="20"/>
                <w:szCs w:val="20"/>
                <w:lang w:eastAsia="en-GB"/>
              </w:rPr>
              <w:t xml:space="preserve">United Nations Framework Convention on Climate Change </w:t>
            </w:r>
          </w:p>
        </w:tc>
        <w:tc>
          <w:tcPr>
            <w:tcW w:w="3968" w:type="dxa"/>
          </w:tcPr>
          <w:p w14:paraId="106B5A5A" w14:textId="423BE364" w:rsidR="00C54552" w:rsidRPr="00C54552" w:rsidRDefault="00C54552" w:rsidP="00F041A4">
            <w:pPr>
              <w:pStyle w:val="NormalWeb"/>
              <w:spacing w:line="360" w:lineRule="auto"/>
              <w:jc w:val="right"/>
              <w:rPr>
                <w:rFonts w:ascii="Cambria" w:hAnsi="Cambria"/>
                <w:color w:val="000000" w:themeColor="text1"/>
                <w:sz w:val="20"/>
                <w:szCs w:val="20"/>
              </w:rPr>
            </w:pPr>
            <w:r w:rsidRPr="00C54552">
              <w:rPr>
                <w:rFonts w:ascii="Cambria" w:hAnsi="Cambria"/>
                <w:color w:val="000000" w:themeColor="text1"/>
                <w:sz w:val="20"/>
                <w:szCs w:val="20"/>
              </w:rPr>
              <w:t>UNFCCC</w:t>
            </w:r>
          </w:p>
        </w:tc>
      </w:tr>
      <w:tr w:rsidR="00ED6C35" w:rsidRPr="00223CBF" w14:paraId="0935B612" w14:textId="77777777" w:rsidTr="005C7DD8">
        <w:tc>
          <w:tcPr>
            <w:tcW w:w="5752" w:type="dxa"/>
          </w:tcPr>
          <w:p w14:paraId="036D7A35" w14:textId="77777777" w:rsidR="00ED6C35" w:rsidRPr="00C54552" w:rsidRDefault="00ED6C35" w:rsidP="00F041A4">
            <w:pPr>
              <w:spacing w:line="360" w:lineRule="auto"/>
              <w:rPr>
                <w:rFonts w:ascii="Cambria" w:hAnsi="Cambria" w:cs="Times New Roman"/>
                <w:bCs/>
                <w:color w:val="000000" w:themeColor="text1"/>
                <w:sz w:val="20"/>
                <w:szCs w:val="20"/>
                <w:lang w:val="en-GB"/>
              </w:rPr>
            </w:pPr>
            <w:r w:rsidRPr="00C54552">
              <w:rPr>
                <w:rFonts w:ascii="Cambria" w:hAnsi="Cambria" w:cs="Times New Roman"/>
                <w:bCs/>
                <w:color w:val="000000" w:themeColor="text1"/>
                <w:sz w:val="20"/>
                <w:szCs w:val="20"/>
                <w:lang w:val="en-GB"/>
              </w:rPr>
              <w:t>United Nations Population Fund</w:t>
            </w:r>
          </w:p>
        </w:tc>
        <w:tc>
          <w:tcPr>
            <w:tcW w:w="3968" w:type="dxa"/>
          </w:tcPr>
          <w:p w14:paraId="19F5E3ED" w14:textId="77777777" w:rsidR="00ED6C35" w:rsidRPr="00C54552" w:rsidRDefault="00ED6C35" w:rsidP="00F041A4">
            <w:pPr>
              <w:pStyle w:val="NormalWeb"/>
              <w:spacing w:line="360" w:lineRule="auto"/>
              <w:jc w:val="right"/>
              <w:rPr>
                <w:rFonts w:ascii="Cambria" w:hAnsi="Cambria"/>
                <w:color w:val="000000" w:themeColor="text1"/>
                <w:sz w:val="20"/>
                <w:szCs w:val="20"/>
                <w:shd w:val="clear" w:color="auto" w:fill="FFFFFF"/>
              </w:rPr>
            </w:pPr>
            <w:r w:rsidRPr="00C54552">
              <w:rPr>
                <w:rFonts w:ascii="Cambria" w:hAnsi="Cambria"/>
                <w:color w:val="000000" w:themeColor="text1"/>
                <w:sz w:val="20"/>
                <w:szCs w:val="20"/>
                <w:shd w:val="clear" w:color="auto" w:fill="FFFFFF"/>
              </w:rPr>
              <w:t>UNFPA</w:t>
            </w:r>
          </w:p>
        </w:tc>
      </w:tr>
      <w:tr w:rsidR="00ED6C35" w:rsidRPr="00223CBF" w14:paraId="0594D0D4" w14:textId="77777777" w:rsidTr="005C7DD8">
        <w:tc>
          <w:tcPr>
            <w:tcW w:w="5752" w:type="dxa"/>
          </w:tcPr>
          <w:p w14:paraId="6C968224" w14:textId="77777777" w:rsidR="00ED6C35" w:rsidRPr="00C54552" w:rsidRDefault="00ED6C35" w:rsidP="00F041A4">
            <w:pPr>
              <w:pStyle w:val="NormalWeb"/>
              <w:spacing w:line="360" w:lineRule="auto"/>
              <w:jc w:val="both"/>
              <w:rPr>
                <w:rFonts w:ascii="Cambria" w:hAnsi="Cambria"/>
                <w:b/>
                <w:bCs/>
                <w:color w:val="000000" w:themeColor="text1"/>
                <w:sz w:val="20"/>
                <w:szCs w:val="20"/>
              </w:rPr>
            </w:pPr>
            <w:r w:rsidRPr="00C54552">
              <w:rPr>
                <w:rFonts w:ascii="Cambria" w:hAnsi="Cambria"/>
                <w:color w:val="000000" w:themeColor="text1"/>
                <w:sz w:val="20"/>
                <w:szCs w:val="20"/>
              </w:rPr>
              <w:t>United Nations Development Programme</w:t>
            </w:r>
          </w:p>
        </w:tc>
        <w:tc>
          <w:tcPr>
            <w:tcW w:w="3968" w:type="dxa"/>
          </w:tcPr>
          <w:p w14:paraId="650B825B" w14:textId="77777777" w:rsidR="00ED6C35" w:rsidRPr="00C54552" w:rsidRDefault="00ED6C35" w:rsidP="00F041A4">
            <w:pPr>
              <w:pStyle w:val="NormalWeb"/>
              <w:spacing w:line="360" w:lineRule="auto"/>
              <w:jc w:val="right"/>
              <w:rPr>
                <w:rFonts w:ascii="Cambria" w:hAnsi="Cambria"/>
                <w:color w:val="000000" w:themeColor="text1"/>
                <w:sz w:val="20"/>
                <w:szCs w:val="20"/>
              </w:rPr>
            </w:pPr>
            <w:r w:rsidRPr="00C54552">
              <w:rPr>
                <w:rFonts w:ascii="Cambria" w:hAnsi="Cambria"/>
                <w:color w:val="000000" w:themeColor="text1"/>
                <w:sz w:val="20"/>
                <w:szCs w:val="20"/>
              </w:rPr>
              <w:t>UNDP</w:t>
            </w:r>
          </w:p>
        </w:tc>
      </w:tr>
      <w:tr w:rsidR="00ED6C35" w:rsidRPr="00223CBF" w14:paraId="1DAEE440" w14:textId="77777777" w:rsidTr="005C7DD8">
        <w:tc>
          <w:tcPr>
            <w:tcW w:w="5752" w:type="dxa"/>
          </w:tcPr>
          <w:p w14:paraId="391BFA7B" w14:textId="77777777" w:rsidR="00ED6C35" w:rsidRPr="000328D8" w:rsidRDefault="00ED6C35" w:rsidP="00F041A4">
            <w:pPr>
              <w:pStyle w:val="NormalWeb"/>
              <w:spacing w:line="360" w:lineRule="auto"/>
              <w:jc w:val="both"/>
              <w:rPr>
                <w:rFonts w:ascii="Cambria" w:hAnsi="Cambria"/>
                <w:color w:val="000000" w:themeColor="text1"/>
                <w:sz w:val="20"/>
                <w:szCs w:val="20"/>
              </w:rPr>
            </w:pPr>
            <w:r w:rsidRPr="000328D8">
              <w:rPr>
                <w:rFonts w:ascii="Cambria" w:hAnsi="Cambria"/>
                <w:color w:val="000000" w:themeColor="text1"/>
                <w:sz w:val="20"/>
                <w:szCs w:val="20"/>
              </w:rPr>
              <w:t>United Nations Evaluation Group</w:t>
            </w:r>
          </w:p>
        </w:tc>
        <w:tc>
          <w:tcPr>
            <w:tcW w:w="3968" w:type="dxa"/>
          </w:tcPr>
          <w:p w14:paraId="016513A2" w14:textId="77777777" w:rsidR="00ED6C35" w:rsidRPr="000328D8" w:rsidRDefault="00ED6C35" w:rsidP="00F041A4">
            <w:pPr>
              <w:pStyle w:val="NormalWeb"/>
              <w:spacing w:line="360" w:lineRule="auto"/>
              <w:jc w:val="right"/>
              <w:rPr>
                <w:rFonts w:ascii="Cambria" w:hAnsi="Cambria"/>
                <w:color w:val="000000" w:themeColor="text1"/>
                <w:sz w:val="20"/>
                <w:szCs w:val="20"/>
              </w:rPr>
            </w:pPr>
            <w:r w:rsidRPr="000328D8">
              <w:rPr>
                <w:rFonts w:ascii="Cambria" w:hAnsi="Cambria"/>
                <w:color w:val="000000" w:themeColor="text1"/>
                <w:sz w:val="20"/>
                <w:szCs w:val="20"/>
              </w:rPr>
              <w:t>UNEG</w:t>
            </w:r>
          </w:p>
        </w:tc>
      </w:tr>
      <w:tr w:rsidR="00ED6C35" w:rsidRPr="00223CBF" w14:paraId="3536B643" w14:textId="77777777" w:rsidTr="005C7DD8">
        <w:tc>
          <w:tcPr>
            <w:tcW w:w="5752" w:type="dxa"/>
          </w:tcPr>
          <w:p w14:paraId="59774025" w14:textId="77777777" w:rsidR="00ED6C35" w:rsidRPr="000328D8" w:rsidRDefault="00ED6C35" w:rsidP="00F041A4">
            <w:pPr>
              <w:pStyle w:val="NormalWeb"/>
              <w:spacing w:line="360" w:lineRule="auto"/>
              <w:jc w:val="both"/>
              <w:rPr>
                <w:rFonts w:ascii="Cambria" w:hAnsi="Cambria"/>
                <w:color w:val="000000" w:themeColor="text1"/>
                <w:sz w:val="20"/>
                <w:szCs w:val="20"/>
              </w:rPr>
            </w:pPr>
            <w:r w:rsidRPr="000328D8">
              <w:rPr>
                <w:rFonts w:ascii="Cambria" w:hAnsi="Cambria"/>
                <w:color w:val="000000" w:themeColor="text1"/>
                <w:sz w:val="20"/>
                <w:szCs w:val="20"/>
              </w:rPr>
              <w:t>United Nations Children’s Fund</w:t>
            </w:r>
          </w:p>
        </w:tc>
        <w:tc>
          <w:tcPr>
            <w:tcW w:w="3968" w:type="dxa"/>
          </w:tcPr>
          <w:p w14:paraId="4EE4A910" w14:textId="77777777" w:rsidR="00ED6C35" w:rsidRPr="000328D8" w:rsidRDefault="00ED6C35" w:rsidP="00F041A4">
            <w:pPr>
              <w:pStyle w:val="NormalWeb"/>
              <w:spacing w:line="360" w:lineRule="auto"/>
              <w:jc w:val="right"/>
              <w:rPr>
                <w:rFonts w:ascii="Cambria" w:hAnsi="Cambria"/>
                <w:color w:val="000000" w:themeColor="text1"/>
                <w:sz w:val="20"/>
                <w:szCs w:val="20"/>
              </w:rPr>
            </w:pPr>
            <w:r w:rsidRPr="000328D8">
              <w:rPr>
                <w:rFonts w:ascii="Cambria" w:hAnsi="Cambria"/>
                <w:color w:val="000000" w:themeColor="text1"/>
                <w:sz w:val="20"/>
                <w:szCs w:val="20"/>
              </w:rPr>
              <w:t>UNICEF</w:t>
            </w:r>
          </w:p>
        </w:tc>
      </w:tr>
      <w:tr w:rsidR="00ED6C35" w:rsidRPr="00223CBF" w14:paraId="21938A84" w14:textId="77777777" w:rsidTr="005C7DD8">
        <w:tc>
          <w:tcPr>
            <w:tcW w:w="5752" w:type="dxa"/>
          </w:tcPr>
          <w:p w14:paraId="0EFAEDF4" w14:textId="77777777" w:rsidR="00ED6C35" w:rsidRPr="00223CBF" w:rsidRDefault="00ED6C35" w:rsidP="00F041A4">
            <w:pPr>
              <w:pStyle w:val="NormalWeb"/>
              <w:spacing w:line="360" w:lineRule="auto"/>
              <w:jc w:val="both"/>
              <w:rPr>
                <w:rFonts w:ascii="Cambria" w:hAnsi="Cambria"/>
                <w:color w:val="000000" w:themeColor="text1"/>
                <w:sz w:val="20"/>
                <w:szCs w:val="20"/>
              </w:rPr>
            </w:pPr>
            <w:r w:rsidRPr="00223CBF">
              <w:rPr>
                <w:rFonts w:ascii="Cambria" w:hAnsi="Cambria"/>
                <w:color w:val="000000" w:themeColor="text1"/>
                <w:sz w:val="20"/>
                <w:szCs w:val="20"/>
              </w:rPr>
              <w:t>United Nations Guiding Principles</w:t>
            </w:r>
          </w:p>
        </w:tc>
        <w:tc>
          <w:tcPr>
            <w:tcW w:w="3968" w:type="dxa"/>
          </w:tcPr>
          <w:p w14:paraId="4B87534D" w14:textId="77777777" w:rsidR="00ED6C35" w:rsidRPr="00223CBF" w:rsidRDefault="00ED6C35" w:rsidP="00F041A4">
            <w:pPr>
              <w:pStyle w:val="NormalWeb"/>
              <w:spacing w:line="360" w:lineRule="auto"/>
              <w:jc w:val="right"/>
              <w:rPr>
                <w:rFonts w:ascii="Cambria" w:hAnsi="Cambria"/>
                <w:color w:val="000000" w:themeColor="text1"/>
                <w:sz w:val="20"/>
                <w:szCs w:val="20"/>
              </w:rPr>
            </w:pPr>
            <w:r w:rsidRPr="00223CBF">
              <w:rPr>
                <w:rFonts w:ascii="Cambria" w:hAnsi="Cambria"/>
                <w:color w:val="000000" w:themeColor="text1"/>
                <w:sz w:val="20"/>
                <w:szCs w:val="20"/>
              </w:rPr>
              <w:t>UNGP</w:t>
            </w:r>
          </w:p>
        </w:tc>
      </w:tr>
      <w:tr w:rsidR="00ED6C35" w:rsidRPr="00223CBF" w14:paraId="5EC030DA" w14:textId="77777777" w:rsidTr="005C7DD8">
        <w:tc>
          <w:tcPr>
            <w:tcW w:w="5752" w:type="dxa"/>
          </w:tcPr>
          <w:p w14:paraId="34359FC1" w14:textId="77777777" w:rsidR="00ED6C35" w:rsidRPr="00223CBF" w:rsidRDefault="00ED6C35" w:rsidP="00F041A4">
            <w:pPr>
              <w:pStyle w:val="NormalWeb"/>
              <w:spacing w:line="360" w:lineRule="auto"/>
              <w:jc w:val="both"/>
              <w:rPr>
                <w:rFonts w:ascii="Cambria" w:hAnsi="Cambria"/>
                <w:color w:val="000000" w:themeColor="text1"/>
                <w:sz w:val="20"/>
                <w:szCs w:val="20"/>
              </w:rPr>
            </w:pPr>
            <w:r w:rsidRPr="00223CBF">
              <w:rPr>
                <w:rFonts w:ascii="Cambria" w:hAnsi="Cambria" w:cs="Calibri Light"/>
                <w:color w:val="000000" w:themeColor="text1"/>
                <w:sz w:val="20"/>
                <w:szCs w:val="20"/>
              </w:rPr>
              <w:t>United Nations Sustainable Development Framework</w:t>
            </w:r>
          </w:p>
        </w:tc>
        <w:tc>
          <w:tcPr>
            <w:tcW w:w="3968" w:type="dxa"/>
          </w:tcPr>
          <w:p w14:paraId="083E72A1" w14:textId="77777777" w:rsidR="00ED6C35" w:rsidRPr="00223CBF" w:rsidRDefault="00ED6C35" w:rsidP="00F041A4">
            <w:pPr>
              <w:pStyle w:val="NormalWeb"/>
              <w:spacing w:line="360" w:lineRule="auto"/>
              <w:jc w:val="right"/>
              <w:rPr>
                <w:rFonts w:ascii="Cambria" w:hAnsi="Cambria"/>
                <w:color w:val="000000" w:themeColor="text1"/>
                <w:sz w:val="20"/>
                <w:szCs w:val="20"/>
              </w:rPr>
            </w:pPr>
            <w:r w:rsidRPr="00223CBF">
              <w:rPr>
                <w:rFonts w:ascii="Cambria" w:hAnsi="Cambria"/>
                <w:color w:val="000000" w:themeColor="text1"/>
                <w:sz w:val="20"/>
                <w:szCs w:val="20"/>
              </w:rPr>
              <w:t>UNSDF</w:t>
            </w:r>
          </w:p>
        </w:tc>
      </w:tr>
      <w:tr w:rsidR="00ED6C35" w:rsidRPr="00223CBF" w14:paraId="45C195F1" w14:textId="77777777" w:rsidTr="005C7DD8">
        <w:tc>
          <w:tcPr>
            <w:tcW w:w="5752" w:type="dxa"/>
          </w:tcPr>
          <w:p w14:paraId="0E1EF50A" w14:textId="77777777" w:rsidR="00ED6C35" w:rsidRPr="00223CBF" w:rsidRDefault="00ED6C35" w:rsidP="00F041A4">
            <w:pPr>
              <w:spacing w:line="360" w:lineRule="auto"/>
              <w:rPr>
                <w:rFonts w:ascii="Cambria" w:hAnsi="Cambria" w:cs="Times New Roman"/>
                <w:color w:val="000000" w:themeColor="text1"/>
                <w:sz w:val="20"/>
                <w:szCs w:val="20"/>
              </w:rPr>
            </w:pPr>
            <w:r w:rsidRPr="00223CBF">
              <w:rPr>
                <w:rFonts w:ascii="Cambria" w:hAnsi="Cambria" w:cs="Times New Roman"/>
                <w:color w:val="000000" w:themeColor="text1"/>
                <w:sz w:val="20"/>
                <w:szCs w:val="20"/>
              </w:rPr>
              <w:t>Victim and Witness Protection</w:t>
            </w:r>
          </w:p>
        </w:tc>
        <w:tc>
          <w:tcPr>
            <w:tcW w:w="3968" w:type="dxa"/>
          </w:tcPr>
          <w:p w14:paraId="54AB2BF1" w14:textId="77777777" w:rsidR="00ED6C35" w:rsidRPr="00223CBF" w:rsidRDefault="00ED6C35" w:rsidP="00F041A4">
            <w:pPr>
              <w:pStyle w:val="NormalWeb"/>
              <w:spacing w:line="360" w:lineRule="auto"/>
              <w:jc w:val="right"/>
              <w:rPr>
                <w:rFonts w:ascii="Cambria" w:hAnsi="Cambria"/>
                <w:color w:val="000000" w:themeColor="text1"/>
                <w:sz w:val="20"/>
                <w:szCs w:val="20"/>
                <w:shd w:val="clear" w:color="auto" w:fill="FFFFFF"/>
              </w:rPr>
            </w:pPr>
            <w:r w:rsidRPr="00223CBF">
              <w:rPr>
                <w:rFonts w:ascii="Cambria" w:hAnsi="Cambria"/>
                <w:color w:val="000000" w:themeColor="text1"/>
                <w:sz w:val="20"/>
                <w:szCs w:val="20"/>
                <w:shd w:val="clear" w:color="auto" w:fill="FFFFFF"/>
              </w:rPr>
              <w:t>VWP</w:t>
            </w:r>
          </w:p>
        </w:tc>
      </w:tr>
      <w:tr w:rsidR="00ED6C35" w:rsidRPr="00223CBF" w14:paraId="01156A57" w14:textId="77777777" w:rsidTr="005C7DD8">
        <w:tc>
          <w:tcPr>
            <w:tcW w:w="5752" w:type="dxa"/>
          </w:tcPr>
          <w:p w14:paraId="2EA20CC7" w14:textId="77777777" w:rsidR="00ED6C35" w:rsidRPr="00223CBF" w:rsidRDefault="00ED6C35" w:rsidP="00F041A4">
            <w:pPr>
              <w:spacing w:line="360" w:lineRule="auto"/>
              <w:rPr>
                <w:rFonts w:ascii="Cambria" w:hAnsi="Cambria" w:cs="Times New Roman"/>
                <w:color w:val="000000" w:themeColor="text1"/>
                <w:sz w:val="20"/>
                <w:szCs w:val="20"/>
              </w:rPr>
            </w:pPr>
            <w:r>
              <w:rPr>
                <w:rFonts w:ascii="Cambria" w:hAnsi="Cambria" w:cs="Times New Roman"/>
                <w:color w:val="000000" w:themeColor="text1"/>
                <w:sz w:val="20"/>
                <w:szCs w:val="20"/>
              </w:rPr>
              <w:t>Victim Impact Statements</w:t>
            </w:r>
          </w:p>
        </w:tc>
        <w:tc>
          <w:tcPr>
            <w:tcW w:w="3968" w:type="dxa"/>
          </w:tcPr>
          <w:p w14:paraId="19D0FA0C" w14:textId="77777777" w:rsidR="00ED6C35" w:rsidRPr="00223CBF" w:rsidRDefault="00ED6C35" w:rsidP="00F041A4">
            <w:pPr>
              <w:pStyle w:val="NormalWeb"/>
              <w:spacing w:line="360" w:lineRule="auto"/>
              <w:jc w:val="right"/>
              <w:rPr>
                <w:rFonts w:ascii="Cambria" w:hAnsi="Cambria"/>
                <w:color w:val="000000" w:themeColor="text1"/>
                <w:sz w:val="20"/>
                <w:szCs w:val="20"/>
                <w:shd w:val="clear" w:color="auto" w:fill="FFFFFF"/>
              </w:rPr>
            </w:pPr>
            <w:r>
              <w:rPr>
                <w:rFonts w:ascii="Cambria" w:hAnsi="Cambria"/>
                <w:color w:val="000000" w:themeColor="text1"/>
                <w:sz w:val="20"/>
                <w:szCs w:val="20"/>
                <w:shd w:val="clear" w:color="auto" w:fill="FFFFFF"/>
              </w:rPr>
              <w:t>VIS</w:t>
            </w:r>
          </w:p>
        </w:tc>
      </w:tr>
      <w:tr w:rsidR="00ED6C35" w:rsidRPr="00223CBF" w14:paraId="35638296" w14:textId="77777777" w:rsidTr="005C7DD8">
        <w:tc>
          <w:tcPr>
            <w:tcW w:w="5752" w:type="dxa"/>
          </w:tcPr>
          <w:p w14:paraId="2D9D4620" w14:textId="77777777" w:rsidR="00ED6C35" w:rsidRPr="00223CBF" w:rsidRDefault="00ED6C35" w:rsidP="00F041A4">
            <w:pPr>
              <w:spacing w:line="360" w:lineRule="auto"/>
              <w:rPr>
                <w:rFonts w:ascii="Cambria" w:hAnsi="Cambria" w:cs="Times New Roman"/>
                <w:color w:val="000000" w:themeColor="text1"/>
                <w:sz w:val="20"/>
                <w:szCs w:val="20"/>
              </w:rPr>
            </w:pPr>
            <w:r>
              <w:rPr>
                <w:rFonts w:ascii="Cambria" w:hAnsi="Cambria" w:cs="Times New Roman"/>
                <w:color w:val="000000" w:themeColor="text1"/>
                <w:sz w:val="20"/>
                <w:szCs w:val="20"/>
              </w:rPr>
              <w:t>Women and Children’s Bureau</w:t>
            </w:r>
          </w:p>
        </w:tc>
        <w:tc>
          <w:tcPr>
            <w:tcW w:w="3968" w:type="dxa"/>
          </w:tcPr>
          <w:p w14:paraId="05980E26" w14:textId="77777777" w:rsidR="00ED6C35" w:rsidRPr="00223CBF" w:rsidRDefault="00ED6C35" w:rsidP="00F041A4">
            <w:pPr>
              <w:pStyle w:val="NormalWeb"/>
              <w:spacing w:line="360" w:lineRule="auto"/>
              <w:jc w:val="right"/>
              <w:rPr>
                <w:rFonts w:ascii="Cambria" w:hAnsi="Cambria"/>
                <w:color w:val="000000" w:themeColor="text1"/>
                <w:sz w:val="20"/>
                <w:szCs w:val="20"/>
                <w:shd w:val="clear" w:color="auto" w:fill="FFFFFF"/>
              </w:rPr>
            </w:pPr>
            <w:r>
              <w:rPr>
                <w:rFonts w:ascii="Cambria" w:hAnsi="Cambria"/>
                <w:color w:val="000000" w:themeColor="text1"/>
                <w:sz w:val="20"/>
                <w:szCs w:val="20"/>
                <w:shd w:val="clear" w:color="auto" w:fill="FFFFFF"/>
              </w:rPr>
              <w:t>WCB</w:t>
            </w:r>
          </w:p>
        </w:tc>
      </w:tr>
      <w:tr w:rsidR="00ED6C35" w:rsidRPr="00223CBF" w14:paraId="1755FFD8" w14:textId="77777777" w:rsidTr="005C7DD8">
        <w:tc>
          <w:tcPr>
            <w:tcW w:w="5752" w:type="dxa"/>
          </w:tcPr>
          <w:p w14:paraId="45958E38" w14:textId="77777777" w:rsidR="00ED6C35" w:rsidRPr="00223CBF" w:rsidRDefault="00ED6C35" w:rsidP="00F041A4">
            <w:pPr>
              <w:spacing w:line="360" w:lineRule="auto"/>
              <w:rPr>
                <w:rFonts w:ascii="Cambria" w:hAnsi="Cambria" w:cs="Times New Roman"/>
                <w:color w:val="000000" w:themeColor="text1"/>
                <w:sz w:val="20"/>
                <w:szCs w:val="20"/>
              </w:rPr>
            </w:pPr>
            <w:r w:rsidRPr="00223CBF">
              <w:rPr>
                <w:rFonts w:ascii="Cambria" w:hAnsi="Cambria" w:cs="Times New Roman"/>
                <w:color w:val="000000" w:themeColor="text1"/>
                <w:sz w:val="20"/>
                <w:szCs w:val="20"/>
              </w:rPr>
              <w:t>Women in Need</w:t>
            </w:r>
          </w:p>
        </w:tc>
        <w:tc>
          <w:tcPr>
            <w:tcW w:w="3968" w:type="dxa"/>
          </w:tcPr>
          <w:p w14:paraId="157DD4B6" w14:textId="77777777" w:rsidR="00ED6C35" w:rsidRPr="00223CBF" w:rsidRDefault="00ED6C35" w:rsidP="00F041A4">
            <w:pPr>
              <w:pStyle w:val="NormalWeb"/>
              <w:spacing w:line="360" w:lineRule="auto"/>
              <w:jc w:val="right"/>
              <w:rPr>
                <w:rFonts w:ascii="Cambria" w:hAnsi="Cambria"/>
                <w:color w:val="000000" w:themeColor="text1"/>
                <w:spacing w:val="4"/>
                <w:sz w:val="20"/>
                <w:szCs w:val="20"/>
                <w:shd w:val="clear" w:color="auto" w:fill="FEFEFE"/>
              </w:rPr>
            </w:pPr>
            <w:r w:rsidRPr="00223CBF">
              <w:rPr>
                <w:rFonts w:ascii="Cambria" w:hAnsi="Cambria"/>
                <w:color w:val="000000" w:themeColor="text1"/>
                <w:spacing w:val="4"/>
                <w:sz w:val="20"/>
                <w:szCs w:val="20"/>
                <w:shd w:val="clear" w:color="auto" w:fill="FEFEFE"/>
              </w:rPr>
              <w:t>WIN</w:t>
            </w:r>
          </w:p>
        </w:tc>
      </w:tr>
      <w:tr w:rsidR="00ED6C35" w:rsidRPr="00223CBF" w14:paraId="003355A8" w14:textId="77777777" w:rsidTr="005C7DD8">
        <w:tc>
          <w:tcPr>
            <w:tcW w:w="5752" w:type="dxa"/>
          </w:tcPr>
          <w:p w14:paraId="5944BE02" w14:textId="77777777" w:rsidR="00ED6C35" w:rsidRPr="00223CBF" w:rsidRDefault="00ED6C35" w:rsidP="00F041A4">
            <w:pPr>
              <w:spacing w:line="360" w:lineRule="auto"/>
              <w:rPr>
                <w:rFonts w:ascii="Cambria" w:hAnsi="Cambria" w:cs="Times New Roman"/>
                <w:color w:val="000000" w:themeColor="text1"/>
                <w:sz w:val="20"/>
                <w:szCs w:val="20"/>
              </w:rPr>
            </w:pPr>
            <w:r>
              <w:rPr>
                <w:rFonts w:ascii="Cambria" w:hAnsi="Cambria" w:cs="Times New Roman"/>
                <w:color w:val="000000" w:themeColor="text1"/>
                <w:sz w:val="20"/>
                <w:szCs w:val="20"/>
              </w:rPr>
              <w:t>Women Police Constables</w:t>
            </w:r>
          </w:p>
        </w:tc>
        <w:tc>
          <w:tcPr>
            <w:tcW w:w="3968" w:type="dxa"/>
          </w:tcPr>
          <w:p w14:paraId="3D3A49F0" w14:textId="77777777" w:rsidR="00ED6C35" w:rsidRPr="00223CBF" w:rsidRDefault="00ED6C35" w:rsidP="00F041A4">
            <w:pPr>
              <w:pStyle w:val="NormalWeb"/>
              <w:spacing w:line="360" w:lineRule="auto"/>
              <w:jc w:val="right"/>
              <w:rPr>
                <w:rFonts w:ascii="Cambria" w:hAnsi="Cambria"/>
                <w:color w:val="000000" w:themeColor="text1"/>
                <w:sz w:val="20"/>
                <w:szCs w:val="20"/>
              </w:rPr>
            </w:pPr>
            <w:r>
              <w:rPr>
                <w:rFonts w:ascii="Cambria" w:hAnsi="Cambria"/>
                <w:color w:val="000000" w:themeColor="text1"/>
                <w:sz w:val="20"/>
                <w:szCs w:val="20"/>
              </w:rPr>
              <w:t>WPCs</w:t>
            </w:r>
          </w:p>
        </w:tc>
      </w:tr>
      <w:tr w:rsidR="00ED6C35" w:rsidRPr="00223CBF" w14:paraId="1DAADF1D" w14:textId="77777777" w:rsidTr="005C7DD8">
        <w:tc>
          <w:tcPr>
            <w:tcW w:w="5752" w:type="dxa"/>
          </w:tcPr>
          <w:p w14:paraId="4C69BCDC" w14:textId="77777777" w:rsidR="00ED6C35" w:rsidRPr="00223CBF" w:rsidRDefault="00ED6C35" w:rsidP="00F041A4">
            <w:pPr>
              <w:spacing w:line="360" w:lineRule="auto"/>
              <w:rPr>
                <w:rFonts w:ascii="Cambria" w:hAnsi="Cambria" w:cs="Times New Roman"/>
                <w:color w:val="000000" w:themeColor="text1"/>
                <w:sz w:val="20"/>
                <w:szCs w:val="20"/>
              </w:rPr>
            </w:pPr>
            <w:r w:rsidRPr="00223CBF">
              <w:rPr>
                <w:rFonts w:ascii="Cambria" w:hAnsi="Cambria" w:cs="Times New Roman"/>
                <w:color w:val="000000" w:themeColor="text1"/>
                <w:sz w:val="20"/>
                <w:szCs w:val="20"/>
              </w:rPr>
              <w:t>Women, Peace and Security</w:t>
            </w:r>
          </w:p>
        </w:tc>
        <w:tc>
          <w:tcPr>
            <w:tcW w:w="3968" w:type="dxa"/>
          </w:tcPr>
          <w:p w14:paraId="0F7F31EC" w14:textId="77777777" w:rsidR="00ED6C35" w:rsidRPr="00223CBF" w:rsidRDefault="00ED6C35" w:rsidP="00F041A4">
            <w:pPr>
              <w:pStyle w:val="NormalWeb"/>
              <w:spacing w:line="360" w:lineRule="auto"/>
              <w:jc w:val="right"/>
              <w:rPr>
                <w:rFonts w:ascii="Cambria" w:hAnsi="Cambria"/>
                <w:color w:val="000000" w:themeColor="text1"/>
                <w:sz w:val="20"/>
                <w:szCs w:val="20"/>
              </w:rPr>
            </w:pPr>
            <w:r w:rsidRPr="00223CBF">
              <w:rPr>
                <w:rFonts w:ascii="Cambria" w:hAnsi="Cambria"/>
                <w:color w:val="000000" w:themeColor="text1"/>
                <w:sz w:val="20"/>
                <w:szCs w:val="20"/>
              </w:rPr>
              <w:t>WPS</w:t>
            </w:r>
          </w:p>
        </w:tc>
      </w:tr>
      <w:tr w:rsidR="00ED6C35" w:rsidRPr="00223CBF" w14:paraId="3E338517" w14:textId="77777777" w:rsidTr="005C7DD8">
        <w:tc>
          <w:tcPr>
            <w:tcW w:w="5752" w:type="dxa"/>
          </w:tcPr>
          <w:p w14:paraId="3F3E0DBD" w14:textId="77777777" w:rsidR="00ED6C35" w:rsidRPr="00223CBF" w:rsidRDefault="00ED6C35" w:rsidP="00F041A4">
            <w:pPr>
              <w:spacing w:line="360" w:lineRule="auto"/>
              <w:rPr>
                <w:rFonts w:ascii="Cambria" w:hAnsi="Cambria" w:cs="Times New Roman"/>
                <w:color w:val="000000" w:themeColor="text1"/>
                <w:sz w:val="20"/>
                <w:szCs w:val="20"/>
              </w:rPr>
            </w:pPr>
            <w:r w:rsidRPr="00223CBF">
              <w:rPr>
                <w:rFonts w:ascii="Cambria" w:hAnsi="Cambria" w:cs="Times New Roman"/>
                <w:color w:val="000000" w:themeColor="text1"/>
                <w:sz w:val="20"/>
                <w:szCs w:val="20"/>
              </w:rPr>
              <w:t>Women’s Development Centre</w:t>
            </w:r>
          </w:p>
        </w:tc>
        <w:tc>
          <w:tcPr>
            <w:tcW w:w="3968" w:type="dxa"/>
          </w:tcPr>
          <w:p w14:paraId="4AA1D9F6" w14:textId="77777777" w:rsidR="00ED6C35" w:rsidRPr="00223CBF" w:rsidRDefault="00ED6C35" w:rsidP="00F041A4">
            <w:pPr>
              <w:pStyle w:val="NormalWeb"/>
              <w:spacing w:line="360" w:lineRule="auto"/>
              <w:jc w:val="right"/>
              <w:rPr>
                <w:rFonts w:ascii="Cambria" w:hAnsi="Cambria"/>
                <w:color w:val="000000" w:themeColor="text1"/>
                <w:spacing w:val="4"/>
                <w:sz w:val="20"/>
                <w:szCs w:val="20"/>
                <w:shd w:val="clear" w:color="auto" w:fill="FEFEFE"/>
              </w:rPr>
            </w:pPr>
            <w:r w:rsidRPr="00223CBF">
              <w:rPr>
                <w:rFonts w:ascii="Cambria" w:hAnsi="Cambria"/>
                <w:color w:val="000000" w:themeColor="text1"/>
                <w:spacing w:val="4"/>
                <w:sz w:val="20"/>
                <w:szCs w:val="20"/>
                <w:shd w:val="clear" w:color="auto" w:fill="FEFEFE"/>
              </w:rPr>
              <w:t>WDC</w:t>
            </w:r>
          </w:p>
        </w:tc>
      </w:tr>
      <w:tr w:rsidR="00ED6C35" w:rsidRPr="00223CBF" w14:paraId="25159D60" w14:textId="77777777" w:rsidTr="005C7DD8">
        <w:tc>
          <w:tcPr>
            <w:tcW w:w="5752" w:type="dxa"/>
          </w:tcPr>
          <w:p w14:paraId="59858B36" w14:textId="77777777" w:rsidR="00ED6C35" w:rsidRPr="00223CBF" w:rsidRDefault="00ED6C35" w:rsidP="00F041A4">
            <w:pPr>
              <w:spacing w:line="360" w:lineRule="auto"/>
              <w:rPr>
                <w:rFonts w:ascii="Cambria" w:hAnsi="Cambria" w:cs="Times New Roman"/>
                <w:color w:val="000000" w:themeColor="text1"/>
                <w:sz w:val="20"/>
                <w:szCs w:val="20"/>
              </w:rPr>
            </w:pPr>
            <w:r w:rsidRPr="00223CBF">
              <w:rPr>
                <w:rFonts w:ascii="Cambria" w:hAnsi="Cambria" w:cs="Times New Roman"/>
                <w:color w:val="000000" w:themeColor="text1"/>
                <w:sz w:val="20"/>
                <w:szCs w:val="20"/>
              </w:rPr>
              <w:t>Women’s Development Officers</w:t>
            </w:r>
          </w:p>
        </w:tc>
        <w:tc>
          <w:tcPr>
            <w:tcW w:w="3968" w:type="dxa"/>
          </w:tcPr>
          <w:p w14:paraId="733A77DF" w14:textId="77777777" w:rsidR="00ED6C35" w:rsidRPr="00223CBF" w:rsidRDefault="00ED6C35" w:rsidP="00F041A4">
            <w:pPr>
              <w:pStyle w:val="NormalWeb"/>
              <w:spacing w:line="360" w:lineRule="auto"/>
              <w:jc w:val="right"/>
              <w:rPr>
                <w:rFonts w:ascii="Cambria" w:hAnsi="Cambria"/>
                <w:color w:val="000000" w:themeColor="text1"/>
                <w:spacing w:val="4"/>
                <w:sz w:val="20"/>
                <w:szCs w:val="20"/>
                <w:shd w:val="clear" w:color="auto" w:fill="FEFEFE"/>
              </w:rPr>
            </w:pPr>
            <w:r w:rsidRPr="00223CBF">
              <w:rPr>
                <w:rFonts w:ascii="Cambria" w:hAnsi="Cambria"/>
                <w:color w:val="000000" w:themeColor="text1"/>
                <w:spacing w:val="4"/>
                <w:sz w:val="20"/>
                <w:szCs w:val="20"/>
                <w:shd w:val="clear" w:color="auto" w:fill="FEFEFE"/>
              </w:rPr>
              <w:t>WDO</w:t>
            </w:r>
          </w:p>
        </w:tc>
      </w:tr>
    </w:tbl>
    <w:p w14:paraId="4C3833BA" w14:textId="77777777" w:rsidR="005C789D" w:rsidRPr="00223CBF" w:rsidRDefault="005C789D" w:rsidP="005C789D">
      <w:pPr>
        <w:rPr>
          <w:rFonts w:ascii="Cambria" w:hAnsi="Cambria"/>
          <w:sz w:val="20"/>
          <w:szCs w:val="20"/>
        </w:rPr>
      </w:pPr>
    </w:p>
    <w:p w14:paraId="35DD3E8C" w14:textId="77777777" w:rsidR="0096123E" w:rsidRDefault="0096123E" w:rsidP="000507CA">
      <w:pPr>
        <w:spacing w:line="360" w:lineRule="auto"/>
        <w:jc w:val="both"/>
        <w:rPr>
          <w:rFonts w:ascii="Cambria" w:hAnsi="Cambria" w:cs="Arial"/>
          <w:b/>
          <w:bCs/>
          <w:sz w:val="20"/>
          <w:szCs w:val="20"/>
        </w:rPr>
      </w:pPr>
    </w:p>
    <w:p w14:paraId="1C6A2D44" w14:textId="77777777" w:rsidR="00ED6C35" w:rsidRDefault="00ED6C35" w:rsidP="000507CA">
      <w:pPr>
        <w:spacing w:line="360" w:lineRule="auto"/>
        <w:jc w:val="both"/>
        <w:rPr>
          <w:rFonts w:ascii="Cambria" w:hAnsi="Cambria" w:cs="Arial"/>
          <w:b/>
          <w:bCs/>
          <w:sz w:val="20"/>
          <w:szCs w:val="20"/>
        </w:rPr>
      </w:pPr>
    </w:p>
    <w:p w14:paraId="1D6B640A" w14:textId="77777777" w:rsidR="00ED6C35" w:rsidRDefault="00ED6C35" w:rsidP="000507CA">
      <w:pPr>
        <w:spacing w:line="360" w:lineRule="auto"/>
        <w:jc w:val="both"/>
        <w:rPr>
          <w:rFonts w:ascii="Cambria" w:hAnsi="Cambria" w:cs="Arial"/>
          <w:b/>
          <w:bCs/>
          <w:sz w:val="20"/>
          <w:szCs w:val="20"/>
        </w:rPr>
      </w:pPr>
    </w:p>
    <w:p w14:paraId="0DDC1634" w14:textId="77777777" w:rsidR="00ED6C35" w:rsidRDefault="00ED6C35" w:rsidP="000507CA">
      <w:pPr>
        <w:spacing w:line="360" w:lineRule="auto"/>
        <w:jc w:val="both"/>
        <w:rPr>
          <w:rFonts w:ascii="Cambria" w:hAnsi="Cambria" w:cs="Arial"/>
          <w:b/>
          <w:bCs/>
          <w:sz w:val="20"/>
          <w:szCs w:val="20"/>
        </w:rPr>
      </w:pPr>
    </w:p>
    <w:p w14:paraId="43EFF7F5" w14:textId="77777777" w:rsidR="00ED6C35" w:rsidRDefault="00ED6C35" w:rsidP="000507CA">
      <w:pPr>
        <w:spacing w:line="360" w:lineRule="auto"/>
        <w:jc w:val="both"/>
        <w:rPr>
          <w:rFonts w:ascii="Cambria" w:hAnsi="Cambria" w:cs="Arial"/>
          <w:b/>
          <w:bCs/>
          <w:sz w:val="20"/>
          <w:szCs w:val="20"/>
        </w:rPr>
      </w:pPr>
    </w:p>
    <w:p w14:paraId="23C512F3" w14:textId="77777777" w:rsidR="00ED6C35" w:rsidRDefault="00ED6C35" w:rsidP="000507CA">
      <w:pPr>
        <w:spacing w:line="360" w:lineRule="auto"/>
        <w:jc w:val="both"/>
        <w:rPr>
          <w:rFonts w:ascii="Cambria" w:hAnsi="Cambria" w:cs="Arial"/>
          <w:b/>
          <w:bCs/>
          <w:sz w:val="20"/>
          <w:szCs w:val="20"/>
        </w:rPr>
      </w:pPr>
    </w:p>
    <w:p w14:paraId="4B9BC306" w14:textId="77777777" w:rsidR="00ED6C35" w:rsidRDefault="00ED6C35" w:rsidP="000507CA">
      <w:pPr>
        <w:spacing w:line="360" w:lineRule="auto"/>
        <w:jc w:val="both"/>
        <w:rPr>
          <w:rFonts w:ascii="Cambria" w:hAnsi="Cambria" w:cs="Arial"/>
          <w:b/>
          <w:bCs/>
          <w:sz w:val="20"/>
          <w:szCs w:val="20"/>
        </w:rPr>
      </w:pPr>
    </w:p>
    <w:p w14:paraId="50A1C594" w14:textId="77777777" w:rsidR="00ED6C35" w:rsidRDefault="00ED6C35" w:rsidP="000507CA">
      <w:pPr>
        <w:spacing w:line="360" w:lineRule="auto"/>
        <w:jc w:val="both"/>
        <w:rPr>
          <w:rFonts w:ascii="Cambria" w:hAnsi="Cambria" w:cs="Arial"/>
          <w:b/>
          <w:bCs/>
          <w:sz w:val="20"/>
          <w:szCs w:val="20"/>
        </w:rPr>
      </w:pPr>
    </w:p>
    <w:p w14:paraId="13545ABE" w14:textId="77777777" w:rsidR="00460038" w:rsidRDefault="00460038" w:rsidP="000507CA">
      <w:pPr>
        <w:spacing w:line="360" w:lineRule="auto"/>
        <w:jc w:val="both"/>
        <w:rPr>
          <w:rFonts w:ascii="Cambria" w:hAnsi="Cambria" w:cs="Arial"/>
          <w:b/>
          <w:bCs/>
          <w:sz w:val="20"/>
          <w:szCs w:val="20"/>
        </w:rPr>
      </w:pPr>
    </w:p>
    <w:p w14:paraId="323DA429" w14:textId="77777777" w:rsidR="00460038" w:rsidRDefault="00460038" w:rsidP="000507CA">
      <w:pPr>
        <w:spacing w:line="360" w:lineRule="auto"/>
        <w:jc w:val="both"/>
        <w:rPr>
          <w:rFonts w:ascii="Cambria" w:hAnsi="Cambria" w:cs="Arial"/>
          <w:b/>
          <w:bCs/>
          <w:sz w:val="20"/>
          <w:szCs w:val="20"/>
        </w:rPr>
      </w:pPr>
    </w:p>
    <w:p w14:paraId="20184327" w14:textId="77777777" w:rsidR="007C79D6" w:rsidRDefault="007C79D6" w:rsidP="000507CA">
      <w:pPr>
        <w:spacing w:line="360" w:lineRule="auto"/>
        <w:jc w:val="both"/>
        <w:rPr>
          <w:rFonts w:ascii="Cambria" w:hAnsi="Cambria" w:cs="Arial"/>
          <w:b/>
          <w:bCs/>
          <w:sz w:val="20"/>
          <w:szCs w:val="20"/>
        </w:rPr>
      </w:pPr>
    </w:p>
    <w:p w14:paraId="26B6FF40" w14:textId="7A86CAA0" w:rsidR="007A37E3" w:rsidRPr="00163343" w:rsidRDefault="007260A1" w:rsidP="000507CA">
      <w:pPr>
        <w:spacing w:line="360" w:lineRule="auto"/>
        <w:jc w:val="both"/>
        <w:rPr>
          <w:rFonts w:ascii="Cambria" w:hAnsi="Cambria" w:cs="Arial"/>
          <w:b/>
          <w:bCs/>
          <w:sz w:val="32"/>
          <w:szCs w:val="32"/>
        </w:rPr>
      </w:pPr>
      <w:r w:rsidRPr="00163343">
        <w:rPr>
          <w:rFonts w:ascii="Cambria" w:hAnsi="Cambria" w:cs="Arial"/>
          <w:b/>
          <w:bCs/>
          <w:sz w:val="32"/>
          <w:szCs w:val="32"/>
        </w:rPr>
        <w:t>Acknowledgement</w:t>
      </w:r>
      <w:r w:rsidR="00892A5C" w:rsidRPr="00163343">
        <w:rPr>
          <w:rFonts w:ascii="Cambria" w:hAnsi="Cambria" w:cs="Arial"/>
          <w:b/>
          <w:bCs/>
          <w:sz w:val="32"/>
          <w:szCs w:val="32"/>
        </w:rPr>
        <w:t>s</w:t>
      </w:r>
    </w:p>
    <w:p w14:paraId="7FC47299" w14:textId="5813957A" w:rsidR="00095011" w:rsidRPr="00023626" w:rsidRDefault="00095011" w:rsidP="00023626">
      <w:pPr>
        <w:spacing w:line="360" w:lineRule="auto"/>
        <w:jc w:val="both"/>
        <w:rPr>
          <w:rFonts w:ascii="Cambria" w:hAnsi="Cambria" w:cs="Arial"/>
          <w:sz w:val="20"/>
          <w:szCs w:val="20"/>
        </w:rPr>
      </w:pPr>
      <w:r w:rsidRPr="00023626">
        <w:rPr>
          <w:rFonts w:ascii="Cambria" w:hAnsi="Cambria" w:cs="Arial"/>
          <w:sz w:val="20"/>
          <w:szCs w:val="20"/>
        </w:rPr>
        <w:t xml:space="preserve">I would like to thank UNDP Deputy Resident Representative Faiza Effendi, </w:t>
      </w:r>
      <w:r w:rsidR="00023626" w:rsidRPr="00023626">
        <w:rPr>
          <w:rFonts w:ascii="Cambria" w:hAnsi="Cambria"/>
          <w:color w:val="000000" w:themeColor="text1"/>
          <w:sz w:val="20"/>
          <w:szCs w:val="20"/>
        </w:rPr>
        <w:t xml:space="preserve">Governance and Peacebuilding Team Leader, Bangkok Regional Hub </w:t>
      </w:r>
      <w:r w:rsidRPr="00023626">
        <w:rPr>
          <w:rFonts w:ascii="Cambria" w:hAnsi="Cambria" w:cs="Arial"/>
          <w:sz w:val="20"/>
          <w:szCs w:val="20"/>
        </w:rPr>
        <w:t>N</w:t>
      </w:r>
      <w:r w:rsidR="00023626">
        <w:rPr>
          <w:rFonts w:ascii="Cambria" w:hAnsi="Cambria" w:cs="Arial"/>
          <w:sz w:val="20"/>
          <w:szCs w:val="20"/>
        </w:rPr>
        <w:t>i</w:t>
      </w:r>
      <w:r w:rsidRPr="00023626">
        <w:rPr>
          <w:rFonts w:ascii="Cambria" w:hAnsi="Cambria" w:cs="Arial"/>
          <w:sz w:val="20"/>
          <w:szCs w:val="20"/>
        </w:rPr>
        <w:t>cholas Booth</w:t>
      </w:r>
      <w:r w:rsidR="00023626" w:rsidRPr="00023626">
        <w:rPr>
          <w:rFonts w:ascii="Cambria" w:hAnsi="Cambria" w:cs="Arial"/>
          <w:sz w:val="20"/>
          <w:szCs w:val="20"/>
        </w:rPr>
        <w:t xml:space="preserve">, </w:t>
      </w:r>
      <w:r w:rsidRPr="00023626">
        <w:rPr>
          <w:rFonts w:ascii="Cambria" w:hAnsi="Cambria" w:cs="Arial"/>
          <w:sz w:val="20"/>
          <w:szCs w:val="20"/>
        </w:rPr>
        <w:t xml:space="preserve">Policy </w:t>
      </w:r>
      <w:r w:rsidR="003157DB">
        <w:rPr>
          <w:rFonts w:ascii="Cambria" w:hAnsi="Cambria" w:cs="Arial"/>
          <w:sz w:val="20"/>
          <w:szCs w:val="20"/>
        </w:rPr>
        <w:t>S</w:t>
      </w:r>
      <w:r w:rsidRPr="00023626">
        <w:rPr>
          <w:rFonts w:ascii="Cambria" w:hAnsi="Cambria" w:cs="Arial"/>
          <w:sz w:val="20"/>
          <w:szCs w:val="20"/>
        </w:rPr>
        <w:t>pecialist</w:t>
      </w:r>
      <w:r w:rsidR="00023626" w:rsidRPr="00023626">
        <w:rPr>
          <w:rFonts w:ascii="Cambria" w:hAnsi="Cambria" w:cs="Arial"/>
          <w:sz w:val="20"/>
          <w:szCs w:val="20"/>
        </w:rPr>
        <w:t xml:space="preserve"> </w:t>
      </w:r>
      <w:r w:rsidR="00023626" w:rsidRPr="00023626">
        <w:rPr>
          <w:rFonts w:ascii="Cambria" w:hAnsi="Cambria"/>
          <w:color w:val="000000" w:themeColor="text1"/>
          <w:sz w:val="20"/>
          <w:szCs w:val="20"/>
        </w:rPr>
        <w:t xml:space="preserve">and Team Leader-Governance </w:t>
      </w:r>
      <w:r w:rsidRPr="00023626">
        <w:rPr>
          <w:rFonts w:ascii="Cambria" w:hAnsi="Cambria" w:cs="Arial"/>
          <w:sz w:val="20"/>
          <w:szCs w:val="20"/>
        </w:rPr>
        <w:t xml:space="preserve">Chandrika Karunaratne and </w:t>
      </w:r>
      <w:r w:rsidR="00023626" w:rsidRPr="00023626">
        <w:rPr>
          <w:rFonts w:ascii="Cambria" w:hAnsi="Cambria"/>
          <w:color w:val="000000" w:themeColor="text1"/>
          <w:sz w:val="20"/>
          <w:szCs w:val="20"/>
          <w:lang w:val="en-GB"/>
        </w:rPr>
        <w:t xml:space="preserve">Reconciliation and Development Specialist </w:t>
      </w:r>
      <w:r w:rsidRPr="00023626">
        <w:rPr>
          <w:rFonts w:ascii="Cambria" w:hAnsi="Cambria" w:cs="Arial"/>
          <w:sz w:val="20"/>
          <w:szCs w:val="20"/>
        </w:rPr>
        <w:t>Janeen Fernando and the UNDP Country Team in Sri Lanka for sharing information and for their support and cooperation throughout th</w:t>
      </w:r>
      <w:r w:rsidR="009008D8">
        <w:rPr>
          <w:rFonts w:ascii="Cambria" w:hAnsi="Cambria" w:cs="Arial"/>
          <w:sz w:val="20"/>
          <w:szCs w:val="20"/>
        </w:rPr>
        <w:t>e</w:t>
      </w:r>
      <w:r w:rsidRPr="00023626">
        <w:rPr>
          <w:rFonts w:ascii="Cambria" w:hAnsi="Cambria" w:cs="Arial"/>
          <w:sz w:val="20"/>
          <w:szCs w:val="20"/>
        </w:rPr>
        <w:t xml:space="preserve"> Mid Term </w:t>
      </w:r>
      <w:r w:rsidR="003157DB">
        <w:rPr>
          <w:rFonts w:ascii="Cambria" w:hAnsi="Cambria" w:cs="Arial"/>
          <w:sz w:val="20"/>
          <w:szCs w:val="20"/>
        </w:rPr>
        <w:t>E</w:t>
      </w:r>
      <w:r w:rsidRPr="00023626">
        <w:rPr>
          <w:rFonts w:ascii="Cambria" w:hAnsi="Cambria" w:cs="Arial"/>
          <w:sz w:val="20"/>
          <w:szCs w:val="20"/>
        </w:rPr>
        <w:t xml:space="preserve">valuation.  </w:t>
      </w:r>
    </w:p>
    <w:p w14:paraId="6D8F6C04" w14:textId="2FEDC1FC" w:rsidR="007A37E3" w:rsidRDefault="007A37E3" w:rsidP="000507CA">
      <w:pPr>
        <w:spacing w:line="360" w:lineRule="auto"/>
        <w:jc w:val="both"/>
        <w:rPr>
          <w:rFonts w:ascii="Cambria" w:hAnsi="Cambria" w:cs="Arial"/>
          <w:sz w:val="20"/>
          <w:szCs w:val="20"/>
        </w:rPr>
      </w:pPr>
      <w:r w:rsidRPr="00023626">
        <w:rPr>
          <w:rFonts w:ascii="Cambria" w:hAnsi="Cambria" w:cs="Arial"/>
          <w:sz w:val="20"/>
          <w:szCs w:val="20"/>
        </w:rPr>
        <w:t>I would</w:t>
      </w:r>
      <w:r w:rsidR="00095011" w:rsidRPr="00023626">
        <w:rPr>
          <w:rFonts w:ascii="Cambria" w:hAnsi="Cambria" w:cs="Arial"/>
          <w:sz w:val="20"/>
          <w:szCs w:val="20"/>
        </w:rPr>
        <w:t xml:space="preserve"> also</w:t>
      </w:r>
      <w:r w:rsidRPr="00023626">
        <w:rPr>
          <w:rFonts w:ascii="Cambria" w:hAnsi="Cambria" w:cs="Arial"/>
          <w:sz w:val="20"/>
          <w:szCs w:val="20"/>
        </w:rPr>
        <w:t xml:space="preserve"> like to express my deep appreciation and thanks to </w:t>
      </w:r>
      <w:r w:rsidR="00095011" w:rsidRPr="00023626">
        <w:rPr>
          <w:rFonts w:ascii="Cambria" w:hAnsi="Cambria" w:cs="Arial"/>
          <w:sz w:val="20"/>
          <w:szCs w:val="20"/>
        </w:rPr>
        <w:t xml:space="preserve">key informants from UNDP, government institutions, independent institutions, civil society, academia and private sector </w:t>
      </w:r>
      <w:r w:rsidRPr="00023626">
        <w:rPr>
          <w:rFonts w:ascii="Cambria" w:hAnsi="Cambria" w:cs="Arial"/>
          <w:sz w:val="20"/>
          <w:szCs w:val="20"/>
        </w:rPr>
        <w:t xml:space="preserve">for their valuable contribution, independent insights and more importantly for their time to engage constructively either through </w:t>
      </w:r>
      <w:r w:rsidR="00023626" w:rsidRPr="00023626">
        <w:rPr>
          <w:rFonts w:ascii="Cambria" w:hAnsi="Cambria" w:cs="Arial"/>
          <w:sz w:val="20"/>
          <w:szCs w:val="20"/>
        </w:rPr>
        <w:t>face-to-face</w:t>
      </w:r>
      <w:r w:rsidRPr="00023626">
        <w:rPr>
          <w:rFonts w:ascii="Cambria" w:hAnsi="Cambria" w:cs="Arial"/>
          <w:sz w:val="20"/>
          <w:szCs w:val="20"/>
        </w:rPr>
        <w:t xml:space="preserve"> meetings or zoom/telephone</w:t>
      </w:r>
      <w:r w:rsidR="009008D8">
        <w:rPr>
          <w:rFonts w:ascii="Cambria" w:hAnsi="Cambria" w:cs="Arial"/>
          <w:sz w:val="20"/>
          <w:szCs w:val="20"/>
        </w:rPr>
        <w:t>.</w:t>
      </w:r>
      <w:r w:rsidRPr="00023626">
        <w:rPr>
          <w:rFonts w:ascii="Cambria" w:hAnsi="Cambria" w:cs="Arial"/>
          <w:sz w:val="20"/>
          <w:szCs w:val="20"/>
        </w:rPr>
        <w:t xml:space="preserve"> </w:t>
      </w:r>
    </w:p>
    <w:p w14:paraId="7CE26910" w14:textId="14E5834D" w:rsidR="00D96A80" w:rsidRDefault="00D96A80" w:rsidP="000507CA">
      <w:pPr>
        <w:spacing w:line="360" w:lineRule="auto"/>
        <w:jc w:val="both"/>
        <w:rPr>
          <w:rFonts w:ascii="Cambria" w:hAnsi="Cambria" w:cs="Arial"/>
          <w:sz w:val="20"/>
          <w:szCs w:val="20"/>
        </w:rPr>
      </w:pPr>
    </w:p>
    <w:p w14:paraId="43EAE2FC" w14:textId="2512B85D" w:rsidR="00D96A80" w:rsidRDefault="00D96A80" w:rsidP="000507CA">
      <w:pPr>
        <w:spacing w:line="360" w:lineRule="auto"/>
        <w:jc w:val="both"/>
        <w:rPr>
          <w:rFonts w:ascii="Cambria" w:hAnsi="Cambria" w:cs="Arial"/>
          <w:sz w:val="20"/>
          <w:szCs w:val="20"/>
        </w:rPr>
      </w:pPr>
    </w:p>
    <w:p w14:paraId="5A3780F4" w14:textId="1E5B012F" w:rsidR="00D96A80" w:rsidRDefault="00D96A80" w:rsidP="000507CA">
      <w:pPr>
        <w:spacing w:line="360" w:lineRule="auto"/>
        <w:jc w:val="both"/>
        <w:rPr>
          <w:rFonts w:ascii="Cambria" w:hAnsi="Cambria" w:cs="Arial"/>
          <w:sz w:val="20"/>
          <w:szCs w:val="20"/>
        </w:rPr>
      </w:pPr>
    </w:p>
    <w:p w14:paraId="24493B2C" w14:textId="286FCB52" w:rsidR="00D96A80" w:rsidRDefault="00D96A80" w:rsidP="000507CA">
      <w:pPr>
        <w:spacing w:line="360" w:lineRule="auto"/>
        <w:jc w:val="both"/>
        <w:rPr>
          <w:rFonts w:ascii="Cambria" w:hAnsi="Cambria" w:cs="Arial"/>
          <w:sz w:val="20"/>
          <w:szCs w:val="20"/>
        </w:rPr>
      </w:pPr>
    </w:p>
    <w:p w14:paraId="63D7D570" w14:textId="6A2422EB" w:rsidR="00D96A80" w:rsidRDefault="00D96A80" w:rsidP="000507CA">
      <w:pPr>
        <w:spacing w:line="360" w:lineRule="auto"/>
        <w:jc w:val="both"/>
        <w:rPr>
          <w:rFonts w:ascii="Cambria" w:hAnsi="Cambria" w:cs="Arial"/>
          <w:sz w:val="20"/>
          <w:szCs w:val="20"/>
        </w:rPr>
      </w:pPr>
    </w:p>
    <w:p w14:paraId="075C8D88" w14:textId="04AE4D10" w:rsidR="00D96A80" w:rsidRDefault="00D96A80" w:rsidP="000507CA">
      <w:pPr>
        <w:spacing w:line="360" w:lineRule="auto"/>
        <w:jc w:val="both"/>
        <w:rPr>
          <w:rFonts w:ascii="Cambria" w:hAnsi="Cambria" w:cs="Arial"/>
          <w:sz w:val="20"/>
          <w:szCs w:val="20"/>
        </w:rPr>
      </w:pPr>
    </w:p>
    <w:p w14:paraId="2DCF0A33" w14:textId="7AC70085" w:rsidR="00D96A80" w:rsidRDefault="00D96A80" w:rsidP="000507CA">
      <w:pPr>
        <w:spacing w:line="360" w:lineRule="auto"/>
        <w:jc w:val="both"/>
        <w:rPr>
          <w:rFonts w:ascii="Cambria" w:hAnsi="Cambria" w:cs="Arial"/>
          <w:sz w:val="20"/>
          <w:szCs w:val="20"/>
        </w:rPr>
      </w:pPr>
    </w:p>
    <w:p w14:paraId="3F6BDEC9" w14:textId="284E9139" w:rsidR="00D96A80" w:rsidRDefault="00D96A80" w:rsidP="000507CA">
      <w:pPr>
        <w:spacing w:line="360" w:lineRule="auto"/>
        <w:jc w:val="both"/>
        <w:rPr>
          <w:rFonts w:ascii="Cambria" w:hAnsi="Cambria" w:cs="Arial"/>
          <w:sz w:val="20"/>
          <w:szCs w:val="20"/>
        </w:rPr>
      </w:pPr>
    </w:p>
    <w:p w14:paraId="69260721" w14:textId="72EC6B81" w:rsidR="00D96A80" w:rsidRDefault="00D96A80" w:rsidP="000507CA">
      <w:pPr>
        <w:spacing w:line="360" w:lineRule="auto"/>
        <w:jc w:val="both"/>
        <w:rPr>
          <w:rFonts w:ascii="Cambria" w:hAnsi="Cambria" w:cs="Arial"/>
          <w:sz w:val="20"/>
          <w:szCs w:val="20"/>
        </w:rPr>
      </w:pPr>
    </w:p>
    <w:p w14:paraId="72E530FE" w14:textId="5D95674C" w:rsidR="00D96A80" w:rsidRDefault="00D96A80" w:rsidP="000507CA">
      <w:pPr>
        <w:spacing w:line="360" w:lineRule="auto"/>
        <w:jc w:val="both"/>
        <w:rPr>
          <w:rFonts w:ascii="Cambria" w:hAnsi="Cambria" w:cs="Arial"/>
          <w:sz w:val="20"/>
          <w:szCs w:val="20"/>
        </w:rPr>
      </w:pPr>
    </w:p>
    <w:p w14:paraId="47A8C585" w14:textId="30AE6346" w:rsidR="00D96A80" w:rsidRDefault="00D96A80" w:rsidP="000507CA">
      <w:pPr>
        <w:spacing w:line="360" w:lineRule="auto"/>
        <w:jc w:val="both"/>
        <w:rPr>
          <w:rFonts w:ascii="Cambria" w:hAnsi="Cambria" w:cs="Arial"/>
          <w:sz w:val="20"/>
          <w:szCs w:val="20"/>
        </w:rPr>
      </w:pPr>
    </w:p>
    <w:p w14:paraId="2D2333BF" w14:textId="3A84EC85" w:rsidR="00D96A80" w:rsidRDefault="00D96A80" w:rsidP="000507CA">
      <w:pPr>
        <w:spacing w:line="360" w:lineRule="auto"/>
        <w:jc w:val="both"/>
        <w:rPr>
          <w:rFonts w:ascii="Cambria" w:hAnsi="Cambria" w:cs="Arial"/>
          <w:sz w:val="20"/>
          <w:szCs w:val="20"/>
        </w:rPr>
      </w:pPr>
    </w:p>
    <w:p w14:paraId="187284C2" w14:textId="7C5BC32A" w:rsidR="00D96A80" w:rsidRDefault="00D96A80" w:rsidP="000507CA">
      <w:pPr>
        <w:spacing w:line="360" w:lineRule="auto"/>
        <w:jc w:val="both"/>
        <w:rPr>
          <w:rFonts w:ascii="Cambria" w:hAnsi="Cambria" w:cs="Arial"/>
          <w:sz w:val="20"/>
          <w:szCs w:val="20"/>
        </w:rPr>
      </w:pPr>
    </w:p>
    <w:p w14:paraId="675B2767" w14:textId="2F039214" w:rsidR="00D96A80" w:rsidRDefault="00D96A80" w:rsidP="000507CA">
      <w:pPr>
        <w:spacing w:line="360" w:lineRule="auto"/>
        <w:jc w:val="both"/>
        <w:rPr>
          <w:rFonts w:ascii="Cambria" w:hAnsi="Cambria" w:cs="Arial"/>
          <w:sz w:val="20"/>
          <w:szCs w:val="20"/>
        </w:rPr>
      </w:pPr>
    </w:p>
    <w:p w14:paraId="3707E62D" w14:textId="45162F2E" w:rsidR="00D96A80" w:rsidRDefault="00D96A80" w:rsidP="000507CA">
      <w:pPr>
        <w:spacing w:line="360" w:lineRule="auto"/>
        <w:jc w:val="both"/>
        <w:rPr>
          <w:rFonts w:ascii="Cambria" w:hAnsi="Cambria" w:cs="Arial"/>
          <w:sz w:val="20"/>
          <w:szCs w:val="20"/>
        </w:rPr>
      </w:pPr>
    </w:p>
    <w:p w14:paraId="7F1CC196" w14:textId="0D3B9B72" w:rsidR="00D96A80" w:rsidRDefault="00D96A80" w:rsidP="000507CA">
      <w:pPr>
        <w:spacing w:line="360" w:lineRule="auto"/>
        <w:jc w:val="both"/>
        <w:rPr>
          <w:rFonts w:ascii="Cambria" w:hAnsi="Cambria" w:cs="Arial"/>
          <w:sz w:val="20"/>
          <w:szCs w:val="20"/>
        </w:rPr>
      </w:pPr>
    </w:p>
    <w:p w14:paraId="42C712F2" w14:textId="6A2EA009" w:rsidR="00D96A80" w:rsidRDefault="00D96A80" w:rsidP="000507CA">
      <w:pPr>
        <w:spacing w:line="360" w:lineRule="auto"/>
        <w:jc w:val="both"/>
        <w:rPr>
          <w:rFonts w:ascii="Cambria" w:hAnsi="Cambria" w:cs="Arial"/>
          <w:sz w:val="20"/>
          <w:szCs w:val="20"/>
        </w:rPr>
      </w:pPr>
    </w:p>
    <w:p w14:paraId="19BE561C" w14:textId="35FA25AC" w:rsidR="00D96A80" w:rsidRDefault="00D96A80" w:rsidP="000507CA">
      <w:pPr>
        <w:spacing w:line="360" w:lineRule="auto"/>
        <w:jc w:val="both"/>
        <w:rPr>
          <w:rFonts w:ascii="Cambria" w:hAnsi="Cambria" w:cs="Arial"/>
          <w:sz w:val="20"/>
          <w:szCs w:val="20"/>
        </w:rPr>
      </w:pPr>
    </w:p>
    <w:p w14:paraId="5884057C" w14:textId="5BD34342" w:rsidR="00D96A80" w:rsidRDefault="00D96A80" w:rsidP="000507CA">
      <w:pPr>
        <w:spacing w:line="360" w:lineRule="auto"/>
        <w:jc w:val="both"/>
        <w:rPr>
          <w:rFonts w:ascii="Cambria" w:hAnsi="Cambria" w:cs="Arial"/>
          <w:sz w:val="20"/>
          <w:szCs w:val="20"/>
        </w:rPr>
      </w:pPr>
    </w:p>
    <w:p w14:paraId="52C81351" w14:textId="6099EA2F" w:rsidR="00D96A80" w:rsidRDefault="00D96A80" w:rsidP="000507CA">
      <w:pPr>
        <w:spacing w:line="360" w:lineRule="auto"/>
        <w:jc w:val="both"/>
        <w:rPr>
          <w:rFonts w:ascii="Cambria" w:hAnsi="Cambria" w:cs="Arial"/>
          <w:sz w:val="20"/>
          <w:szCs w:val="20"/>
        </w:rPr>
      </w:pPr>
    </w:p>
    <w:p w14:paraId="0BB9EC29" w14:textId="76A5A7A0" w:rsidR="00D96A80" w:rsidRDefault="00D96A80" w:rsidP="000507CA">
      <w:pPr>
        <w:spacing w:line="360" w:lineRule="auto"/>
        <w:jc w:val="both"/>
        <w:rPr>
          <w:rFonts w:ascii="Cambria" w:hAnsi="Cambria" w:cs="Arial"/>
          <w:sz w:val="20"/>
          <w:szCs w:val="20"/>
        </w:rPr>
      </w:pPr>
    </w:p>
    <w:p w14:paraId="02E3E219" w14:textId="0665A782" w:rsidR="007A37E3" w:rsidRDefault="00D96A80" w:rsidP="000507CA">
      <w:pPr>
        <w:spacing w:line="360" w:lineRule="auto"/>
        <w:jc w:val="both"/>
        <w:rPr>
          <w:rFonts w:ascii="Cambria" w:hAnsi="Cambria" w:cs="Arial"/>
          <w:b/>
          <w:bCs/>
          <w:sz w:val="20"/>
          <w:szCs w:val="20"/>
        </w:rPr>
      </w:pPr>
      <w:r w:rsidRPr="00892A5C">
        <w:rPr>
          <w:rFonts w:ascii="Cambria" w:hAnsi="Cambria" w:cs="Arial"/>
          <w:b/>
          <w:bCs/>
          <w:noProof/>
          <w:sz w:val="20"/>
          <w:szCs w:val="20"/>
        </w:rPr>
        <w:drawing>
          <wp:anchor distT="0" distB="0" distL="114300" distR="114300" simplePos="0" relativeHeight="251662336" behindDoc="1" locked="0" layoutInCell="1" allowOverlap="1" wp14:anchorId="30FEE6E2" wp14:editId="42CC3286">
            <wp:simplePos x="0" y="0"/>
            <wp:positionH relativeFrom="column">
              <wp:posOffset>-483870</wp:posOffset>
            </wp:positionH>
            <wp:positionV relativeFrom="paragraph">
              <wp:posOffset>4683648</wp:posOffset>
            </wp:positionV>
            <wp:extent cx="6938682" cy="3540821"/>
            <wp:effectExtent l="0" t="0" r="0" b="2540"/>
            <wp:wrapTight wrapText="bothSides">
              <wp:wrapPolygon edited="0">
                <wp:start x="0" y="0"/>
                <wp:lineTo x="0" y="21538"/>
                <wp:lineTo x="21547" y="21538"/>
                <wp:lineTo x="2154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938682" cy="3540821"/>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cs="Arial"/>
          <w:b/>
          <w:bCs/>
          <w:noProof/>
          <w:sz w:val="20"/>
          <w:szCs w:val="20"/>
        </w:rPr>
        <w:drawing>
          <wp:anchor distT="0" distB="0" distL="114300" distR="114300" simplePos="0" relativeHeight="251661312" behindDoc="1" locked="0" layoutInCell="1" allowOverlap="1" wp14:anchorId="4C696958" wp14:editId="228FDFAC">
            <wp:simplePos x="0" y="0"/>
            <wp:positionH relativeFrom="column">
              <wp:posOffset>-586105</wp:posOffset>
            </wp:positionH>
            <wp:positionV relativeFrom="paragraph">
              <wp:posOffset>269875</wp:posOffset>
            </wp:positionV>
            <wp:extent cx="7139940" cy="4345940"/>
            <wp:effectExtent l="0" t="0" r="0" b="0"/>
            <wp:wrapTight wrapText="bothSides">
              <wp:wrapPolygon edited="0">
                <wp:start x="0" y="0"/>
                <wp:lineTo x="0" y="21524"/>
                <wp:lineTo x="21554" y="21524"/>
                <wp:lineTo x="21554" y="0"/>
                <wp:lineTo x="0" y="0"/>
              </wp:wrapPolygon>
            </wp:wrapTight>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39940" cy="4345940"/>
                    </a:xfrm>
                    <a:prstGeom prst="rect">
                      <a:avLst/>
                    </a:prstGeom>
                  </pic:spPr>
                </pic:pic>
              </a:graphicData>
            </a:graphic>
            <wp14:sizeRelH relativeFrom="page">
              <wp14:pctWidth>0</wp14:pctWidth>
            </wp14:sizeRelH>
            <wp14:sizeRelV relativeFrom="page">
              <wp14:pctHeight>0</wp14:pctHeight>
            </wp14:sizeRelV>
          </wp:anchor>
        </w:drawing>
      </w:r>
    </w:p>
    <w:p w14:paraId="19BB32D8" w14:textId="0018294A" w:rsidR="00A74F1A" w:rsidRDefault="00A74F1A" w:rsidP="00A74F1A">
      <w:pPr>
        <w:spacing w:line="360" w:lineRule="auto"/>
        <w:jc w:val="both"/>
        <w:rPr>
          <w:rFonts w:ascii="Cambria" w:hAnsi="Cambria"/>
          <w:b/>
          <w:bCs/>
          <w:color w:val="000000" w:themeColor="text1"/>
          <w:sz w:val="32"/>
          <w:szCs w:val="32"/>
        </w:rPr>
      </w:pPr>
      <w:r w:rsidRPr="00005891">
        <w:rPr>
          <w:rFonts w:ascii="Cambria" w:hAnsi="Cambria"/>
          <w:b/>
          <w:bCs/>
          <w:color w:val="000000" w:themeColor="text1"/>
          <w:sz w:val="32"/>
          <w:szCs w:val="32"/>
        </w:rPr>
        <w:lastRenderedPageBreak/>
        <w:t xml:space="preserve">Executive Summary </w:t>
      </w:r>
    </w:p>
    <w:p w14:paraId="7809EFD9" w14:textId="77777777" w:rsidR="00FD7F03" w:rsidRPr="00DD05DA" w:rsidRDefault="00FD7F03" w:rsidP="00FD7F03">
      <w:pPr>
        <w:spacing w:line="360" w:lineRule="auto"/>
        <w:jc w:val="both"/>
        <w:rPr>
          <w:rFonts w:ascii="Cambria" w:hAnsi="Cambria" w:cs="Arial"/>
          <w:sz w:val="20"/>
          <w:szCs w:val="20"/>
        </w:rPr>
      </w:pPr>
      <w:r w:rsidRPr="00DD05DA">
        <w:rPr>
          <w:rFonts w:ascii="Cambria" w:hAnsi="Cambria" w:cs="Arial"/>
          <w:sz w:val="20"/>
          <w:szCs w:val="20"/>
        </w:rPr>
        <w:t xml:space="preserve">The UNDP in Sri Lanka developed a Portfolio on SDG 16 on Peace, Justice and Strong Institutions to be implemented from 2019 to 2022. </w:t>
      </w:r>
      <w:r w:rsidRPr="00DD05DA">
        <w:rPr>
          <w:rFonts w:ascii="Cambria" w:hAnsi="Cambria" w:cs="Arial"/>
          <w:color w:val="000000" w:themeColor="text1"/>
          <w:sz w:val="20"/>
          <w:szCs w:val="20"/>
        </w:rPr>
        <w:t xml:space="preserve">The SDG 16 Goal provides a broad framework for the promotion of peaceful and inclusive societies for sustainable development, the provision of access to justice for all and building effective and accountable institutions at all levels. </w:t>
      </w:r>
      <w:r w:rsidRPr="00DD05DA">
        <w:rPr>
          <w:rFonts w:ascii="Cambria" w:hAnsi="Cambria" w:cs="Arial"/>
          <w:sz w:val="20"/>
          <w:szCs w:val="20"/>
        </w:rPr>
        <w:t>For this purpose, the Portfolio intervenes across three inter-related outcomes/service lines namely: Parliament and Independent Commissions; Rule of Law and Access to Justice</w:t>
      </w:r>
      <w:r>
        <w:rPr>
          <w:rFonts w:ascii="Cambria" w:hAnsi="Cambria" w:cs="Arial"/>
          <w:sz w:val="20"/>
          <w:szCs w:val="20"/>
        </w:rPr>
        <w:t>;</w:t>
      </w:r>
      <w:r w:rsidRPr="00DD05DA">
        <w:rPr>
          <w:rFonts w:ascii="Cambria" w:hAnsi="Cambria" w:cs="Arial"/>
          <w:sz w:val="20"/>
          <w:szCs w:val="20"/>
        </w:rPr>
        <w:t xml:space="preserve"> and Public Sector and Local Governance. </w:t>
      </w:r>
    </w:p>
    <w:p w14:paraId="30434049" w14:textId="3FA026DA" w:rsidR="00FD7F03" w:rsidRDefault="00FD7F03" w:rsidP="00FD7F03">
      <w:pPr>
        <w:spacing w:line="360" w:lineRule="auto"/>
        <w:jc w:val="both"/>
        <w:rPr>
          <w:rFonts w:ascii="Cambria" w:hAnsi="Cambria" w:cs="Arial"/>
          <w:sz w:val="20"/>
          <w:szCs w:val="20"/>
        </w:rPr>
      </w:pPr>
      <w:r w:rsidRPr="00DD05DA">
        <w:rPr>
          <w:rFonts w:ascii="Cambria" w:hAnsi="Cambria" w:cs="Arial"/>
          <w:sz w:val="20"/>
          <w:szCs w:val="20"/>
        </w:rPr>
        <w:t>However, since the inception of the Portfolio</w:t>
      </w:r>
      <w:r>
        <w:rPr>
          <w:rFonts w:ascii="Cambria" w:hAnsi="Cambria" w:cs="Arial"/>
          <w:sz w:val="20"/>
          <w:szCs w:val="20"/>
        </w:rPr>
        <w:t xml:space="preserve"> </w:t>
      </w:r>
      <w:r w:rsidRPr="00DD05DA">
        <w:rPr>
          <w:rFonts w:ascii="Cambria" w:hAnsi="Cambria" w:cs="Arial"/>
          <w:sz w:val="20"/>
          <w:szCs w:val="20"/>
        </w:rPr>
        <w:t>major political, economic</w:t>
      </w:r>
      <w:r>
        <w:rPr>
          <w:rFonts w:ascii="Cambria" w:hAnsi="Cambria" w:cs="Arial"/>
          <w:sz w:val="20"/>
          <w:szCs w:val="20"/>
        </w:rPr>
        <w:t>, health</w:t>
      </w:r>
      <w:r w:rsidRPr="00DD05DA">
        <w:rPr>
          <w:rFonts w:ascii="Cambria" w:hAnsi="Cambria" w:cs="Arial"/>
          <w:sz w:val="20"/>
          <w:szCs w:val="20"/>
        </w:rPr>
        <w:t xml:space="preserve"> and social </w:t>
      </w:r>
      <w:r>
        <w:rPr>
          <w:rFonts w:ascii="Cambria" w:hAnsi="Cambria" w:cs="Arial"/>
          <w:sz w:val="20"/>
          <w:szCs w:val="20"/>
        </w:rPr>
        <w:t xml:space="preserve">shifts and shocks </w:t>
      </w:r>
      <w:r w:rsidRPr="00DD05DA">
        <w:rPr>
          <w:rFonts w:ascii="Cambria" w:hAnsi="Cambria" w:cs="Arial"/>
          <w:sz w:val="20"/>
          <w:szCs w:val="20"/>
        </w:rPr>
        <w:t xml:space="preserve">has </w:t>
      </w:r>
      <w:r>
        <w:rPr>
          <w:rFonts w:ascii="Cambria" w:hAnsi="Cambria" w:cs="Arial"/>
          <w:sz w:val="20"/>
          <w:szCs w:val="20"/>
        </w:rPr>
        <w:t xml:space="preserve">presented </w:t>
      </w:r>
      <w:r w:rsidRPr="00DD05DA">
        <w:rPr>
          <w:rFonts w:ascii="Cambria" w:hAnsi="Cambria" w:cs="Arial"/>
          <w:sz w:val="20"/>
          <w:szCs w:val="20"/>
        </w:rPr>
        <w:t xml:space="preserve">unprecedented challenges in implementing the Portfolio as designed. </w:t>
      </w:r>
      <w:r w:rsidR="00230FA4">
        <w:rPr>
          <w:rFonts w:ascii="Cambria" w:hAnsi="Cambria" w:cs="Arial"/>
          <w:sz w:val="20"/>
          <w:szCs w:val="20"/>
        </w:rPr>
        <w:t xml:space="preserve"> </w:t>
      </w:r>
      <w:r w:rsidR="00230FA4" w:rsidRPr="004E39F4">
        <w:rPr>
          <w:rFonts w:ascii="Calibri Light" w:hAnsi="Calibri Light" w:cs="Calibri Light"/>
        </w:rPr>
        <w:t>Given the changed context</w:t>
      </w:r>
      <w:r w:rsidR="00230FA4">
        <w:rPr>
          <w:rFonts w:ascii="Calibri Light" w:hAnsi="Calibri Light" w:cs="Calibri Light"/>
        </w:rPr>
        <w:t xml:space="preserve"> and based on the Country Evaluation Plan</w:t>
      </w:r>
      <w:r w:rsidR="00D95E58">
        <w:rPr>
          <w:rFonts w:ascii="Calibri Light" w:hAnsi="Calibri Light" w:cs="Calibri Light"/>
        </w:rPr>
        <w:t xml:space="preserve"> (2018-2022)</w:t>
      </w:r>
      <w:r w:rsidR="00230FA4" w:rsidRPr="004E39F4">
        <w:rPr>
          <w:rFonts w:ascii="Calibri Light" w:hAnsi="Calibri Light" w:cs="Calibri Light"/>
        </w:rPr>
        <w:t xml:space="preserve">, </w:t>
      </w:r>
      <w:r w:rsidRPr="00DD05DA">
        <w:rPr>
          <w:rFonts w:ascii="Cambria" w:hAnsi="Cambria" w:cs="Arial"/>
          <w:sz w:val="20"/>
          <w:szCs w:val="20"/>
        </w:rPr>
        <w:t>the UNDP decided to conduct a Mid-Term Evaluation (MTE) cum Strategic Direction Setting</w:t>
      </w:r>
      <w:r w:rsidR="00D55ABB">
        <w:rPr>
          <w:rFonts w:ascii="Cambria" w:hAnsi="Cambria" w:cs="Arial"/>
          <w:sz w:val="20"/>
          <w:szCs w:val="20"/>
        </w:rPr>
        <w:t xml:space="preserve">. This exercise </w:t>
      </w:r>
      <w:r w:rsidR="00D55ABB" w:rsidRPr="00DD05DA">
        <w:rPr>
          <w:rFonts w:ascii="Cambria" w:hAnsi="Cambria" w:cs="Arial"/>
          <w:sz w:val="20"/>
          <w:szCs w:val="20"/>
        </w:rPr>
        <w:t>assesse</w:t>
      </w:r>
      <w:r w:rsidR="009D003D">
        <w:rPr>
          <w:rFonts w:ascii="Cambria" w:hAnsi="Cambria" w:cs="Arial"/>
          <w:sz w:val="20"/>
          <w:szCs w:val="20"/>
        </w:rPr>
        <w:t>d</w:t>
      </w:r>
      <w:r w:rsidRPr="00DD05DA">
        <w:rPr>
          <w:rFonts w:ascii="Cambria" w:hAnsi="Cambria" w:cs="Arial"/>
          <w:sz w:val="20"/>
          <w:szCs w:val="20"/>
        </w:rPr>
        <w:t xml:space="preserve"> the results achieved under the Portfolio from January 2019 to August 2020 against the current country context using evidence-based information. The MTE assess</w:t>
      </w:r>
      <w:r>
        <w:rPr>
          <w:rFonts w:ascii="Cambria" w:hAnsi="Cambria" w:cs="Arial"/>
          <w:sz w:val="20"/>
          <w:szCs w:val="20"/>
        </w:rPr>
        <w:t>ed</w:t>
      </w:r>
      <w:r w:rsidRPr="00DD05DA">
        <w:rPr>
          <w:rFonts w:ascii="Cambria" w:hAnsi="Cambria" w:cs="Arial"/>
          <w:sz w:val="20"/>
          <w:szCs w:val="20"/>
        </w:rPr>
        <w:t xml:space="preserve"> progress towards output level objectives </w:t>
      </w:r>
      <w:r w:rsidRPr="00D55ABB">
        <w:rPr>
          <w:rFonts w:ascii="Cambria" w:hAnsi="Cambria" w:cs="Arial"/>
          <w:i/>
          <w:iCs/>
          <w:sz w:val="20"/>
          <w:szCs w:val="20"/>
        </w:rPr>
        <w:t>vis a vis</w:t>
      </w:r>
      <w:r w:rsidRPr="00DD05DA">
        <w:rPr>
          <w:rFonts w:ascii="Cambria" w:hAnsi="Cambria" w:cs="Arial"/>
          <w:sz w:val="20"/>
          <w:szCs w:val="20"/>
        </w:rPr>
        <w:t xml:space="preserve"> relevance, effectiveness, efficiency, impact and sustainability of results achieved so far under Pillar One on ‘Parliament and Independent Commissions’ and Pillar Two on ‘Rule of Law and Access to Justice’ and identif</w:t>
      </w:r>
      <w:r>
        <w:rPr>
          <w:rFonts w:ascii="Cambria" w:hAnsi="Cambria" w:cs="Arial"/>
          <w:sz w:val="20"/>
          <w:szCs w:val="20"/>
        </w:rPr>
        <w:t>ied</w:t>
      </w:r>
      <w:r w:rsidRPr="00DD05DA">
        <w:rPr>
          <w:rFonts w:ascii="Cambria" w:hAnsi="Cambria" w:cs="Arial"/>
          <w:sz w:val="20"/>
          <w:szCs w:val="20"/>
        </w:rPr>
        <w:t xml:space="preserve"> strategic and subject specific recommendations. </w:t>
      </w:r>
      <w:r w:rsidR="00F40D1B">
        <w:rPr>
          <w:rFonts w:ascii="Calibri Light" w:hAnsi="Calibri Light" w:cs="Calibri Light"/>
        </w:rPr>
        <w:t>Given that the bulk of work undertaken under Pillar 3 ‘Pubic Sector and Local Governance’ only commenced during the first quarter of 2020, it was decided that evaluation of its progress would be premature at this juncture.</w:t>
      </w:r>
    </w:p>
    <w:p w14:paraId="10E18CD5" w14:textId="65B4499A" w:rsidR="00FD7F03" w:rsidRPr="00DD05DA" w:rsidRDefault="00FD7F03" w:rsidP="00FD7F03">
      <w:pPr>
        <w:spacing w:line="360" w:lineRule="auto"/>
        <w:jc w:val="both"/>
        <w:rPr>
          <w:rFonts w:ascii="Cambria" w:hAnsi="Cambria" w:cstheme="minorHAnsi"/>
          <w:b/>
          <w:bCs/>
          <w:color w:val="000000" w:themeColor="text1"/>
          <w:sz w:val="28"/>
          <w:szCs w:val="28"/>
          <w:lang w:val="en-GB"/>
        </w:rPr>
      </w:pPr>
      <w:r w:rsidRPr="00DD05DA">
        <w:rPr>
          <w:rFonts w:ascii="Cambria" w:hAnsi="Cambria" w:cstheme="minorHAnsi"/>
          <w:color w:val="000000" w:themeColor="text1"/>
          <w:sz w:val="20"/>
          <w:szCs w:val="20"/>
          <w:lang w:val="en-GB"/>
        </w:rPr>
        <w:t>The MTE attempted to follow a mixed method evaluation approach. This included a review of secondary resources as part of the desk review, which was initiated during the inception phase, and continued during the field phase. The desk review involved attempting to draw out the quantitative/number-based information from the secondary sources</w:t>
      </w:r>
      <w:r w:rsidR="009D003D">
        <w:rPr>
          <w:rFonts w:ascii="Cambria" w:hAnsi="Cambria" w:cstheme="minorHAnsi"/>
          <w:color w:val="000000" w:themeColor="text1"/>
          <w:sz w:val="20"/>
          <w:szCs w:val="20"/>
          <w:lang w:val="en-GB"/>
        </w:rPr>
        <w:t>,</w:t>
      </w:r>
      <w:r w:rsidRPr="00DD05DA">
        <w:rPr>
          <w:rFonts w:ascii="Cambria" w:hAnsi="Cambria" w:cstheme="minorHAnsi"/>
          <w:color w:val="000000" w:themeColor="text1"/>
          <w:sz w:val="20"/>
          <w:szCs w:val="20"/>
          <w:lang w:val="en-GB"/>
        </w:rPr>
        <w:t xml:space="preserve"> to complement the primary data collection through the Key Person Interviews (KPIs). Primary data collected during the period 5</w:t>
      </w:r>
      <w:r w:rsidRPr="00DD05DA">
        <w:rPr>
          <w:rFonts w:ascii="Cambria" w:hAnsi="Cambria" w:cstheme="minorHAnsi"/>
          <w:color w:val="000000" w:themeColor="text1"/>
          <w:sz w:val="20"/>
          <w:szCs w:val="20"/>
          <w:vertAlign w:val="superscript"/>
          <w:lang w:val="en-GB"/>
        </w:rPr>
        <w:t>th</w:t>
      </w:r>
      <w:r w:rsidRPr="00DD05DA">
        <w:rPr>
          <w:rFonts w:ascii="Cambria" w:hAnsi="Cambria" w:cstheme="minorHAnsi"/>
          <w:color w:val="000000" w:themeColor="text1"/>
          <w:sz w:val="20"/>
          <w:szCs w:val="20"/>
          <w:lang w:val="en-GB"/>
        </w:rPr>
        <w:t xml:space="preserve"> October to 10</w:t>
      </w:r>
      <w:r w:rsidRPr="00DD05DA">
        <w:rPr>
          <w:rFonts w:ascii="Cambria" w:hAnsi="Cambria" w:cstheme="minorHAnsi"/>
          <w:color w:val="000000" w:themeColor="text1"/>
          <w:sz w:val="20"/>
          <w:szCs w:val="20"/>
          <w:vertAlign w:val="superscript"/>
          <w:lang w:val="en-GB"/>
        </w:rPr>
        <w:t>th</w:t>
      </w:r>
      <w:r w:rsidRPr="00DD05DA">
        <w:rPr>
          <w:rFonts w:ascii="Cambria" w:hAnsi="Cambria" w:cstheme="minorHAnsi"/>
          <w:color w:val="000000" w:themeColor="text1"/>
          <w:sz w:val="20"/>
          <w:szCs w:val="20"/>
          <w:lang w:val="en-GB"/>
        </w:rPr>
        <w:t xml:space="preserve"> November involving KPIs used a semi-structured question guide. Challenges posed by the Covid 19 pandemic, shortcomings in the availability of data and time constraints may be highlighted as limitations to the evaluation.</w:t>
      </w:r>
      <w:r w:rsidR="009D003D">
        <w:rPr>
          <w:rStyle w:val="FootnoteReference"/>
          <w:rFonts w:ascii="Cambria" w:hAnsi="Cambria" w:cstheme="minorHAnsi"/>
          <w:color w:val="000000" w:themeColor="text1"/>
          <w:sz w:val="20"/>
          <w:szCs w:val="20"/>
          <w:lang w:val="en-GB"/>
        </w:rPr>
        <w:footnoteReference w:id="1"/>
      </w:r>
      <w:r w:rsidRPr="00DD05DA">
        <w:rPr>
          <w:rFonts w:ascii="Cambria" w:hAnsi="Cambria" w:cstheme="minorHAnsi"/>
          <w:color w:val="000000" w:themeColor="text1"/>
          <w:sz w:val="20"/>
          <w:szCs w:val="20"/>
          <w:lang w:val="en-GB"/>
        </w:rPr>
        <w:t xml:space="preserve"> </w:t>
      </w:r>
    </w:p>
    <w:p w14:paraId="37E48605" w14:textId="77777777" w:rsidR="00FD7F03" w:rsidRPr="00DD05DA" w:rsidRDefault="00FD7F03" w:rsidP="00FD7F03">
      <w:pPr>
        <w:spacing w:line="360" w:lineRule="auto"/>
        <w:jc w:val="both"/>
        <w:rPr>
          <w:rFonts w:ascii="Cambria" w:hAnsi="Cambria" w:cs="Calibri Light"/>
          <w:sz w:val="20"/>
          <w:szCs w:val="20"/>
        </w:rPr>
      </w:pPr>
      <w:r w:rsidRPr="00DD05DA">
        <w:rPr>
          <w:rFonts w:ascii="Cambria" w:hAnsi="Cambria" w:cs="Arial"/>
          <w:sz w:val="20"/>
          <w:szCs w:val="20"/>
        </w:rPr>
        <w:t>The key findings and recommendations will inform the strategic realignment</w:t>
      </w:r>
      <w:r w:rsidRPr="00DD05DA">
        <w:rPr>
          <w:rFonts w:ascii="Cambria" w:hAnsi="Cambria" w:cs="Calibri Light"/>
          <w:sz w:val="20"/>
          <w:szCs w:val="20"/>
        </w:rPr>
        <w:t xml:space="preserve"> that UNDP makes to the Portfolio under each of the three thematic pillars, to better contribute to the new government’s priorities and UNDP’s 2.0 offer for the remaining duration of the CPD and the UNSDF.  </w:t>
      </w:r>
    </w:p>
    <w:p w14:paraId="54F641F6" w14:textId="77777777" w:rsidR="00FD7F03" w:rsidRPr="00DD05DA" w:rsidRDefault="00FD7F03" w:rsidP="00FD7F03">
      <w:pPr>
        <w:spacing w:line="360" w:lineRule="auto"/>
        <w:jc w:val="both"/>
        <w:rPr>
          <w:rFonts w:ascii="Cambria" w:hAnsi="Cambria" w:cstheme="minorHAnsi"/>
          <w:b/>
          <w:bCs/>
          <w:color w:val="000000" w:themeColor="text1"/>
          <w:sz w:val="28"/>
          <w:szCs w:val="28"/>
          <w:lang w:val="en-GB"/>
        </w:rPr>
      </w:pPr>
      <w:r w:rsidRPr="00DD05DA">
        <w:rPr>
          <w:rFonts w:ascii="Cambria" w:hAnsi="Cambria" w:cstheme="minorHAnsi"/>
          <w:b/>
          <w:bCs/>
          <w:color w:val="000000" w:themeColor="text1"/>
          <w:sz w:val="28"/>
          <w:szCs w:val="28"/>
          <w:lang w:val="en-GB"/>
        </w:rPr>
        <w:t>Key Findings</w:t>
      </w:r>
    </w:p>
    <w:p w14:paraId="051BEF3D" w14:textId="316FACB9" w:rsidR="00FD7F03" w:rsidRDefault="00FD7F03" w:rsidP="00FD7F03">
      <w:pPr>
        <w:spacing w:line="360" w:lineRule="auto"/>
        <w:jc w:val="both"/>
        <w:rPr>
          <w:rFonts w:ascii="Cambria" w:hAnsi="Cambria" w:cstheme="minorHAnsi"/>
          <w:color w:val="000000" w:themeColor="text1"/>
          <w:sz w:val="20"/>
          <w:szCs w:val="20"/>
          <w:lang w:val="en-GB"/>
        </w:rPr>
      </w:pPr>
      <w:r>
        <w:rPr>
          <w:rFonts w:ascii="Cambria" w:hAnsi="Cambria" w:cs="Arial"/>
          <w:color w:val="000000" w:themeColor="text1"/>
          <w:spacing w:val="4"/>
          <w:sz w:val="20"/>
          <w:szCs w:val="20"/>
          <w:shd w:val="clear" w:color="auto" w:fill="FEFEFE"/>
        </w:rPr>
        <w:t>The MTE revealed that</w:t>
      </w:r>
      <w:r w:rsidR="00F726DD">
        <w:rPr>
          <w:rFonts w:ascii="Cambria" w:hAnsi="Cambria" w:cs="Arial"/>
          <w:color w:val="000000" w:themeColor="text1"/>
          <w:spacing w:val="4"/>
          <w:sz w:val="20"/>
          <w:szCs w:val="20"/>
          <w:shd w:val="clear" w:color="auto" w:fill="FEFEFE"/>
        </w:rPr>
        <w:t>,</w:t>
      </w:r>
      <w:r>
        <w:rPr>
          <w:rFonts w:ascii="Cambria" w:hAnsi="Cambria" w:cs="Arial"/>
          <w:color w:val="000000" w:themeColor="text1"/>
          <w:spacing w:val="4"/>
          <w:sz w:val="20"/>
          <w:szCs w:val="20"/>
          <w:shd w:val="clear" w:color="auto" w:fill="FEFEFE"/>
        </w:rPr>
        <w:t xml:space="preserve"> t</w:t>
      </w:r>
      <w:r w:rsidRPr="00C73B2B">
        <w:rPr>
          <w:rFonts w:ascii="Cambria" w:hAnsi="Cambria" w:cs="Arial"/>
          <w:color w:val="000000" w:themeColor="text1"/>
          <w:spacing w:val="4"/>
          <w:sz w:val="20"/>
          <w:szCs w:val="20"/>
          <w:shd w:val="clear" w:color="auto" w:fill="FEFEFE"/>
        </w:rPr>
        <w:t xml:space="preserve">he Output interventions identified </w:t>
      </w:r>
      <w:r>
        <w:rPr>
          <w:rFonts w:ascii="Cambria" w:hAnsi="Cambria" w:cs="Arial"/>
          <w:color w:val="000000" w:themeColor="text1"/>
          <w:spacing w:val="4"/>
          <w:sz w:val="20"/>
          <w:szCs w:val="20"/>
          <w:shd w:val="clear" w:color="auto" w:fill="FEFEFE"/>
        </w:rPr>
        <w:t>overall</w:t>
      </w:r>
      <w:r w:rsidR="00F726DD">
        <w:rPr>
          <w:rFonts w:ascii="Cambria" w:hAnsi="Cambria" w:cs="Arial"/>
          <w:color w:val="000000" w:themeColor="text1"/>
          <w:spacing w:val="4"/>
          <w:sz w:val="20"/>
          <w:szCs w:val="20"/>
          <w:shd w:val="clear" w:color="auto" w:fill="FEFEFE"/>
        </w:rPr>
        <w:t>,</w:t>
      </w:r>
      <w:r>
        <w:rPr>
          <w:rFonts w:ascii="Cambria" w:hAnsi="Cambria" w:cs="Arial"/>
          <w:color w:val="000000" w:themeColor="text1"/>
          <w:spacing w:val="4"/>
          <w:sz w:val="20"/>
          <w:szCs w:val="20"/>
          <w:shd w:val="clear" w:color="auto" w:fill="FEFEFE"/>
        </w:rPr>
        <w:t xml:space="preserve"> </w:t>
      </w:r>
      <w:r w:rsidRPr="00C73B2B">
        <w:rPr>
          <w:rFonts w:ascii="Cambria" w:hAnsi="Cambria" w:cs="Arial"/>
          <w:color w:val="000000" w:themeColor="text1"/>
          <w:spacing w:val="4"/>
          <w:sz w:val="20"/>
          <w:szCs w:val="20"/>
          <w:shd w:val="clear" w:color="auto" w:fill="FEFEFE"/>
        </w:rPr>
        <w:t xml:space="preserve">were relevant and context specific and </w:t>
      </w:r>
      <w:r>
        <w:rPr>
          <w:rFonts w:ascii="Cambria" w:hAnsi="Cambria" w:cs="Arial"/>
          <w:color w:val="000000" w:themeColor="text1"/>
          <w:spacing w:val="4"/>
          <w:sz w:val="20"/>
          <w:szCs w:val="20"/>
          <w:shd w:val="clear" w:color="auto" w:fill="FEFEFE"/>
        </w:rPr>
        <w:t>a</w:t>
      </w:r>
      <w:r w:rsidRPr="00C73B2B">
        <w:rPr>
          <w:rFonts w:ascii="Cambria" w:hAnsi="Cambria" w:cs="Arial"/>
          <w:color w:val="000000" w:themeColor="text1"/>
          <w:spacing w:val="4"/>
          <w:sz w:val="20"/>
          <w:szCs w:val="20"/>
          <w:shd w:val="clear" w:color="auto" w:fill="FEFEFE"/>
        </w:rPr>
        <w:t>ddress</w:t>
      </w:r>
      <w:r>
        <w:rPr>
          <w:rFonts w:ascii="Cambria" w:hAnsi="Cambria" w:cs="Arial"/>
          <w:color w:val="000000" w:themeColor="text1"/>
          <w:spacing w:val="4"/>
          <w:sz w:val="20"/>
          <w:szCs w:val="20"/>
          <w:shd w:val="clear" w:color="auto" w:fill="FEFEFE"/>
        </w:rPr>
        <w:t>ed</w:t>
      </w:r>
      <w:r w:rsidRPr="00C73B2B">
        <w:rPr>
          <w:rFonts w:ascii="Cambria" w:hAnsi="Cambria" w:cs="Arial"/>
          <w:color w:val="000000" w:themeColor="text1"/>
          <w:spacing w:val="4"/>
          <w:sz w:val="20"/>
          <w:szCs w:val="20"/>
          <w:shd w:val="clear" w:color="auto" w:fill="FEFEFE"/>
        </w:rPr>
        <w:t xml:space="preserve"> the needs of the beneficiaries, whether state</w:t>
      </w:r>
      <w:r>
        <w:rPr>
          <w:rFonts w:ascii="Cambria" w:hAnsi="Cambria" w:cs="Arial"/>
          <w:color w:val="000000" w:themeColor="text1"/>
          <w:spacing w:val="4"/>
          <w:sz w:val="20"/>
          <w:szCs w:val="20"/>
          <w:shd w:val="clear" w:color="auto" w:fill="FEFEFE"/>
        </w:rPr>
        <w:t xml:space="preserve"> or independent</w:t>
      </w:r>
      <w:r w:rsidRPr="00C73B2B">
        <w:rPr>
          <w:rFonts w:ascii="Cambria" w:hAnsi="Cambria" w:cs="Arial"/>
          <w:color w:val="000000" w:themeColor="text1"/>
          <w:spacing w:val="4"/>
          <w:sz w:val="20"/>
          <w:szCs w:val="20"/>
          <w:shd w:val="clear" w:color="auto" w:fill="FEFEFE"/>
        </w:rPr>
        <w:t xml:space="preserve"> institutions, CSOs or communities. It remained conceptually and policy appropriate throughout the first phase of the project, although </w:t>
      </w:r>
      <w:r w:rsidR="00F726DD">
        <w:rPr>
          <w:rFonts w:ascii="Cambria" w:hAnsi="Cambria" w:cs="Arial"/>
          <w:color w:val="000000" w:themeColor="text1"/>
          <w:spacing w:val="4"/>
          <w:sz w:val="20"/>
          <w:szCs w:val="20"/>
          <w:shd w:val="clear" w:color="auto" w:fill="FEFEFE"/>
        </w:rPr>
        <w:lastRenderedPageBreak/>
        <w:t>regularly</w:t>
      </w:r>
      <w:r w:rsidRPr="00C73B2B">
        <w:rPr>
          <w:rFonts w:ascii="Cambria" w:hAnsi="Cambria" w:cs="Arial"/>
          <w:color w:val="000000" w:themeColor="text1"/>
          <w:spacing w:val="4"/>
          <w:sz w:val="20"/>
          <w:szCs w:val="20"/>
          <w:shd w:val="clear" w:color="auto" w:fill="FEFEFE"/>
        </w:rPr>
        <w:t xml:space="preserve"> challenged by realities of implementation and rapid changes in the political and economic dynamics of the country</w:t>
      </w:r>
      <w:r>
        <w:rPr>
          <w:rFonts w:ascii="Cambria" w:hAnsi="Cambria" w:cs="Arial"/>
          <w:color w:val="000000" w:themeColor="text1"/>
          <w:spacing w:val="4"/>
          <w:sz w:val="20"/>
          <w:szCs w:val="20"/>
          <w:shd w:val="clear" w:color="auto" w:fill="FEFEFE"/>
        </w:rPr>
        <w:t xml:space="preserve">. </w:t>
      </w:r>
      <w:r w:rsidR="00AD09C7">
        <w:rPr>
          <w:rFonts w:ascii="Cambria" w:eastAsia="Times New Roman" w:hAnsi="Cambria" w:cstheme="minorHAnsi"/>
          <w:sz w:val="20"/>
          <w:szCs w:val="20"/>
        </w:rPr>
        <w:t>R</w:t>
      </w:r>
      <w:r w:rsidRPr="004F5AE4">
        <w:rPr>
          <w:rFonts w:ascii="Cambria" w:eastAsia="Times New Roman" w:hAnsi="Cambria" w:cstheme="minorHAnsi"/>
          <w:sz w:val="20"/>
          <w:szCs w:val="20"/>
        </w:rPr>
        <w:t xml:space="preserve">elevance of </w:t>
      </w:r>
      <w:r w:rsidR="00AD09C7">
        <w:rPr>
          <w:rFonts w:ascii="Cambria" w:eastAsia="Times New Roman" w:hAnsi="Cambria" w:cstheme="minorHAnsi"/>
          <w:sz w:val="20"/>
          <w:szCs w:val="20"/>
        </w:rPr>
        <w:t xml:space="preserve">interventions to </w:t>
      </w:r>
      <w:r w:rsidRPr="004F5AE4">
        <w:rPr>
          <w:rFonts w:ascii="Cambria" w:eastAsia="Times New Roman" w:hAnsi="Cambria" w:cstheme="minorHAnsi"/>
          <w:sz w:val="20"/>
          <w:szCs w:val="20"/>
        </w:rPr>
        <w:t>improve capacity</w:t>
      </w:r>
      <w:r w:rsidR="00AD09C7">
        <w:rPr>
          <w:rFonts w:ascii="Cambria" w:eastAsia="Times New Roman" w:hAnsi="Cambria" w:cstheme="minorHAnsi"/>
          <w:sz w:val="20"/>
          <w:szCs w:val="20"/>
        </w:rPr>
        <w:t xml:space="preserve"> and strengthen accountability and inclusivity </w:t>
      </w:r>
      <w:r w:rsidRPr="004F5AE4">
        <w:rPr>
          <w:rFonts w:ascii="Cambria" w:eastAsia="Times New Roman" w:hAnsi="Cambria" w:cstheme="minorHAnsi"/>
          <w:sz w:val="20"/>
          <w:szCs w:val="20"/>
        </w:rPr>
        <w:t>is high</w:t>
      </w:r>
      <w:r w:rsidR="001C5EAA">
        <w:rPr>
          <w:rFonts w:ascii="Cambria" w:eastAsia="Times New Roman" w:hAnsi="Cambria" w:cstheme="minorHAnsi"/>
          <w:sz w:val="20"/>
          <w:szCs w:val="20"/>
        </w:rPr>
        <w:t>.</w:t>
      </w:r>
      <w:r>
        <w:rPr>
          <w:rFonts w:ascii="Cambria" w:eastAsia="Times New Roman" w:hAnsi="Cambria" w:cstheme="minorHAnsi"/>
          <w:sz w:val="20"/>
          <w:szCs w:val="20"/>
        </w:rPr>
        <w:t xml:space="preserve"> </w:t>
      </w:r>
      <w:r w:rsidR="001C5EAA">
        <w:rPr>
          <w:rFonts w:ascii="Cambria" w:eastAsia="Times New Roman" w:hAnsi="Cambria" w:cstheme="minorHAnsi"/>
          <w:sz w:val="20"/>
          <w:szCs w:val="20"/>
        </w:rPr>
        <w:t>T</w:t>
      </w:r>
      <w:r>
        <w:rPr>
          <w:rFonts w:ascii="Cambria" w:eastAsia="Times New Roman" w:hAnsi="Cambria" w:cstheme="minorHAnsi"/>
          <w:sz w:val="20"/>
          <w:szCs w:val="20"/>
        </w:rPr>
        <w:t>he Portfolio strategy</w:t>
      </w:r>
      <w:r w:rsidR="001C5EAA">
        <w:rPr>
          <w:rFonts w:ascii="Cambria" w:eastAsia="Times New Roman" w:hAnsi="Cambria" w:cstheme="minorHAnsi"/>
          <w:sz w:val="20"/>
          <w:szCs w:val="20"/>
        </w:rPr>
        <w:t>,</w:t>
      </w:r>
      <w:r w:rsidR="00AD09C7">
        <w:rPr>
          <w:rFonts w:ascii="Cambria" w:eastAsia="Times New Roman" w:hAnsi="Cambria" w:cstheme="minorHAnsi"/>
          <w:sz w:val="20"/>
          <w:szCs w:val="20"/>
        </w:rPr>
        <w:t xml:space="preserve"> moving forward</w:t>
      </w:r>
      <w:r w:rsidR="001C5EAA">
        <w:rPr>
          <w:rFonts w:ascii="Cambria" w:eastAsia="Times New Roman" w:hAnsi="Cambria" w:cstheme="minorHAnsi"/>
          <w:sz w:val="20"/>
          <w:szCs w:val="20"/>
        </w:rPr>
        <w:t>,</w:t>
      </w:r>
      <w:r w:rsidR="00AD09C7">
        <w:rPr>
          <w:rFonts w:ascii="Cambria" w:eastAsia="Times New Roman" w:hAnsi="Cambria" w:cstheme="minorHAnsi"/>
          <w:sz w:val="20"/>
          <w:szCs w:val="20"/>
        </w:rPr>
        <w:t xml:space="preserve"> should </w:t>
      </w:r>
      <w:r w:rsidRPr="004F5AE4">
        <w:rPr>
          <w:rFonts w:ascii="Cambria" w:eastAsia="Times New Roman" w:hAnsi="Cambria" w:cstheme="minorHAnsi"/>
          <w:sz w:val="20"/>
          <w:szCs w:val="20"/>
        </w:rPr>
        <w:t xml:space="preserve">reflect on the effectiveness of actions towards meeting the </w:t>
      </w:r>
      <w:r>
        <w:rPr>
          <w:rFonts w:ascii="Cambria" w:eastAsia="Times New Roman" w:hAnsi="Cambria" w:cstheme="minorHAnsi"/>
          <w:sz w:val="20"/>
          <w:szCs w:val="20"/>
        </w:rPr>
        <w:t xml:space="preserve">overall </w:t>
      </w:r>
      <w:r w:rsidRPr="004F5AE4">
        <w:rPr>
          <w:rFonts w:ascii="Cambria" w:eastAsia="Times New Roman" w:hAnsi="Cambria" w:cstheme="minorHAnsi"/>
          <w:sz w:val="20"/>
          <w:szCs w:val="20"/>
        </w:rPr>
        <w:t xml:space="preserve">Outcome </w:t>
      </w:r>
      <w:r w:rsidR="00AD09C7">
        <w:rPr>
          <w:rFonts w:ascii="Cambria" w:eastAsia="Times New Roman" w:hAnsi="Cambria" w:cstheme="minorHAnsi"/>
          <w:sz w:val="20"/>
          <w:szCs w:val="20"/>
        </w:rPr>
        <w:t xml:space="preserve">of the Portfolio. This is required </w:t>
      </w:r>
      <w:r w:rsidRPr="004F5AE4">
        <w:rPr>
          <w:rFonts w:ascii="Cambria" w:eastAsia="Times New Roman" w:hAnsi="Cambria" w:cstheme="minorHAnsi"/>
          <w:sz w:val="20"/>
          <w:szCs w:val="20"/>
        </w:rPr>
        <w:t>to ensure greater</w:t>
      </w:r>
      <w:r>
        <w:rPr>
          <w:rFonts w:ascii="Cambria" w:eastAsia="Times New Roman" w:hAnsi="Cambria" w:cstheme="minorHAnsi"/>
          <w:sz w:val="20"/>
          <w:szCs w:val="20"/>
        </w:rPr>
        <w:t xml:space="preserve"> </w:t>
      </w:r>
      <w:r w:rsidRPr="004F5AE4">
        <w:rPr>
          <w:rFonts w:ascii="Cambria" w:eastAsia="Times New Roman" w:hAnsi="Cambria" w:cstheme="minorHAnsi"/>
          <w:sz w:val="20"/>
          <w:szCs w:val="20"/>
        </w:rPr>
        <w:t xml:space="preserve">impact </w:t>
      </w:r>
      <w:r>
        <w:rPr>
          <w:rFonts w:ascii="Cambria" w:eastAsia="Times New Roman" w:hAnsi="Cambria" w:cstheme="minorHAnsi"/>
          <w:sz w:val="20"/>
          <w:szCs w:val="20"/>
        </w:rPr>
        <w:t>and sustainability</w:t>
      </w:r>
      <w:r w:rsidR="00AD09C7">
        <w:rPr>
          <w:rFonts w:ascii="Cambria" w:eastAsia="Times New Roman" w:hAnsi="Cambria" w:cstheme="minorHAnsi"/>
          <w:sz w:val="20"/>
          <w:szCs w:val="20"/>
        </w:rPr>
        <w:t xml:space="preserve"> of the Portfolio</w:t>
      </w:r>
      <w:r>
        <w:rPr>
          <w:rFonts w:ascii="Cambria" w:eastAsia="Times New Roman" w:hAnsi="Cambria" w:cstheme="minorHAnsi"/>
          <w:sz w:val="20"/>
          <w:szCs w:val="20"/>
        </w:rPr>
        <w:t>. Therefore, prioratising and consolidating interventions based on an assessment of risks and opportunities, reducing donor dependency and increasing ownership is key to self-sust</w:t>
      </w:r>
      <w:r w:rsidR="001C5EAA">
        <w:rPr>
          <w:rFonts w:ascii="Cambria" w:eastAsia="Times New Roman" w:hAnsi="Cambria" w:cstheme="minorHAnsi"/>
          <w:sz w:val="20"/>
          <w:szCs w:val="20"/>
        </w:rPr>
        <w:t>ainability.</w:t>
      </w:r>
    </w:p>
    <w:p w14:paraId="1BB598A8" w14:textId="72DF602D" w:rsidR="00FD7F03" w:rsidRDefault="00FD7F03" w:rsidP="00FD7F03">
      <w:pPr>
        <w:spacing w:line="360" w:lineRule="auto"/>
        <w:jc w:val="both"/>
        <w:rPr>
          <w:rFonts w:ascii="Cambria" w:hAnsi="Cambria" w:cstheme="minorHAnsi"/>
          <w:color w:val="000000" w:themeColor="text1"/>
          <w:sz w:val="20"/>
          <w:szCs w:val="20"/>
        </w:rPr>
      </w:pPr>
      <w:r w:rsidRPr="00160ECD">
        <w:rPr>
          <w:rFonts w:ascii="Cambria" w:hAnsi="Cambria" w:cstheme="minorHAnsi"/>
          <w:i/>
          <w:iCs/>
          <w:color w:val="000000" w:themeColor="text1"/>
          <w:sz w:val="20"/>
          <w:szCs w:val="20"/>
          <w:lang w:val="en-GB"/>
        </w:rPr>
        <w:t>For parliament</w:t>
      </w:r>
      <w:r>
        <w:rPr>
          <w:rFonts w:ascii="Cambria" w:hAnsi="Cambria" w:cstheme="minorHAnsi"/>
          <w:color w:val="000000" w:themeColor="text1"/>
          <w:sz w:val="20"/>
          <w:szCs w:val="20"/>
          <w:lang w:val="en-GB"/>
        </w:rPr>
        <w:t xml:space="preserve">, </w:t>
      </w:r>
      <w:r w:rsidRPr="00DD05DA">
        <w:rPr>
          <w:rFonts w:ascii="Cambria" w:hAnsi="Cambria" w:cstheme="minorHAnsi"/>
          <w:color w:val="000000" w:themeColor="text1"/>
          <w:sz w:val="20"/>
          <w:szCs w:val="20"/>
        </w:rPr>
        <w:t>institutional and sectoral policy direction was provided by formulating a Parliamentary Development Action Plan for the Eighth and Ninth Parliament</w:t>
      </w:r>
      <w:r w:rsidR="00A4544C">
        <w:rPr>
          <w:rFonts w:ascii="Cambria" w:hAnsi="Cambria" w:cstheme="minorHAnsi"/>
          <w:color w:val="000000" w:themeColor="text1"/>
          <w:sz w:val="20"/>
          <w:szCs w:val="20"/>
        </w:rPr>
        <w:t>.</w:t>
      </w:r>
      <w:r w:rsidRPr="00DD05DA">
        <w:rPr>
          <w:rFonts w:ascii="Cambria" w:hAnsi="Cambria" w:cstheme="minorHAnsi"/>
          <w:color w:val="000000" w:themeColor="text1"/>
          <w:sz w:val="20"/>
          <w:szCs w:val="20"/>
        </w:rPr>
        <w:t xml:space="preserve"> </w:t>
      </w:r>
      <w:r w:rsidR="00A4544C">
        <w:rPr>
          <w:rFonts w:ascii="Cambria" w:hAnsi="Cambria" w:cstheme="minorHAnsi"/>
          <w:color w:val="000000" w:themeColor="text1"/>
          <w:sz w:val="20"/>
          <w:szCs w:val="20"/>
        </w:rPr>
        <w:t xml:space="preserve">This exercise adopted </w:t>
      </w:r>
      <w:r w:rsidRPr="00DD05DA">
        <w:rPr>
          <w:rFonts w:ascii="Cambria" w:hAnsi="Cambria" w:cstheme="minorHAnsi"/>
          <w:color w:val="000000" w:themeColor="text1"/>
          <w:sz w:val="20"/>
          <w:szCs w:val="20"/>
        </w:rPr>
        <w:t xml:space="preserve">a </w:t>
      </w:r>
      <w:r>
        <w:rPr>
          <w:rFonts w:ascii="Cambria" w:hAnsi="Cambria" w:cstheme="minorHAnsi"/>
          <w:color w:val="000000" w:themeColor="text1"/>
          <w:sz w:val="20"/>
          <w:szCs w:val="20"/>
        </w:rPr>
        <w:t xml:space="preserve">vigorous </w:t>
      </w:r>
      <w:r w:rsidR="00A4544C">
        <w:rPr>
          <w:rFonts w:ascii="Cambria" w:hAnsi="Cambria" w:cstheme="minorHAnsi"/>
          <w:color w:val="000000" w:themeColor="text1"/>
          <w:sz w:val="20"/>
          <w:szCs w:val="20"/>
        </w:rPr>
        <w:t xml:space="preserve">and consultative process to </w:t>
      </w:r>
      <w:r>
        <w:rPr>
          <w:rFonts w:ascii="Cambria" w:hAnsi="Cambria" w:cstheme="minorHAnsi"/>
          <w:color w:val="000000" w:themeColor="text1"/>
          <w:sz w:val="20"/>
          <w:szCs w:val="20"/>
        </w:rPr>
        <w:t>respond to change in the system of governance introduced by the 19</w:t>
      </w:r>
      <w:r w:rsidRPr="009823FF">
        <w:rPr>
          <w:rFonts w:ascii="Cambria" w:hAnsi="Cambria" w:cstheme="minorHAnsi"/>
          <w:color w:val="000000" w:themeColor="text1"/>
          <w:sz w:val="20"/>
          <w:szCs w:val="20"/>
          <w:vertAlign w:val="superscript"/>
        </w:rPr>
        <w:t>th</w:t>
      </w:r>
      <w:r>
        <w:rPr>
          <w:rFonts w:ascii="Cambria" w:hAnsi="Cambria" w:cstheme="minorHAnsi"/>
          <w:color w:val="000000" w:themeColor="text1"/>
          <w:sz w:val="20"/>
          <w:szCs w:val="20"/>
        </w:rPr>
        <w:t xml:space="preserve"> Amendment to the Constitution. This ensured relevance</w:t>
      </w:r>
      <w:r w:rsidR="00A4544C">
        <w:rPr>
          <w:rFonts w:ascii="Cambria" w:hAnsi="Cambria" w:cstheme="minorHAnsi"/>
          <w:color w:val="000000" w:themeColor="text1"/>
          <w:sz w:val="20"/>
          <w:szCs w:val="20"/>
        </w:rPr>
        <w:t>,</w:t>
      </w:r>
      <w:r>
        <w:rPr>
          <w:rFonts w:ascii="Cambria" w:hAnsi="Cambria" w:cstheme="minorHAnsi"/>
          <w:color w:val="000000" w:themeColor="text1"/>
          <w:sz w:val="20"/>
          <w:szCs w:val="20"/>
        </w:rPr>
        <w:t xml:space="preserve"> through policy alignment and </w:t>
      </w:r>
      <w:r w:rsidRPr="00DD05DA">
        <w:rPr>
          <w:rFonts w:ascii="Cambria" w:hAnsi="Cambria" w:cstheme="minorHAnsi"/>
          <w:color w:val="000000" w:themeColor="text1"/>
          <w:sz w:val="20"/>
          <w:szCs w:val="20"/>
        </w:rPr>
        <w:t>identified several priority areas such as</w:t>
      </w:r>
      <w:r w:rsidR="00A4544C">
        <w:rPr>
          <w:rFonts w:ascii="Cambria" w:hAnsi="Cambria" w:cstheme="minorHAnsi"/>
          <w:color w:val="000000" w:themeColor="text1"/>
          <w:sz w:val="20"/>
          <w:szCs w:val="20"/>
        </w:rPr>
        <w:t>;</w:t>
      </w:r>
      <w:r w:rsidRPr="00DD05DA">
        <w:rPr>
          <w:rFonts w:ascii="Cambria" w:hAnsi="Cambria" w:cstheme="minorHAnsi"/>
          <w:color w:val="000000" w:themeColor="text1"/>
          <w:sz w:val="20"/>
          <w:szCs w:val="20"/>
        </w:rPr>
        <w:t xml:space="preserve"> </w:t>
      </w:r>
      <w:r>
        <w:rPr>
          <w:rFonts w:ascii="Cambria" w:hAnsi="Cambria" w:cstheme="minorHAnsi"/>
          <w:color w:val="000000" w:themeColor="text1"/>
          <w:sz w:val="20"/>
          <w:szCs w:val="20"/>
        </w:rPr>
        <w:t xml:space="preserve">innovation by </w:t>
      </w:r>
      <w:r w:rsidRPr="00DD05DA">
        <w:rPr>
          <w:rFonts w:ascii="Cambria" w:hAnsi="Cambria" w:cstheme="minorHAnsi"/>
          <w:color w:val="000000" w:themeColor="text1"/>
          <w:sz w:val="20"/>
          <w:szCs w:val="20"/>
        </w:rPr>
        <w:t>digitising the parliament</w:t>
      </w:r>
      <w:r>
        <w:rPr>
          <w:rFonts w:ascii="Cambria" w:hAnsi="Cambria" w:cstheme="minorHAnsi"/>
          <w:color w:val="000000" w:themeColor="text1"/>
          <w:sz w:val="20"/>
          <w:szCs w:val="20"/>
        </w:rPr>
        <w:t xml:space="preserve"> and Parliamentary Secretariate and developing strategies for effective communication with the public, media and CSOs through the concept of ‘open parliament’</w:t>
      </w:r>
      <w:r w:rsidRPr="00DD05DA">
        <w:rPr>
          <w:rFonts w:ascii="Cambria" w:hAnsi="Cambria" w:cstheme="minorHAnsi"/>
          <w:color w:val="000000" w:themeColor="text1"/>
          <w:sz w:val="20"/>
          <w:szCs w:val="20"/>
        </w:rPr>
        <w:t xml:space="preserve">, strengthening the role and functions of the </w:t>
      </w:r>
      <w:r>
        <w:rPr>
          <w:rFonts w:ascii="Cambria" w:hAnsi="Cambria" w:cstheme="minorHAnsi"/>
          <w:color w:val="000000" w:themeColor="text1"/>
          <w:sz w:val="20"/>
          <w:szCs w:val="20"/>
        </w:rPr>
        <w:t xml:space="preserve">Committee </w:t>
      </w:r>
      <w:r w:rsidR="00A4544C">
        <w:rPr>
          <w:rFonts w:ascii="Cambria" w:hAnsi="Cambria" w:cstheme="minorHAnsi"/>
          <w:color w:val="000000" w:themeColor="text1"/>
          <w:sz w:val="20"/>
          <w:szCs w:val="20"/>
        </w:rPr>
        <w:t>S</w:t>
      </w:r>
      <w:r>
        <w:rPr>
          <w:rFonts w:ascii="Cambria" w:hAnsi="Cambria" w:cstheme="minorHAnsi"/>
          <w:color w:val="000000" w:themeColor="text1"/>
          <w:sz w:val="20"/>
          <w:szCs w:val="20"/>
        </w:rPr>
        <w:t>ystem,</w:t>
      </w:r>
      <w:r w:rsidRPr="00DD05DA">
        <w:rPr>
          <w:rFonts w:ascii="Cambria" w:hAnsi="Cambria" w:cstheme="minorHAnsi"/>
          <w:color w:val="000000" w:themeColor="text1"/>
          <w:sz w:val="20"/>
          <w:szCs w:val="20"/>
        </w:rPr>
        <w:t xml:space="preserve"> strengthening the </w:t>
      </w:r>
      <w:r>
        <w:rPr>
          <w:rFonts w:ascii="Cambria" w:hAnsi="Cambria" w:cstheme="minorHAnsi"/>
          <w:color w:val="000000" w:themeColor="text1"/>
          <w:sz w:val="20"/>
          <w:szCs w:val="20"/>
        </w:rPr>
        <w:t xml:space="preserve">accountability </w:t>
      </w:r>
      <w:r w:rsidRPr="00DD05DA">
        <w:rPr>
          <w:rFonts w:ascii="Cambria" w:hAnsi="Cambria" w:cstheme="minorHAnsi"/>
          <w:color w:val="000000" w:themeColor="text1"/>
          <w:sz w:val="20"/>
          <w:szCs w:val="20"/>
        </w:rPr>
        <w:t xml:space="preserve">of parliamentarians </w:t>
      </w:r>
      <w:r>
        <w:rPr>
          <w:rFonts w:ascii="Cambria" w:hAnsi="Cambria" w:cstheme="minorHAnsi"/>
          <w:color w:val="000000" w:themeColor="text1"/>
          <w:sz w:val="20"/>
          <w:szCs w:val="20"/>
        </w:rPr>
        <w:t>and strengthening rules and procedures.  An effective partnership strategy and modality of engagement was followed maximising UNDP’s core strengths as knowledge broker, facilitator and convener, whilst ensuring ownership at the highest level. Efficiency was enhanced by</w:t>
      </w:r>
      <w:r w:rsidR="00A4544C">
        <w:rPr>
          <w:rFonts w:ascii="Cambria" w:hAnsi="Cambria" w:cstheme="minorHAnsi"/>
          <w:color w:val="000000" w:themeColor="text1"/>
          <w:sz w:val="20"/>
          <w:szCs w:val="20"/>
        </w:rPr>
        <w:t>;</w:t>
      </w:r>
      <w:r>
        <w:rPr>
          <w:rFonts w:ascii="Cambria" w:hAnsi="Cambria" w:cstheme="minorHAnsi"/>
          <w:color w:val="000000" w:themeColor="text1"/>
          <w:sz w:val="20"/>
          <w:szCs w:val="20"/>
        </w:rPr>
        <w:t xml:space="preserve"> flexibility in allocation of resources, effective use of resources and ‘best practices’</w:t>
      </w:r>
      <w:r w:rsidR="00A4544C">
        <w:rPr>
          <w:rFonts w:ascii="Cambria" w:hAnsi="Cambria" w:cstheme="minorHAnsi"/>
          <w:color w:val="000000" w:themeColor="text1"/>
          <w:sz w:val="20"/>
          <w:szCs w:val="20"/>
        </w:rPr>
        <w:t xml:space="preserve">, and by effective </w:t>
      </w:r>
      <w:r>
        <w:rPr>
          <w:rFonts w:ascii="Cambria" w:hAnsi="Cambria" w:cstheme="minorHAnsi"/>
          <w:color w:val="000000" w:themeColor="text1"/>
          <w:sz w:val="20"/>
          <w:szCs w:val="20"/>
        </w:rPr>
        <w:t>collaboration</w:t>
      </w:r>
      <w:r w:rsidR="00A4544C">
        <w:rPr>
          <w:rFonts w:ascii="Cambria" w:hAnsi="Cambria" w:cstheme="minorHAnsi"/>
          <w:color w:val="000000" w:themeColor="text1"/>
          <w:sz w:val="20"/>
          <w:szCs w:val="20"/>
        </w:rPr>
        <w:t xml:space="preserve">. </w:t>
      </w:r>
    </w:p>
    <w:p w14:paraId="20AE1FED" w14:textId="43E0BA1E" w:rsidR="00FD7F03" w:rsidRDefault="00FD7F03" w:rsidP="00FD7F03">
      <w:pPr>
        <w:spacing w:line="360" w:lineRule="auto"/>
        <w:jc w:val="both"/>
        <w:rPr>
          <w:rFonts w:ascii="Cambria" w:hAnsi="Cambria" w:cstheme="minorHAnsi"/>
          <w:bCs/>
          <w:sz w:val="20"/>
          <w:szCs w:val="20"/>
          <w:lang w:val="en-GB"/>
        </w:rPr>
      </w:pPr>
      <w:r>
        <w:rPr>
          <w:rFonts w:ascii="Cambria" w:eastAsia="Times New Roman" w:hAnsi="Cambria" w:cstheme="minorHAnsi"/>
          <w:sz w:val="20"/>
          <w:szCs w:val="20"/>
        </w:rPr>
        <w:t>D</w:t>
      </w:r>
      <w:r w:rsidRPr="004068A1">
        <w:rPr>
          <w:rFonts w:ascii="Cambria" w:hAnsi="Cambria" w:cstheme="minorHAnsi"/>
          <w:sz w:val="20"/>
          <w:szCs w:val="20"/>
        </w:rPr>
        <w:t>espite strong focus on design</w:t>
      </w:r>
      <w:r>
        <w:rPr>
          <w:rFonts w:ascii="Cambria" w:hAnsi="Cambria" w:cstheme="minorHAnsi"/>
          <w:sz w:val="20"/>
          <w:szCs w:val="20"/>
        </w:rPr>
        <w:t>,</w:t>
      </w:r>
      <w:r w:rsidRPr="004068A1">
        <w:rPr>
          <w:rFonts w:ascii="Cambria" w:hAnsi="Cambria" w:cstheme="minorHAnsi"/>
          <w:sz w:val="20"/>
          <w:szCs w:val="20"/>
        </w:rPr>
        <w:t xml:space="preserve"> the Output was relatively weak in implementation due to </w:t>
      </w:r>
      <w:r>
        <w:rPr>
          <w:rFonts w:ascii="Cambria" w:hAnsi="Cambria" w:cstheme="minorHAnsi"/>
          <w:sz w:val="20"/>
          <w:szCs w:val="20"/>
        </w:rPr>
        <w:t xml:space="preserve">failure </w:t>
      </w:r>
      <w:r w:rsidRPr="00C73B2B">
        <w:rPr>
          <w:rFonts w:ascii="Cambria" w:hAnsi="Cambria" w:cstheme="minorHAnsi"/>
          <w:sz w:val="20"/>
          <w:szCs w:val="20"/>
        </w:rPr>
        <w:t>to adequately respond to the needs of CSOs, media and communities.</w:t>
      </w:r>
      <w:r>
        <w:rPr>
          <w:rFonts w:ascii="Cambria" w:hAnsi="Cambria" w:cstheme="minorHAnsi"/>
          <w:sz w:val="20"/>
          <w:szCs w:val="20"/>
        </w:rPr>
        <w:t xml:space="preserve"> I</w:t>
      </w:r>
      <w:r w:rsidRPr="00C73B2B">
        <w:rPr>
          <w:rFonts w:ascii="Cambria" w:hAnsi="Cambria" w:cstheme="minorHAnsi"/>
          <w:sz w:val="20"/>
          <w:szCs w:val="20"/>
        </w:rPr>
        <w:t>mproving the responsiveness and inclusiveness of parliament</w:t>
      </w:r>
      <w:r w:rsidR="00B10E9A">
        <w:rPr>
          <w:rFonts w:ascii="Cambria" w:hAnsi="Cambria" w:cstheme="minorHAnsi"/>
          <w:sz w:val="20"/>
          <w:szCs w:val="20"/>
        </w:rPr>
        <w:t>,</w:t>
      </w:r>
      <w:r w:rsidRPr="00C73B2B">
        <w:rPr>
          <w:rFonts w:ascii="Cambria" w:hAnsi="Cambria" w:cstheme="minorHAnsi"/>
          <w:sz w:val="20"/>
          <w:szCs w:val="20"/>
        </w:rPr>
        <w:t xml:space="preserve"> to deliver its core functions</w:t>
      </w:r>
      <w:r w:rsidR="00B10E9A">
        <w:rPr>
          <w:rFonts w:ascii="Cambria" w:hAnsi="Cambria" w:cstheme="minorHAnsi"/>
          <w:sz w:val="20"/>
          <w:szCs w:val="20"/>
        </w:rPr>
        <w:t xml:space="preserve"> </w:t>
      </w:r>
      <w:r w:rsidRPr="00C73B2B">
        <w:rPr>
          <w:rFonts w:ascii="Cambria" w:hAnsi="Cambria" w:cstheme="minorHAnsi"/>
          <w:sz w:val="20"/>
          <w:szCs w:val="20"/>
        </w:rPr>
        <w:t>to all its citizens</w:t>
      </w:r>
      <w:r w:rsidR="00B10E9A">
        <w:rPr>
          <w:rFonts w:ascii="Cambria" w:hAnsi="Cambria" w:cstheme="minorHAnsi"/>
          <w:sz w:val="20"/>
          <w:szCs w:val="20"/>
        </w:rPr>
        <w:t>,</w:t>
      </w:r>
      <w:r w:rsidRPr="00C73B2B">
        <w:rPr>
          <w:rFonts w:ascii="Cambria" w:hAnsi="Cambria" w:cstheme="minorHAnsi"/>
          <w:sz w:val="20"/>
          <w:szCs w:val="20"/>
        </w:rPr>
        <w:t xml:space="preserve"> through equitable and active participation was largely one sided.</w:t>
      </w:r>
      <w:r w:rsidRPr="004068A1">
        <w:rPr>
          <w:rFonts w:ascii="Cambria" w:hAnsi="Cambria" w:cstheme="minorHAnsi"/>
          <w:sz w:val="20"/>
          <w:szCs w:val="20"/>
        </w:rPr>
        <w:t xml:space="preserve"> </w:t>
      </w:r>
      <w:r w:rsidRPr="00AB041E">
        <w:rPr>
          <w:rFonts w:ascii="Cambria" w:hAnsi="Cambria" w:cstheme="minorHAnsi"/>
          <w:sz w:val="20"/>
          <w:szCs w:val="20"/>
        </w:rPr>
        <w:t xml:space="preserve">The dire need to focus on </w:t>
      </w:r>
      <w:r w:rsidRPr="00AB041E">
        <w:rPr>
          <w:rFonts w:ascii="Cambria" w:hAnsi="Cambria" w:cstheme="minorHAnsi"/>
          <w:bCs/>
          <w:sz w:val="20"/>
          <w:szCs w:val="20"/>
          <w:lang w:val="en-GB"/>
        </w:rPr>
        <w:t>building stronger partnerships and networks with communities to generate greater awareness and monitoring, shared conscience and movement to push for reforms, etc. is identified by the MTE as critical in the second phase.</w:t>
      </w:r>
      <w:r>
        <w:rPr>
          <w:rFonts w:ascii="Cambria" w:hAnsi="Cambria" w:cstheme="minorHAnsi"/>
          <w:bCs/>
          <w:sz w:val="20"/>
          <w:szCs w:val="20"/>
          <w:lang w:val="en-GB"/>
        </w:rPr>
        <w:t xml:space="preserve"> </w:t>
      </w:r>
    </w:p>
    <w:p w14:paraId="530B9818" w14:textId="05BF70F9" w:rsidR="00FD7F03" w:rsidRDefault="00FD7F03" w:rsidP="00FD7F03">
      <w:pPr>
        <w:spacing w:line="360" w:lineRule="auto"/>
        <w:jc w:val="both"/>
        <w:rPr>
          <w:rFonts w:ascii="Cambria" w:hAnsi="Cambria" w:cs="Calibri"/>
          <w:sz w:val="20"/>
          <w:szCs w:val="20"/>
        </w:rPr>
      </w:pPr>
      <w:r w:rsidRPr="00160ECD">
        <w:rPr>
          <w:rFonts w:ascii="Cambria" w:hAnsi="Cambria" w:cstheme="minorHAnsi"/>
          <w:bCs/>
          <w:i/>
          <w:iCs/>
          <w:sz w:val="20"/>
          <w:szCs w:val="20"/>
          <w:lang w:val="en-GB"/>
        </w:rPr>
        <w:t xml:space="preserve">For Independent Commissions </w:t>
      </w:r>
      <w:r>
        <w:rPr>
          <w:rFonts w:ascii="Cambria" w:hAnsi="Cambria" w:cstheme="minorHAnsi"/>
          <w:bCs/>
          <w:sz w:val="20"/>
          <w:szCs w:val="20"/>
          <w:lang w:val="en-GB"/>
        </w:rPr>
        <w:t>(ICs), the Portfolio capitalised on the space, independence and capacity of ICs generated by the 19</w:t>
      </w:r>
      <w:r w:rsidRPr="000520B7">
        <w:rPr>
          <w:rFonts w:ascii="Cambria" w:hAnsi="Cambria" w:cstheme="minorHAnsi"/>
          <w:bCs/>
          <w:sz w:val="20"/>
          <w:szCs w:val="20"/>
          <w:vertAlign w:val="superscript"/>
          <w:lang w:val="en-GB"/>
        </w:rPr>
        <w:t>th</w:t>
      </w:r>
      <w:r>
        <w:rPr>
          <w:rFonts w:ascii="Cambria" w:hAnsi="Cambria" w:cstheme="minorHAnsi"/>
          <w:bCs/>
          <w:sz w:val="20"/>
          <w:szCs w:val="20"/>
          <w:lang w:val="en-GB"/>
        </w:rPr>
        <w:t xml:space="preserve"> Amendment and justifiably focused on HRCSL, NPC and the RTIC. </w:t>
      </w:r>
      <w:r w:rsidR="00B10E9A">
        <w:rPr>
          <w:rFonts w:ascii="Cambria" w:hAnsi="Cambria" w:cstheme="minorHAnsi"/>
          <w:bCs/>
          <w:sz w:val="20"/>
          <w:szCs w:val="20"/>
          <w:lang w:val="en-GB"/>
        </w:rPr>
        <w:t xml:space="preserve">At the inception, the Portfolio </w:t>
      </w:r>
      <w:r>
        <w:rPr>
          <w:rFonts w:ascii="Cambria" w:hAnsi="Cambria" w:cstheme="minorHAnsi"/>
          <w:bCs/>
          <w:sz w:val="20"/>
          <w:szCs w:val="20"/>
          <w:lang w:val="en-GB"/>
        </w:rPr>
        <w:t>correctly identified</w:t>
      </w:r>
      <w:r w:rsidR="00B10E9A">
        <w:rPr>
          <w:rFonts w:ascii="Cambria" w:hAnsi="Cambria" w:cstheme="minorHAnsi"/>
          <w:bCs/>
          <w:sz w:val="20"/>
          <w:szCs w:val="20"/>
          <w:lang w:val="en-GB"/>
        </w:rPr>
        <w:t>,</w:t>
      </w:r>
      <w:r>
        <w:rPr>
          <w:rFonts w:ascii="Cambria" w:hAnsi="Cambria" w:cstheme="minorHAnsi"/>
          <w:bCs/>
          <w:sz w:val="20"/>
          <w:szCs w:val="20"/>
          <w:lang w:val="en-GB"/>
        </w:rPr>
        <w:t xml:space="preserve"> </w:t>
      </w:r>
      <w:r w:rsidRPr="00223CBF">
        <w:rPr>
          <w:rFonts w:ascii="Cambria" w:hAnsi="Cambria" w:cs="Calibri"/>
          <w:sz w:val="20"/>
          <w:szCs w:val="20"/>
        </w:rPr>
        <w:t>institutional and system gaps, weak competencies</w:t>
      </w:r>
      <w:r w:rsidR="00B10E9A">
        <w:rPr>
          <w:rFonts w:ascii="Cambria" w:hAnsi="Cambria" w:cs="Calibri"/>
          <w:sz w:val="20"/>
          <w:szCs w:val="20"/>
        </w:rPr>
        <w:t xml:space="preserve">, low </w:t>
      </w:r>
      <w:r w:rsidRPr="00223CBF">
        <w:rPr>
          <w:rFonts w:ascii="Cambria" w:hAnsi="Cambria" w:cs="Calibri"/>
          <w:sz w:val="20"/>
          <w:szCs w:val="20"/>
        </w:rPr>
        <w:t xml:space="preserve">skill levels and general distrust of commissions </w:t>
      </w:r>
      <w:r w:rsidR="00B10E9A">
        <w:rPr>
          <w:rFonts w:ascii="Cambria" w:hAnsi="Cambria" w:cs="Calibri"/>
          <w:sz w:val="20"/>
          <w:szCs w:val="20"/>
        </w:rPr>
        <w:t xml:space="preserve">as priorities. It then </w:t>
      </w:r>
      <w:r w:rsidRPr="00223CBF">
        <w:rPr>
          <w:rFonts w:ascii="Cambria" w:hAnsi="Cambria" w:cs="Calibri"/>
          <w:sz w:val="20"/>
          <w:szCs w:val="20"/>
        </w:rPr>
        <w:t>ground</w:t>
      </w:r>
      <w:r>
        <w:rPr>
          <w:rFonts w:ascii="Cambria" w:hAnsi="Cambria" w:cs="Calibri"/>
          <w:sz w:val="20"/>
          <w:szCs w:val="20"/>
        </w:rPr>
        <w:t xml:space="preserve">ed its </w:t>
      </w:r>
      <w:r w:rsidRPr="00223CBF">
        <w:rPr>
          <w:rFonts w:ascii="Cambria" w:hAnsi="Cambria" w:cs="Calibri"/>
          <w:sz w:val="20"/>
          <w:szCs w:val="20"/>
        </w:rPr>
        <w:t>activities to specifically address th</w:t>
      </w:r>
      <w:r w:rsidR="00B10E9A">
        <w:rPr>
          <w:rFonts w:ascii="Cambria" w:hAnsi="Cambria" w:cs="Calibri"/>
          <w:sz w:val="20"/>
          <w:szCs w:val="20"/>
        </w:rPr>
        <w:t xml:space="preserve">ese </w:t>
      </w:r>
      <w:r w:rsidRPr="00223CBF">
        <w:rPr>
          <w:rFonts w:ascii="Cambria" w:hAnsi="Cambria" w:cs="Calibri"/>
          <w:sz w:val="20"/>
          <w:szCs w:val="20"/>
        </w:rPr>
        <w:t xml:space="preserve">challenges </w:t>
      </w:r>
      <w:r>
        <w:rPr>
          <w:rFonts w:ascii="Cambria" w:hAnsi="Cambria" w:cs="Calibri"/>
          <w:sz w:val="20"/>
          <w:szCs w:val="20"/>
        </w:rPr>
        <w:t xml:space="preserve">to better </w:t>
      </w:r>
      <w:r w:rsidRPr="00223CBF">
        <w:rPr>
          <w:rFonts w:ascii="Cambria" w:hAnsi="Cambria" w:cs="Calibri"/>
          <w:sz w:val="20"/>
          <w:szCs w:val="20"/>
        </w:rPr>
        <w:t>respond to beneficiaries. For example</w:t>
      </w:r>
      <w:r w:rsidR="00B10E9A">
        <w:rPr>
          <w:rFonts w:ascii="Cambria" w:hAnsi="Cambria" w:cs="Calibri"/>
          <w:sz w:val="20"/>
          <w:szCs w:val="20"/>
        </w:rPr>
        <w:t>;</w:t>
      </w:r>
      <w:r w:rsidRPr="00223CBF">
        <w:rPr>
          <w:rFonts w:ascii="Cambria" w:hAnsi="Cambria" w:cs="Calibri"/>
          <w:sz w:val="20"/>
          <w:szCs w:val="20"/>
        </w:rPr>
        <w:t xml:space="preserve"> investment in strategic planning and policy interventions, </w:t>
      </w:r>
      <w:r>
        <w:rPr>
          <w:rFonts w:ascii="Cambria" w:hAnsi="Cambria" w:cs="Calibri"/>
          <w:sz w:val="20"/>
          <w:szCs w:val="20"/>
        </w:rPr>
        <w:t xml:space="preserve">automation of case management systems and digital reforms, changes to inquiry and investigation methods, </w:t>
      </w:r>
      <w:r w:rsidRPr="00223CBF">
        <w:rPr>
          <w:rFonts w:ascii="Cambria" w:hAnsi="Cambria" w:cs="Calibri"/>
          <w:sz w:val="20"/>
          <w:szCs w:val="20"/>
        </w:rPr>
        <w:t xml:space="preserve">communication </w:t>
      </w:r>
      <w:r>
        <w:rPr>
          <w:rFonts w:ascii="Cambria" w:hAnsi="Cambria" w:cs="Calibri"/>
          <w:sz w:val="20"/>
          <w:szCs w:val="20"/>
        </w:rPr>
        <w:t xml:space="preserve">and outreach </w:t>
      </w:r>
      <w:r w:rsidRPr="00223CBF">
        <w:rPr>
          <w:rFonts w:ascii="Cambria" w:hAnsi="Cambria" w:cs="Calibri"/>
          <w:sz w:val="20"/>
          <w:szCs w:val="20"/>
        </w:rPr>
        <w:t>strategies</w:t>
      </w:r>
      <w:r>
        <w:rPr>
          <w:rFonts w:ascii="Cambria" w:hAnsi="Cambria" w:cs="Calibri"/>
          <w:sz w:val="20"/>
          <w:szCs w:val="20"/>
        </w:rPr>
        <w:t xml:space="preserve">, </w:t>
      </w:r>
      <w:r w:rsidRPr="00223CBF">
        <w:rPr>
          <w:rFonts w:ascii="Cambria" w:hAnsi="Cambria" w:cs="Calibri"/>
          <w:sz w:val="20"/>
          <w:szCs w:val="20"/>
        </w:rPr>
        <w:t xml:space="preserve">skills </w:t>
      </w:r>
      <w:r>
        <w:rPr>
          <w:rFonts w:ascii="Cambria" w:hAnsi="Cambria" w:cs="Calibri"/>
          <w:sz w:val="20"/>
          <w:szCs w:val="20"/>
        </w:rPr>
        <w:t xml:space="preserve">and capacity </w:t>
      </w:r>
      <w:r w:rsidRPr="00223CBF">
        <w:rPr>
          <w:rFonts w:ascii="Cambria" w:hAnsi="Cambria" w:cs="Calibri"/>
          <w:sz w:val="20"/>
          <w:szCs w:val="20"/>
        </w:rPr>
        <w:t>development</w:t>
      </w:r>
      <w:r>
        <w:rPr>
          <w:rFonts w:ascii="Cambria" w:hAnsi="Cambria" w:cs="Calibri"/>
          <w:sz w:val="20"/>
          <w:szCs w:val="20"/>
        </w:rPr>
        <w:t xml:space="preserve"> of staff</w:t>
      </w:r>
      <w:r w:rsidR="00B10E9A">
        <w:rPr>
          <w:rFonts w:ascii="Cambria" w:hAnsi="Cambria" w:cs="Calibri"/>
          <w:sz w:val="20"/>
          <w:szCs w:val="20"/>
        </w:rPr>
        <w:t xml:space="preserve">, </w:t>
      </w:r>
      <w:r>
        <w:rPr>
          <w:rFonts w:ascii="Cambria" w:hAnsi="Cambria" w:cs="Calibri"/>
          <w:sz w:val="20"/>
          <w:szCs w:val="20"/>
        </w:rPr>
        <w:t>and research and development</w:t>
      </w:r>
      <w:r w:rsidRPr="00223CBF">
        <w:rPr>
          <w:rFonts w:ascii="Cambria" w:hAnsi="Cambria" w:cs="Calibri"/>
          <w:sz w:val="20"/>
          <w:szCs w:val="20"/>
        </w:rPr>
        <w:t xml:space="preserve"> were identified as key initiatives to building the profile of the commissions</w:t>
      </w:r>
      <w:r w:rsidR="00B10E9A">
        <w:rPr>
          <w:rFonts w:ascii="Cambria" w:hAnsi="Cambria" w:cs="Calibri"/>
          <w:sz w:val="20"/>
          <w:szCs w:val="20"/>
        </w:rPr>
        <w:t xml:space="preserve">. These interventions </w:t>
      </w:r>
      <w:r>
        <w:rPr>
          <w:rFonts w:ascii="Cambria" w:hAnsi="Cambria" w:cs="Calibri"/>
          <w:sz w:val="20"/>
          <w:szCs w:val="20"/>
        </w:rPr>
        <w:t xml:space="preserve">added </w:t>
      </w:r>
      <w:r w:rsidR="00B10E9A">
        <w:rPr>
          <w:rFonts w:ascii="Cambria" w:hAnsi="Cambria" w:cs="Calibri"/>
          <w:sz w:val="20"/>
          <w:szCs w:val="20"/>
        </w:rPr>
        <w:t xml:space="preserve">value </w:t>
      </w:r>
      <w:r>
        <w:rPr>
          <w:rFonts w:ascii="Cambria" w:hAnsi="Cambria" w:cs="Calibri"/>
          <w:sz w:val="20"/>
          <w:szCs w:val="20"/>
        </w:rPr>
        <w:t xml:space="preserve">to the relevance, effectiveness and efficiency and impact of the interventions. </w:t>
      </w:r>
    </w:p>
    <w:p w14:paraId="7ED6B81E" w14:textId="1C20F17E" w:rsidR="00FD7F03" w:rsidRDefault="00FD7F03" w:rsidP="00FD7F03">
      <w:pPr>
        <w:spacing w:line="360" w:lineRule="auto"/>
        <w:jc w:val="both"/>
        <w:rPr>
          <w:rFonts w:ascii="Cambria" w:hAnsi="Cambria" w:cstheme="minorHAnsi"/>
          <w:bCs/>
          <w:sz w:val="20"/>
          <w:szCs w:val="20"/>
          <w:lang w:val="en-GB"/>
        </w:rPr>
      </w:pPr>
      <w:r w:rsidRPr="00D94786">
        <w:rPr>
          <w:rFonts w:ascii="Cambria" w:hAnsi="Cambria" w:cs="Calibri"/>
          <w:bCs/>
          <w:sz w:val="20"/>
          <w:szCs w:val="20"/>
          <w:lang w:val="en-GB"/>
        </w:rPr>
        <w:t>As with parliament, less time and investment were mad</w:t>
      </w:r>
      <w:r>
        <w:rPr>
          <w:rFonts w:ascii="Cambria" w:hAnsi="Cambria" w:cs="Calibri"/>
          <w:bCs/>
          <w:sz w:val="20"/>
          <w:szCs w:val="20"/>
          <w:lang w:val="en-GB"/>
        </w:rPr>
        <w:t xml:space="preserve">e to </w:t>
      </w:r>
      <w:r w:rsidRPr="00D94786">
        <w:rPr>
          <w:rFonts w:ascii="Cambria" w:hAnsi="Cambria" w:cs="Calibri"/>
          <w:bCs/>
          <w:sz w:val="20"/>
          <w:szCs w:val="20"/>
          <w:lang w:val="en-GB"/>
        </w:rPr>
        <w:t>aggressively</w:t>
      </w:r>
      <w:r w:rsidRPr="00223CBF">
        <w:rPr>
          <w:rFonts w:ascii="Cambria" w:hAnsi="Cambria" w:cs="Calibri"/>
          <w:bCs/>
          <w:sz w:val="20"/>
          <w:szCs w:val="20"/>
          <w:lang w:val="en-GB"/>
        </w:rPr>
        <w:t xml:space="preserve"> engage with</w:t>
      </w:r>
      <w:r>
        <w:rPr>
          <w:rFonts w:ascii="Cambria" w:hAnsi="Cambria" w:cs="Calibri"/>
          <w:bCs/>
          <w:sz w:val="20"/>
          <w:szCs w:val="20"/>
          <w:lang w:val="en-GB"/>
        </w:rPr>
        <w:t xml:space="preserve"> CSOs </w:t>
      </w:r>
      <w:r w:rsidRPr="00223CBF">
        <w:rPr>
          <w:rFonts w:ascii="Cambria" w:hAnsi="Cambria" w:cs="Calibri"/>
          <w:bCs/>
          <w:sz w:val="20"/>
          <w:szCs w:val="20"/>
          <w:lang w:val="en-GB"/>
        </w:rPr>
        <w:t>to expand geographical reach and reach of traditionally excluded vulnerable groups</w:t>
      </w:r>
      <w:r>
        <w:rPr>
          <w:rFonts w:ascii="Cambria" w:hAnsi="Cambria" w:cs="Calibri"/>
          <w:bCs/>
          <w:sz w:val="20"/>
          <w:szCs w:val="20"/>
          <w:lang w:val="en-GB"/>
        </w:rPr>
        <w:t xml:space="preserve">. Further, the MTE revealed that </w:t>
      </w:r>
      <w:r w:rsidRPr="00DA0738">
        <w:rPr>
          <w:rFonts w:ascii="Cambria" w:hAnsi="Cambria" w:cstheme="minorHAnsi"/>
          <w:sz w:val="20"/>
          <w:szCs w:val="20"/>
          <w:lang w:val="en-GB"/>
        </w:rPr>
        <w:t>ICs functions were secluded and did not draw from strengths and experiences of each other where relevant</w:t>
      </w:r>
      <w:r w:rsidR="00E02571">
        <w:rPr>
          <w:rFonts w:ascii="Cambria" w:hAnsi="Cambria" w:cstheme="minorHAnsi"/>
          <w:sz w:val="20"/>
          <w:szCs w:val="20"/>
          <w:lang w:val="en-GB"/>
        </w:rPr>
        <w:t xml:space="preserve">. Neither did it </w:t>
      </w:r>
      <w:r w:rsidRPr="00DA0738">
        <w:rPr>
          <w:rFonts w:ascii="Cambria" w:hAnsi="Cambria" w:cstheme="minorHAnsi"/>
          <w:sz w:val="20"/>
          <w:szCs w:val="20"/>
          <w:lang w:val="en-GB"/>
        </w:rPr>
        <w:t xml:space="preserve">build on cooperation and association with peer institutions within and outside the region </w:t>
      </w:r>
      <w:r>
        <w:rPr>
          <w:rFonts w:ascii="Cambria" w:hAnsi="Cambria" w:cstheme="minorHAnsi"/>
          <w:sz w:val="20"/>
          <w:szCs w:val="20"/>
          <w:lang w:val="en-GB"/>
        </w:rPr>
        <w:lastRenderedPageBreak/>
        <w:t xml:space="preserve">exploiting </w:t>
      </w:r>
      <w:r w:rsidRPr="00DA0738">
        <w:rPr>
          <w:rFonts w:ascii="Cambria" w:hAnsi="Cambria" w:cstheme="minorHAnsi"/>
          <w:sz w:val="20"/>
          <w:szCs w:val="20"/>
          <w:lang w:val="en-GB"/>
        </w:rPr>
        <w:t>UN</w:t>
      </w:r>
      <w:r>
        <w:rPr>
          <w:rFonts w:ascii="Cambria" w:hAnsi="Cambria" w:cstheme="minorHAnsi"/>
          <w:sz w:val="20"/>
          <w:szCs w:val="20"/>
          <w:lang w:val="en-GB"/>
        </w:rPr>
        <w:t>D</w:t>
      </w:r>
      <w:r w:rsidRPr="00DA0738">
        <w:rPr>
          <w:rFonts w:ascii="Cambria" w:hAnsi="Cambria" w:cstheme="minorHAnsi"/>
          <w:sz w:val="20"/>
          <w:szCs w:val="20"/>
          <w:lang w:val="en-GB"/>
        </w:rPr>
        <w:t>P regional and global networks.</w:t>
      </w:r>
      <w:r>
        <w:rPr>
          <w:rFonts w:ascii="Cambria" w:hAnsi="Cambria" w:cstheme="minorHAnsi"/>
          <w:sz w:val="20"/>
          <w:szCs w:val="20"/>
          <w:lang w:val="en-GB"/>
        </w:rPr>
        <w:t xml:space="preserve"> </w:t>
      </w:r>
      <w:r>
        <w:rPr>
          <w:rFonts w:ascii="Cambria" w:hAnsi="Cambria" w:cstheme="minorHAnsi"/>
          <w:bCs/>
          <w:sz w:val="20"/>
          <w:szCs w:val="20"/>
          <w:lang w:val="en-GB"/>
        </w:rPr>
        <w:t>Developing space and capacities of CSOs and expanding partnerships</w:t>
      </w:r>
      <w:r w:rsidR="00E02571">
        <w:rPr>
          <w:rFonts w:ascii="Cambria" w:hAnsi="Cambria" w:cstheme="minorHAnsi"/>
          <w:bCs/>
          <w:sz w:val="20"/>
          <w:szCs w:val="20"/>
          <w:lang w:val="en-GB"/>
        </w:rPr>
        <w:t>,</w:t>
      </w:r>
      <w:r>
        <w:rPr>
          <w:rFonts w:ascii="Cambria" w:hAnsi="Cambria" w:cstheme="minorHAnsi"/>
          <w:bCs/>
          <w:sz w:val="20"/>
          <w:szCs w:val="20"/>
          <w:lang w:val="en-GB"/>
        </w:rPr>
        <w:t xml:space="preserve"> to include DPs and private sector</w:t>
      </w:r>
      <w:r w:rsidR="00E02571">
        <w:rPr>
          <w:rFonts w:ascii="Cambria" w:hAnsi="Cambria" w:cstheme="minorHAnsi"/>
          <w:bCs/>
          <w:sz w:val="20"/>
          <w:szCs w:val="20"/>
          <w:lang w:val="en-GB"/>
        </w:rPr>
        <w:t>,</w:t>
      </w:r>
      <w:r>
        <w:rPr>
          <w:rFonts w:ascii="Cambria" w:hAnsi="Cambria" w:cstheme="minorHAnsi"/>
          <w:bCs/>
          <w:sz w:val="20"/>
          <w:szCs w:val="20"/>
          <w:lang w:val="en-GB"/>
        </w:rPr>
        <w:t xml:space="preserve"> is highlighted as crucial during </w:t>
      </w:r>
      <w:r w:rsidR="00E02571">
        <w:rPr>
          <w:rFonts w:ascii="Cambria" w:hAnsi="Cambria" w:cstheme="minorHAnsi"/>
          <w:bCs/>
          <w:sz w:val="20"/>
          <w:szCs w:val="20"/>
          <w:lang w:val="en-GB"/>
        </w:rPr>
        <w:t xml:space="preserve">the </w:t>
      </w:r>
      <w:r>
        <w:rPr>
          <w:rFonts w:ascii="Cambria" w:hAnsi="Cambria" w:cstheme="minorHAnsi"/>
          <w:bCs/>
          <w:sz w:val="20"/>
          <w:szCs w:val="20"/>
          <w:lang w:val="en-GB"/>
        </w:rPr>
        <w:t xml:space="preserve">second </w:t>
      </w:r>
      <w:r w:rsidR="00E02571">
        <w:rPr>
          <w:rFonts w:ascii="Cambria" w:hAnsi="Cambria" w:cstheme="minorHAnsi"/>
          <w:bCs/>
          <w:sz w:val="20"/>
          <w:szCs w:val="20"/>
          <w:lang w:val="en-GB"/>
        </w:rPr>
        <w:t xml:space="preserve">phase. This is relevant, given </w:t>
      </w:r>
      <w:r>
        <w:rPr>
          <w:rFonts w:ascii="Cambria" w:hAnsi="Cambria" w:cstheme="minorHAnsi"/>
          <w:bCs/>
          <w:sz w:val="20"/>
          <w:szCs w:val="20"/>
          <w:lang w:val="en-GB"/>
        </w:rPr>
        <w:t>the current political context</w:t>
      </w:r>
      <w:r w:rsidR="00E02571">
        <w:rPr>
          <w:rFonts w:ascii="Cambria" w:hAnsi="Cambria" w:cstheme="minorHAnsi"/>
          <w:bCs/>
          <w:sz w:val="20"/>
          <w:szCs w:val="20"/>
          <w:lang w:val="en-GB"/>
        </w:rPr>
        <w:t>,</w:t>
      </w:r>
      <w:r>
        <w:rPr>
          <w:rFonts w:ascii="Cambria" w:hAnsi="Cambria" w:cstheme="minorHAnsi"/>
          <w:bCs/>
          <w:sz w:val="20"/>
          <w:szCs w:val="20"/>
          <w:lang w:val="en-GB"/>
        </w:rPr>
        <w:t xml:space="preserve"> and particularly due to the risks and challenges </w:t>
      </w:r>
      <w:r w:rsidR="004577FA">
        <w:rPr>
          <w:rFonts w:ascii="Cambria" w:hAnsi="Cambria" w:cstheme="minorHAnsi"/>
          <w:bCs/>
          <w:sz w:val="20"/>
          <w:szCs w:val="20"/>
          <w:lang w:val="en-GB"/>
        </w:rPr>
        <w:t xml:space="preserve">present </w:t>
      </w:r>
      <w:r>
        <w:rPr>
          <w:rFonts w:ascii="Cambria" w:hAnsi="Cambria" w:cstheme="minorHAnsi"/>
          <w:bCs/>
          <w:sz w:val="20"/>
          <w:szCs w:val="20"/>
          <w:lang w:val="en-GB"/>
        </w:rPr>
        <w:t>working with parliament and ICs</w:t>
      </w:r>
      <w:r w:rsidR="00E02571">
        <w:rPr>
          <w:rFonts w:ascii="Cambria" w:hAnsi="Cambria" w:cstheme="minorHAnsi"/>
          <w:bCs/>
          <w:sz w:val="20"/>
          <w:szCs w:val="20"/>
          <w:lang w:val="en-GB"/>
        </w:rPr>
        <w:t>,</w:t>
      </w:r>
      <w:r>
        <w:rPr>
          <w:rFonts w:ascii="Cambria" w:hAnsi="Cambria" w:cstheme="minorHAnsi"/>
          <w:bCs/>
          <w:sz w:val="20"/>
          <w:szCs w:val="20"/>
          <w:lang w:val="en-GB"/>
        </w:rPr>
        <w:t xml:space="preserve"> as a result of the 20</w:t>
      </w:r>
      <w:r w:rsidRPr="00E84B64">
        <w:rPr>
          <w:rFonts w:ascii="Cambria" w:hAnsi="Cambria" w:cstheme="minorHAnsi"/>
          <w:bCs/>
          <w:sz w:val="20"/>
          <w:szCs w:val="20"/>
          <w:vertAlign w:val="superscript"/>
          <w:lang w:val="en-GB"/>
        </w:rPr>
        <w:t>th</w:t>
      </w:r>
      <w:r>
        <w:rPr>
          <w:rFonts w:ascii="Cambria" w:hAnsi="Cambria" w:cstheme="minorHAnsi"/>
          <w:bCs/>
          <w:sz w:val="20"/>
          <w:szCs w:val="20"/>
          <w:lang w:val="en-GB"/>
        </w:rPr>
        <w:t xml:space="preserve"> Amendment</w:t>
      </w:r>
      <w:r w:rsidR="004577FA">
        <w:rPr>
          <w:rFonts w:ascii="Cambria" w:hAnsi="Cambria" w:cstheme="minorHAnsi"/>
          <w:bCs/>
          <w:sz w:val="20"/>
          <w:szCs w:val="20"/>
          <w:lang w:val="en-GB"/>
        </w:rPr>
        <w:t xml:space="preserve"> to the Constitution</w:t>
      </w:r>
      <w:r>
        <w:rPr>
          <w:rFonts w:ascii="Cambria" w:hAnsi="Cambria" w:cstheme="minorHAnsi"/>
          <w:bCs/>
          <w:sz w:val="20"/>
          <w:szCs w:val="20"/>
          <w:lang w:val="en-GB"/>
        </w:rPr>
        <w:t>.</w:t>
      </w:r>
    </w:p>
    <w:p w14:paraId="0E624A37" w14:textId="0F2ECC54" w:rsidR="00FD7F03" w:rsidRDefault="00FD7F03" w:rsidP="00FD7F03">
      <w:pPr>
        <w:spacing w:line="360" w:lineRule="auto"/>
        <w:jc w:val="both"/>
        <w:rPr>
          <w:rFonts w:ascii="Cambria" w:hAnsi="Cambria"/>
          <w:color w:val="000000" w:themeColor="text1"/>
          <w:sz w:val="20"/>
          <w:szCs w:val="20"/>
        </w:rPr>
      </w:pPr>
      <w:r>
        <w:rPr>
          <w:rFonts w:ascii="Cambria" w:hAnsi="Cambria"/>
          <w:color w:val="000000" w:themeColor="text1"/>
          <w:sz w:val="20"/>
          <w:szCs w:val="20"/>
        </w:rPr>
        <w:t xml:space="preserve">To promote the </w:t>
      </w:r>
      <w:r w:rsidRPr="002C0A7B">
        <w:rPr>
          <w:rFonts w:ascii="Cambria" w:hAnsi="Cambria"/>
          <w:i/>
          <w:iCs/>
          <w:color w:val="000000" w:themeColor="text1"/>
          <w:sz w:val="20"/>
          <w:szCs w:val="20"/>
        </w:rPr>
        <w:t>rule of law and access to justice</w:t>
      </w:r>
      <w:r>
        <w:rPr>
          <w:rFonts w:ascii="Cambria" w:hAnsi="Cambria"/>
          <w:i/>
          <w:iCs/>
          <w:color w:val="000000" w:themeColor="text1"/>
          <w:sz w:val="20"/>
          <w:szCs w:val="20"/>
        </w:rPr>
        <w:t xml:space="preserve"> and gender equality and empowerment</w:t>
      </w:r>
      <w:r w:rsidRPr="00AC1452">
        <w:rPr>
          <w:rFonts w:ascii="Cambria" w:hAnsi="Cambria"/>
          <w:color w:val="000000" w:themeColor="text1"/>
          <w:sz w:val="20"/>
          <w:szCs w:val="20"/>
        </w:rPr>
        <w:t xml:space="preserve">, due to the absence of a country wide sectoral approach to justice sector reform, design and planning of interventions was problematic, although the general country context was conducive for reform. </w:t>
      </w:r>
      <w:r>
        <w:rPr>
          <w:rFonts w:ascii="Cambria" w:hAnsi="Cambria"/>
          <w:color w:val="000000" w:themeColor="text1"/>
          <w:sz w:val="20"/>
          <w:szCs w:val="20"/>
        </w:rPr>
        <w:t>I</w:t>
      </w:r>
      <w:r w:rsidRPr="00AC1452">
        <w:rPr>
          <w:rFonts w:ascii="Cambria" w:hAnsi="Cambria"/>
          <w:color w:val="000000" w:themeColor="text1"/>
          <w:sz w:val="20"/>
          <w:szCs w:val="20"/>
        </w:rPr>
        <w:t>nitial identification of interventions was based on urgent and emerging national priorities</w:t>
      </w:r>
      <w:r w:rsidR="009E1788">
        <w:rPr>
          <w:rFonts w:ascii="Cambria" w:hAnsi="Cambria"/>
          <w:color w:val="000000" w:themeColor="text1"/>
          <w:sz w:val="20"/>
          <w:szCs w:val="20"/>
        </w:rPr>
        <w:t>,</w:t>
      </w:r>
      <w:r w:rsidRPr="00AC1452">
        <w:rPr>
          <w:rFonts w:ascii="Cambria" w:hAnsi="Cambria"/>
          <w:color w:val="000000" w:themeColor="text1"/>
          <w:sz w:val="20"/>
          <w:szCs w:val="20"/>
        </w:rPr>
        <w:t xml:space="preserve"> to support the implementation of promises made by the GoSL</w:t>
      </w:r>
      <w:r w:rsidR="009E1788">
        <w:rPr>
          <w:rFonts w:ascii="Cambria" w:hAnsi="Cambria"/>
          <w:color w:val="000000" w:themeColor="text1"/>
          <w:sz w:val="20"/>
          <w:szCs w:val="20"/>
        </w:rPr>
        <w:t>,</w:t>
      </w:r>
      <w:r>
        <w:rPr>
          <w:rFonts w:ascii="Cambria" w:hAnsi="Cambria"/>
          <w:color w:val="000000" w:themeColor="text1"/>
          <w:sz w:val="20"/>
          <w:szCs w:val="20"/>
        </w:rPr>
        <w:t xml:space="preserve"> internationally and locally. </w:t>
      </w:r>
      <w:r w:rsidRPr="00AC1452">
        <w:rPr>
          <w:rFonts w:ascii="Cambria" w:hAnsi="Cambria"/>
          <w:color w:val="000000" w:themeColor="text1"/>
          <w:sz w:val="20"/>
          <w:szCs w:val="20"/>
        </w:rPr>
        <w:t>However, Output interventions to promote gender equality and gender sensitive services</w:t>
      </w:r>
      <w:r w:rsidR="009E1788">
        <w:rPr>
          <w:rFonts w:ascii="Cambria" w:hAnsi="Cambria"/>
          <w:color w:val="000000" w:themeColor="text1"/>
          <w:sz w:val="20"/>
          <w:szCs w:val="20"/>
        </w:rPr>
        <w:t>,</w:t>
      </w:r>
      <w:r w:rsidRPr="00AC1452">
        <w:rPr>
          <w:rFonts w:ascii="Cambria" w:hAnsi="Cambria"/>
          <w:color w:val="000000" w:themeColor="text1"/>
          <w:sz w:val="20"/>
          <w:szCs w:val="20"/>
        </w:rPr>
        <w:t xml:space="preserve"> from the inception</w:t>
      </w:r>
      <w:r w:rsidR="009E1788">
        <w:rPr>
          <w:rFonts w:ascii="Cambria" w:hAnsi="Cambria"/>
          <w:color w:val="000000" w:themeColor="text1"/>
          <w:sz w:val="20"/>
          <w:szCs w:val="20"/>
        </w:rPr>
        <w:t>,</w:t>
      </w:r>
      <w:r w:rsidRPr="00AC1452">
        <w:rPr>
          <w:rFonts w:ascii="Cambria" w:hAnsi="Cambria"/>
          <w:color w:val="000000" w:themeColor="text1"/>
          <w:sz w:val="20"/>
          <w:szCs w:val="20"/>
        </w:rPr>
        <w:t xml:space="preserve"> were framed within the umbrella approach of the</w:t>
      </w:r>
      <w:r>
        <w:rPr>
          <w:rFonts w:ascii="Cambria" w:hAnsi="Cambria"/>
          <w:color w:val="000000" w:themeColor="text1"/>
          <w:sz w:val="20"/>
          <w:szCs w:val="20"/>
        </w:rPr>
        <w:t xml:space="preserve"> National Action Plan to Address Sexual and Gender Based Violence Plan. </w:t>
      </w:r>
    </w:p>
    <w:p w14:paraId="6BC5E86F" w14:textId="673FBE4B" w:rsidR="00FD7F03" w:rsidRDefault="00FD7F03" w:rsidP="00FD7F03">
      <w:pPr>
        <w:spacing w:line="360" w:lineRule="auto"/>
        <w:jc w:val="both"/>
        <w:rPr>
          <w:rFonts w:ascii="Cambria" w:hAnsi="Cambria" w:cs="Calibri"/>
          <w:bCs/>
          <w:color w:val="000000" w:themeColor="text1"/>
          <w:sz w:val="20"/>
          <w:szCs w:val="20"/>
        </w:rPr>
      </w:pPr>
      <w:r w:rsidRPr="00AC1452">
        <w:rPr>
          <w:rFonts w:ascii="Cambria" w:hAnsi="Cambria" w:cs="Arial"/>
          <w:color w:val="000000" w:themeColor="text1"/>
          <w:spacing w:val="4"/>
          <w:sz w:val="20"/>
          <w:szCs w:val="20"/>
          <w:shd w:val="clear" w:color="auto" w:fill="FEFEFE"/>
        </w:rPr>
        <w:t xml:space="preserve">These Outputs complemented each other and was mutually reinforcing, which contributed to its effectiveness.  </w:t>
      </w:r>
      <w:r w:rsidRPr="00AC1452">
        <w:rPr>
          <w:rFonts w:ascii="Cambria" w:hAnsi="Cambria" w:cs="Calibri"/>
          <w:bCs/>
          <w:color w:val="000000" w:themeColor="text1"/>
          <w:sz w:val="20"/>
          <w:szCs w:val="20"/>
        </w:rPr>
        <w:t>The rationale of the Outputs w</w:t>
      </w:r>
      <w:r>
        <w:rPr>
          <w:rFonts w:ascii="Cambria" w:hAnsi="Cambria" w:cs="Calibri"/>
          <w:bCs/>
          <w:color w:val="000000" w:themeColor="text1"/>
          <w:sz w:val="20"/>
          <w:szCs w:val="20"/>
        </w:rPr>
        <w:t>as</w:t>
      </w:r>
      <w:r w:rsidRPr="00AC1452">
        <w:rPr>
          <w:rFonts w:ascii="Cambria" w:hAnsi="Cambria" w:cs="Calibri"/>
          <w:bCs/>
          <w:color w:val="000000" w:themeColor="text1"/>
          <w:sz w:val="20"/>
          <w:szCs w:val="20"/>
        </w:rPr>
        <w:t xml:space="preserve"> well articulated</w:t>
      </w:r>
      <w:r w:rsidR="00CF10B4">
        <w:rPr>
          <w:rFonts w:ascii="Cambria" w:hAnsi="Cambria" w:cs="Calibri"/>
          <w:bCs/>
          <w:color w:val="000000" w:themeColor="text1"/>
          <w:sz w:val="20"/>
          <w:szCs w:val="20"/>
        </w:rPr>
        <w:t>,</w:t>
      </w:r>
      <w:r w:rsidRPr="00AC1452">
        <w:rPr>
          <w:rFonts w:ascii="Cambria" w:hAnsi="Cambria" w:cs="Calibri"/>
          <w:bCs/>
          <w:color w:val="000000" w:themeColor="text1"/>
          <w:sz w:val="20"/>
          <w:szCs w:val="20"/>
        </w:rPr>
        <w:t xml:space="preserve"> and clearly show</w:t>
      </w:r>
      <w:r>
        <w:rPr>
          <w:rFonts w:ascii="Cambria" w:hAnsi="Cambria" w:cs="Calibri"/>
          <w:bCs/>
          <w:color w:val="000000" w:themeColor="text1"/>
          <w:sz w:val="20"/>
          <w:szCs w:val="20"/>
        </w:rPr>
        <w:t>ed</w:t>
      </w:r>
      <w:r w:rsidRPr="00AC1452">
        <w:rPr>
          <w:rFonts w:ascii="Cambria" w:hAnsi="Cambria" w:cs="Calibri"/>
          <w:bCs/>
          <w:color w:val="000000" w:themeColor="text1"/>
          <w:sz w:val="20"/>
          <w:szCs w:val="20"/>
        </w:rPr>
        <w:t xml:space="preserve"> signs of lessons learned from previous phases of engagement.</w:t>
      </w:r>
      <w:r>
        <w:rPr>
          <w:rFonts w:ascii="Cambria" w:hAnsi="Cambria" w:cs="Calibri"/>
          <w:bCs/>
          <w:color w:val="000000" w:themeColor="text1"/>
          <w:sz w:val="20"/>
          <w:szCs w:val="20"/>
        </w:rPr>
        <w:t xml:space="preserve"> </w:t>
      </w:r>
      <w:r w:rsidRPr="00AC1452">
        <w:rPr>
          <w:rFonts w:ascii="Cambria" w:hAnsi="Cambria" w:cs="Calibri"/>
          <w:bCs/>
          <w:color w:val="000000" w:themeColor="text1"/>
          <w:sz w:val="20"/>
          <w:szCs w:val="20"/>
        </w:rPr>
        <w:t>The Outputs also demonstrated adaptability</w:t>
      </w:r>
      <w:r w:rsidR="00CF10B4">
        <w:rPr>
          <w:rFonts w:ascii="Cambria" w:hAnsi="Cambria" w:cs="Calibri"/>
          <w:bCs/>
          <w:color w:val="000000" w:themeColor="text1"/>
          <w:sz w:val="20"/>
          <w:szCs w:val="20"/>
        </w:rPr>
        <w:t>,</w:t>
      </w:r>
      <w:r w:rsidRPr="00AC1452">
        <w:rPr>
          <w:rFonts w:ascii="Cambria" w:hAnsi="Cambria" w:cs="Calibri"/>
          <w:bCs/>
          <w:color w:val="000000" w:themeColor="text1"/>
          <w:sz w:val="20"/>
          <w:szCs w:val="20"/>
        </w:rPr>
        <w:t xml:space="preserve"> by immediately responding to address critical gaps in </w:t>
      </w:r>
      <w:r>
        <w:rPr>
          <w:rFonts w:ascii="Cambria" w:hAnsi="Cambria" w:cs="Calibri"/>
          <w:bCs/>
          <w:color w:val="000000" w:themeColor="text1"/>
          <w:sz w:val="20"/>
          <w:szCs w:val="20"/>
        </w:rPr>
        <w:t xml:space="preserve">policy and research, </w:t>
      </w:r>
      <w:r w:rsidRPr="00AC1452">
        <w:rPr>
          <w:rFonts w:ascii="Cambria" w:hAnsi="Cambria" w:cs="Calibri"/>
          <w:bCs/>
          <w:color w:val="000000" w:themeColor="text1"/>
          <w:sz w:val="20"/>
          <w:szCs w:val="20"/>
        </w:rPr>
        <w:t>institutional capacities, systems and process capacities and human resource capacities</w:t>
      </w:r>
      <w:r w:rsidR="00CF10B4">
        <w:rPr>
          <w:rFonts w:ascii="Cambria" w:hAnsi="Cambria" w:cs="Calibri"/>
          <w:bCs/>
          <w:color w:val="000000" w:themeColor="text1"/>
          <w:sz w:val="20"/>
          <w:szCs w:val="20"/>
        </w:rPr>
        <w:t>,</w:t>
      </w:r>
      <w:r w:rsidRPr="00AC1452">
        <w:rPr>
          <w:rFonts w:ascii="Cambria" w:hAnsi="Cambria" w:cs="Calibri"/>
          <w:bCs/>
          <w:color w:val="000000" w:themeColor="text1"/>
          <w:sz w:val="20"/>
          <w:szCs w:val="20"/>
        </w:rPr>
        <w:t xml:space="preserve"> exacerbated by the pandemic</w:t>
      </w:r>
      <w:r>
        <w:rPr>
          <w:rFonts w:ascii="Cambria" w:hAnsi="Cambria" w:cs="Calibri"/>
          <w:bCs/>
          <w:color w:val="000000" w:themeColor="text1"/>
          <w:sz w:val="20"/>
          <w:szCs w:val="20"/>
        </w:rPr>
        <w:t>.</w:t>
      </w:r>
    </w:p>
    <w:p w14:paraId="2272DCF7" w14:textId="46C29183" w:rsidR="00FD7F03" w:rsidRDefault="00FD7F03" w:rsidP="00FD7F03">
      <w:pPr>
        <w:spacing w:line="360" w:lineRule="auto"/>
        <w:jc w:val="both"/>
        <w:rPr>
          <w:rFonts w:ascii="Cambria" w:hAnsi="Cambria" w:cs="Calibri"/>
          <w:bCs/>
          <w:sz w:val="20"/>
          <w:szCs w:val="20"/>
          <w:lang w:val="en-GB"/>
        </w:rPr>
      </w:pPr>
      <w:r w:rsidRPr="00223CBF">
        <w:rPr>
          <w:rFonts w:ascii="Cambria" w:hAnsi="Cambria" w:cs="Arial"/>
          <w:color w:val="000000" w:themeColor="text1"/>
          <w:spacing w:val="4"/>
          <w:sz w:val="20"/>
          <w:szCs w:val="20"/>
          <w:shd w:val="clear" w:color="auto" w:fill="FEFEFE"/>
        </w:rPr>
        <w:t xml:space="preserve">To maximise relevance and effectiveness, it is vital to engage in a </w:t>
      </w:r>
      <w:r w:rsidRPr="00223CBF">
        <w:rPr>
          <w:rFonts w:ascii="Cambria" w:hAnsi="Cambria" w:cs="Calibri"/>
          <w:bCs/>
          <w:sz w:val="20"/>
          <w:szCs w:val="20"/>
          <w:lang w:val="en-GB"/>
        </w:rPr>
        <w:t>comprehensive and participatory development needs identification process</w:t>
      </w:r>
      <w:r w:rsidR="00CF10B4">
        <w:rPr>
          <w:rFonts w:ascii="Cambria" w:hAnsi="Cambria" w:cs="Calibri"/>
          <w:bCs/>
          <w:sz w:val="20"/>
          <w:szCs w:val="20"/>
          <w:lang w:val="en-GB"/>
        </w:rPr>
        <w:t>,</w:t>
      </w:r>
      <w:r w:rsidRPr="00223CBF">
        <w:rPr>
          <w:rFonts w:ascii="Cambria" w:hAnsi="Cambria" w:cs="Calibri"/>
          <w:bCs/>
          <w:sz w:val="20"/>
          <w:szCs w:val="20"/>
          <w:lang w:val="en-GB"/>
        </w:rPr>
        <w:t xml:space="preserve"> to increase impact and sustainability</w:t>
      </w:r>
      <w:r w:rsidR="00CF10B4">
        <w:rPr>
          <w:rFonts w:ascii="Cambria" w:hAnsi="Cambria" w:cs="Calibri"/>
          <w:bCs/>
          <w:sz w:val="20"/>
          <w:szCs w:val="20"/>
          <w:lang w:val="en-GB"/>
        </w:rPr>
        <w:t>,</w:t>
      </w:r>
      <w:r>
        <w:rPr>
          <w:rFonts w:ascii="Cambria" w:hAnsi="Cambria" w:cs="Calibri"/>
          <w:bCs/>
          <w:sz w:val="20"/>
          <w:szCs w:val="20"/>
          <w:lang w:val="en-GB"/>
        </w:rPr>
        <w:t xml:space="preserve"> and to weave in the </w:t>
      </w:r>
      <w:r w:rsidRPr="00223CBF">
        <w:rPr>
          <w:rFonts w:ascii="Cambria" w:hAnsi="Cambria" w:cs="Calibri"/>
          <w:bCs/>
          <w:sz w:val="20"/>
          <w:szCs w:val="20"/>
          <w:lang w:val="en-GB"/>
        </w:rPr>
        <w:t xml:space="preserve">inception work </w:t>
      </w:r>
      <w:r>
        <w:rPr>
          <w:rFonts w:ascii="Cambria" w:hAnsi="Cambria" w:cs="Calibri"/>
          <w:bCs/>
          <w:sz w:val="20"/>
          <w:szCs w:val="20"/>
          <w:lang w:val="en-GB"/>
        </w:rPr>
        <w:t xml:space="preserve">of the Outputs </w:t>
      </w:r>
      <w:r w:rsidRPr="00223CBF">
        <w:rPr>
          <w:rFonts w:ascii="Cambria" w:hAnsi="Cambria" w:cs="Calibri"/>
          <w:bCs/>
          <w:sz w:val="20"/>
          <w:szCs w:val="20"/>
          <w:lang w:val="en-GB"/>
        </w:rPr>
        <w:t xml:space="preserve">into </w:t>
      </w:r>
      <w:r>
        <w:rPr>
          <w:rFonts w:ascii="Cambria" w:hAnsi="Cambria" w:cs="Calibri"/>
          <w:bCs/>
          <w:sz w:val="20"/>
          <w:szCs w:val="20"/>
          <w:lang w:val="en-GB"/>
        </w:rPr>
        <w:t xml:space="preserve">the </w:t>
      </w:r>
      <w:r w:rsidRPr="00223CBF">
        <w:rPr>
          <w:rFonts w:ascii="Cambria" w:hAnsi="Cambria" w:cs="Calibri"/>
          <w:bCs/>
          <w:sz w:val="20"/>
          <w:szCs w:val="20"/>
          <w:lang w:val="en-GB"/>
        </w:rPr>
        <w:t xml:space="preserve">broader justice sector framework. </w:t>
      </w:r>
      <w:r>
        <w:rPr>
          <w:rFonts w:ascii="Cambria" w:hAnsi="Cambria" w:cs="Calibri"/>
          <w:bCs/>
          <w:sz w:val="20"/>
          <w:szCs w:val="20"/>
          <w:lang w:val="en-GB"/>
        </w:rPr>
        <w:t xml:space="preserve">Although CSO engagement, which is </w:t>
      </w:r>
      <w:r w:rsidRPr="00223CBF">
        <w:rPr>
          <w:rFonts w:ascii="Cambria" w:hAnsi="Cambria" w:cs="Calibri"/>
          <w:bCs/>
          <w:sz w:val="20"/>
          <w:szCs w:val="20"/>
          <w:lang w:val="en-GB"/>
        </w:rPr>
        <w:t>plainly lacking in Pillar One</w:t>
      </w:r>
      <w:r w:rsidR="00CF10B4">
        <w:rPr>
          <w:rFonts w:ascii="Cambria" w:hAnsi="Cambria" w:cs="Calibri"/>
          <w:bCs/>
          <w:sz w:val="20"/>
          <w:szCs w:val="20"/>
          <w:lang w:val="en-GB"/>
        </w:rPr>
        <w:t>,</w:t>
      </w:r>
      <w:r w:rsidRPr="00223CBF">
        <w:rPr>
          <w:rFonts w:ascii="Cambria" w:hAnsi="Cambria" w:cs="Calibri"/>
          <w:bCs/>
          <w:sz w:val="20"/>
          <w:szCs w:val="20"/>
          <w:lang w:val="en-GB"/>
        </w:rPr>
        <w:t xml:space="preserve"> is remedied by Pillar two</w:t>
      </w:r>
      <w:r>
        <w:rPr>
          <w:rFonts w:ascii="Cambria" w:hAnsi="Cambria" w:cs="Calibri"/>
          <w:bCs/>
          <w:sz w:val="20"/>
          <w:szCs w:val="20"/>
          <w:lang w:val="en-GB"/>
        </w:rPr>
        <w:t xml:space="preserve"> to an extent, the Portfolio would strongly benefit from a revised civil society engagement strategy</w:t>
      </w:r>
      <w:r w:rsidR="00CF10B4">
        <w:rPr>
          <w:rFonts w:ascii="Cambria" w:hAnsi="Cambria" w:cs="Calibri"/>
          <w:bCs/>
          <w:sz w:val="20"/>
          <w:szCs w:val="20"/>
          <w:lang w:val="en-GB"/>
        </w:rPr>
        <w:t>,</w:t>
      </w:r>
      <w:r>
        <w:rPr>
          <w:rFonts w:ascii="Cambria" w:hAnsi="Cambria" w:cs="Calibri"/>
          <w:bCs/>
          <w:sz w:val="20"/>
          <w:szCs w:val="20"/>
          <w:lang w:val="en-GB"/>
        </w:rPr>
        <w:t xml:space="preserve"> to include </w:t>
      </w:r>
      <w:r w:rsidR="008C36FB">
        <w:rPr>
          <w:rFonts w:ascii="Cambria" w:hAnsi="Cambria" w:cs="Calibri"/>
          <w:bCs/>
          <w:sz w:val="20"/>
          <w:szCs w:val="20"/>
          <w:lang w:val="en-GB"/>
        </w:rPr>
        <w:t xml:space="preserve">key </w:t>
      </w:r>
      <w:r>
        <w:rPr>
          <w:rFonts w:ascii="Cambria" w:hAnsi="Cambria" w:cs="Calibri"/>
          <w:bCs/>
          <w:sz w:val="20"/>
          <w:szCs w:val="20"/>
          <w:lang w:val="en-GB"/>
        </w:rPr>
        <w:t xml:space="preserve">partners in implementing and monitoring SDG 16.  </w:t>
      </w:r>
    </w:p>
    <w:p w14:paraId="2B93C646" w14:textId="08E23982" w:rsidR="00FD7F03" w:rsidRDefault="00FD7F03" w:rsidP="00FD7F03">
      <w:pPr>
        <w:spacing w:after="160" w:line="360" w:lineRule="auto"/>
        <w:jc w:val="both"/>
        <w:rPr>
          <w:rFonts w:ascii="Cambria" w:hAnsi="Cambria"/>
          <w:sz w:val="20"/>
          <w:szCs w:val="20"/>
        </w:rPr>
      </w:pPr>
      <w:r>
        <w:rPr>
          <w:rFonts w:ascii="Cambria" w:hAnsi="Cambria" w:cstheme="minorHAnsi"/>
          <w:sz w:val="20"/>
          <w:szCs w:val="20"/>
        </w:rPr>
        <w:t xml:space="preserve">For </w:t>
      </w:r>
      <w:r w:rsidRPr="005F3367">
        <w:rPr>
          <w:rFonts w:ascii="Cambria" w:hAnsi="Cambria" w:cstheme="minorHAnsi"/>
          <w:i/>
          <w:iCs/>
          <w:sz w:val="20"/>
          <w:szCs w:val="20"/>
        </w:rPr>
        <w:t>Business and Human Rights</w:t>
      </w:r>
      <w:r>
        <w:rPr>
          <w:rFonts w:ascii="Cambria" w:hAnsi="Cambria" w:cstheme="minorHAnsi"/>
          <w:sz w:val="20"/>
          <w:szCs w:val="20"/>
        </w:rPr>
        <w:t xml:space="preserve"> (BHR), the Output </w:t>
      </w:r>
      <w:r w:rsidRPr="00FC160F">
        <w:rPr>
          <w:rFonts w:ascii="Cambria" w:hAnsi="Cambria"/>
          <w:color w:val="000000" w:themeColor="text1"/>
          <w:sz w:val="20"/>
          <w:szCs w:val="20"/>
        </w:rPr>
        <w:t>directly reference</w:t>
      </w:r>
      <w:r>
        <w:rPr>
          <w:rFonts w:ascii="Cambria" w:hAnsi="Cambria"/>
          <w:color w:val="000000" w:themeColor="text1"/>
          <w:sz w:val="20"/>
          <w:szCs w:val="20"/>
        </w:rPr>
        <w:t>d</w:t>
      </w:r>
      <w:r w:rsidRPr="00FC160F">
        <w:rPr>
          <w:rFonts w:ascii="Cambria" w:hAnsi="Cambria"/>
          <w:color w:val="000000" w:themeColor="text1"/>
          <w:sz w:val="20"/>
          <w:szCs w:val="20"/>
        </w:rPr>
        <w:t xml:space="preserve"> the UN Guiding Principles (UNGP) on </w:t>
      </w:r>
      <w:r>
        <w:rPr>
          <w:rFonts w:ascii="Cambria" w:hAnsi="Cambria"/>
          <w:color w:val="000000" w:themeColor="text1"/>
          <w:sz w:val="20"/>
          <w:szCs w:val="20"/>
        </w:rPr>
        <w:t xml:space="preserve">BHR, which </w:t>
      </w:r>
      <w:r w:rsidRPr="00FC160F">
        <w:rPr>
          <w:rFonts w:ascii="Cambria" w:hAnsi="Cambria"/>
          <w:sz w:val="20"/>
          <w:szCs w:val="20"/>
        </w:rPr>
        <w:t>provide</w:t>
      </w:r>
      <w:r>
        <w:rPr>
          <w:rFonts w:ascii="Cambria" w:hAnsi="Cambria"/>
          <w:sz w:val="20"/>
          <w:szCs w:val="20"/>
        </w:rPr>
        <w:t>s</w:t>
      </w:r>
      <w:r w:rsidRPr="00FC160F">
        <w:rPr>
          <w:rFonts w:ascii="Cambria" w:hAnsi="Cambria"/>
          <w:sz w:val="20"/>
          <w:szCs w:val="20"/>
        </w:rPr>
        <w:t xml:space="preserve"> a roadmap for protecting and respecting human rights</w:t>
      </w:r>
      <w:r w:rsidR="009D173B">
        <w:rPr>
          <w:rFonts w:ascii="Cambria" w:hAnsi="Cambria"/>
          <w:sz w:val="20"/>
          <w:szCs w:val="20"/>
        </w:rPr>
        <w:t>,</w:t>
      </w:r>
      <w:r w:rsidRPr="00FC160F">
        <w:rPr>
          <w:rFonts w:ascii="Cambria" w:hAnsi="Cambria"/>
          <w:sz w:val="20"/>
          <w:szCs w:val="20"/>
        </w:rPr>
        <w:t xml:space="preserve"> in the context of business activities.</w:t>
      </w:r>
      <w:r>
        <w:rPr>
          <w:rFonts w:ascii="Cambria" w:hAnsi="Cambria"/>
          <w:sz w:val="20"/>
          <w:szCs w:val="20"/>
        </w:rPr>
        <w:t xml:space="preserve"> MTE concludes that</w:t>
      </w:r>
      <w:r w:rsidR="009D173B">
        <w:rPr>
          <w:rFonts w:ascii="Cambria" w:hAnsi="Cambria"/>
          <w:sz w:val="20"/>
          <w:szCs w:val="20"/>
        </w:rPr>
        <w:t>,</w:t>
      </w:r>
      <w:r>
        <w:rPr>
          <w:rFonts w:ascii="Cambria" w:hAnsi="Cambria"/>
          <w:sz w:val="20"/>
          <w:szCs w:val="20"/>
        </w:rPr>
        <w:t xml:space="preserve"> i</w:t>
      </w:r>
      <w:r w:rsidRPr="00FC160F">
        <w:rPr>
          <w:rFonts w:ascii="Cambria" w:hAnsi="Cambria"/>
          <w:sz w:val="20"/>
          <w:szCs w:val="20"/>
        </w:rPr>
        <w:t>t is too early to evaluate the effectiveness of interventions</w:t>
      </w:r>
      <w:r w:rsidR="009D173B">
        <w:rPr>
          <w:rFonts w:ascii="Cambria" w:hAnsi="Cambria"/>
          <w:sz w:val="20"/>
          <w:szCs w:val="20"/>
        </w:rPr>
        <w:t>. This is</w:t>
      </w:r>
      <w:r w:rsidRPr="00FC160F">
        <w:rPr>
          <w:rFonts w:ascii="Cambria" w:hAnsi="Cambria"/>
          <w:sz w:val="20"/>
          <w:szCs w:val="20"/>
        </w:rPr>
        <w:t xml:space="preserve"> due to its early stages in design and planning</w:t>
      </w:r>
      <w:r>
        <w:rPr>
          <w:rFonts w:ascii="Cambria" w:hAnsi="Cambria"/>
          <w:sz w:val="20"/>
          <w:szCs w:val="20"/>
        </w:rPr>
        <w:t xml:space="preserve">, although initial activities have focused on </w:t>
      </w:r>
      <w:r w:rsidRPr="00FC160F">
        <w:rPr>
          <w:rFonts w:ascii="Cambria" w:hAnsi="Cambria"/>
          <w:sz w:val="20"/>
          <w:szCs w:val="20"/>
        </w:rPr>
        <w:t>generating greater awareness on the UNGPs</w:t>
      </w:r>
      <w:r w:rsidR="009D173B">
        <w:rPr>
          <w:rFonts w:ascii="Cambria" w:hAnsi="Cambria"/>
          <w:sz w:val="20"/>
          <w:szCs w:val="20"/>
        </w:rPr>
        <w:t>,</w:t>
      </w:r>
      <w:r w:rsidRPr="00FC160F">
        <w:rPr>
          <w:rFonts w:ascii="Cambria" w:hAnsi="Cambria"/>
          <w:sz w:val="20"/>
          <w:szCs w:val="20"/>
        </w:rPr>
        <w:t xml:space="preserve"> and making a ‘business case’ for businesses to adopt</w:t>
      </w:r>
      <w:r w:rsidR="00DF0481">
        <w:rPr>
          <w:rFonts w:ascii="Cambria" w:hAnsi="Cambria"/>
          <w:sz w:val="20"/>
          <w:szCs w:val="20"/>
        </w:rPr>
        <w:t xml:space="preserve"> a</w:t>
      </w:r>
      <w:r w:rsidRPr="00FC160F">
        <w:rPr>
          <w:rFonts w:ascii="Cambria" w:hAnsi="Cambria"/>
          <w:sz w:val="20"/>
          <w:szCs w:val="20"/>
        </w:rPr>
        <w:t xml:space="preserve"> human </w:t>
      </w:r>
      <w:r w:rsidR="00DF0481" w:rsidRPr="00FC160F">
        <w:rPr>
          <w:rFonts w:ascii="Cambria" w:hAnsi="Cambria"/>
          <w:sz w:val="20"/>
          <w:szCs w:val="20"/>
        </w:rPr>
        <w:t>rights</w:t>
      </w:r>
      <w:r w:rsidR="00DF0481">
        <w:rPr>
          <w:rFonts w:ascii="Cambria" w:hAnsi="Cambria"/>
          <w:sz w:val="20"/>
          <w:szCs w:val="20"/>
        </w:rPr>
        <w:t>-</w:t>
      </w:r>
      <w:r w:rsidR="00DF0481" w:rsidRPr="00FC160F">
        <w:rPr>
          <w:rFonts w:ascii="Cambria" w:hAnsi="Cambria"/>
          <w:sz w:val="20"/>
          <w:szCs w:val="20"/>
        </w:rPr>
        <w:t>based</w:t>
      </w:r>
      <w:r w:rsidR="009D173B">
        <w:rPr>
          <w:rFonts w:ascii="Cambria" w:hAnsi="Cambria"/>
          <w:sz w:val="20"/>
          <w:szCs w:val="20"/>
        </w:rPr>
        <w:t xml:space="preserve"> </w:t>
      </w:r>
      <w:r w:rsidRPr="00FC160F">
        <w:rPr>
          <w:rFonts w:ascii="Cambria" w:hAnsi="Cambria"/>
          <w:sz w:val="20"/>
          <w:szCs w:val="20"/>
        </w:rPr>
        <w:t>approach.</w:t>
      </w:r>
      <w:r>
        <w:rPr>
          <w:rFonts w:ascii="Cambria" w:hAnsi="Cambria"/>
          <w:sz w:val="20"/>
          <w:szCs w:val="20"/>
        </w:rPr>
        <w:t xml:space="preserve"> The Portfolio would require a</w:t>
      </w:r>
      <w:r w:rsidR="00DF0481">
        <w:rPr>
          <w:rFonts w:ascii="Cambria" w:hAnsi="Cambria"/>
          <w:sz w:val="20"/>
          <w:szCs w:val="20"/>
        </w:rPr>
        <w:t xml:space="preserve">n </w:t>
      </w:r>
      <w:r>
        <w:rPr>
          <w:rFonts w:ascii="Cambria" w:hAnsi="Cambria"/>
          <w:sz w:val="20"/>
          <w:szCs w:val="20"/>
        </w:rPr>
        <w:t xml:space="preserve">identification </w:t>
      </w:r>
      <w:r w:rsidR="00DF0481">
        <w:rPr>
          <w:rFonts w:ascii="Cambria" w:hAnsi="Cambria"/>
          <w:sz w:val="20"/>
          <w:szCs w:val="20"/>
        </w:rPr>
        <w:t xml:space="preserve">of partners </w:t>
      </w:r>
      <w:r>
        <w:rPr>
          <w:rFonts w:ascii="Cambria" w:hAnsi="Cambria"/>
          <w:sz w:val="20"/>
          <w:szCs w:val="20"/>
        </w:rPr>
        <w:t xml:space="preserve">and </w:t>
      </w:r>
      <w:r w:rsidR="00DF0481">
        <w:rPr>
          <w:rFonts w:ascii="Cambria" w:hAnsi="Cambria"/>
          <w:sz w:val="20"/>
          <w:szCs w:val="20"/>
        </w:rPr>
        <w:t xml:space="preserve">broader </w:t>
      </w:r>
      <w:r>
        <w:rPr>
          <w:rFonts w:ascii="Cambria" w:hAnsi="Cambria"/>
          <w:sz w:val="20"/>
          <w:szCs w:val="20"/>
        </w:rPr>
        <w:t>engagement with the business community</w:t>
      </w:r>
      <w:r w:rsidR="00DF0481">
        <w:rPr>
          <w:rFonts w:ascii="Cambria" w:hAnsi="Cambria"/>
          <w:sz w:val="20"/>
          <w:szCs w:val="20"/>
        </w:rPr>
        <w:t xml:space="preserve">. It would require an identification of </w:t>
      </w:r>
      <w:r w:rsidRPr="00FD3FC0">
        <w:rPr>
          <w:rFonts w:ascii="Cambria" w:hAnsi="Cambria"/>
          <w:sz w:val="20"/>
          <w:szCs w:val="20"/>
        </w:rPr>
        <w:t xml:space="preserve">‘champions of best business practices’ to make ‘business sense’ of integrating and investing in human rights, especially within the current </w:t>
      </w:r>
      <w:r>
        <w:rPr>
          <w:rFonts w:ascii="Cambria" w:hAnsi="Cambria"/>
          <w:sz w:val="20"/>
          <w:szCs w:val="20"/>
        </w:rPr>
        <w:t xml:space="preserve">political and </w:t>
      </w:r>
      <w:r w:rsidRPr="00FD3FC0">
        <w:rPr>
          <w:rFonts w:ascii="Cambria" w:hAnsi="Cambria"/>
          <w:sz w:val="20"/>
          <w:szCs w:val="20"/>
        </w:rPr>
        <w:t>economic crisis</w:t>
      </w:r>
      <w:r w:rsidR="00DF0481">
        <w:rPr>
          <w:rFonts w:ascii="Cambria" w:hAnsi="Cambria"/>
          <w:sz w:val="20"/>
          <w:szCs w:val="20"/>
        </w:rPr>
        <w:t>.</w:t>
      </w:r>
      <w:r w:rsidRPr="00FD3FC0">
        <w:rPr>
          <w:rFonts w:ascii="Cambria" w:hAnsi="Cambria"/>
          <w:sz w:val="20"/>
          <w:szCs w:val="20"/>
        </w:rPr>
        <w:t xml:space="preserve"> </w:t>
      </w:r>
    </w:p>
    <w:p w14:paraId="5F2A3D66" w14:textId="77777777" w:rsidR="00FD7F03" w:rsidRPr="00C3701E" w:rsidRDefault="00FD7F03" w:rsidP="00FD7F03">
      <w:pPr>
        <w:spacing w:line="360" w:lineRule="auto"/>
        <w:jc w:val="both"/>
        <w:rPr>
          <w:rFonts w:ascii="Cambria" w:hAnsi="Cambria" w:cs="Arial"/>
          <w:b/>
          <w:bCs/>
          <w:color w:val="000000" w:themeColor="text1"/>
          <w:sz w:val="28"/>
          <w:szCs w:val="28"/>
        </w:rPr>
      </w:pPr>
      <w:r w:rsidRPr="00C3701E">
        <w:rPr>
          <w:rFonts w:ascii="Cambria" w:hAnsi="Cambria" w:cs="Arial"/>
          <w:b/>
          <w:bCs/>
          <w:color w:val="000000" w:themeColor="text1"/>
          <w:sz w:val="28"/>
          <w:szCs w:val="28"/>
        </w:rPr>
        <w:t xml:space="preserve">Conclusions and Recommendations </w:t>
      </w:r>
    </w:p>
    <w:p w14:paraId="72826751" w14:textId="70B497E5" w:rsidR="00FD7F03" w:rsidRPr="00C3701E" w:rsidRDefault="00FD7F03" w:rsidP="00FD7F03">
      <w:pPr>
        <w:spacing w:line="360" w:lineRule="auto"/>
        <w:jc w:val="both"/>
        <w:rPr>
          <w:rFonts w:ascii="Cambria" w:hAnsi="Cambria" w:cs="Calibri"/>
          <w:bCs/>
          <w:sz w:val="20"/>
          <w:szCs w:val="20"/>
          <w:lang w:val="en-GB"/>
        </w:rPr>
      </w:pPr>
      <w:r w:rsidRPr="00C3701E">
        <w:rPr>
          <w:rFonts w:ascii="Cambria" w:hAnsi="Cambria" w:cs="Calibri"/>
          <w:bCs/>
          <w:sz w:val="20"/>
          <w:szCs w:val="20"/>
          <w:lang w:val="en-GB"/>
        </w:rPr>
        <w:t>Although the Portfolio successfully reacted to the pandemic with emergency relief to implementing partners through a rapid assessment, a more strategic approach to preparing beneficiaries, whether state or non-state actors to respond to the pandemic</w:t>
      </w:r>
      <w:r w:rsidR="00C3701E" w:rsidRPr="00C3701E">
        <w:rPr>
          <w:rFonts w:ascii="Cambria" w:hAnsi="Cambria" w:cs="Calibri"/>
          <w:bCs/>
          <w:sz w:val="20"/>
          <w:szCs w:val="20"/>
          <w:lang w:val="en-GB"/>
        </w:rPr>
        <w:t xml:space="preserve"> during the term of the Portfolio is critical. </w:t>
      </w:r>
      <w:r w:rsidRPr="00C3701E">
        <w:rPr>
          <w:rFonts w:ascii="Cambria" w:hAnsi="Cambria" w:cs="Calibri"/>
          <w:bCs/>
          <w:sz w:val="20"/>
          <w:szCs w:val="20"/>
          <w:lang w:val="en-GB"/>
        </w:rPr>
        <w:t xml:space="preserve">UNDP has been recognised as a connector between organisations and institutions, a knowledge broker due to its access to vast resources and networks and convener, bringing groups together for a common purpose. In the second phase, UNDP should </w:t>
      </w:r>
      <w:r w:rsidRPr="00C3701E">
        <w:rPr>
          <w:rFonts w:ascii="Cambria" w:hAnsi="Cambria" w:cs="Calibri"/>
          <w:bCs/>
          <w:sz w:val="20"/>
          <w:szCs w:val="20"/>
          <w:lang w:val="en-GB"/>
        </w:rPr>
        <w:lastRenderedPageBreak/>
        <w:t>harness this role and invest in building resilience of beneficiaries not only to manage political shifts and shocks but also to manage environment and public health crisis such as the current pandemic. Therefore, preparing the leadership and middle management</w:t>
      </w:r>
      <w:r w:rsidR="00C3701E" w:rsidRPr="00C3701E">
        <w:rPr>
          <w:rFonts w:ascii="Cambria" w:hAnsi="Cambria" w:cs="Calibri"/>
          <w:bCs/>
          <w:sz w:val="20"/>
          <w:szCs w:val="20"/>
          <w:lang w:val="en-GB"/>
        </w:rPr>
        <w:t xml:space="preserve"> of all the partner institutions</w:t>
      </w:r>
      <w:r w:rsidRPr="00C3701E">
        <w:rPr>
          <w:rFonts w:ascii="Cambria" w:hAnsi="Cambria" w:cs="Calibri"/>
          <w:bCs/>
          <w:sz w:val="20"/>
          <w:szCs w:val="20"/>
          <w:lang w:val="en-GB"/>
        </w:rPr>
        <w:t xml:space="preserve"> is indispensable to maximise effective and impact of activities introduced even after the crisis has passed.</w:t>
      </w:r>
    </w:p>
    <w:p w14:paraId="0FC27289" w14:textId="3C8105F8" w:rsidR="00FD7F03" w:rsidRPr="00C3701E" w:rsidRDefault="00FD7F03" w:rsidP="00FD7F03">
      <w:pPr>
        <w:spacing w:line="360" w:lineRule="auto"/>
        <w:jc w:val="both"/>
        <w:rPr>
          <w:rFonts w:ascii="Cambria" w:hAnsi="Cambria" w:cs="Arial"/>
          <w:sz w:val="20"/>
          <w:szCs w:val="20"/>
        </w:rPr>
      </w:pPr>
      <w:r w:rsidRPr="00C3701E">
        <w:rPr>
          <w:rFonts w:ascii="Cambria" w:hAnsi="Cambria" w:cs="Calibri"/>
          <w:bCs/>
          <w:sz w:val="20"/>
          <w:szCs w:val="20"/>
          <w:lang w:val="en-GB"/>
        </w:rPr>
        <w:t xml:space="preserve">The MTE concluded that </w:t>
      </w:r>
      <w:r w:rsidR="00C3701E" w:rsidRPr="00C3701E">
        <w:rPr>
          <w:rFonts w:ascii="Cambria" w:hAnsi="Cambria" w:cs="Calibri"/>
          <w:bCs/>
          <w:sz w:val="20"/>
          <w:szCs w:val="20"/>
          <w:lang w:val="en-GB"/>
        </w:rPr>
        <w:t xml:space="preserve">the Portfolio did not focus enough to </w:t>
      </w:r>
      <w:r w:rsidRPr="00C3701E">
        <w:rPr>
          <w:rFonts w:ascii="Cambria" w:hAnsi="Cambria" w:cs="Calibri"/>
          <w:bCs/>
          <w:sz w:val="20"/>
          <w:szCs w:val="20"/>
          <w:lang w:val="en-GB"/>
        </w:rPr>
        <w:t xml:space="preserve">build the capacity of CSOs during the first phase of the project, which may risk the reputation of the UNDP as being ‘state centric’ unless support to build the community base in concert with efforts to build institutional base is realised. </w:t>
      </w:r>
      <w:r w:rsidRPr="00C3701E">
        <w:rPr>
          <w:rFonts w:ascii="Cambria" w:hAnsi="Cambria" w:cs="Arial"/>
          <w:sz w:val="20"/>
          <w:szCs w:val="20"/>
        </w:rPr>
        <w:t>Therefore, the second phase of the Portfolio should focus on directly building long-term resilience to counteract political shifts, focusing on approaches that may be outside the traditional experience and expertise of civil society but grounded in real life examples, including: strengthening their constituency base; enhancing collaboration; and communicating with a broader audience. Further, investing in collation of existing research on innovative business models for CSOs to protect civic space could also enhance the impact and relevancy of human rights groups.</w:t>
      </w:r>
    </w:p>
    <w:p w14:paraId="31B098A9" w14:textId="1A99B476" w:rsidR="00FD7F03" w:rsidRPr="005E3F27" w:rsidRDefault="00FD7F03" w:rsidP="00FD7F03">
      <w:pPr>
        <w:spacing w:line="360" w:lineRule="auto"/>
        <w:jc w:val="both"/>
        <w:rPr>
          <w:rFonts w:ascii="Cambria" w:hAnsi="Cambria" w:cs="Calibri"/>
          <w:bCs/>
          <w:sz w:val="20"/>
          <w:szCs w:val="20"/>
          <w:lang w:val="en-GB"/>
        </w:rPr>
      </w:pPr>
      <w:r w:rsidRPr="005E3F27">
        <w:rPr>
          <w:rFonts w:ascii="Cambria" w:hAnsi="Cambria" w:cs="Calibri"/>
          <w:bCs/>
          <w:sz w:val="20"/>
          <w:szCs w:val="20"/>
          <w:lang w:val="en-GB"/>
        </w:rPr>
        <w:t xml:space="preserve">It can be concluded that the comparative advantage of UNDP in governance specifically within the justice sector can be attributed to its long-term contribution and commitment to governance and justice sector reforms in Sri Lanka, strengthening institutions and systems, service delivery, coordination and facilitation between various stakeholders. </w:t>
      </w:r>
      <w:r w:rsidR="005E3F27" w:rsidRPr="005E3F27">
        <w:rPr>
          <w:rFonts w:ascii="Cambria" w:hAnsi="Cambria" w:cs="Calibri"/>
          <w:bCs/>
          <w:sz w:val="20"/>
          <w:szCs w:val="20"/>
          <w:lang w:val="en-GB"/>
        </w:rPr>
        <w:t>T</w:t>
      </w:r>
      <w:r w:rsidRPr="005E3F27">
        <w:rPr>
          <w:rFonts w:ascii="Cambria" w:hAnsi="Cambria" w:cs="Calibri"/>
          <w:bCs/>
          <w:sz w:val="20"/>
          <w:szCs w:val="20"/>
          <w:lang w:val="en-GB"/>
        </w:rPr>
        <w:t>he UNDP has used this leverage to advocate for improvement of laws, systems and processes based on international standards and best practices and inclusion of a victim centric approach to service delivery</w:t>
      </w:r>
      <w:r w:rsidR="005E3F27" w:rsidRPr="005E3F27">
        <w:rPr>
          <w:rFonts w:ascii="Cambria" w:hAnsi="Cambria" w:cs="Calibri"/>
          <w:bCs/>
          <w:sz w:val="20"/>
          <w:szCs w:val="20"/>
          <w:lang w:val="en-GB"/>
        </w:rPr>
        <w:t xml:space="preserve">. </w:t>
      </w:r>
      <w:r w:rsidRPr="005E3F27">
        <w:rPr>
          <w:rFonts w:ascii="Cambria" w:hAnsi="Cambria" w:cs="Calibri"/>
          <w:bCs/>
          <w:sz w:val="20"/>
          <w:szCs w:val="20"/>
          <w:lang w:val="en-GB"/>
        </w:rPr>
        <w:t xml:space="preserve"> </w:t>
      </w:r>
    </w:p>
    <w:p w14:paraId="5EDD4949" w14:textId="77777777" w:rsidR="00FD7F03" w:rsidRPr="005E3F27" w:rsidRDefault="00FD7F03" w:rsidP="00FD7F03">
      <w:pPr>
        <w:spacing w:line="360" w:lineRule="auto"/>
        <w:jc w:val="both"/>
        <w:rPr>
          <w:rFonts w:ascii="Cambria" w:hAnsi="Cambria" w:cs="Calibri"/>
          <w:bCs/>
          <w:sz w:val="20"/>
          <w:szCs w:val="20"/>
          <w:lang w:val="en-GB"/>
        </w:rPr>
      </w:pPr>
      <w:r w:rsidRPr="005E3F27">
        <w:rPr>
          <w:rFonts w:ascii="Cambria" w:hAnsi="Cambria" w:cs="Calibri"/>
          <w:bCs/>
          <w:sz w:val="20"/>
          <w:szCs w:val="20"/>
          <w:lang w:val="en-GB"/>
        </w:rPr>
        <w:t xml:space="preserve">Although UNDP works in collaboration with other UN agencies such as UNICEF, UNFPA and UN Women across the three pillars to implement many activities, the level of coordination between agencies is minimal especially in comparison to the opportunities available for coordination and cooperation, under the ‘One UN’ policy for a sector wide approach to governance, justice, development and peacebuilding issues. </w:t>
      </w:r>
    </w:p>
    <w:p w14:paraId="56A4977A" w14:textId="77777777" w:rsidR="005E3F27" w:rsidRDefault="00FD7F03" w:rsidP="00FD7F03">
      <w:pPr>
        <w:spacing w:line="360" w:lineRule="auto"/>
        <w:jc w:val="both"/>
        <w:rPr>
          <w:rFonts w:ascii="Cambria" w:eastAsia="Times New Roman" w:hAnsi="Cambria" w:cs="Arial"/>
          <w:color w:val="222222"/>
          <w:sz w:val="20"/>
          <w:szCs w:val="20"/>
        </w:rPr>
      </w:pPr>
      <w:r w:rsidRPr="005E3F27">
        <w:rPr>
          <w:rFonts w:ascii="Cambria" w:hAnsi="Cambria" w:cs="Calibri"/>
          <w:bCs/>
          <w:sz w:val="20"/>
          <w:szCs w:val="20"/>
          <w:lang w:val="en-GB"/>
        </w:rPr>
        <w:t xml:space="preserve">MTE concludes a need </w:t>
      </w:r>
      <w:r w:rsidR="005E3F27" w:rsidRPr="005E3F27">
        <w:rPr>
          <w:rFonts w:ascii="Cambria" w:hAnsi="Cambria" w:cs="Calibri"/>
          <w:bCs/>
          <w:sz w:val="20"/>
          <w:szCs w:val="20"/>
          <w:lang w:val="en-GB"/>
        </w:rPr>
        <w:t xml:space="preserve">to </w:t>
      </w:r>
      <w:r w:rsidRPr="005E3F27">
        <w:rPr>
          <w:rFonts w:ascii="Cambria" w:hAnsi="Cambria" w:cs="Calibri"/>
          <w:bCs/>
          <w:sz w:val="20"/>
          <w:szCs w:val="20"/>
          <w:lang w:val="en-GB"/>
        </w:rPr>
        <w:t>align Outputs to SDGs and cross cutting issues especially reflecting on</w:t>
      </w:r>
      <w:r w:rsidRPr="005E3F27">
        <w:rPr>
          <w:rFonts w:ascii="Cambria" w:hAnsi="Cambria" w:cs="Calibri"/>
          <w:b/>
          <w:sz w:val="20"/>
          <w:szCs w:val="20"/>
          <w:lang w:val="en-GB"/>
        </w:rPr>
        <w:t xml:space="preserve"> </w:t>
      </w:r>
      <w:r w:rsidRPr="005E3F27">
        <w:rPr>
          <w:rFonts w:ascii="Cambria" w:hAnsi="Cambria"/>
          <w:color w:val="000000" w:themeColor="text1"/>
          <w:sz w:val="20"/>
          <w:szCs w:val="20"/>
        </w:rPr>
        <w:t xml:space="preserve">climate change and Anti-Corruption recognised as an important policy area of the government under its national policy. </w:t>
      </w:r>
      <w:r w:rsidRPr="005E3F27">
        <w:rPr>
          <w:rFonts w:ascii="Cambria" w:eastAsia="Times New Roman" w:hAnsi="Cambria" w:cs="Arial"/>
          <w:color w:val="222222"/>
          <w:sz w:val="20"/>
          <w:szCs w:val="20"/>
        </w:rPr>
        <w:t>There is a need to develop templates and systems to help the programme team collect and collate information in a more systematic manner as well as to be able to report in line with the indicators that have been identified</w:t>
      </w:r>
      <w:r w:rsidR="005E3F27">
        <w:rPr>
          <w:rFonts w:ascii="Cambria" w:eastAsia="Times New Roman" w:hAnsi="Cambria" w:cs="Arial"/>
          <w:color w:val="222222"/>
          <w:sz w:val="20"/>
          <w:szCs w:val="20"/>
        </w:rPr>
        <w:t xml:space="preserve">. </w:t>
      </w:r>
    </w:p>
    <w:p w14:paraId="39F49BCE" w14:textId="7AD4F414" w:rsidR="00FD7F03" w:rsidRPr="00005891" w:rsidRDefault="00FD7F03" w:rsidP="00FD7F03">
      <w:pPr>
        <w:spacing w:line="360" w:lineRule="auto"/>
        <w:jc w:val="both"/>
        <w:rPr>
          <w:rFonts w:ascii="Cambria" w:hAnsi="Cambria"/>
          <w:b/>
          <w:bCs/>
          <w:color w:val="000000" w:themeColor="text1"/>
          <w:sz w:val="32"/>
          <w:szCs w:val="32"/>
        </w:rPr>
      </w:pPr>
      <w:r w:rsidRPr="005E3F27">
        <w:rPr>
          <w:rFonts w:ascii="Cambria" w:hAnsi="Cambria"/>
          <w:sz w:val="20"/>
          <w:szCs w:val="20"/>
        </w:rPr>
        <w:t xml:space="preserve">There are several lessons learned from the first phase that should be considered moving forward. Firstly, the importance of investing in relationships and partnerships. Secondly, the need to invest in participation and ownership of interventions and </w:t>
      </w:r>
      <w:r w:rsidRPr="005E3F27">
        <w:rPr>
          <w:rFonts w:ascii="Cambria" w:hAnsi="Cambria" w:cs="Calibri"/>
          <w:sz w:val="20"/>
          <w:szCs w:val="20"/>
          <w:lang w:val="en-GB"/>
        </w:rPr>
        <w:t>thirdly, the limitations in under investing in building capacity of CSOs.</w:t>
      </w:r>
    </w:p>
    <w:p w14:paraId="2DDE1086" w14:textId="3C41CEA9" w:rsidR="00FD7F03" w:rsidRPr="00FD7F03" w:rsidRDefault="00FD7F03" w:rsidP="00FD7F03">
      <w:pPr>
        <w:spacing w:line="360" w:lineRule="auto"/>
        <w:jc w:val="both"/>
        <w:rPr>
          <w:rFonts w:ascii="Cambria" w:hAnsi="Cambria" w:cs="Calibri"/>
          <w:bCs/>
          <w:color w:val="000000" w:themeColor="text1"/>
          <w:sz w:val="20"/>
          <w:szCs w:val="20"/>
          <w:lang w:val="en-GB"/>
        </w:rPr>
        <w:sectPr w:rsidR="00FD7F03" w:rsidRPr="00FD7F03" w:rsidSect="00402862">
          <w:footerReference w:type="default" r:id="rId11"/>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fmt="lowerRoman" w:start="0"/>
          <w:cols w:space="720"/>
          <w:titlePg/>
          <w:docGrid w:linePitch="360"/>
        </w:sectPr>
      </w:pPr>
    </w:p>
    <w:p w14:paraId="3D8645EF" w14:textId="78B485F5" w:rsidR="007260A1" w:rsidRDefault="007260A1" w:rsidP="00081358">
      <w:pPr>
        <w:pStyle w:val="Title"/>
        <w:numPr>
          <w:ilvl w:val="0"/>
          <w:numId w:val="75"/>
        </w:numPr>
        <w:rPr>
          <w:rFonts w:ascii="Cambria" w:hAnsi="Cambria"/>
          <w:b/>
          <w:bCs/>
          <w:sz w:val="32"/>
          <w:szCs w:val="32"/>
        </w:rPr>
      </w:pPr>
      <w:r w:rsidRPr="00F53B9B">
        <w:rPr>
          <w:rFonts w:ascii="Cambria" w:hAnsi="Cambria"/>
          <w:b/>
          <w:bCs/>
          <w:sz w:val="32"/>
          <w:szCs w:val="32"/>
        </w:rPr>
        <w:lastRenderedPageBreak/>
        <w:t xml:space="preserve">Introduction and Background </w:t>
      </w:r>
    </w:p>
    <w:p w14:paraId="26866CA4" w14:textId="77777777" w:rsidR="0055598A" w:rsidRPr="0055598A" w:rsidRDefault="0055598A" w:rsidP="0055598A"/>
    <w:p w14:paraId="6335C51A" w14:textId="507D2FDE" w:rsidR="007260A1" w:rsidRPr="00223CBF" w:rsidRDefault="007260A1" w:rsidP="000507CA">
      <w:pPr>
        <w:spacing w:line="360" w:lineRule="auto"/>
        <w:jc w:val="both"/>
        <w:rPr>
          <w:rFonts w:ascii="Cambria" w:hAnsi="Cambria" w:cs="Arial"/>
          <w:sz w:val="20"/>
          <w:szCs w:val="20"/>
        </w:rPr>
      </w:pPr>
      <w:r w:rsidRPr="00223CBF">
        <w:rPr>
          <w:rFonts w:ascii="Cambria" w:hAnsi="Cambria" w:cs="Arial"/>
          <w:sz w:val="20"/>
          <w:szCs w:val="20"/>
        </w:rPr>
        <w:t xml:space="preserve">The United Nations Development Programme (UNDP) in Sri Lanka developed a Portfolio on Sustainable Development Goal 16 (SDG 16) on Peace, Justice and Strong Institutions (hereinafter referred to as the “Portfolio”) to be implemented from 2019 to 2022. The Portfolio is strategically aligned to the 2030 Sustainable Development Agenda, UNDP’s Global Strategic Plan (2018-2021), United Nations Sustainable Development Framework </w:t>
      </w:r>
      <w:r w:rsidR="005C7DD8">
        <w:rPr>
          <w:rFonts w:ascii="Cambria" w:hAnsi="Cambria" w:cs="Arial"/>
          <w:sz w:val="20"/>
          <w:szCs w:val="20"/>
        </w:rPr>
        <w:t xml:space="preserve">(UNSDF) </w:t>
      </w:r>
      <w:r w:rsidRPr="00223CBF">
        <w:rPr>
          <w:rFonts w:ascii="Cambria" w:hAnsi="Cambria" w:cs="Arial"/>
          <w:sz w:val="20"/>
          <w:szCs w:val="20"/>
        </w:rPr>
        <w:t xml:space="preserve">(2018-2022), UNDP’s Country Programme for Sri Lanka (CPD) (2018-2022) and the UNDP’s Gender Equality Strategy (2018-2022). </w:t>
      </w:r>
    </w:p>
    <w:p w14:paraId="030F8594" w14:textId="71E31DE2" w:rsidR="007260A1" w:rsidRPr="00223CBF" w:rsidRDefault="007260A1" w:rsidP="000507CA">
      <w:pPr>
        <w:spacing w:line="360" w:lineRule="auto"/>
        <w:jc w:val="both"/>
        <w:rPr>
          <w:rFonts w:ascii="Cambria" w:hAnsi="Cambria" w:cs="Arial"/>
          <w:color w:val="000000" w:themeColor="text1"/>
          <w:sz w:val="20"/>
          <w:szCs w:val="20"/>
        </w:rPr>
      </w:pPr>
      <w:r w:rsidRPr="00223CBF">
        <w:rPr>
          <w:rFonts w:ascii="Cambria" w:hAnsi="Cambria" w:cs="Arial"/>
          <w:color w:val="000000" w:themeColor="text1"/>
          <w:sz w:val="20"/>
          <w:szCs w:val="20"/>
        </w:rPr>
        <w:t>The SDG 16 Goal titled ‘Peace, Justice and Strong Institutions’ provides a broad framework for the promotion of peaceful and inclusive societies for sustainable development, the provision of access to justice for all and building effective and accountable institutions</w:t>
      </w:r>
      <w:r w:rsidR="008E73DB">
        <w:rPr>
          <w:rFonts w:ascii="Cambria" w:hAnsi="Cambria" w:cs="Arial"/>
          <w:color w:val="000000" w:themeColor="text1"/>
          <w:sz w:val="20"/>
          <w:szCs w:val="20"/>
        </w:rPr>
        <w:t>,</w:t>
      </w:r>
      <w:r w:rsidRPr="00223CBF">
        <w:rPr>
          <w:rFonts w:ascii="Cambria" w:hAnsi="Cambria" w:cs="Arial"/>
          <w:color w:val="000000" w:themeColor="text1"/>
          <w:sz w:val="20"/>
          <w:szCs w:val="20"/>
        </w:rPr>
        <w:t xml:space="preserve"> at all levels.</w:t>
      </w:r>
      <w:r w:rsidRPr="00223CBF">
        <w:rPr>
          <w:rStyle w:val="FootnoteReference"/>
          <w:rFonts w:ascii="Cambria" w:hAnsi="Cambria" w:cs="Arial"/>
          <w:color w:val="000000" w:themeColor="text1"/>
          <w:sz w:val="20"/>
          <w:szCs w:val="20"/>
        </w:rPr>
        <w:footnoteReference w:id="2"/>
      </w:r>
      <w:r w:rsidRPr="00223CBF">
        <w:rPr>
          <w:rFonts w:ascii="Cambria" w:hAnsi="Cambria" w:cs="Arial"/>
          <w:color w:val="000000" w:themeColor="text1"/>
          <w:sz w:val="20"/>
          <w:szCs w:val="20"/>
        </w:rPr>
        <w:t xml:space="preserve"> SDG 16, which is identified as both an outcome and an enabler to realise Goals 1-15</w:t>
      </w:r>
      <w:r w:rsidR="008E73DB">
        <w:rPr>
          <w:rFonts w:ascii="Cambria" w:hAnsi="Cambria" w:cs="Arial"/>
          <w:color w:val="000000" w:themeColor="text1"/>
          <w:sz w:val="20"/>
          <w:szCs w:val="20"/>
        </w:rPr>
        <w:t>. It</w:t>
      </w:r>
      <w:r w:rsidRPr="00223CBF">
        <w:rPr>
          <w:rFonts w:ascii="Cambria" w:hAnsi="Cambria" w:cs="Arial"/>
          <w:color w:val="000000" w:themeColor="text1"/>
          <w:sz w:val="20"/>
          <w:szCs w:val="20"/>
        </w:rPr>
        <w:t xml:space="preserve"> is an acknowledgement by the international community that </w:t>
      </w:r>
      <w:r w:rsidRPr="00223CBF">
        <w:rPr>
          <w:rFonts w:ascii="Cambria" w:hAnsi="Cambria" w:cs="Arial"/>
          <w:color w:val="000000" w:themeColor="text1"/>
          <w:sz w:val="20"/>
          <w:szCs w:val="20"/>
          <w:shd w:val="clear" w:color="auto" w:fill="FFFFFF"/>
        </w:rPr>
        <w:t>conflict, insecurity, weak institutions and limited access to justice</w:t>
      </w:r>
      <w:r w:rsidR="008E73DB">
        <w:rPr>
          <w:rFonts w:ascii="Cambria" w:hAnsi="Cambria" w:cs="Arial"/>
          <w:color w:val="000000" w:themeColor="text1"/>
          <w:sz w:val="20"/>
          <w:szCs w:val="20"/>
          <w:shd w:val="clear" w:color="auto" w:fill="FFFFFF"/>
        </w:rPr>
        <w:t>,</w:t>
      </w:r>
      <w:r w:rsidRPr="00223CBF">
        <w:rPr>
          <w:rFonts w:ascii="Cambria" w:hAnsi="Cambria" w:cs="Arial"/>
          <w:color w:val="000000" w:themeColor="text1"/>
          <w:sz w:val="20"/>
          <w:szCs w:val="20"/>
          <w:shd w:val="clear" w:color="auto" w:fill="FFFFFF"/>
        </w:rPr>
        <w:t xml:space="preserve"> remain a great threat to sustainable development. </w:t>
      </w:r>
    </w:p>
    <w:p w14:paraId="05CC8E99" w14:textId="103216EB" w:rsidR="007260A1" w:rsidRPr="00223CBF" w:rsidRDefault="007260A1" w:rsidP="000507CA">
      <w:pPr>
        <w:spacing w:line="360" w:lineRule="auto"/>
        <w:jc w:val="both"/>
        <w:rPr>
          <w:rFonts w:ascii="Cambria" w:hAnsi="Cambria" w:cs="Arial"/>
          <w:sz w:val="20"/>
          <w:szCs w:val="20"/>
        </w:rPr>
      </w:pPr>
      <w:r w:rsidRPr="00223CBF">
        <w:rPr>
          <w:rFonts w:ascii="Cambria" w:hAnsi="Cambria" w:cs="Arial"/>
          <w:sz w:val="20"/>
          <w:szCs w:val="20"/>
        </w:rPr>
        <w:t xml:space="preserve">The UNDP Flagship Portfolio was designed in 2018 to address governance deficits and strengthen the effectiveness of key institutions to deliver people-centred services. It </w:t>
      </w:r>
      <w:r w:rsidR="000876E1">
        <w:rPr>
          <w:rFonts w:ascii="Cambria" w:hAnsi="Cambria" w:cs="Arial"/>
          <w:sz w:val="20"/>
          <w:szCs w:val="20"/>
        </w:rPr>
        <w:t xml:space="preserve">is </w:t>
      </w:r>
      <w:r w:rsidRPr="00223CBF">
        <w:rPr>
          <w:rFonts w:ascii="Cambria" w:hAnsi="Cambria" w:cs="Arial"/>
          <w:sz w:val="20"/>
          <w:szCs w:val="20"/>
        </w:rPr>
        <w:t>also expected to build space, capacity and trust for excluded and vulnerable groups</w:t>
      </w:r>
      <w:r w:rsidR="008E73DB">
        <w:rPr>
          <w:rFonts w:ascii="Cambria" w:hAnsi="Cambria" w:cs="Arial"/>
          <w:sz w:val="20"/>
          <w:szCs w:val="20"/>
        </w:rPr>
        <w:t>,</w:t>
      </w:r>
      <w:r w:rsidRPr="00223CBF">
        <w:rPr>
          <w:rFonts w:ascii="Cambria" w:hAnsi="Cambria" w:cs="Arial"/>
          <w:sz w:val="20"/>
          <w:szCs w:val="20"/>
        </w:rPr>
        <w:t xml:space="preserve"> to actively participate and inform policy and decision making</w:t>
      </w:r>
      <w:r w:rsidR="008E73DB">
        <w:rPr>
          <w:rFonts w:ascii="Cambria" w:hAnsi="Cambria" w:cs="Arial"/>
          <w:sz w:val="20"/>
          <w:szCs w:val="20"/>
        </w:rPr>
        <w:t xml:space="preserve">. This is done </w:t>
      </w:r>
      <w:r w:rsidRPr="00223CBF">
        <w:rPr>
          <w:rFonts w:ascii="Cambria" w:hAnsi="Cambria" w:cs="Arial"/>
          <w:sz w:val="20"/>
          <w:szCs w:val="20"/>
        </w:rPr>
        <w:t>through a holistic lens</w:t>
      </w:r>
      <w:r w:rsidR="00FB50D8">
        <w:rPr>
          <w:rFonts w:ascii="Cambria" w:hAnsi="Cambria" w:cs="Arial"/>
          <w:sz w:val="20"/>
          <w:szCs w:val="20"/>
        </w:rPr>
        <w:t>,</w:t>
      </w:r>
      <w:r w:rsidRPr="00223CBF">
        <w:rPr>
          <w:rFonts w:ascii="Cambria" w:hAnsi="Cambria" w:cs="Arial"/>
          <w:sz w:val="20"/>
          <w:szCs w:val="20"/>
        </w:rPr>
        <w:t xml:space="preserve"> by explicitly recogni</w:t>
      </w:r>
      <w:r w:rsidR="00FB50D8">
        <w:rPr>
          <w:rFonts w:ascii="Cambria" w:hAnsi="Cambria" w:cs="Arial"/>
          <w:sz w:val="20"/>
          <w:szCs w:val="20"/>
        </w:rPr>
        <w:t>s</w:t>
      </w:r>
      <w:r w:rsidRPr="00223CBF">
        <w:rPr>
          <w:rFonts w:ascii="Cambria" w:hAnsi="Cambria" w:cs="Arial"/>
          <w:sz w:val="20"/>
          <w:szCs w:val="20"/>
        </w:rPr>
        <w:t>ing the importance of governance and institution building in development and peacebuilding efforts</w:t>
      </w:r>
      <w:r w:rsidR="008E73DB">
        <w:rPr>
          <w:rFonts w:ascii="Cambria" w:hAnsi="Cambria" w:cs="Arial"/>
          <w:sz w:val="20"/>
          <w:szCs w:val="20"/>
        </w:rPr>
        <w:t>,</w:t>
      </w:r>
      <w:r w:rsidRPr="00223CBF">
        <w:rPr>
          <w:rFonts w:ascii="Cambria" w:hAnsi="Cambria" w:cs="Arial"/>
          <w:sz w:val="20"/>
          <w:szCs w:val="20"/>
        </w:rPr>
        <w:t xml:space="preserve"> in the country</w:t>
      </w:r>
      <w:r w:rsidR="001633EF" w:rsidRPr="00223CBF">
        <w:rPr>
          <w:rFonts w:ascii="Cambria" w:hAnsi="Cambria" w:cs="Arial"/>
          <w:sz w:val="20"/>
          <w:szCs w:val="20"/>
        </w:rPr>
        <w:t>.</w:t>
      </w:r>
      <w:r w:rsidR="00FB50D8">
        <w:rPr>
          <w:rFonts w:ascii="Cambria" w:hAnsi="Cambria" w:cs="Arial"/>
          <w:sz w:val="20"/>
          <w:szCs w:val="20"/>
        </w:rPr>
        <w:t xml:space="preserve"> </w:t>
      </w:r>
      <w:r w:rsidRPr="00223CBF">
        <w:rPr>
          <w:rFonts w:ascii="Cambria" w:hAnsi="Cambria" w:cs="Arial"/>
          <w:sz w:val="20"/>
          <w:szCs w:val="20"/>
        </w:rPr>
        <w:t>For this purpose, the Portfolio intervenes across three inter-related outcomes/service lines namely:</w:t>
      </w:r>
    </w:p>
    <w:p w14:paraId="13872B99" w14:textId="77777777" w:rsidR="007260A1" w:rsidRPr="00223CBF" w:rsidRDefault="007260A1" w:rsidP="007C766E">
      <w:pPr>
        <w:pStyle w:val="ListParagraph"/>
        <w:numPr>
          <w:ilvl w:val="0"/>
          <w:numId w:val="14"/>
        </w:numPr>
        <w:spacing w:line="360" w:lineRule="auto"/>
        <w:jc w:val="both"/>
        <w:rPr>
          <w:rFonts w:ascii="Cambria" w:hAnsi="Cambria" w:cs="Arial"/>
          <w:sz w:val="20"/>
          <w:szCs w:val="20"/>
        </w:rPr>
      </w:pPr>
      <w:r w:rsidRPr="00223CBF">
        <w:rPr>
          <w:rFonts w:ascii="Cambria" w:hAnsi="Cambria" w:cs="Arial"/>
          <w:sz w:val="20"/>
          <w:szCs w:val="20"/>
        </w:rPr>
        <w:t>Parliament and Independent Commissions;</w:t>
      </w:r>
    </w:p>
    <w:p w14:paraId="43A03FE8" w14:textId="77777777" w:rsidR="007260A1" w:rsidRPr="00223CBF" w:rsidRDefault="007260A1" w:rsidP="007C766E">
      <w:pPr>
        <w:pStyle w:val="ListParagraph"/>
        <w:numPr>
          <w:ilvl w:val="0"/>
          <w:numId w:val="14"/>
        </w:numPr>
        <w:spacing w:line="360" w:lineRule="auto"/>
        <w:jc w:val="both"/>
        <w:rPr>
          <w:rFonts w:ascii="Cambria" w:hAnsi="Cambria" w:cs="Arial"/>
          <w:sz w:val="20"/>
          <w:szCs w:val="20"/>
        </w:rPr>
      </w:pPr>
      <w:r w:rsidRPr="00223CBF">
        <w:rPr>
          <w:rFonts w:ascii="Cambria" w:hAnsi="Cambria" w:cs="Arial"/>
          <w:sz w:val="20"/>
          <w:szCs w:val="20"/>
        </w:rPr>
        <w:t>Rule of Law and Access to Justice; and</w:t>
      </w:r>
    </w:p>
    <w:p w14:paraId="75C09160" w14:textId="77777777" w:rsidR="007260A1" w:rsidRPr="00223CBF" w:rsidRDefault="007260A1" w:rsidP="007C766E">
      <w:pPr>
        <w:pStyle w:val="ListParagraph"/>
        <w:numPr>
          <w:ilvl w:val="0"/>
          <w:numId w:val="14"/>
        </w:numPr>
        <w:spacing w:line="360" w:lineRule="auto"/>
        <w:jc w:val="both"/>
        <w:rPr>
          <w:rFonts w:ascii="Cambria" w:hAnsi="Cambria" w:cs="Arial"/>
          <w:sz w:val="20"/>
          <w:szCs w:val="20"/>
        </w:rPr>
      </w:pPr>
      <w:r w:rsidRPr="00223CBF">
        <w:rPr>
          <w:rFonts w:ascii="Cambria" w:hAnsi="Cambria" w:cs="Arial"/>
          <w:sz w:val="20"/>
          <w:szCs w:val="20"/>
        </w:rPr>
        <w:t xml:space="preserve">Public Sector and Local Governance. </w:t>
      </w:r>
    </w:p>
    <w:p w14:paraId="779617DE" w14:textId="1D319DC1" w:rsidR="007260A1" w:rsidRPr="00223CBF" w:rsidRDefault="007260A1" w:rsidP="000507CA">
      <w:pPr>
        <w:spacing w:line="360" w:lineRule="auto"/>
        <w:jc w:val="both"/>
        <w:rPr>
          <w:rFonts w:ascii="Cambria" w:hAnsi="Cambria" w:cs="Arial"/>
          <w:sz w:val="20"/>
          <w:szCs w:val="20"/>
        </w:rPr>
      </w:pPr>
    </w:p>
    <w:p w14:paraId="5E710AD7" w14:textId="25D36250" w:rsidR="007260A1" w:rsidRPr="00223CBF" w:rsidRDefault="007260A1" w:rsidP="005C789D">
      <w:pPr>
        <w:spacing w:line="360" w:lineRule="auto"/>
        <w:jc w:val="both"/>
        <w:rPr>
          <w:rFonts w:ascii="Cambria" w:hAnsi="Cambria" w:cs="Arial"/>
          <w:sz w:val="20"/>
          <w:szCs w:val="20"/>
        </w:rPr>
      </w:pPr>
      <w:r w:rsidRPr="00223CBF">
        <w:rPr>
          <w:rFonts w:ascii="Cambria" w:hAnsi="Cambria" w:cs="Arial"/>
          <w:sz w:val="20"/>
          <w:szCs w:val="20"/>
        </w:rPr>
        <w:t>Under the first service line, the Portfolio supports the Parliament of Sri Lanka, Independent Commissions</w:t>
      </w:r>
      <w:r w:rsidR="00F25DF1">
        <w:rPr>
          <w:rFonts w:ascii="Cambria" w:hAnsi="Cambria" w:cs="Arial"/>
          <w:sz w:val="20"/>
          <w:szCs w:val="20"/>
        </w:rPr>
        <w:t xml:space="preserve"> (ICs)</w:t>
      </w:r>
      <w:r w:rsidRPr="00223CBF">
        <w:rPr>
          <w:rFonts w:ascii="Cambria" w:hAnsi="Cambria" w:cs="Arial"/>
          <w:sz w:val="20"/>
          <w:szCs w:val="20"/>
        </w:rPr>
        <w:t xml:space="preserve"> namely the Human Rights Commission of Sri Lanka (HRCSL), the National Police Commission (NPC) and the Right to Information Commission of Sri Lanka (RTIC) to strengthen their core functions</w:t>
      </w:r>
      <w:r w:rsidR="008E73DB">
        <w:rPr>
          <w:rFonts w:ascii="Cambria" w:hAnsi="Cambria" w:cs="Arial"/>
          <w:sz w:val="20"/>
          <w:szCs w:val="20"/>
        </w:rPr>
        <w:t>,</w:t>
      </w:r>
      <w:r w:rsidRPr="00223CBF">
        <w:rPr>
          <w:rFonts w:ascii="Cambria" w:hAnsi="Cambria" w:cs="Arial"/>
          <w:sz w:val="20"/>
          <w:szCs w:val="20"/>
        </w:rPr>
        <w:t xml:space="preserve"> by adopting a people centred approach</w:t>
      </w:r>
      <w:r w:rsidR="008E73DB">
        <w:rPr>
          <w:rFonts w:ascii="Cambria" w:hAnsi="Cambria" w:cs="Arial"/>
          <w:sz w:val="20"/>
          <w:szCs w:val="20"/>
        </w:rPr>
        <w:t>,</w:t>
      </w:r>
      <w:r w:rsidRPr="00223CBF">
        <w:rPr>
          <w:rFonts w:ascii="Cambria" w:hAnsi="Cambria" w:cs="Arial"/>
          <w:sz w:val="20"/>
          <w:szCs w:val="20"/>
        </w:rPr>
        <w:t xml:space="preserve"> in upholding the rights of vulnerable groups. Under the second service line, to improve access to justice, especially for excluded and vulnerable groups, support</w:t>
      </w:r>
      <w:r w:rsidR="000876E1">
        <w:rPr>
          <w:rFonts w:ascii="Cambria" w:hAnsi="Cambria" w:cs="Arial"/>
          <w:sz w:val="20"/>
          <w:szCs w:val="20"/>
        </w:rPr>
        <w:t xml:space="preserve"> for</w:t>
      </w:r>
      <w:r w:rsidRPr="00223CBF">
        <w:rPr>
          <w:rFonts w:ascii="Cambria" w:hAnsi="Cambria" w:cs="Arial"/>
          <w:sz w:val="20"/>
          <w:szCs w:val="20"/>
        </w:rPr>
        <w:t xml:space="preserve"> selected justice sector institutions </w:t>
      </w:r>
      <w:r w:rsidRPr="00223CBF">
        <w:rPr>
          <w:rFonts w:ascii="Cambria" w:hAnsi="Cambria" w:cs="Arial"/>
          <w:sz w:val="20"/>
          <w:szCs w:val="20"/>
        </w:rPr>
        <w:lastRenderedPageBreak/>
        <w:t>mainly the National Victim and Witness Protection Authority</w:t>
      </w:r>
      <w:r w:rsidR="00F041A4">
        <w:rPr>
          <w:rFonts w:ascii="Cambria" w:hAnsi="Cambria" w:cs="Arial"/>
          <w:sz w:val="20"/>
          <w:szCs w:val="20"/>
        </w:rPr>
        <w:t xml:space="preserve"> (</w:t>
      </w:r>
      <w:r w:rsidR="00F041A4" w:rsidRPr="00AC1452">
        <w:rPr>
          <w:rFonts w:ascii="Cambria" w:hAnsi="Cambria"/>
          <w:color w:val="000000" w:themeColor="text1"/>
          <w:sz w:val="20"/>
          <w:szCs w:val="20"/>
        </w:rPr>
        <w:t>NVWPA</w:t>
      </w:r>
      <w:r w:rsidR="00F041A4">
        <w:rPr>
          <w:rFonts w:ascii="Cambria" w:hAnsi="Cambria" w:cs="Arial"/>
          <w:sz w:val="20"/>
          <w:szCs w:val="20"/>
        </w:rPr>
        <w:t>)</w:t>
      </w:r>
      <w:r w:rsidRPr="00223CBF">
        <w:rPr>
          <w:rFonts w:ascii="Cambria" w:hAnsi="Cambria" w:cs="Arial"/>
          <w:sz w:val="20"/>
          <w:szCs w:val="20"/>
        </w:rPr>
        <w:t>, Ministry of Justic</w:t>
      </w:r>
      <w:r w:rsidR="005C789D" w:rsidRPr="00223CBF">
        <w:rPr>
          <w:rFonts w:ascii="Cambria" w:hAnsi="Cambria" w:cs="Arial"/>
          <w:sz w:val="20"/>
          <w:szCs w:val="20"/>
        </w:rPr>
        <w:t>e (MOJ)</w:t>
      </w:r>
      <w:r w:rsidR="00FB50D8">
        <w:rPr>
          <w:rFonts w:ascii="Cambria" w:hAnsi="Cambria" w:cs="Arial"/>
          <w:sz w:val="20"/>
          <w:szCs w:val="20"/>
        </w:rPr>
        <w:t xml:space="preserve">, </w:t>
      </w:r>
      <w:r w:rsidR="005C789D" w:rsidRPr="00223CBF">
        <w:rPr>
          <w:rFonts w:ascii="Cambria" w:hAnsi="Cambria" w:cs="Arial"/>
          <w:sz w:val="20"/>
          <w:szCs w:val="20"/>
        </w:rPr>
        <w:t xml:space="preserve">the </w:t>
      </w:r>
      <w:r w:rsidRPr="00223CBF">
        <w:rPr>
          <w:rFonts w:ascii="Cambria" w:hAnsi="Cambria" w:cs="Arial"/>
          <w:sz w:val="20"/>
          <w:szCs w:val="20"/>
        </w:rPr>
        <w:t>Ministry of Women and Child Affairs (MWCA)</w:t>
      </w:r>
      <w:r w:rsidR="00FB50D8">
        <w:rPr>
          <w:rFonts w:ascii="Cambria" w:hAnsi="Cambria" w:cs="Arial"/>
          <w:sz w:val="20"/>
          <w:szCs w:val="20"/>
        </w:rPr>
        <w:t xml:space="preserve"> and Office of Missing Persons (OMP)</w:t>
      </w:r>
      <w:r w:rsidR="008E73DB">
        <w:rPr>
          <w:rFonts w:ascii="Cambria" w:hAnsi="Cambria" w:cs="Arial"/>
          <w:sz w:val="20"/>
          <w:szCs w:val="20"/>
        </w:rPr>
        <w:t>,</w:t>
      </w:r>
      <w:r w:rsidRPr="00223CBF">
        <w:rPr>
          <w:rFonts w:ascii="Cambria" w:hAnsi="Cambria" w:cs="Arial"/>
          <w:sz w:val="20"/>
          <w:szCs w:val="20"/>
        </w:rPr>
        <w:t xml:space="preserve"> to deliver people centred and gender sensitive services. The third service line contributes to improving the ability of the public sector and local governments to provide effective and equitable services to people across the country. These outcomes are inter-related and are designed to complement each other in order to achieve the overall goals anticipated under the Portfolio.  </w:t>
      </w:r>
    </w:p>
    <w:p w14:paraId="3C27DD5D" w14:textId="7A1022F4" w:rsidR="007260A1" w:rsidRPr="00223CBF" w:rsidRDefault="006C4730" w:rsidP="000507CA">
      <w:pPr>
        <w:tabs>
          <w:tab w:val="left" w:pos="3300"/>
        </w:tabs>
        <w:spacing w:line="360" w:lineRule="auto"/>
        <w:jc w:val="both"/>
        <w:rPr>
          <w:rFonts w:ascii="Cambria" w:hAnsi="Cambria" w:cs="Arial"/>
          <w:b/>
          <w:bCs/>
          <w:sz w:val="20"/>
          <w:szCs w:val="20"/>
        </w:rPr>
      </w:pPr>
      <w:r w:rsidRPr="00223CBF">
        <w:rPr>
          <w:rFonts w:ascii="Cambria" w:hAnsi="Cambria" w:cs="Arial"/>
          <w:b/>
          <w:bCs/>
          <w:sz w:val="20"/>
          <w:szCs w:val="20"/>
        </w:rPr>
        <w:tab/>
      </w:r>
    </w:p>
    <w:p w14:paraId="7E4F3E8E" w14:textId="12738E9F" w:rsidR="007260A1" w:rsidRPr="00F53B9B" w:rsidRDefault="007260A1" w:rsidP="007C766E">
      <w:pPr>
        <w:pStyle w:val="ListParagraph"/>
        <w:numPr>
          <w:ilvl w:val="1"/>
          <w:numId w:val="18"/>
        </w:numPr>
        <w:spacing w:line="360" w:lineRule="auto"/>
        <w:jc w:val="both"/>
        <w:rPr>
          <w:rFonts w:ascii="Cambria" w:hAnsi="Cambria" w:cs="Arial"/>
          <w:b/>
          <w:bCs/>
          <w:sz w:val="28"/>
          <w:szCs w:val="28"/>
        </w:rPr>
      </w:pPr>
      <w:r w:rsidRPr="00F53B9B">
        <w:rPr>
          <w:rFonts w:ascii="Cambria" w:hAnsi="Cambria" w:cs="Arial"/>
          <w:b/>
          <w:bCs/>
          <w:sz w:val="28"/>
          <w:szCs w:val="28"/>
        </w:rPr>
        <w:t xml:space="preserve">Description of the intervention </w:t>
      </w:r>
    </w:p>
    <w:p w14:paraId="7CFB468E" w14:textId="59FABBFB" w:rsidR="007260A1" w:rsidRPr="00223CBF" w:rsidRDefault="008E73DB" w:rsidP="000507CA">
      <w:pPr>
        <w:spacing w:line="360" w:lineRule="auto"/>
        <w:jc w:val="both"/>
        <w:rPr>
          <w:rFonts w:ascii="Cambria" w:hAnsi="Cambria" w:cs="Arial"/>
          <w:sz w:val="20"/>
          <w:szCs w:val="20"/>
        </w:rPr>
      </w:pPr>
      <w:r>
        <w:rPr>
          <w:rFonts w:ascii="Cambria" w:hAnsi="Cambria" w:cs="Arial"/>
          <w:sz w:val="20"/>
          <w:szCs w:val="20"/>
        </w:rPr>
        <w:t>S</w:t>
      </w:r>
      <w:r w:rsidR="007260A1" w:rsidRPr="00223CBF">
        <w:rPr>
          <w:rFonts w:ascii="Cambria" w:hAnsi="Cambria" w:cs="Arial"/>
          <w:sz w:val="20"/>
          <w:szCs w:val="20"/>
        </w:rPr>
        <w:t xml:space="preserve">ince the inception of the Portfolio in 2019, Sri Lanka has undergone major political, economic and social transformation from one crisis to another.  </w:t>
      </w:r>
      <w:r w:rsidR="00D95E58">
        <w:rPr>
          <w:rFonts w:ascii="Cambria" w:hAnsi="Cambria" w:cs="Arial"/>
          <w:sz w:val="20"/>
          <w:szCs w:val="20"/>
        </w:rPr>
        <w:t xml:space="preserve">Several </w:t>
      </w:r>
      <w:r w:rsidR="007260A1" w:rsidRPr="00223CBF">
        <w:rPr>
          <w:rFonts w:ascii="Cambria" w:hAnsi="Cambria" w:cs="Arial"/>
          <w:sz w:val="20"/>
          <w:szCs w:val="20"/>
        </w:rPr>
        <w:t>setbacks</w:t>
      </w:r>
      <w:r w:rsidR="00D95E58">
        <w:rPr>
          <w:rFonts w:ascii="Cambria" w:hAnsi="Cambria" w:cs="Arial"/>
          <w:sz w:val="20"/>
          <w:szCs w:val="20"/>
        </w:rPr>
        <w:t xml:space="preserve"> for </w:t>
      </w:r>
      <w:r w:rsidR="007260A1" w:rsidRPr="00223CBF">
        <w:rPr>
          <w:rFonts w:ascii="Cambria" w:hAnsi="Cambria" w:cs="Arial"/>
          <w:sz w:val="20"/>
          <w:szCs w:val="20"/>
        </w:rPr>
        <w:t>the effective functioning of democratic governance and institutions</w:t>
      </w:r>
      <w:r w:rsidR="00D95E58">
        <w:rPr>
          <w:rFonts w:ascii="Cambria" w:hAnsi="Cambria" w:cs="Arial"/>
          <w:sz w:val="20"/>
          <w:szCs w:val="20"/>
        </w:rPr>
        <w:t xml:space="preserve"> such as;</w:t>
      </w:r>
      <w:r w:rsidR="007260A1" w:rsidRPr="00223CBF">
        <w:rPr>
          <w:rFonts w:ascii="Cambria" w:hAnsi="Cambria" w:cs="Arial"/>
          <w:sz w:val="20"/>
          <w:szCs w:val="20"/>
        </w:rPr>
        <w:t xml:space="preserve"> the political controversy in the last quarter of 2018, the Easter attacks in April 2019 and ethnic tension</w:t>
      </w:r>
      <w:r w:rsidR="00FB50D8">
        <w:rPr>
          <w:rFonts w:ascii="Cambria" w:hAnsi="Cambria" w:cs="Arial"/>
          <w:sz w:val="20"/>
          <w:szCs w:val="20"/>
        </w:rPr>
        <w:t>s</w:t>
      </w:r>
      <w:r w:rsidR="007260A1" w:rsidRPr="00223CBF">
        <w:rPr>
          <w:rFonts w:ascii="Cambria" w:hAnsi="Cambria" w:cs="Arial"/>
          <w:sz w:val="20"/>
          <w:szCs w:val="20"/>
        </w:rPr>
        <w:t xml:space="preserve"> that followed, the shift in political power subsequent to the Presidential Elections in November 2019</w:t>
      </w:r>
      <w:r w:rsidR="00D95E58">
        <w:rPr>
          <w:rFonts w:ascii="Cambria" w:hAnsi="Cambria" w:cs="Arial"/>
          <w:sz w:val="20"/>
          <w:szCs w:val="20"/>
        </w:rPr>
        <w:t>,</w:t>
      </w:r>
      <w:r w:rsidR="007260A1" w:rsidRPr="00223CBF">
        <w:rPr>
          <w:rFonts w:ascii="Cambria" w:hAnsi="Cambria" w:cs="Arial"/>
          <w:sz w:val="20"/>
          <w:szCs w:val="20"/>
        </w:rPr>
        <w:t xml:space="preserve"> and recently the impact of the Covid-19 pandemic</w:t>
      </w:r>
      <w:r w:rsidR="00D95E58">
        <w:rPr>
          <w:rFonts w:ascii="Cambria" w:hAnsi="Cambria" w:cs="Arial"/>
          <w:sz w:val="20"/>
          <w:szCs w:val="20"/>
        </w:rPr>
        <w:t>,</w:t>
      </w:r>
      <w:r w:rsidR="007260A1" w:rsidRPr="00223CBF">
        <w:rPr>
          <w:rFonts w:ascii="Cambria" w:hAnsi="Cambria" w:cs="Arial"/>
          <w:sz w:val="20"/>
          <w:szCs w:val="20"/>
        </w:rPr>
        <w:t xml:space="preserve"> has posed unprecedented challenges in implementing the Portfolio as designed.  </w:t>
      </w:r>
    </w:p>
    <w:p w14:paraId="4ECEBE41" w14:textId="24A6D945" w:rsidR="007260A1" w:rsidRPr="00223CBF" w:rsidRDefault="00D95E58" w:rsidP="000507CA">
      <w:pPr>
        <w:spacing w:line="360" w:lineRule="auto"/>
        <w:jc w:val="both"/>
        <w:rPr>
          <w:rFonts w:ascii="Cambria" w:hAnsi="Cambria" w:cs="Arial"/>
          <w:sz w:val="20"/>
          <w:szCs w:val="20"/>
        </w:rPr>
      </w:pPr>
      <w:r w:rsidRPr="004240E8">
        <w:rPr>
          <w:rFonts w:ascii="Cambria" w:hAnsi="Cambria" w:cs="Calibri Light"/>
          <w:sz w:val="20"/>
          <w:szCs w:val="20"/>
        </w:rPr>
        <w:t xml:space="preserve">Given the changed context and based on the Country Evaluation Plan (2018-2022), </w:t>
      </w:r>
      <w:r w:rsidRPr="004240E8">
        <w:rPr>
          <w:rFonts w:ascii="Cambria" w:hAnsi="Cambria" w:cs="Arial"/>
          <w:sz w:val="20"/>
          <w:szCs w:val="20"/>
        </w:rPr>
        <w:t>the UNDP decided to conduct a</w:t>
      </w:r>
      <w:r w:rsidR="007260A1" w:rsidRPr="004240E8">
        <w:rPr>
          <w:rFonts w:ascii="Cambria" w:hAnsi="Cambria" w:cs="Arial"/>
          <w:sz w:val="20"/>
          <w:szCs w:val="20"/>
        </w:rPr>
        <w:t xml:space="preserve"> Mid-Term Evaluation (MTE)</w:t>
      </w:r>
      <w:r w:rsidR="007505B6" w:rsidRPr="004240E8">
        <w:rPr>
          <w:rFonts w:ascii="Cambria" w:hAnsi="Cambria" w:cs="Arial"/>
          <w:sz w:val="20"/>
          <w:szCs w:val="20"/>
        </w:rPr>
        <w:t xml:space="preserve"> cum Strategic Direction Setting</w:t>
      </w:r>
      <w:r w:rsidR="007260A1" w:rsidRPr="004240E8">
        <w:rPr>
          <w:rFonts w:ascii="Cambria" w:hAnsi="Cambria" w:cs="Arial"/>
          <w:sz w:val="20"/>
          <w:szCs w:val="20"/>
        </w:rPr>
        <w:t xml:space="preserve"> to assess the results achieved under the Portfolio from January 2019 to August 2020, against the current country context using evidence-based information. The MTE </w:t>
      </w:r>
      <w:r w:rsidR="007A0FCE" w:rsidRPr="004240E8">
        <w:rPr>
          <w:rFonts w:ascii="Cambria" w:hAnsi="Cambria" w:cs="Arial"/>
          <w:sz w:val="20"/>
          <w:szCs w:val="20"/>
        </w:rPr>
        <w:t>assess</w:t>
      </w:r>
      <w:r w:rsidRPr="004240E8">
        <w:rPr>
          <w:rFonts w:ascii="Cambria" w:hAnsi="Cambria" w:cs="Arial"/>
          <w:sz w:val="20"/>
          <w:szCs w:val="20"/>
        </w:rPr>
        <w:t>ed</w:t>
      </w:r>
      <w:r w:rsidR="007A0FCE" w:rsidRPr="004240E8">
        <w:rPr>
          <w:rFonts w:ascii="Cambria" w:hAnsi="Cambria" w:cs="Arial"/>
          <w:sz w:val="20"/>
          <w:szCs w:val="20"/>
        </w:rPr>
        <w:t xml:space="preserve"> progress towards output level objectives vis a vis relevance, effectiveness, efficiency, impact and </w:t>
      </w:r>
      <w:r w:rsidR="007A0FCE">
        <w:rPr>
          <w:rFonts w:ascii="Cambria" w:hAnsi="Cambria" w:cs="Arial"/>
          <w:sz w:val="20"/>
          <w:szCs w:val="20"/>
        </w:rPr>
        <w:t xml:space="preserve">sustainability of results achieved so far under </w:t>
      </w:r>
      <w:r w:rsidR="007A0FCE" w:rsidRPr="00223CBF">
        <w:rPr>
          <w:rFonts w:ascii="Cambria" w:hAnsi="Cambria" w:cs="Arial"/>
          <w:sz w:val="20"/>
          <w:szCs w:val="20"/>
        </w:rPr>
        <w:t>Pillar One on ‘Parliament and Independent Commissions’ and Pillar Two on ‘Rule of Law and Access to Justice’</w:t>
      </w:r>
      <w:r w:rsidR="007A0FCE">
        <w:rPr>
          <w:rFonts w:ascii="Cambria" w:hAnsi="Cambria" w:cs="Arial"/>
          <w:sz w:val="20"/>
          <w:szCs w:val="20"/>
        </w:rPr>
        <w:t xml:space="preserve"> and identif</w:t>
      </w:r>
      <w:r>
        <w:rPr>
          <w:rFonts w:ascii="Cambria" w:hAnsi="Cambria" w:cs="Arial"/>
          <w:sz w:val="20"/>
          <w:szCs w:val="20"/>
        </w:rPr>
        <w:t xml:space="preserve">ied </w:t>
      </w:r>
      <w:r w:rsidR="007A0FCE">
        <w:rPr>
          <w:rFonts w:ascii="Cambria" w:hAnsi="Cambria" w:cs="Arial"/>
          <w:sz w:val="20"/>
          <w:szCs w:val="20"/>
        </w:rPr>
        <w:t xml:space="preserve">strategic and subject </w:t>
      </w:r>
      <w:r w:rsidR="007260A1" w:rsidRPr="00223CBF">
        <w:rPr>
          <w:rFonts w:ascii="Cambria" w:hAnsi="Cambria" w:cs="Arial"/>
          <w:sz w:val="20"/>
          <w:szCs w:val="20"/>
        </w:rPr>
        <w:t>specific recommendations</w:t>
      </w:r>
      <w:r w:rsidR="007A0FCE">
        <w:rPr>
          <w:rFonts w:ascii="Cambria" w:hAnsi="Cambria" w:cs="Arial"/>
          <w:sz w:val="20"/>
          <w:szCs w:val="20"/>
        </w:rPr>
        <w:t xml:space="preserve">. </w:t>
      </w:r>
      <w:r w:rsidR="007260A1" w:rsidRPr="00223CBF">
        <w:rPr>
          <w:rFonts w:ascii="Cambria" w:hAnsi="Cambria" w:cs="Arial"/>
          <w:sz w:val="20"/>
          <w:szCs w:val="20"/>
        </w:rPr>
        <w:t xml:space="preserve"> </w:t>
      </w:r>
    </w:p>
    <w:p w14:paraId="6C65A970" w14:textId="4933C301" w:rsidR="007260A1" w:rsidRPr="00223CBF" w:rsidRDefault="007260A1" w:rsidP="000507CA">
      <w:pPr>
        <w:spacing w:line="360" w:lineRule="auto"/>
        <w:jc w:val="both"/>
        <w:rPr>
          <w:rFonts w:ascii="Cambria" w:hAnsi="Cambria" w:cs="Calibri Light"/>
          <w:sz w:val="20"/>
          <w:szCs w:val="20"/>
        </w:rPr>
      </w:pPr>
      <w:r w:rsidRPr="00223CBF">
        <w:rPr>
          <w:rFonts w:ascii="Cambria" w:hAnsi="Cambria" w:cs="Arial"/>
          <w:sz w:val="20"/>
          <w:szCs w:val="20"/>
        </w:rPr>
        <w:t>The key findings and recommendations will inform the strategic realignment</w:t>
      </w:r>
      <w:r w:rsidRPr="00223CBF">
        <w:rPr>
          <w:rFonts w:ascii="Cambria" w:hAnsi="Cambria" w:cs="Calibri Light"/>
          <w:sz w:val="20"/>
          <w:szCs w:val="20"/>
        </w:rPr>
        <w:t xml:space="preserve"> that UNDP makes to the Portfolio</w:t>
      </w:r>
      <w:r w:rsidR="007A0FCE">
        <w:rPr>
          <w:rFonts w:ascii="Cambria" w:hAnsi="Cambria" w:cs="Calibri Light"/>
          <w:sz w:val="20"/>
          <w:szCs w:val="20"/>
        </w:rPr>
        <w:t xml:space="preserve"> under each of the three thematic pillars</w:t>
      </w:r>
      <w:r w:rsidRPr="00223CBF">
        <w:rPr>
          <w:rFonts w:ascii="Cambria" w:hAnsi="Cambria" w:cs="Calibri Light"/>
          <w:sz w:val="20"/>
          <w:szCs w:val="20"/>
        </w:rPr>
        <w:t>, to better contribute to the new government’s priorities and UNDP’s 2.0 offer for the remaining duration of the CPD</w:t>
      </w:r>
      <w:r w:rsidR="00D95E58">
        <w:rPr>
          <w:rStyle w:val="FootnoteReference"/>
          <w:rFonts w:ascii="Cambria" w:hAnsi="Cambria" w:cs="Calibri Light"/>
          <w:sz w:val="20"/>
          <w:szCs w:val="20"/>
        </w:rPr>
        <w:footnoteReference w:id="3"/>
      </w:r>
      <w:r w:rsidR="00D95E58">
        <w:rPr>
          <w:rFonts w:ascii="Cambria" w:hAnsi="Cambria" w:cs="Calibri Light"/>
          <w:sz w:val="20"/>
          <w:szCs w:val="20"/>
        </w:rPr>
        <w:t xml:space="preserve"> </w:t>
      </w:r>
      <w:r w:rsidRPr="00223CBF">
        <w:rPr>
          <w:rFonts w:ascii="Cambria" w:hAnsi="Cambria" w:cs="Calibri Light"/>
          <w:sz w:val="20"/>
          <w:szCs w:val="20"/>
        </w:rPr>
        <w:t>and the UNSDF</w:t>
      </w:r>
      <w:r w:rsidR="00FB50D8">
        <w:rPr>
          <w:rFonts w:ascii="Cambria" w:hAnsi="Cambria" w:cs="Calibri Light"/>
          <w:sz w:val="20"/>
          <w:szCs w:val="20"/>
        </w:rPr>
        <w:t xml:space="preserve">. </w:t>
      </w:r>
      <w:r w:rsidRPr="00223CBF">
        <w:rPr>
          <w:rFonts w:ascii="Cambria" w:hAnsi="Cambria" w:cs="Calibri Light"/>
          <w:sz w:val="20"/>
          <w:szCs w:val="20"/>
        </w:rPr>
        <w:t xml:space="preserve"> </w:t>
      </w:r>
    </w:p>
    <w:p w14:paraId="06043998" w14:textId="51085EDA" w:rsidR="005C789D" w:rsidRDefault="005C789D" w:rsidP="000507CA">
      <w:pPr>
        <w:spacing w:line="360" w:lineRule="auto"/>
        <w:jc w:val="both"/>
        <w:rPr>
          <w:rFonts w:ascii="Cambria" w:hAnsi="Cambria" w:cs="Calibri Light"/>
          <w:sz w:val="20"/>
          <w:szCs w:val="20"/>
        </w:rPr>
      </w:pPr>
    </w:p>
    <w:p w14:paraId="492BC09D" w14:textId="2E8924B2" w:rsidR="002E7B89" w:rsidRDefault="002E7B89" w:rsidP="000507CA">
      <w:pPr>
        <w:spacing w:line="360" w:lineRule="auto"/>
        <w:jc w:val="both"/>
        <w:rPr>
          <w:rFonts w:ascii="Cambria" w:hAnsi="Cambria" w:cs="Calibri Light"/>
          <w:sz w:val="20"/>
          <w:szCs w:val="20"/>
        </w:rPr>
      </w:pPr>
    </w:p>
    <w:p w14:paraId="5E519C73" w14:textId="7BEBD52B" w:rsidR="002E7B89" w:rsidRDefault="002E7B89" w:rsidP="000507CA">
      <w:pPr>
        <w:spacing w:line="360" w:lineRule="auto"/>
        <w:jc w:val="both"/>
        <w:rPr>
          <w:rFonts w:ascii="Cambria" w:hAnsi="Cambria" w:cs="Calibri Light"/>
          <w:sz w:val="20"/>
          <w:szCs w:val="20"/>
        </w:rPr>
      </w:pPr>
    </w:p>
    <w:p w14:paraId="215DDA52" w14:textId="77777777" w:rsidR="002E7B89" w:rsidRPr="00223CBF" w:rsidRDefault="002E7B89" w:rsidP="000507CA">
      <w:pPr>
        <w:spacing w:line="360" w:lineRule="auto"/>
        <w:jc w:val="both"/>
        <w:rPr>
          <w:rFonts w:ascii="Cambria" w:hAnsi="Cambria" w:cs="Calibri Light"/>
          <w:sz w:val="20"/>
          <w:szCs w:val="20"/>
        </w:rPr>
      </w:pPr>
    </w:p>
    <w:p w14:paraId="18140248" w14:textId="52A83A07" w:rsidR="005C789D" w:rsidRPr="00223CBF" w:rsidRDefault="005C789D" w:rsidP="000507CA">
      <w:pPr>
        <w:spacing w:line="360" w:lineRule="auto"/>
        <w:jc w:val="both"/>
        <w:rPr>
          <w:rFonts w:ascii="Cambria" w:hAnsi="Cambria" w:cs="Calibri Light"/>
          <w:sz w:val="20"/>
          <w:szCs w:val="20"/>
        </w:rPr>
      </w:pPr>
    </w:p>
    <w:p w14:paraId="1AC70F63" w14:textId="61A61192" w:rsidR="005C789D" w:rsidRPr="00223CBF" w:rsidRDefault="005C789D" w:rsidP="000507CA">
      <w:pPr>
        <w:spacing w:line="360" w:lineRule="auto"/>
        <w:jc w:val="both"/>
        <w:rPr>
          <w:rFonts w:ascii="Cambria" w:hAnsi="Cambria" w:cs="Calibri Light"/>
          <w:sz w:val="20"/>
          <w:szCs w:val="20"/>
        </w:rPr>
      </w:pPr>
    </w:p>
    <w:p w14:paraId="7D775F46" w14:textId="77777777" w:rsidR="00AE5E4B" w:rsidRPr="00223CBF" w:rsidRDefault="00AE5E4B" w:rsidP="000507CA">
      <w:pPr>
        <w:spacing w:line="360" w:lineRule="auto"/>
        <w:jc w:val="both"/>
        <w:rPr>
          <w:rFonts w:ascii="Cambria" w:hAnsi="Cambria" w:cs="Calibri Light"/>
          <w:sz w:val="20"/>
          <w:szCs w:val="20"/>
        </w:rPr>
      </w:pPr>
    </w:p>
    <w:p w14:paraId="318E0146" w14:textId="2493AF8A" w:rsidR="005C789D" w:rsidRDefault="005C789D" w:rsidP="00081358">
      <w:pPr>
        <w:pStyle w:val="Title"/>
        <w:numPr>
          <w:ilvl w:val="0"/>
          <w:numId w:val="75"/>
        </w:numPr>
        <w:rPr>
          <w:rFonts w:ascii="Cambria" w:hAnsi="Cambria"/>
          <w:b/>
          <w:bCs/>
          <w:sz w:val="32"/>
          <w:szCs w:val="32"/>
        </w:rPr>
      </w:pPr>
      <w:r w:rsidRPr="0055598A">
        <w:rPr>
          <w:rFonts w:ascii="Cambria" w:hAnsi="Cambria"/>
          <w:b/>
          <w:bCs/>
          <w:sz w:val="32"/>
          <w:szCs w:val="32"/>
        </w:rPr>
        <w:t xml:space="preserve">Outputs to be Evaluated </w:t>
      </w:r>
    </w:p>
    <w:p w14:paraId="50C1F488" w14:textId="77777777" w:rsidR="000876E1" w:rsidRPr="000876E1" w:rsidRDefault="000876E1" w:rsidP="000876E1"/>
    <w:p w14:paraId="2FD39566" w14:textId="77777777" w:rsidR="005C789D" w:rsidRPr="00223CBF" w:rsidRDefault="005C789D" w:rsidP="005C789D">
      <w:pPr>
        <w:spacing w:line="360" w:lineRule="auto"/>
        <w:jc w:val="center"/>
        <w:rPr>
          <w:rFonts w:ascii="Cambria" w:hAnsi="Cambria" w:cs="Arial"/>
          <w:b/>
          <w:bCs/>
          <w:color w:val="000000" w:themeColor="text1"/>
          <w:sz w:val="20"/>
          <w:szCs w:val="20"/>
        </w:rPr>
      </w:pPr>
      <w:r w:rsidRPr="000876E1">
        <w:rPr>
          <w:rFonts w:ascii="Cambria" w:hAnsi="Cambria" w:cs="Arial"/>
          <w:b/>
          <w:bCs/>
          <w:color w:val="000000" w:themeColor="text1"/>
          <w:sz w:val="24"/>
          <w:szCs w:val="24"/>
        </w:rPr>
        <w:t>Pillar one: Parliament and Independent Commission</w:t>
      </w:r>
      <w:r w:rsidRPr="00223CBF">
        <w:rPr>
          <w:rFonts w:ascii="Cambria" w:hAnsi="Cambria" w:cs="Arial"/>
          <w:b/>
          <w:bCs/>
          <w:color w:val="000000" w:themeColor="text1"/>
          <w:sz w:val="20"/>
          <w:szCs w:val="20"/>
        </w:rPr>
        <w:t>.</w:t>
      </w:r>
    </w:p>
    <w:p w14:paraId="63174205" w14:textId="439EBE67" w:rsidR="005C789D" w:rsidRPr="00223CBF" w:rsidRDefault="005C789D" w:rsidP="005C789D">
      <w:pPr>
        <w:pStyle w:val="ListParagraph"/>
        <w:spacing w:line="360" w:lineRule="auto"/>
        <w:ind w:left="0"/>
        <w:jc w:val="both"/>
        <w:rPr>
          <w:rFonts w:ascii="Cambria" w:hAnsi="Cambria" w:cs="Arial"/>
          <w:b/>
          <w:color w:val="000000" w:themeColor="text1"/>
          <w:sz w:val="20"/>
          <w:szCs w:val="20"/>
        </w:rPr>
      </w:pPr>
      <w:r w:rsidRPr="00223CBF">
        <w:rPr>
          <w:rFonts w:ascii="Cambria" w:hAnsi="Cambria" w:cs="Arial"/>
          <w:noProof/>
          <w:color w:val="000000" w:themeColor="text1"/>
          <w:sz w:val="20"/>
          <w:szCs w:val="20"/>
        </w:rPr>
        <w:drawing>
          <wp:inline distT="0" distB="0" distL="0" distR="0" wp14:anchorId="33ED5B8E" wp14:editId="4DE29D8D">
            <wp:extent cx="5768340" cy="6183630"/>
            <wp:effectExtent l="38100" t="19050" r="99060" b="2667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E4C9D1A" w14:textId="77777777" w:rsidR="005C789D" w:rsidRPr="00223CBF" w:rsidRDefault="005C789D" w:rsidP="005C789D">
      <w:pPr>
        <w:spacing w:line="360" w:lineRule="auto"/>
        <w:jc w:val="both"/>
        <w:rPr>
          <w:rFonts w:ascii="Cambria" w:hAnsi="Cambria" w:cs="Arial"/>
          <w:b/>
          <w:color w:val="000000" w:themeColor="text1"/>
          <w:sz w:val="20"/>
          <w:szCs w:val="20"/>
        </w:rPr>
      </w:pPr>
    </w:p>
    <w:p w14:paraId="686B7358" w14:textId="42E33831" w:rsidR="005C789D" w:rsidRPr="000876E1" w:rsidRDefault="005C789D" w:rsidP="005C789D">
      <w:pPr>
        <w:spacing w:line="360" w:lineRule="auto"/>
        <w:jc w:val="center"/>
        <w:rPr>
          <w:rFonts w:ascii="Cambria" w:hAnsi="Cambria" w:cs="Arial"/>
          <w:b/>
          <w:bCs/>
          <w:color w:val="000000" w:themeColor="text1"/>
          <w:sz w:val="24"/>
          <w:szCs w:val="24"/>
        </w:rPr>
      </w:pPr>
      <w:r w:rsidRPr="000876E1">
        <w:rPr>
          <w:rFonts w:ascii="Cambria" w:hAnsi="Cambria" w:cs="Arial"/>
          <w:b/>
          <w:bCs/>
          <w:color w:val="000000" w:themeColor="text1"/>
          <w:sz w:val="24"/>
          <w:szCs w:val="24"/>
        </w:rPr>
        <w:lastRenderedPageBreak/>
        <w:t>Pillar two: Access to Justice and Rule of Law</w:t>
      </w:r>
    </w:p>
    <w:p w14:paraId="7D34F5BE" w14:textId="77777777" w:rsidR="005C789D" w:rsidRPr="000876E1" w:rsidRDefault="005C789D" w:rsidP="005C789D">
      <w:pPr>
        <w:spacing w:line="360" w:lineRule="auto"/>
        <w:jc w:val="both"/>
        <w:rPr>
          <w:rFonts w:ascii="Cambria" w:hAnsi="Cambria" w:cs="Arial"/>
          <w:b/>
          <w:bCs/>
          <w:color w:val="000000" w:themeColor="text1"/>
          <w:sz w:val="24"/>
          <w:szCs w:val="24"/>
        </w:rPr>
      </w:pPr>
    </w:p>
    <w:p w14:paraId="73C4871C" w14:textId="75D32E45" w:rsidR="005C789D" w:rsidRPr="00223CBF" w:rsidRDefault="005C789D" w:rsidP="005C789D">
      <w:pPr>
        <w:spacing w:line="360" w:lineRule="auto"/>
        <w:jc w:val="both"/>
        <w:rPr>
          <w:rFonts w:ascii="Cambria" w:hAnsi="Cambria" w:cs="Arial"/>
          <w:b/>
          <w:bCs/>
          <w:color w:val="000000" w:themeColor="text1"/>
          <w:sz w:val="20"/>
          <w:szCs w:val="20"/>
        </w:rPr>
      </w:pPr>
      <w:r w:rsidRPr="00223CBF">
        <w:rPr>
          <w:rFonts w:ascii="Cambria" w:hAnsi="Cambria" w:cs="Arial"/>
          <w:b/>
          <w:bCs/>
          <w:noProof/>
          <w:color w:val="000000" w:themeColor="text1"/>
          <w:sz w:val="20"/>
          <w:szCs w:val="20"/>
        </w:rPr>
        <w:drawing>
          <wp:inline distT="0" distB="0" distL="0" distR="0" wp14:anchorId="6ACCDB9C" wp14:editId="09C2FCF2">
            <wp:extent cx="5765800" cy="4800600"/>
            <wp:effectExtent l="38100" t="19050" r="82550" b="3810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240BED0E" w14:textId="77777777" w:rsidR="007260A1" w:rsidRPr="00223CBF" w:rsidRDefault="007260A1" w:rsidP="000507CA">
      <w:pPr>
        <w:spacing w:line="360" w:lineRule="auto"/>
        <w:jc w:val="both"/>
        <w:rPr>
          <w:rFonts w:ascii="Cambria" w:hAnsi="Cambria" w:cs="Arial"/>
          <w:b/>
          <w:bCs/>
          <w:sz w:val="20"/>
          <w:szCs w:val="20"/>
        </w:rPr>
      </w:pPr>
    </w:p>
    <w:p w14:paraId="01E37315" w14:textId="77777777" w:rsidR="007260A1" w:rsidRPr="00223CBF" w:rsidRDefault="007260A1" w:rsidP="000507CA">
      <w:pPr>
        <w:spacing w:line="360" w:lineRule="auto"/>
        <w:jc w:val="both"/>
        <w:rPr>
          <w:rFonts w:ascii="Cambria" w:hAnsi="Cambria" w:cs="Arial"/>
          <w:b/>
          <w:bCs/>
          <w:sz w:val="20"/>
          <w:szCs w:val="20"/>
        </w:rPr>
      </w:pPr>
    </w:p>
    <w:p w14:paraId="00A4450B" w14:textId="77777777" w:rsidR="005C789D" w:rsidRPr="00223CBF" w:rsidRDefault="005C789D" w:rsidP="000507CA">
      <w:pPr>
        <w:spacing w:line="360" w:lineRule="auto"/>
        <w:jc w:val="both"/>
        <w:rPr>
          <w:rFonts w:ascii="Cambria" w:hAnsi="Cambria" w:cs="Arial"/>
          <w:b/>
          <w:bCs/>
          <w:sz w:val="20"/>
          <w:szCs w:val="20"/>
        </w:rPr>
      </w:pPr>
    </w:p>
    <w:p w14:paraId="57292D6B" w14:textId="7212F065" w:rsidR="00C17CA3" w:rsidRDefault="00C17CA3" w:rsidP="000507CA">
      <w:pPr>
        <w:spacing w:line="360" w:lineRule="auto"/>
        <w:jc w:val="both"/>
        <w:rPr>
          <w:rFonts w:ascii="Cambria" w:hAnsi="Cambria" w:cs="Arial"/>
          <w:b/>
          <w:bCs/>
          <w:sz w:val="20"/>
          <w:szCs w:val="20"/>
        </w:rPr>
      </w:pPr>
    </w:p>
    <w:p w14:paraId="5B9D5045" w14:textId="77777777" w:rsidR="00F51133" w:rsidRPr="00223CBF" w:rsidRDefault="00F51133" w:rsidP="000507CA">
      <w:pPr>
        <w:spacing w:line="360" w:lineRule="auto"/>
        <w:jc w:val="both"/>
        <w:rPr>
          <w:rFonts w:ascii="Cambria" w:hAnsi="Cambria" w:cs="Arial"/>
          <w:b/>
          <w:bCs/>
          <w:sz w:val="20"/>
          <w:szCs w:val="20"/>
        </w:rPr>
      </w:pPr>
    </w:p>
    <w:p w14:paraId="0A988C9D" w14:textId="490AB089" w:rsidR="00165EC4" w:rsidRDefault="00165EC4" w:rsidP="000507CA">
      <w:pPr>
        <w:spacing w:line="360" w:lineRule="auto"/>
        <w:jc w:val="both"/>
        <w:rPr>
          <w:rFonts w:ascii="Cambria" w:hAnsi="Cambria" w:cs="Arial"/>
          <w:b/>
          <w:bCs/>
          <w:sz w:val="20"/>
          <w:szCs w:val="20"/>
        </w:rPr>
      </w:pPr>
    </w:p>
    <w:p w14:paraId="5451454E" w14:textId="437C5BC5" w:rsidR="00F51133" w:rsidRDefault="00F51133" w:rsidP="000507CA">
      <w:pPr>
        <w:spacing w:line="360" w:lineRule="auto"/>
        <w:jc w:val="both"/>
        <w:rPr>
          <w:rFonts w:ascii="Cambria" w:hAnsi="Cambria" w:cs="Arial"/>
          <w:b/>
          <w:bCs/>
          <w:sz w:val="20"/>
          <w:szCs w:val="20"/>
        </w:rPr>
      </w:pPr>
    </w:p>
    <w:p w14:paraId="14D9742E" w14:textId="77777777" w:rsidR="00C54552" w:rsidRPr="00223CBF" w:rsidRDefault="00C54552" w:rsidP="000507CA">
      <w:pPr>
        <w:spacing w:line="360" w:lineRule="auto"/>
        <w:jc w:val="both"/>
        <w:rPr>
          <w:rFonts w:ascii="Cambria" w:hAnsi="Cambria" w:cs="Arial"/>
          <w:b/>
          <w:bCs/>
          <w:sz w:val="20"/>
          <w:szCs w:val="20"/>
        </w:rPr>
      </w:pPr>
    </w:p>
    <w:p w14:paraId="1048D52D" w14:textId="247494A0" w:rsidR="007260A1" w:rsidRPr="0055598A" w:rsidRDefault="007260A1" w:rsidP="00081358">
      <w:pPr>
        <w:pStyle w:val="ListParagraph"/>
        <w:numPr>
          <w:ilvl w:val="0"/>
          <w:numId w:val="75"/>
        </w:numPr>
        <w:spacing w:line="360" w:lineRule="auto"/>
        <w:jc w:val="both"/>
        <w:rPr>
          <w:rFonts w:ascii="Cambria" w:hAnsi="Cambria" w:cs="Arial"/>
          <w:b/>
          <w:bCs/>
          <w:color w:val="000000" w:themeColor="text1"/>
          <w:sz w:val="32"/>
          <w:szCs w:val="32"/>
        </w:rPr>
      </w:pPr>
      <w:r w:rsidRPr="0055598A">
        <w:rPr>
          <w:rFonts w:ascii="Cambria" w:hAnsi="Cambria" w:cs="Arial"/>
          <w:b/>
          <w:bCs/>
          <w:color w:val="000000" w:themeColor="text1"/>
          <w:sz w:val="32"/>
          <w:szCs w:val="32"/>
        </w:rPr>
        <w:lastRenderedPageBreak/>
        <w:t xml:space="preserve">Research Design and Methodology </w:t>
      </w:r>
    </w:p>
    <w:p w14:paraId="62449328" w14:textId="3280110B" w:rsidR="00F53B9B" w:rsidRPr="00F53B9B" w:rsidRDefault="00F53B9B" w:rsidP="00F53B9B">
      <w:pPr>
        <w:spacing w:line="360" w:lineRule="auto"/>
        <w:jc w:val="both"/>
        <w:rPr>
          <w:rFonts w:ascii="Cambria" w:hAnsi="Cambria" w:cs="Arial"/>
          <w:color w:val="000000" w:themeColor="text1"/>
          <w:sz w:val="20"/>
          <w:szCs w:val="20"/>
        </w:rPr>
      </w:pPr>
      <w:bookmarkStart w:id="1" w:name="_Toc54247661"/>
      <w:bookmarkStart w:id="2" w:name="_Toc57135090"/>
      <w:bookmarkStart w:id="3" w:name="_Toc57135149"/>
      <w:bookmarkStart w:id="4" w:name="_Toc57135165"/>
      <w:r w:rsidRPr="00F53B9B">
        <w:rPr>
          <w:rFonts w:ascii="Cambria" w:hAnsi="Cambria" w:cs="Arial"/>
          <w:color w:val="000000" w:themeColor="text1"/>
          <w:sz w:val="20"/>
          <w:szCs w:val="20"/>
        </w:rPr>
        <w:t>The MTE was conducted in line with the revised Norms and Standards for Evaluation developed by the United Nations Evaluation Group (UNEG) in 2019, which provides a framework to strengthen and harmonise evaluations practiced across the UN system</w:t>
      </w:r>
      <w:r w:rsidR="00192A04">
        <w:rPr>
          <w:rFonts w:ascii="Cambria" w:hAnsi="Cambria" w:cs="Arial"/>
          <w:color w:val="000000" w:themeColor="text1"/>
          <w:sz w:val="20"/>
          <w:szCs w:val="20"/>
        </w:rPr>
        <w:t>,</w:t>
      </w:r>
      <w:r w:rsidRPr="00F53B9B">
        <w:rPr>
          <w:rFonts w:ascii="Cambria" w:hAnsi="Cambria" w:cs="Arial"/>
          <w:color w:val="000000" w:themeColor="text1"/>
          <w:sz w:val="20"/>
          <w:szCs w:val="20"/>
        </w:rPr>
        <w:t xml:space="preserve"> and to meet the demands for national ownership and accountability</w:t>
      </w:r>
      <w:r w:rsidR="00192A04">
        <w:rPr>
          <w:rFonts w:ascii="Cambria" w:hAnsi="Cambria" w:cs="Arial"/>
          <w:color w:val="000000" w:themeColor="text1"/>
          <w:sz w:val="20"/>
          <w:szCs w:val="20"/>
        </w:rPr>
        <w:t>,</w:t>
      </w:r>
      <w:r w:rsidRPr="00F53B9B">
        <w:rPr>
          <w:rFonts w:ascii="Cambria" w:hAnsi="Cambria" w:cs="Arial"/>
          <w:color w:val="000000" w:themeColor="text1"/>
          <w:sz w:val="20"/>
          <w:szCs w:val="20"/>
        </w:rPr>
        <w:t xml:space="preserve"> in the context of the 2030 Sustainable Development Agenda.</w:t>
      </w:r>
    </w:p>
    <w:p w14:paraId="7019B7DE" w14:textId="74300261" w:rsidR="0055598A" w:rsidRPr="0055598A" w:rsidRDefault="00F53B9B" w:rsidP="0055598A">
      <w:pPr>
        <w:pStyle w:val="Heading1"/>
        <w:spacing w:before="0" w:line="360" w:lineRule="auto"/>
        <w:jc w:val="both"/>
        <w:rPr>
          <w:rFonts w:ascii="Cambria" w:hAnsi="Cambria" w:cs="Arial"/>
          <w:color w:val="000000" w:themeColor="text1"/>
          <w:sz w:val="20"/>
          <w:szCs w:val="20"/>
        </w:rPr>
      </w:pPr>
      <w:r w:rsidRPr="00E46AD0">
        <w:rPr>
          <w:rFonts w:ascii="Cambria" w:hAnsi="Cambria" w:cs="Arial"/>
          <w:color w:val="000000" w:themeColor="text1"/>
          <w:sz w:val="20"/>
          <w:szCs w:val="20"/>
        </w:rPr>
        <w:t>A comprehensive layout of the research design and methodology is detailed in the ‘</w:t>
      </w:r>
      <w:r w:rsidR="000876E1">
        <w:rPr>
          <w:rFonts w:ascii="Cambria" w:hAnsi="Cambria" w:cs="Arial"/>
          <w:color w:val="000000" w:themeColor="text1"/>
          <w:sz w:val="20"/>
          <w:szCs w:val="20"/>
        </w:rPr>
        <w:t xml:space="preserve">Approved </w:t>
      </w:r>
      <w:r w:rsidRPr="00E46AD0">
        <w:rPr>
          <w:rFonts w:ascii="Cambria" w:hAnsi="Cambria" w:cs="Arial"/>
          <w:color w:val="000000" w:themeColor="text1"/>
          <w:sz w:val="20"/>
          <w:szCs w:val="20"/>
        </w:rPr>
        <w:t>Inception Report’ (refer Annex One), which guided the collection of data between the period 5</w:t>
      </w:r>
      <w:r w:rsidRPr="00E46AD0">
        <w:rPr>
          <w:rFonts w:ascii="Cambria" w:hAnsi="Cambria" w:cs="Arial"/>
          <w:color w:val="000000" w:themeColor="text1"/>
          <w:sz w:val="20"/>
          <w:szCs w:val="20"/>
          <w:vertAlign w:val="superscript"/>
        </w:rPr>
        <w:t>th</w:t>
      </w:r>
      <w:r w:rsidRPr="00E46AD0">
        <w:rPr>
          <w:rFonts w:ascii="Cambria" w:hAnsi="Cambria" w:cs="Arial"/>
          <w:color w:val="000000" w:themeColor="text1"/>
          <w:sz w:val="20"/>
          <w:szCs w:val="20"/>
        </w:rPr>
        <w:t xml:space="preserve"> October to 10</w:t>
      </w:r>
      <w:r w:rsidRPr="00E46AD0">
        <w:rPr>
          <w:rFonts w:ascii="Cambria" w:hAnsi="Cambria" w:cs="Arial"/>
          <w:color w:val="000000" w:themeColor="text1"/>
          <w:sz w:val="20"/>
          <w:szCs w:val="20"/>
          <w:vertAlign w:val="superscript"/>
        </w:rPr>
        <w:t>th</w:t>
      </w:r>
      <w:r w:rsidRPr="00E46AD0">
        <w:rPr>
          <w:rFonts w:ascii="Cambria" w:hAnsi="Cambria" w:cs="Arial"/>
          <w:color w:val="000000" w:themeColor="text1"/>
          <w:sz w:val="20"/>
          <w:szCs w:val="20"/>
        </w:rPr>
        <w:t xml:space="preserve"> November. A comprehensive list of primary documents reviewed, and key persons interviewed is listed in Annex Two and Three. </w:t>
      </w:r>
    </w:p>
    <w:p w14:paraId="3B89F579" w14:textId="0AFA892D" w:rsidR="007260A1" w:rsidRPr="0055598A" w:rsidRDefault="0055598A" w:rsidP="0055598A">
      <w:pPr>
        <w:pStyle w:val="Heading1"/>
        <w:spacing w:before="0" w:line="360" w:lineRule="auto"/>
        <w:ind w:left="720"/>
        <w:jc w:val="both"/>
        <w:rPr>
          <w:rFonts w:ascii="Cambria" w:hAnsi="Cambria" w:cstheme="minorHAnsi"/>
          <w:b/>
          <w:bCs/>
          <w:color w:val="000000" w:themeColor="text1"/>
          <w:sz w:val="28"/>
          <w:szCs w:val="28"/>
        </w:rPr>
      </w:pPr>
      <w:r>
        <w:rPr>
          <w:rFonts w:ascii="Cambria" w:hAnsi="Cambria" w:cstheme="minorHAnsi"/>
          <w:b/>
          <w:bCs/>
          <w:color w:val="000000" w:themeColor="text1"/>
          <w:sz w:val="28"/>
          <w:szCs w:val="28"/>
        </w:rPr>
        <w:t>3.1. T</w:t>
      </w:r>
      <w:r w:rsidR="007260A1" w:rsidRPr="0055598A">
        <w:rPr>
          <w:rFonts w:ascii="Cambria" w:hAnsi="Cambria" w:cstheme="minorHAnsi"/>
          <w:b/>
          <w:bCs/>
          <w:color w:val="000000" w:themeColor="text1"/>
          <w:sz w:val="28"/>
          <w:szCs w:val="28"/>
        </w:rPr>
        <w:t>he Scope and Purpose of the Evaluation</w:t>
      </w:r>
      <w:bookmarkEnd w:id="1"/>
      <w:bookmarkEnd w:id="2"/>
      <w:bookmarkEnd w:id="3"/>
      <w:bookmarkEnd w:id="4"/>
    </w:p>
    <w:p w14:paraId="6FA23527" w14:textId="032B4E82" w:rsidR="007260A1" w:rsidRPr="00223CBF" w:rsidRDefault="007260A1" w:rsidP="000507CA">
      <w:pPr>
        <w:autoSpaceDE w:val="0"/>
        <w:autoSpaceDN w:val="0"/>
        <w:adjustRightInd w:val="0"/>
        <w:spacing w:line="360" w:lineRule="auto"/>
        <w:jc w:val="both"/>
        <w:rPr>
          <w:rFonts w:ascii="Cambria" w:hAnsi="Cambria" w:cstheme="minorHAnsi"/>
          <w:color w:val="000000" w:themeColor="text1"/>
          <w:sz w:val="20"/>
          <w:szCs w:val="20"/>
        </w:rPr>
      </w:pPr>
      <w:r w:rsidRPr="00223CBF">
        <w:rPr>
          <w:rFonts w:ascii="Cambria" w:hAnsi="Cambria" w:cstheme="minorHAnsi"/>
          <w:color w:val="000000" w:themeColor="text1"/>
          <w:sz w:val="20"/>
          <w:szCs w:val="20"/>
        </w:rPr>
        <w:t xml:space="preserve">The scope of the evaluation </w:t>
      </w:r>
      <w:r w:rsidR="00192A04">
        <w:rPr>
          <w:rFonts w:ascii="Cambria" w:hAnsi="Cambria" w:cstheme="minorHAnsi"/>
          <w:color w:val="000000" w:themeColor="text1"/>
          <w:sz w:val="20"/>
          <w:szCs w:val="20"/>
        </w:rPr>
        <w:t>was</w:t>
      </w:r>
      <w:r w:rsidRPr="00223CBF">
        <w:rPr>
          <w:rFonts w:ascii="Cambria" w:hAnsi="Cambria" w:cstheme="minorHAnsi"/>
          <w:color w:val="000000" w:themeColor="text1"/>
          <w:sz w:val="20"/>
          <w:szCs w:val="20"/>
        </w:rPr>
        <w:t xml:space="preserve"> to focus on the Portfolio, which will end in 2022, that aims to contribute towards achieving SDG 16. Through this portfolio, UNDP will implement its Governance and Peacebuilding projects, in trying to ensure a cohesive approach across multiple projects with this common goal. </w:t>
      </w:r>
    </w:p>
    <w:p w14:paraId="3CDE1AA5" w14:textId="2F6F86E0" w:rsidR="007260A1" w:rsidRPr="00223CBF" w:rsidRDefault="007260A1" w:rsidP="000507CA">
      <w:pPr>
        <w:autoSpaceDE w:val="0"/>
        <w:autoSpaceDN w:val="0"/>
        <w:adjustRightInd w:val="0"/>
        <w:spacing w:line="360" w:lineRule="auto"/>
        <w:jc w:val="both"/>
        <w:rPr>
          <w:rFonts w:ascii="Cambria" w:hAnsi="Cambria" w:cstheme="minorHAnsi"/>
          <w:color w:val="000000" w:themeColor="text1"/>
          <w:sz w:val="20"/>
          <w:szCs w:val="20"/>
        </w:rPr>
      </w:pPr>
      <w:r w:rsidRPr="00223CBF">
        <w:rPr>
          <w:rFonts w:ascii="Cambria" w:hAnsi="Cambria" w:cstheme="minorHAnsi"/>
          <w:color w:val="000000" w:themeColor="text1"/>
          <w:sz w:val="20"/>
          <w:szCs w:val="20"/>
        </w:rPr>
        <w:t>The changing context as a result of a multitude of socio-economic and political issues, including the effects of the more recent Covid-19 pandemic, have brought in added levels of complexity that</w:t>
      </w:r>
      <w:r w:rsidR="00192A04">
        <w:rPr>
          <w:rFonts w:ascii="Cambria" w:hAnsi="Cambria" w:cstheme="minorHAnsi"/>
          <w:color w:val="000000" w:themeColor="text1"/>
          <w:sz w:val="20"/>
          <w:szCs w:val="20"/>
        </w:rPr>
        <w:t>,</w:t>
      </w:r>
      <w:r w:rsidRPr="00223CBF">
        <w:rPr>
          <w:rFonts w:ascii="Cambria" w:hAnsi="Cambria" w:cstheme="minorHAnsi"/>
          <w:color w:val="000000" w:themeColor="text1"/>
          <w:sz w:val="20"/>
          <w:szCs w:val="20"/>
        </w:rPr>
        <w:t xml:space="preserve"> needs to be considered in future implementation of the Portfolio. </w:t>
      </w:r>
    </w:p>
    <w:p w14:paraId="1B66D252" w14:textId="77777777" w:rsidR="00F53B9B" w:rsidRPr="00223CBF" w:rsidRDefault="00F53B9B" w:rsidP="00F53B9B">
      <w:pPr>
        <w:autoSpaceDE w:val="0"/>
        <w:autoSpaceDN w:val="0"/>
        <w:adjustRightInd w:val="0"/>
        <w:spacing w:line="360" w:lineRule="auto"/>
        <w:jc w:val="both"/>
        <w:rPr>
          <w:rFonts w:ascii="Cambria" w:hAnsi="Cambria" w:cstheme="minorHAnsi"/>
          <w:color w:val="000000" w:themeColor="text1"/>
          <w:sz w:val="20"/>
          <w:szCs w:val="20"/>
        </w:rPr>
      </w:pPr>
      <w:r w:rsidRPr="00223CBF">
        <w:rPr>
          <w:rFonts w:ascii="Cambria" w:hAnsi="Cambria" w:cstheme="minorHAnsi"/>
          <w:color w:val="000000" w:themeColor="text1"/>
          <w:sz w:val="20"/>
          <w:szCs w:val="20"/>
        </w:rPr>
        <w:t>The evaluation therefore:</w:t>
      </w:r>
    </w:p>
    <w:p w14:paraId="529F4C49" w14:textId="77777777" w:rsidR="00F53B9B" w:rsidRPr="00223CBF" w:rsidRDefault="00F53B9B" w:rsidP="00F53B9B">
      <w:pPr>
        <w:pStyle w:val="ListParagraph"/>
        <w:numPr>
          <w:ilvl w:val="0"/>
          <w:numId w:val="15"/>
        </w:numPr>
        <w:autoSpaceDE w:val="0"/>
        <w:autoSpaceDN w:val="0"/>
        <w:adjustRightInd w:val="0"/>
        <w:spacing w:line="360" w:lineRule="auto"/>
        <w:jc w:val="both"/>
        <w:rPr>
          <w:rFonts w:ascii="Cambria" w:hAnsi="Cambria" w:cstheme="minorHAnsi"/>
          <w:color w:val="000000" w:themeColor="text1"/>
          <w:sz w:val="20"/>
          <w:szCs w:val="20"/>
        </w:rPr>
      </w:pPr>
      <w:r w:rsidRPr="00223CBF">
        <w:rPr>
          <w:rFonts w:ascii="Cambria" w:hAnsi="Cambria" w:cstheme="minorHAnsi"/>
          <w:color w:val="000000" w:themeColor="text1"/>
          <w:sz w:val="20"/>
          <w:szCs w:val="20"/>
        </w:rPr>
        <w:t>Review</w:t>
      </w:r>
      <w:r>
        <w:rPr>
          <w:rFonts w:ascii="Cambria" w:hAnsi="Cambria" w:cstheme="minorHAnsi"/>
          <w:color w:val="000000" w:themeColor="text1"/>
          <w:sz w:val="20"/>
          <w:szCs w:val="20"/>
        </w:rPr>
        <w:t>ed</w:t>
      </w:r>
      <w:r w:rsidRPr="00223CBF">
        <w:rPr>
          <w:rFonts w:ascii="Cambria" w:hAnsi="Cambria" w:cstheme="minorHAnsi"/>
          <w:color w:val="000000" w:themeColor="text1"/>
          <w:sz w:val="20"/>
          <w:szCs w:val="20"/>
        </w:rPr>
        <w:t xml:space="preserve"> the implementation of the portfolio thus far at its mid-term (</w:t>
      </w:r>
      <w:r w:rsidRPr="00223CBF">
        <w:rPr>
          <w:rFonts w:ascii="Cambria" w:eastAsia="Times New Roman" w:hAnsi="Cambria" w:cstheme="minorHAnsi"/>
          <w:color w:val="000000" w:themeColor="text1"/>
          <w:sz w:val="20"/>
          <w:szCs w:val="20"/>
        </w:rPr>
        <w:t>January 2019 to August 2020)</w:t>
      </w:r>
      <w:r w:rsidRPr="00223CBF">
        <w:rPr>
          <w:rFonts w:ascii="Cambria" w:hAnsi="Cambria" w:cstheme="minorHAnsi"/>
          <w:color w:val="000000" w:themeColor="text1"/>
          <w:sz w:val="20"/>
          <w:szCs w:val="20"/>
        </w:rPr>
        <w:t xml:space="preserve">, including a review of </w:t>
      </w:r>
      <w:r w:rsidRPr="00E544B7">
        <w:rPr>
          <w:rFonts w:ascii="Cambria" w:hAnsi="Cambria" w:cstheme="minorHAnsi"/>
          <w:color w:val="000000" w:themeColor="text1"/>
          <w:sz w:val="20"/>
          <w:szCs w:val="20"/>
        </w:rPr>
        <w:t>its envisaged strategic direction</w:t>
      </w:r>
      <w:r w:rsidRPr="00223CBF">
        <w:rPr>
          <w:rFonts w:ascii="Cambria" w:hAnsi="Cambria" w:cstheme="minorHAnsi"/>
          <w:color w:val="000000" w:themeColor="text1"/>
          <w:sz w:val="20"/>
          <w:szCs w:val="20"/>
        </w:rPr>
        <w:t xml:space="preserve"> and an assessment towards </w:t>
      </w:r>
      <w:r w:rsidRPr="00223CBF">
        <w:rPr>
          <w:rFonts w:ascii="Cambria" w:eastAsia="Times New Roman" w:hAnsi="Cambria" w:cstheme="minorHAnsi"/>
          <w:color w:val="000000" w:themeColor="text1"/>
          <w:sz w:val="20"/>
          <w:szCs w:val="20"/>
        </w:rPr>
        <w:t>output-level objectives in relation to a specific criterion</w:t>
      </w:r>
      <w:r>
        <w:rPr>
          <w:rFonts w:ascii="Cambria" w:eastAsia="Times New Roman" w:hAnsi="Cambria" w:cstheme="minorHAnsi"/>
          <w:color w:val="000000" w:themeColor="text1"/>
          <w:sz w:val="20"/>
          <w:szCs w:val="20"/>
        </w:rPr>
        <w:t>;</w:t>
      </w:r>
    </w:p>
    <w:p w14:paraId="443E64B6" w14:textId="77777777" w:rsidR="00F53B9B" w:rsidRPr="00223CBF" w:rsidRDefault="00F53B9B" w:rsidP="00F53B9B">
      <w:pPr>
        <w:pStyle w:val="ListParagraph"/>
        <w:numPr>
          <w:ilvl w:val="0"/>
          <w:numId w:val="15"/>
        </w:numPr>
        <w:autoSpaceDE w:val="0"/>
        <w:autoSpaceDN w:val="0"/>
        <w:adjustRightInd w:val="0"/>
        <w:spacing w:line="360" w:lineRule="auto"/>
        <w:jc w:val="both"/>
        <w:rPr>
          <w:rFonts w:ascii="Cambria" w:hAnsi="Cambria" w:cstheme="minorHAnsi"/>
          <w:color w:val="000000" w:themeColor="text1"/>
          <w:sz w:val="20"/>
          <w:szCs w:val="20"/>
        </w:rPr>
      </w:pPr>
      <w:r w:rsidRPr="00223CBF">
        <w:rPr>
          <w:rFonts w:ascii="Cambria" w:eastAsia="Times New Roman" w:hAnsi="Cambria" w:cstheme="minorHAnsi"/>
          <w:color w:val="000000" w:themeColor="text1"/>
          <w:sz w:val="20"/>
          <w:szCs w:val="20"/>
        </w:rPr>
        <w:t>Identif</w:t>
      </w:r>
      <w:r>
        <w:rPr>
          <w:rFonts w:ascii="Cambria" w:eastAsia="Times New Roman" w:hAnsi="Cambria" w:cstheme="minorHAnsi"/>
          <w:color w:val="000000" w:themeColor="text1"/>
          <w:sz w:val="20"/>
          <w:szCs w:val="20"/>
        </w:rPr>
        <w:t>ied</w:t>
      </w:r>
      <w:r w:rsidRPr="00223CBF">
        <w:rPr>
          <w:rFonts w:ascii="Cambria" w:eastAsia="Times New Roman" w:hAnsi="Cambria" w:cstheme="minorHAnsi"/>
          <w:color w:val="000000" w:themeColor="text1"/>
          <w:sz w:val="20"/>
          <w:szCs w:val="20"/>
        </w:rPr>
        <w:t xml:space="preserve"> best practices and achievements to-date, which the Portfolio should continue to build on, in-line with strategic country requirements and </w:t>
      </w:r>
      <w:r>
        <w:rPr>
          <w:rFonts w:ascii="Cambria" w:eastAsia="Times New Roman" w:hAnsi="Cambria" w:cstheme="minorHAnsi"/>
          <w:color w:val="000000" w:themeColor="text1"/>
          <w:sz w:val="20"/>
          <w:szCs w:val="20"/>
        </w:rPr>
        <w:t>g</w:t>
      </w:r>
      <w:r w:rsidRPr="00223CBF">
        <w:rPr>
          <w:rFonts w:ascii="Cambria" w:eastAsia="Times New Roman" w:hAnsi="Cambria" w:cstheme="minorHAnsi"/>
          <w:color w:val="000000" w:themeColor="text1"/>
          <w:sz w:val="20"/>
          <w:szCs w:val="20"/>
        </w:rPr>
        <w:t>overnment priorities</w:t>
      </w:r>
      <w:r>
        <w:rPr>
          <w:rFonts w:ascii="Cambria" w:eastAsia="Times New Roman" w:hAnsi="Cambria" w:cstheme="minorHAnsi"/>
          <w:color w:val="000000" w:themeColor="text1"/>
          <w:sz w:val="20"/>
          <w:szCs w:val="20"/>
        </w:rPr>
        <w:t>; and</w:t>
      </w:r>
    </w:p>
    <w:p w14:paraId="28AA6BF1" w14:textId="77777777" w:rsidR="00F53B9B" w:rsidRPr="00223CBF" w:rsidRDefault="00F53B9B" w:rsidP="00F53B9B">
      <w:pPr>
        <w:pStyle w:val="ListParagraph"/>
        <w:numPr>
          <w:ilvl w:val="0"/>
          <w:numId w:val="15"/>
        </w:numPr>
        <w:autoSpaceDE w:val="0"/>
        <w:autoSpaceDN w:val="0"/>
        <w:adjustRightInd w:val="0"/>
        <w:spacing w:line="360" w:lineRule="auto"/>
        <w:jc w:val="both"/>
        <w:rPr>
          <w:rFonts w:ascii="Cambria" w:hAnsi="Cambria" w:cstheme="minorHAnsi"/>
          <w:color w:val="000000" w:themeColor="text1"/>
          <w:sz w:val="20"/>
          <w:szCs w:val="20"/>
        </w:rPr>
      </w:pPr>
      <w:r w:rsidRPr="00223CBF">
        <w:rPr>
          <w:rFonts w:ascii="Cambria" w:eastAsia="Times New Roman" w:hAnsi="Cambria" w:cstheme="minorHAnsi"/>
          <w:color w:val="000000" w:themeColor="text1"/>
          <w:sz w:val="20"/>
          <w:szCs w:val="20"/>
        </w:rPr>
        <w:t>Identif</w:t>
      </w:r>
      <w:r>
        <w:rPr>
          <w:rFonts w:ascii="Cambria" w:eastAsia="Times New Roman" w:hAnsi="Cambria" w:cstheme="minorHAnsi"/>
          <w:color w:val="000000" w:themeColor="text1"/>
          <w:sz w:val="20"/>
          <w:szCs w:val="20"/>
        </w:rPr>
        <w:t xml:space="preserve">ied </w:t>
      </w:r>
      <w:r w:rsidRPr="00223CBF">
        <w:rPr>
          <w:rFonts w:ascii="Cambria" w:eastAsia="Times New Roman" w:hAnsi="Cambria" w:cstheme="minorHAnsi"/>
          <w:color w:val="000000" w:themeColor="text1"/>
          <w:sz w:val="20"/>
          <w:szCs w:val="20"/>
        </w:rPr>
        <w:t>strategic and subject-specific recommendations under the three thematic pillars</w:t>
      </w:r>
      <w:r w:rsidRPr="00223CBF">
        <w:rPr>
          <w:rFonts w:ascii="Cambria" w:hAnsi="Cambria" w:cstheme="minorHAnsi"/>
          <w:color w:val="000000" w:themeColor="text1"/>
          <w:sz w:val="20"/>
          <w:szCs w:val="20"/>
        </w:rPr>
        <w:t>, namely, ‘Legislative and Oversight Commissions’, ‘Access to Justice and Rule of Law’ and ‘Public Sector and Local Governance’</w:t>
      </w:r>
      <w:r w:rsidRPr="00223CBF">
        <w:rPr>
          <w:rFonts w:ascii="Cambria" w:eastAsia="Times New Roman" w:hAnsi="Cambria" w:cstheme="minorHAnsi"/>
          <w:color w:val="000000" w:themeColor="text1"/>
          <w:sz w:val="20"/>
          <w:szCs w:val="20"/>
        </w:rPr>
        <w:t xml:space="preserve">, suggesting re-alignment in-line with the effects of Covid-19 pandemic, and the changing socio-economic and political situation of Sri Lanka. </w:t>
      </w:r>
    </w:p>
    <w:p w14:paraId="5FB755DE" w14:textId="77777777" w:rsidR="0055598A" w:rsidRDefault="0055598A" w:rsidP="0055598A">
      <w:pPr>
        <w:autoSpaceDE w:val="0"/>
        <w:autoSpaceDN w:val="0"/>
        <w:adjustRightInd w:val="0"/>
        <w:spacing w:line="360" w:lineRule="auto"/>
        <w:jc w:val="both"/>
        <w:rPr>
          <w:rFonts w:ascii="Cambria" w:hAnsi="Cambria" w:cstheme="minorHAnsi"/>
          <w:b/>
          <w:bCs/>
          <w:color w:val="000000" w:themeColor="text1"/>
          <w:sz w:val="20"/>
          <w:szCs w:val="20"/>
        </w:rPr>
      </w:pPr>
    </w:p>
    <w:p w14:paraId="61EB82BF" w14:textId="0ED3642A" w:rsidR="007260A1" w:rsidRPr="0055598A" w:rsidRDefault="0055598A" w:rsidP="0055598A">
      <w:pPr>
        <w:autoSpaceDE w:val="0"/>
        <w:autoSpaceDN w:val="0"/>
        <w:adjustRightInd w:val="0"/>
        <w:spacing w:line="360" w:lineRule="auto"/>
        <w:ind w:left="720"/>
        <w:jc w:val="both"/>
        <w:rPr>
          <w:rFonts w:ascii="Cambria" w:hAnsi="Cambria" w:cstheme="minorHAnsi"/>
          <w:b/>
          <w:bCs/>
          <w:color w:val="000000" w:themeColor="text1"/>
          <w:sz w:val="28"/>
          <w:szCs w:val="28"/>
        </w:rPr>
      </w:pPr>
      <w:r>
        <w:rPr>
          <w:rFonts w:ascii="Cambria" w:hAnsi="Cambria" w:cstheme="minorHAnsi"/>
          <w:b/>
          <w:bCs/>
          <w:color w:val="000000" w:themeColor="text1"/>
          <w:sz w:val="28"/>
          <w:szCs w:val="28"/>
        </w:rPr>
        <w:t xml:space="preserve">3.2. </w:t>
      </w:r>
      <w:r w:rsidR="007260A1" w:rsidRPr="0055598A">
        <w:rPr>
          <w:rFonts w:ascii="Cambria" w:hAnsi="Cambria" w:cstheme="minorHAnsi"/>
          <w:b/>
          <w:bCs/>
          <w:color w:val="000000" w:themeColor="text1"/>
          <w:sz w:val="28"/>
          <w:szCs w:val="28"/>
        </w:rPr>
        <w:t xml:space="preserve">Evaluation Criteria </w:t>
      </w:r>
    </w:p>
    <w:p w14:paraId="2303C762" w14:textId="0FC7B60B" w:rsidR="007260A1" w:rsidRPr="00223CBF" w:rsidRDefault="007260A1" w:rsidP="000507CA">
      <w:pPr>
        <w:autoSpaceDE w:val="0"/>
        <w:autoSpaceDN w:val="0"/>
        <w:adjustRightInd w:val="0"/>
        <w:spacing w:line="360" w:lineRule="auto"/>
        <w:jc w:val="both"/>
        <w:rPr>
          <w:rFonts w:ascii="Cambria" w:hAnsi="Cambria" w:cstheme="minorHAnsi"/>
          <w:color w:val="000000" w:themeColor="text1"/>
          <w:sz w:val="20"/>
          <w:szCs w:val="20"/>
        </w:rPr>
      </w:pPr>
      <w:r w:rsidRPr="00223CBF">
        <w:rPr>
          <w:rFonts w:ascii="Cambria" w:hAnsi="Cambria" w:cstheme="minorHAnsi"/>
          <w:color w:val="000000" w:themeColor="text1"/>
          <w:sz w:val="20"/>
          <w:szCs w:val="20"/>
        </w:rPr>
        <w:t xml:space="preserve">The Evaluation </w:t>
      </w:r>
      <w:r w:rsidR="00192A04">
        <w:rPr>
          <w:rFonts w:ascii="Cambria" w:hAnsi="Cambria" w:cstheme="minorHAnsi"/>
          <w:color w:val="000000" w:themeColor="text1"/>
          <w:sz w:val="20"/>
          <w:szCs w:val="20"/>
        </w:rPr>
        <w:t xml:space="preserve">was </w:t>
      </w:r>
      <w:r w:rsidRPr="00223CBF">
        <w:rPr>
          <w:rFonts w:ascii="Cambria" w:hAnsi="Cambria" w:cstheme="minorHAnsi"/>
          <w:color w:val="000000" w:themeColor="text1"/>
          <w:sz w:val="20"/>
          <w:szCs w:val="20"/>
        </w:rPr>
        <w:t xml:space="preserve">conducted based on the following criteria as stipulated in the Terms of Reference </w:t>
      </w:r>
      <w:r w:rsidR="00F34E52">
        <w:rPr>
          <w:rFonts w:ascii="Cambria" w:hAnsi="Cambria" w:cstheme="minorHAnsi"/>
          <w:color w:val="000000" w:themeColor="text1"/>
          <w:sz w:val="20"/>
          <w:szCs w:val="20"/>
        </w:rPr>
        <w:t xml:space="preserve">(TOR) </w:t>
      </w:r>
      <w:r w:rsidRPr="00F53B9B">
        <w:rPr>
          <w:rFonts w:ascii="Cambria" w:hAnsi="Cambria" w:cstheme="minorHAnsi"/>
          <w:color w:val="000000" w:themeColor="text1"/>
          <w:sz w:val="20"/>
          <w:szCs w:val="20"/>
        </w:rPr>
        <w:t xml:space="preserve">(refer Annex </w:t>
      </w:r>
      <w:r w:rsidR="006B76FA">
        <w:rPr>
          <w:rFonts w:ascii="Cambria" w:hAnsi="Cambria" w:cstheme="minorHAnsi"/>
          <w:color w:val="000000" w:themeColor="text1"/>
          <w:sz w:val="20"/>
          <w:szCs w:val="20"/>
        </w:rPr>
        <w:t>Five</w:t>
      </w:r>
      <w:r w:rsidR="00165EC4" w:rsidRPr="00F53B9B">
        <w:rPr>
          <w:rFonts w:ascii="Cambria" w:hAnsi="Cambria" w:cstheme="minorHAnsi"/>
          <w:color w:val="000000" w:themeColor="text1"/>
          <w:sz w:val="20"/>
          <w:szCs w:val="20"/>
        </w:rPr>
        <w:t>)</w:t>
      </w:r>
      <w:r w:rsidRPr="00223CBF">
        <w:rPr>
          <w:rFonts w:ascii="Cambria" w:hAnsi="Cambria" w:cstheme="minorHAnsi"/>
          <w:color w:val="000000" w:themeColor="text1"/>
          <w:sz w:val="20"/>
          <w:szCs w:val="20"/>
        </w:rPr>
        <w:t xml:space="preserve"> recogni</w:t>
      </w:r>
      <w:r w:rsidR="00192A04">
        <w:rPr>
          <w:rFonts w:ascii="Cambria" w:hAnsi="Cambria" w:cstheme="minorHAnsi"/>
          <w:color w:val="000000" w:themeColor="text1"/>
          <w:sz w:val="20"/>
          <w:szCs w:val="20"/>
        </w:rPr>
        <w:t>s</w:t>
      </w:r>
      <w:r w:rsidRPr="00223CBF">
        <w:rPr>
          <w:rFonts w:ascii="Cambria" w:hAnsi="Cambria" w:cstheme="minorHAnsi"/>
          <w:color w:val="000000" w:themeColor="text1"/>
          <w:sz w:val="20"/>
          <w:szCs w:val="20"/>
        </w:rPr>
        <w:t xml:space="preserve">ed by the UNEG. </w:t>
      </w:r>
    </w:p>
    <w:p w14:paraId="6304C6F4" w14:textId="77777777" w:rsidR="007260A1" w:rsidRPr="00223CBF" w:rsidRDefault="007260A1" w:rsidP="007C766E">
      <w:pPr>
        <w:pStyle w:val="ListParagraph"/>
        <w:numPr>
          <w:ilvl w:val="0"/>
          <w:numId w:val="19"/>
        </w:numPr>
        <w:autoSpaceDE w:val="0"/>
        <w:autoSpaceDN w:val="0"/>
        <w:adjustRightInd w:val="0"/>
        <w:spacing w:line="360" w:lineRule="auto"/>
        <w:jc w:val="both"/>
        <w:rPr>
          <w:rFonts w:ascii="Cambria" w:hAnsi="Cambria" w:cstheme="minorHAnsi"/>
          <w:color w:val="000000" w:themeColor="text1"/>
          <w:sz w:val="20"/>
          <w:szCs w:val="20"/>
        </w:rPr>
      </w:pPr>
      <w:r w:rsidRPr="00223CBF">
        <w:rPr>
          <w:rFonts w:ascii="Cambria" w:hAnsi="Cambria" w:cstheme="minorHAnsi"/>
          <w:color w:val="000000" w:themeColor="text1"/>
          <w:sz w:val="20"/>
          <w:szCs w:val="20"/>
        </w:rPr>
        <w:t>Relevance</w:t>
      </w:r>
    </w:p>
    <w:p w14:paraId="49515C00" w14:textId="77777777" w:rsidR="007260A1" w:rsidRPr="00223CBF" w:rsidRDefault="007260A1" w:rsidP="007C766E">
      <w:pPr>
        <w:pStyle w:val="ListParagraph"/>
        <w:numPr>
          <w:ilvl w:val="0"/>
          <w:numId w:val="19"/>
        </w:numPr>
        <w:autoSpaceDE w:val="0"/>
        <w:autoSpaceDN w:val="0"/>
        <w:adjustRightInd w:val="0"/>
        <w:spacing w:line="360" w:lineRule="auto"/>
        <w:jc w:val="both"/>
        <w:rPr>
          <w:rFonts w:ascii="Cambria" w:hAnsi="Cambria" w:cstheme="minorHAnsi"/>
          <w:color w:val="000000" w:themeColor="text1"/>
          <w:sz w:val="20"/>
          <w:szCs w:val="20"/>
        </w:rPr>
      </w:pPr>
      <w:r w:rsidRPr="00223CBF">
        <w:rPr>
          <w:rFonts w:ascii="Cambria" w:hAnsi="Cambria" w:cstheme="minorHAnsi"/>
          <w:color w:val="000000" w:themeColor="text1"/>
          <w:sz w:val="20"/>
          <w:szCs w:val="20"/>
        </w:rPr>
        <w:lastRenderedPageBreak/>
        <w:t>Effectiveness</w:t>
      </w:r>
    </w:p>
    <w:p w14:paraId="51435247" w14:textId="77777777" w:rsidR="007260A1" w:rsidRPr="00223CBF" w:rsidRDefault="007260A1" w:rsidP="007C766E">
      <w:pPr>
        <w:pStyle w:val="ListParagraph"/>
        <w:numPr>
          <w:ilvl w:val="0"/>
          <w:numId w:val="19"/>
        </w:numPr>
        <w:autoSpaceDE w:val="0"/>
        <w:autoSpaceDN w:val="0"/>
        <w:adjustRightInd w:val="0"/>
        <w:spacing w:line="360" w:lineRule="auto"/>
        <w:jc w:val="both"/>
        <w:rPr>
          <w:rFonts w:ascii="Cambria" w:hAnsi="Cambria" w:cstheme="minorHAnsi"/>
          <w:color w:val="000000" w:themeColor="text1"/>
          <w:sz w:val="20"/>
          <w:szCs w:val="20"/>
        </w:rPr>
      </w:pPr>
      <w:r w:rsidRPr="00223CBF">
        <w:rPr>
          <w:rFonts w:ascii="Cambria" w:hAnsi="Cambria" w:cstheme="minorHAnsi"/>
          <w:color w:val="000000" w:themeColor="text1"/>
          <w:sz w:val="20"/>
          <w:szCs w:val="20"/>
        </w:rPr>
        <w:t>Efficiency</w:t>
      </w:r>
    </w:p>
    <w:p w14:paraId="1EB84550" w14:textId="77777777" w:rsidR="007260A1" w:rsidRPr="00223CBF" w:rsidRDefault="007260A1" w:rsidP="007C766E">
      <w:pPr>
        <w:pStyle w:val="ListParagraph"/>
        <w:numPr>
          <w:ilvl w:val="0"/>
          <w:numId w:val="19"/>
        </w:numPr>
        <w:autoSpaceDE w:val="0"/>
        <w:autoSpaceDN w:val="0"/>
        <w:adjustRightInd w:val="0"/>
        <w:spacing w:line="360" w:lineRule="auto"/>
        <w:jc w:val="both"/>
        <w:rPr>
          <w:rFonts w:ascii="Cambria" w:hAnsi="Cambria" w:cstheme="minorHAnsi"/>
          <w:color w:val="000000" w:themeColor="text1"/>
          <w:sz w:val="20"/>
          <w:szCs w:val="20"/>
        </w:rPr>
      </w:pPr>
      <w:r w:rsidRPr="00223CBF">
        <w:rPr>
          <w:rFonts w:ascii="Cambria" w:hAnsi="Cambria" w:cstheme="minorHAnsi"/>
          <w:color w:val="000000" w:themeColor="text1"/>
          <w:sz w:val="20"/>
          <w:szCs w:val="20"/>
        </w:rPr>
        <w:t>Impact</w:t>
      </w:r>
    </w:p>
    <w:p w14:paraId="1E47C789" w14:textId="77777777" w:rsidR="007260A1" w:rsidRPr="00223CBF" w:rsidRDefault="007260A1" w:rsidP="007C766E">
      <w:pPr>
        <w:pStyle w:val="ListParagraph"/>
        <w:numPr>
          <w:ilvl w:val="0"/>
          <w:numId w:val="19"/>
        </w:numPr>
        <w:autoSpaceDE w:val="0"/>
        <w:autoSpaceDN w:val="0"/>
        <w:adjustRightInd w:val="0"/>
        <w:spacing w:line="360" w:lineRule="auto"/>
        <w:jc w:val="both"/>
        <w:rPr>
          <w:rFonts w:ascii="Cambria" w:hAnsi="Cambria" w:cstheme="minorHAnsi"/>
          <w:color w:val="000000" w:themeColor="text1"/>
          <w:sz w:val="20"/>
          <w:szCs w:val="20"/>
        </w:rPr>
      </w:pPr>
      <w:r w:rsidRPr="00223CBF">
        <w:rPr>
          <w:rFonts w:ascii="Cambria" w:hAnsi="Cambria" w:cstheme="minorHAnsi"/>
          <w:color w:val="000000" w:themeColor="text1"/>
          <w:sz w:val="20"/>
          <w:szCs w:val="20"/>
        </w:rPr>
        <w:t>Sustainability and Ownership</w:t>
      </w:r>
    </w:p>
    <w:p w14:paraId="0DA33F4E" w14:textId="77777777" w:rsidR="007260A1" w:rsidRPr="00223CBF" w:rsidRDefault="007260A1" w:rsidP="007C766E">
      <w:pPr>
        <w:pStyle w:val="ListParagraph"/>
        <w:numPr>
          <w:ilvl w:val="0"/>
          <w:numId w:val="19"/>
        </w:numPr>
        <w:autoSpaceDE w:val="0"/>
        <w:autoSpaceDN w:val="0"/>
        <w:adjustRightInd w:val="0"/>
        <w:spacing w:line="360" w:lineRule="auto"/>
        <w:jc w:val="both"/>
        <w:rPr>
          <w:rFonts w:ascii="Cambria" w:hAnsi="Cambria" w:cstheme="minorHAnsi"/>
          <w:color w:val="000000" w:themeColor="text1"/>
          <w:sz w:val="20"/>
          <w:szCs w:val="20"/>
        </w:rPr>
      </w:pPr>
      <w:r w:rsidRPr="00223CBF">
        <w:rPr>
          <w:rFonts w:ascii="Cambria" w:hAnsi="Cambria" w:cstheme="minorHAnsi"/>
          <w:color w:val="000000" w:themeColor="text1"/>
          <w:sz w:val="20"/>
          <w:szCs w:val="20"/>
        </w:rPr>
        <w:t>Management and Monitorin</w:t>
      </w:r>
      <w:bookmarkStart w:id="5" w:name="_Toc54247663"/>
      <w:r w:rsidR="00E078EF" w:rsidRPr="00223CBF">
        <w:rPr>
          <w:rFonts w:ascii="Cambria" w:hAnsi="Cambria" w:cstheme="minorHAnsi"/>
          <w:color w:val="000000" w:themeColor="text1"/>
          <w:sz w:val="20"/>
          <w:szCs w:val="20"/>
        </w:rPr>
        <w:t>g</w:t>
      </w:r>
    </w:p>
    <w:p w14:paraId="3A693446" w14:textId="77777777" w:rsidR="00E078EF" w:rsidRPr="00223CBF" w:rsidRDefault="00E078EF" w:rsidP="00E078EF">
      <w:pPr>
        <w:autoSpaceDE w:val="0"/>
        <w:autoSpaceDN w:val="0"/>
        <w:adjustRightInd w:val="0"/>
        <w:spacing w:line="360" w:lineRule="auto"/>
        <w:jc w:val="both"/>
        <w:rPr>
          <w:rFonts w:ascii="Cambria" w:hAnsi="Cambria" w:cstheme="minorHAnsi"/>
          <w:sz w:val="20"/>
          <w:szCs w:val="20"/>
        </w:rPr>
      </w:pPr>
    </w:p>
    <w:p w14:paraId="647A3254" w14:textId="40CB228B" w:rsidR="00E078EF" w:rsidRPr="0055598A" w:rsidRDefault="00E078EF" w:rsidP="00081358">
      <w:pPr>
        <w:pStyle w:val="ListParagraph"/>
        <w:numPr>
          <w:ilvl w:val="1"/>
          <w:numId w:val="76"/>
        </w:numPr>
        <w:autoSpaceDE w:val="0"/>
        <w:autoSpaceDN w:val="0"/>
        <w:adjustRightInd w:val="0"/>
        <w:spacing w:line="360" w:lineRule="auto"/>
        <w:jc w:val="both"/>
        <w:outlineLvl w:val="1"/>
        <w:rPr>
          <w:rFonts w:ascii="Cambria" w:hAnsi="Cambria" w:cstheme="minorHAnsi"/>
          <w:b/>
          <w:bCs/>
          <w:color w:val="000000" w:themeColor="text1"/>
          <w:sz w:val="28"/>
          <w:szCs w:val="28"/>
        </w:rPr>
      </w:pPr>
      <w:r w:rsidRPr="0055598A">
        <w:rPr>
          <w:rFonts w:ascii="Cambria" w:hAnsi="Cambria" w:cstheme="minorHAnsi"/>
          <w:b/>
          <w:bCs/>
          <w:color w:val="000000" w:themeColor="text1"/>
          <w:sz w:val="28"/>
          <w:szCs w:val="28"/>
        </w:rPr>
        <w:t>Approach and Methodology</w:t>
      </w:r>
    </w:p>
    <w:p w14:paraId="3EE9BEB2" w14:textId="1AAC49E0" w:rsidR="00E078EF" w:rsidRPr="0055598A" w:rsidRDefault="00E078EF" w:rsidP="00081358">
      <w:pPr>
        <w:pStyle w:val="ListParagraph"/>
        <w:numPr>
          <w:ilvl w:val="2"/>
          <w:numId w:val="76"/>
        </w:numPr>
        <w:autoSpaceDE w:val="0"/>
        <w:autoSpaceDN w:val="0"/>
        <w:adjustRightInd w:val="0"/>
        <w:spacing w:line="360" w:lineRule="auto"/>
        <w:jc w:val="both"/>
        <w:outlineLvl w:val="1"/>
        <w:rPr>
          <w:rFonts w:ascii="Cambria" w:hAnsi="Cambria" w:cstheme="minorHAnsi"/>
          <w:b/>
          <w:bCs/>
          <w:color w:val="000000" w:themeColor="text1"/>
        </w:rPr>
      </w:pPr>
      <w:bookmarkStart w:id="6" w:name="_Toc57135092"/>
      <w:bookmarkStart w:id="7" w:name="_Toc57135151"/>
      <w:bookmarkStart w:id="8" w:name="_Toc57135167"/>
      <w:r w:rsidRPr="0055598A">
        <w:rPr>
          <w:rFonts w:ascii="Cambria" w:hAnsi="Cambria" w:cstheme="minorHAnsi"/>
          <w:b/>
          <w:bCs/>
          <w:color w:val="000000" w:themeColor="text1"/>
        </w:rPr>
        <w:t>Approach</w:t>
      </w:r>
      <w:bookmarkEnd w:id="6"/>
      <w:bookmarkEnd w:id="7"/>
      <w:bookmarkEnd w:id="8"/>
    </w:p>
    <w:p w14:paraId="2B4C1AA5" w14:textId="77777777" w:rsidR="00F53B9B" w:rsidRPr="00F53B9B" w:rsidRDefault="00F53B9B" w:rsidP="00F53B9B">
      <w:pPr>
        <w:autoSpaceDE w:val="0"/>
        <w:autoSpaceDN w:val="0"/>
        <w:adjustRightInd w:val="0"/>
        <w:spacing w:line="360" w:lineRule="auto"/>
        <w:jc w:val="both"/>
        <w:rPr>
          <w:rFonts w:ascii="Cambria" w:hAnsi="Cambria" w:cstheme="minorHAnsi"/>
          <w:color w:val="000000" w:themeColor="text1"/>
          <w:sz w:val="20"/>
          <w:szCs w:val="20"/>
        </w:rPr>
      </w:pPr>
      <w:bookmarkStart w:id="9" w:name="_Toc54247665"/>
      <w:r w:rsidRPr="00F53B9B">
        <w:rPr>
          <w:rFonts w:ascii="Cambria" w:hAnsi="Cambria" w:cstheme="minorHAnsi"/>
          <w:color w:val="000000" w:themeColor="text1"/>
          <w:sz w:val="20"/>
          <w:szCs w:val="20"/>
        </w:rPr>
        <w:t xml:space="preserve">The evaluation approach sought to identify and clarify the assumptions made at the outset when implementing the Portfolio and how this was translated in implementation. This included a Theory of Change developed and the extent to which it has been consulted and reflected upon as the intervention was implemented. </w:t>
      </w:r>
    </w:p>
    <w:p w14:paraId="21A704E2" w14:textId="55DF3F9C" w:rsidR="00F53B9B" w:rsidRPr="00F53B9B" w:rsidRDefault="00F53B9B" w:rsidP="00F53B9B">
      <w:pPr>
        <w:autoSpaceDE w:val="0"/>
        <w:autoSpaceDN w:val="0"/>
        <w:adjustRightInd w:val="0"/>
        <w:spacing w:line="360" w:lineRule="auto"/>
        <w:jc w:val="both"/>
        <w:rPr>
          <w:rFonts w:ascii="Cambria" w:hAnsi="Cambria" w:cstheme="minorHAnsi"/>
          <w:color w:val="000000" w:themeColor="text1"/>
          <w:sz w:val="20"/>
          <w:szCs w:val="20"/>
        </w:rPr>
      </w:pPr>
      <w:r w:rsidRPr="00F53B9B">
        <w:rPr>
          <w:rFonts w:ascii="Cambria" w:hAnsi="Cambria" w:cstheme="minorHAnsi"/>
          <w:color w:val="000000" w:themeColor="text1"/>
          <w:sz w:val="20"/>
          <w:szCs w:val="20"/>
        </w:rPr>
        <w:t xml:space="preserve">The evaluation relied on working with the UNDP team to ensure participation of stakeholders in the process, in identifying relevant information/data sources and ensure implementation of the evaluation in the current constrained context. </w:t>
      </w:r>
      <w:r w:rsidRPr="004240E8">
        <w:rPr>
          <w:rFonts w:ascii="Cambria" w:hAnsi="Cambria" w:cstheme="minorHAnsi"/>
          <w:color w:val="000000" w:themeColor="text1"/>
          <w:sz w:val="20"/>
          <w:szCs w:val="20"/>
        </w:rPr>
        <w:t xml:space="preserve">This was done whilst ensuring the independence of the evaluation and maintaining confidentiality of </w:t>
      </w:r>
      <w:r w:rsidR="004240E8">
        <w:rPr>
          <w:rFonts w:ascii="Cambria" w:hAnsi="Cambria" w:cstheme="minorHAnsi"/>
          <w:color w:val="000000" w:themeColor="text1"/>
          <w:sz w:val="20"/>
          <w:szCs w:val="20"/>
        </w:rPr>
        <w:t xml:space="preserve">the information shared. </w:t>
      </w:r>
      <w:r w:rsidRPr="00F53B9B">
        <w:rPr>
          <w:rFonts w:ascii="Cambria" w:hAnsi="Cambria" w:cstheme="minorHAnsi"/>
          <w:color w:val="000000" w:themeColor="text1"/>
          <w:sz w:val="20"/>
          <w:szCs w:val="20"/>
        </w:rPr>
        <w:t xml:space="preserve"> </w:t>
      </w:r>
    </w:p>
    <w:p w14:paraId="1F731CE2" w14:textId="77777777" w:rsidR="00F53B9B" w:rsidRPr="00F53B9B" w:rsidRDefault="00F53B9B" w:rsidP="00F53B9B">
      <w:pPr>
        <w:autoSpaceDE w:val="0"/>
        <w:autoSpaceDN w:val="0"/>
        <w:adjustRightInd w:val="0"/>
        <w:spacing w:line="360" w:lineRule="auto"/>
        <w:jc w:val="both"/>
        <w:rPr>
          <w:rFonts w:ascii="Cambria" w:hAnsi="Cambria" w:cstheme="minorHAnsi"/>
          <w:color w:val="000000" w:themeColor="text1"/>
          <w:sz w:val="20"/>
          <w:szCs w:val="20"/>
        </w:rPr>
      </w:pPr>
      <w:r w:rsidRPr="00F53B9B">
        <w:rPr>
          <w:rFonts w:ascii="Cambria" w:hAnsi="Cambria" w:cstheme="minorHAnsi"/>
          <w:color w:val="000000" w:themeColor="text1"/>
          <w:sz w:val="20"/>
          <w:szCs w:val="20"/>
        </w:rPr>
        <w:t>Respondents were provided with a description of the purpose of the evaluation and the use of information and opinions provided, including the confidential nature of reflections they provide. Participation in the evaluation was voluntary.</w:t>
      </w:r>
    </w:p>
    <w:p w14:paraId="01A4160C" w14:textId="77777777" w:rsidR="00E078EF" w:rsidRPr="00223CBF" w:rsidRDefault="00E078EF" w:rsidP="00E078EF">
      <w:pPr>
        <w:autoSpaceDE w:val="0"/>
        <w:autoSpaceDN w:val="0"/>
        <w:adjustRightInd w:val="0"/>
        <w:spacing w:line="360" w:lineRule="auto"/>
        <w:jc w:val="both"/>
        <w:outlineLvl w:val="1"/>
        <w:rPr>
          <w:rFonts w:ascii="Cambria" w:hAnsi="Cambria" w:cstheme="minorHAnsi"/>
          <w:b/>
          <w:bCs/>
          <w:color w:val="000000" w:themeColor="text1"/>
          <w:sz w:val="20"/>
          <w:szCs w:val="20"/>
        </w:rPr>
      </w:pPr>
    </w:p>
    <w:p w14:paraId="0EEE8794" w14:textId="2C2B1E7B" w:rsidR="00E078EF" w:rsidRPr="0055598A" w:rsidRDefault="00E078EF" w:rsidP="00081358">
      <w:pPr>
        <w:pStyle w:val="ListParagraph"/>
        <w:numPr>
          <w:ilvl w:val="2"/>
          <w:numId w:val="76"/>
        </w:numPr>
        <w:autoSpaceDE w:val="0"/>
        <w:autoSpaceDN w:val="0"/>
        <w:adjustRightInd w:val="0"/>
        <w:spacing w:line="360" w:lineRule="auto"/>
        <w:jc w:val="both"/>
        <w:outlineLvl w:val="1"/>
        <w:rPr>
          <w:rFonts w:ascii="Cambria" w:hAnsi="Cambria" w:cstheme="minorHAnsi"/>
          <w:b/>
          <w:bCs/>
          <w:color w:val="000000" w:themeColor="text1"/>
        </w:rPr>
      </w:pPr>
      <w:bookmarkStart w:id="10" w:name="_Toc57135093"/>
      <w:bookmarkStart w:id="11" w:name="_Toc57135152"/>
      <w:bookmarkStart w:id="12" w:name="_Toc57135168"/>
      <w:r w:rsidRPr="0055598A">
        <w:rPr>
          <w:rFonts w:ascii="Cambria" w:hAnsi="Cambria" w:cstheme="minorHAnsi"/>
          <w:b/>
          <w:bCs/>
          <w:color w:val="000000" w:themeColor="text1"/>
        </w:rPr>
        <w:t>Methodology</w:t>
      </w:r>
      <w:bookmarkEnd w:id="9"/>
      <w:bookmarkEnd w:id="10"/>
      <w:bookmarkEnd w:id="11"/>
      <w:bookmarkEnd w:id="12"/>
      <w:r w:rsidRPr="0055598A">
        <w:rPr>
          <w:rFonts w:ascii="Cambria" w:hAnsi="Cambria" w:cstheme="minorHAnsi"/>
          <w:b/>
          <w:bCs/>
          <w:color w:val="000000" w:themeColor="text1"/>
        </w:rPr>
        <w:t xml:space="preserve"> </w:t>
      </w:r>
    </w:p>
    <w:p w14:paraId="43E9C658" w14:textId="51652642" w:rsidR="00F53B9B" w:rsidRPr="00F53B9B" w:rsidRDefault="00F53B9B" w:rsidP="00F53B9B">
      <w:pPr>
        <w:spacing w:line="360" w:lineRule="auto"/>
        <w:jc w:val="both"/>
        <w:rPr>
          <w:rFonts w:ascii="Cambria" w:hAnsi="Cambria" w:cstheme="minorHAnsi"/>
          <w:color w:val="000000" w:themeColor="text1"/>
          <w:sz w:val="20"/>
          <w:szCs w:val="20"/>
          <w:lang w:val="en-GB"/>
        </w:rPr>
      </w:pPr>
      <w:bookmarkStart w:id="13" w:name="_Toc33983154"/>
      <w:bookmarkStart w:id="14" w:name="_Toc34148924"/>
      <w:bookmarkStart w:id="15" w:name="_Toc43036358"/>
      <w:bookmarkEnd w:id="5"/>
      <w:r w:rsidRPr="00F53B9B">
        <w:rPr>
          <w:rFonts w:ascii="Cambria" w:hAnsi="Cambria" w:cstheme="minorHAnsi"/>
          <w:color w:val="000000" w:themeColor="text1"/>
          <w:sz w:val="20"/>
          <w:szCs w:val="20"/>
          <w:lang w:val="en-GB"/>
        </w:rPr>
        <w:t>The MTE follow</w:t>
      </w:r>
      <w:r w:rsidR="00192A04">
        <w:rPr>
          <w:rFonts w:ascii="Cambria" w:hAnsi="Cambria" w:cstheme="minorHAnsi"/>
          <w:color w:val="000000" w:themeColor="text1"/>
          <w:sz w:val="20"/>
          <w:szCs w:val="20"/>
          <w:lang w:val="en-GB"/>
        </w:rPr>
        <w:t>ed</w:t>
      </w:r>
      <w:r w:rsidRPr="00F53B9B">
        <w:rPr>
          <w:rFonts w:ascii="Cambria" w:hAnsi="Cambria" w:cstheme="minorHAnsi"/>
          <w:color w:val="000000" w:themeColor="text1"/>
          <w:sz w:val="20"/>
          <w:szCs w:val="20"/>
          <w:lang w:val="en-GB"/>
        </w:rPr>
        <w:t xml:space="preserve"> a mixed method evaluation approach. This included a review of secondary resources as part of the desk review, which was initiated during the inception phase, and continued during the field phase. The desk review involved attempting to draw out the quantitative/number-based information from the secondary sources to complement the primary data collection through the Key Person Interviews (KPIs). </w:t>
      </w:r>
    </w:p>
    <w:p w14:paraId="7A6AF422" w14:textId="504EEF7B" w:rsidR="00F53B9B" w:rsidRPr="00F53B9B" w:rsidRDefault="00F53B9B" w:rsidP="00F53B9B">
      <w:pPr>
        <w:spacing w:line="360" w:lineRule="auto"/>
        <w:jc w:val="both"/>
        <w:rPr>
          <w:rFonts w:ascii="Cambria" w:hAnsi="Cambria" w:cstheme="minorHAnsi"/>
          <w:color w:val="000000" w:themeColor="text1"/>
          <w:sz w:val="20"/>
          <w:szCs w:val="20"/>
          <w:lang w:val="en-GB"/>
        </w:rPr>
      </w:pPr>
      <w:r w:rsidRPr="00F53B9B">
        <w:rPr>
          <w:rFonts w:ascii="Cambria" w:hAnsi="Cambria" w:cstheme="minorHAnsi"/>
          <w:color w:val="000000" w:themeColor="text1"/>
          <w:sz w:val="20"/>
          <w:szCs w:val="20"/>
          <w:lang w:val="en-GB"/>
        </w:rPr>
        <w:t>Primary data collected during the period 5</w:t>
      </w:r>
      <w:r w:rsidRPr="00F53B9B">
        <w:rPr>
          <w:rFonts w:ascii="Cambria" w:hAnsi="Cambria" w:cstheme="minorHAnsi"/>
          <w:color w:val="000000" w:themeColor="text1"/>
          <w:sz w:val="20"/>
          <w:szCs w:val="20"/>
          <w:vertAlign w:val="superscript"/>
          <w:lang w:val="en-GB"/>
        </w:rPr>
        <w:t>th</w:t>
      </w:r>
      <w:r w:rsidRPr="00F53B9B">
        <w:rPr>
          <w:rFonts w:ascii="Cambria" w:hAnsi="Cambria" w:cstheme="minorHAnsi"/>
          <w:color w:val="000000" w:themeColor="text1"/>
          <w:sz w:val="20"/>
          <w:szCs w:val="20"/>
          <w:lang w:val="en-GB"/>
        </w:rPr>
        <w:t xml:space="preserve"> October to 10</w:t>
      </w:r>
      <w:r w:rsidRPr="00F53B9B">
        <w:rPr>
          <w:rFonts w:ascii="Cambria" w:hAnsi="Cambria" w:cstheme="minorHAnsi"/>
          <w:color w:val="000000" w:themeColor="text1"/>
          <w:sz w:val="20"/>
          <w:szCs w:val="20"/>
          <w:vertAlign w:val="superscript"/>
          <w:lang w:val="en-GB"/>
        </w:rPr>
        <w:t>th</w:t>
      </w:r>
      <w:r w:rsidRPr="00F53B9B">
        <w:rPr>
          <w:rFonts w:ascii="Cambria" w:hAnsi="Cambria" w:cstheme="minorHAnsi"/>
          <w:color w:val="000000" w:themeColor="text1"/>
          <w:sz w:val="20"/>
          <w:szCs w:val="20"/>
          <w:lang w:val="en-GB"/>
        </w:rPr>
        <w:t xml:space="preserve"> November</w:t>
      </w:r>
      <w:r w:rsidR="00B0713D">
        <w:rPr>
          <w:rFonts w:ascii="Cambria" w:hAnsi="Cambria" w:cstheme="minorHAnsi"/>
          <w:color w:val="000000" w:themeColor="text1"/>
          <w:sz w:val="20"/>
          <w:szCs w:val="20"/>
          <w:lang w:val="en-GB"/>
        </w:rPr>
        <w:t>,</w:t>
      </w:r>
      <w:r w:rsidRPr="00F53B9B">
        <w:rPr>
          <w:rFonts w:ascii="Cambria" w:hAnsi="Cambria" w:cstheme="minorHAnsi"/>
          <w:color w:val="000000" w:themeColor="text1"/>
          <w:sz w:val="20"/>
          <w:szCs w:val="20"/>
          <w:lang w:val="en-GB"/>
        </w:rPr>
        <w:t xml:space="preserve"> involving </w:t>
      </w:r>
      <w:r w:rsidR="00147E51">
        <w:rPr>
          <w:rFonts w:ascii="Cambria" w:hAnsi="Cambria" w:cstheme="minorHAnsi"/>
          <w:color w:val="000000" w:themeColor="text1"/>
          <w:sz w:val="20"/>
          <w:szCs w:val="20"/>
          <w:lang w:val="en-GB"/>
        </w:rPr>
        <w:t>KPIs</w:t>
      </w:r>
      <w:r w:rsidR="00B0713D">
        <w:rPr>
          <w:rFonts w:ascii="Cambria" w:hAnsi="Cambria" w:cstheme="minorHAnsi"/>
          <w:color w:val="000000" w:themeColor="text1"/>
          <w:sz w:val="20"/>
          <w:szCs w:val="20"/>
          <w:lang w:val="en-GB"/>
        </w:rPr>
        <w:t>,</w:t>
      </w:r>
      <w:r w:rsidRPr="00F53B9B">
        <w:rPr>
          <w:rFonts w:ascii="Cambria" w:hAnsi="Cambria" w:cstheme="minorHAnsi"/>
          <w:color w:val="000000" w:themeColor="text1"/>
          <w:sz w:val="20"/>
          <w:szCs w:val="20"/>
          <w:lang w:val="en-GB"/>
        </w:rPr>
        <w:t xml:space="preserve"> used a semi-structured question guide. Where relevant, secondary data drawn from the periodic reporting was further explored</w:t>
      </w:r>
      <w:r w:rsidR="00B0713D">
        <w:rPr>
          <w:rFonts w:ascii="Cambria" w:hAnsi="Cambria" w:cstheme="minorHAnsi"/>
          <w:color w:val="000000" w:themeColor="text1"/>
          <w:sz w:val="20"/>
          <w:szCs w:val="20"/>
          <w:lang w:val="en-GB"/>
        </w:rPr>
        <w:t>,</w:t>
      </w:r>
      <w:r w:rsidRPr="00F53B9B">
        <w:rPr>
          <w:rFonts w:ascii="Cambria" w:hAnsi="Cambria" w:cstheme="minorHAnsi"/>
          <w:color w:val="000000" w:themeColor="text1"/>
          <w:sz w:val="20"/>
          <w:szCs w:val="20"/>
          <w:lang w:val="en-GB"/>
        </w:rPr>
        <w:t xml:space="preserve"> during the interviews</w:t>
      </w:r>
      <w:r w:rsidR="00B0713D">
        <w:rPr>
          <w:rFonts w:ascii="Cambria" w:hAnsi="Cambria" w:cstheme="minorHAnsi"/>
          <w:color w:val="000000" w:themeColor="text1"/>
          <w:sz w:val="20"/>
          <w:szCs w:val="20"/>
          <w:lang w:val="en-GB"/>
        </w:rPr>
        <w:t>,</w:t>
      </w:r>
      <w:r w:rsidRPr="00F53B9B">
        <w:rPr>
          <w:rFonts w:ascii="Cambria" w:hAnsi="Cambria" w:cstheme="minorHAnsi"/>
          <w:color w:val="000000" w:themeColor="text1"/>
          <w:sz w:val="20"/>
          <w:szCs w:val="20"/>
          <w:lang w:val="en-GB"/>
        </w:rPr>
        <w:t xml:space="preserve"> to compare information provided on the broad range of activities within each output area. </w:t>
      </w:r>
    </w:p>
    <w:p w14:paraId="7424B835" w14:textId="02AB0A4C" w:rsidR="00F53B9B" w:rsidRPr="00F53B9B" w:rsidRDefault="00F53B9B" w:rsidP="00F53B9B">
      <w:pPr>
        <w:spacing w:line="360" w:lineRule="auto"/>
        <w:jc w:val="both"/>
        <w:rPr>
          <w:rFonts w:ascii="Cambria" w:hAnsi="Cambria" w:cstheme="minorHAnsi"/>
          <w:color w:val="000000" w:themeColor="text1"/>
          <w:sz w:val="20"/>
          <w:szCs w:val="20"/>
          <w:lang w:val="en-GB"/>
        </w:rPr>
      </w:pPr>
      <w:r w:rsidRPr="00F53B9B">
        <w:rPr>
          <w:rFonts w:ascii="Cambria" w:hAnsi="Cambria" w:cstheme="minorHAnsi"/>
          <w:color w:val="000000" w:themeColor="text1"/>
          <w:sz w:val="20"/>
          <w:szCs w:val="20"/>
          <w:lang w:val="en-GB"/>
        </w:rPr>
        <w:t>Quantitative methods were not used in the evaluation as it did not aim to provide representative results through the evaluation. Rather, the methodology adopted</w:t>
      </w:r>
      <w:r w:rsidR="00B0713D">
        <w:rPr>
          <w:rFonts w:ascii="Cambria" w:hAnsi="Cambria" w:cstheme="minorHAnsi"/>
          <w:color w:val="000000" w:themeColor="text1"/>
          <w:sz w:val="20"/>
          <w:szCs w:val="20"/>
          <w:lang w:val="en-GB"/>
        </w:rPr>
        <w:t>,</w:t>
      </w:r>
      <w:r w:rsidRPr="00F53B9B">
        <w:rPr>
          <w:rFonts w:ascii="Cambria" w:hAnsi="Cambria" w:cstheme="minorHAnsi"/>
          <w:color w:val="000000" w:themeColor="text1"/>
          <w:sz w:val="20"/>
          <w:szCs w:val="20"/>
          <w:lang w:val="en-GB"/>
        </w:rPr>
        <w:t xml:space="preserve"> </w:t>
      </w:r>
      <w:r w:rsidR="00147E51">
        <w:rPr>
          <w:rFonts w:ascii="Cambria" w:hAnsi="Cambria" w:cstheme="minorHAnsi"/>
          <w:color w:val="000000" w:themeColor="text1"/>
          <w:sz w:val="20"/>
          <w:szCs w:val="20"/>
          <w:lang w:val="en-GB"/>
        </w:rPr>
        <w:t xml:space="preserve">intended </w:t>
      </w:r>
      <w:r w:rsidRPr="00F53B9B">
        <w:rPr>
          <w:rFonts w:ascii="Cambria" w:hAnsi="Cambria" w:cstheme="minorHAnsi"/>
          <w:color w:val="000000" w:themeColor="text1"/>
          <w:sz w:val="20"/>
          <w:szCs w:val="20"/>
          <w:lang w:val="en-GB"/>
        </w:rPr>
        <w:t>to draw out quantitative data as available in the reporting and sources provided to the evaluator</w:t>
      </w:r>
      <w:r w:rsidR="00B0713D">
        <w:rPr>
          <w:rFonts w:ascii="Cambria" w:hAnsi="Cambria" w:cstheme="minorHAnsi"/>
          <w:color w:val="000000" w:themeColor="text1"/>
          <w:sz w:val="20"/>
          <w:szCs w:val="20"/>
          <w:lang w:val="en-GB"/>
        </w:rPr>
        <w:t>,</w:t>
      </w:r>
      <w:r w:rsidRPr="00F53B9B">
        <w:rPr>
          <w:rFonts w:ascii="Cambria" w:hAnsi="Cambria" w:cstheme="minorHAnsi"/>
          <w:color w:val="000000" w:themeColor="text1"/>
          <w:sz w:val="20"/>
          <w:szCs w:val="20"/>
          <w:lang w:val="en-GB"/>
        </w:rPr>
        <w:t xml:space="preserve"> and focus </w:t>
      </w:r>
      <w:r w:rsidR="00B0713D">
        <w:rPr>
          <w:rFonts w:ascii="Cambria" w:hAnsi="Cambria" w:cstheme="minorHAnsi"/>
          <w:color w:val="000000" w:themeColor="text1"/>
          <w:sz w:val="20"/>
          <w:szCs w:val="20"/>
          <w:lang w:val="en-GB"/>
        </w:rPr>
        <w:t xml:space="preserve">on </w:t>
      </w:r>
      <w:r w:rsidRPr="00F53B9B">
        <w:rPr>
          <w:rFonts w:ascii="Cambria" w:hAnsi="Cambria" w:cstheme="minorHAnsi"/>
          <w:color w:val="000000" w:themeColor="text1"/>
          <w:sz w:val="20"/>
          <w:szCs w:val="20"/>
          <w:lang w:val="en-GB"/>
        </w:rPr>
        <w:t xml:space="preserve">the primary data collection using </w:t>
      </w:r>
      <w:r w:rsidRPr="00F53B9B">
        <w:rPr>
          <w:rFonts w:ascii="Cambria" w:hAnsi="Cambria" w:cstheme="minorHAnsi"/>
          <w:color w:val="000000" w:themeColor="text1"/>
          <w:sz w:val="20"/>
          <w:szCs w:val="20"/>
          <w:lang w:val="en-GB"/>
        </w:rPr>
        <w:lastRenderedPageBreak/>
        <w:t xml:space="preserve">qualitative methods. This enabled an in-depth exploration of the issues within the framework of the evaluation criteria. </w:t>
      </w:r>
    </w:p>
    <w:p w14:paraId="1FD09FED" w14:textId="38CC64ED" w:rsidR="004D72E6" w:rsidRDefault="00F53B9B" w:rsidP="00E078EF">
      <w:pPr>
        <w:spacing w:line="360" w:lineRule="auto"/>
        <w:jc w:val="both"/>
        <w:rPr>
          <w:rFonts w:ascii="Cambria" w:hAnsi="Cambria" w:cstheme="minorHAnsi"/>
          <w:color w:val="000000" w:themeColor="text1"/>
          <w:sz w:val="20"/>
          <w:szCs w:val="20"/>
          <w:lang w:val="en-GB"/>
        </w:rPr>
      </w:pPr>
      <w:r w:rsidRPr="00F53B9B">
        <w:rPr>
          <w:rFonts w:ascii="Cambria" w:hAnsi="Cambria" w:cstheme="minorHAnsi"/>
          <w:color w:val="000000" w:themeColor="text1"/>
          <w:sz w:val="20"/>
          <w:szCs w:val="20"/>
          <w:lang w:val="en-GB"/>
        </w:rPr>
        <w:t>All collected data, primary and secondary, was used for formulating the findings and drawing conclusions. Recommendations and lessons learnt from this analysis was formulated to be applicable during the remainder of the project.</w:t>
      </w:r>
    </w:p>
    <w:p w14:paraId="1448B1A4" w14:textId="77777777" w:rsidR="0055598A" w:rsidRPr="0055598A" w:rsidRDefault="0055598A" w:rsidP="00E078EF">
      <w:pPr>
        <w:spacing w:line="360" w:lineRule="auto"/>
        <w:jc w:val="both"/>
        <w:rPr>
          <w:rFonts w:ascii="Cambria" w:hAnsi="Cambria" w:cstheme="minorHAnsi"/>
          <w:color w:val="000000" w:themeColor="text1"/>
          <w:sz w:val="20"/>
          <w:szCs w:val="20"/>
          <w:lang w:val="en-GB"/>
        </w:rPr>
      </w:pPr>
    </w:p>
    <w:p w14:paraId="702B404D" w14:textId="4FDACABC" w:rsidR="007260A1" w:rsidRPr="0055598A" w:rsidRDefault="007260A1" w:rsidP="00081358">
      <w:pPr>
        <w:pStyle w:val="ListParagraph"/>
        <w:numPr>
          <w:ilvl w:val="2"/>
          <w:numId w:val="76"/>
        </w:numPr>
        <w:spacing w:line="360" w:lineRule="auto"/>
        <w:jc w:val="both"/>
        <w:rPr>
          <w:rFonts w:ascii="Cambria" w:hAnsi="Cambria" w:cstheme="minorHAnsi"/>
          <w:b/>
          <w:bCs/>
          <w:color w:val="000000" w:themeColor="text1"/>
          <w:sz w:val="28"/>
          <w:szCs w:val="28"/>
        </w:rPr>
      </w:pPr>
      <w:r w:rsidRPr="0055598A">
        <w:rPr>
          <w:rFonts w:ascii="Cambria" w:hAnsi="Cambria" w:cstheme="minorHAnsi"/>
          <w:b/>
          <w:bCs/>
          <w:color w:val="000000" w:themeColor="text1"/>
          <w:sz w:val="28"/>
          <w:szCs w:val="28"/>
        </w:rPr>
        <w:t>Data collection tools</w:t>
      </w:r>
      <w:bookmarkEnd w:id="13"/>
      <w:bookmarkEnd w:id="14"/>
      <w:bookmarkEnd w:id="15"/>
    </w:p>
    <w:p w14:paraId="464ECCCC" w14:textId="4D747010" w:rsidR="007260A1" w:rsidRPr="00223CBF" w:rsidRDefault="007260A1" w:rsidP="000507CA">
      <w:pPr>
        <w:spacing w:line="360" w:lineRule="auto"/>
        <w:jc w:val="both"/>
        <w:rPr>
          <w:rFonts w:ascii="Cambria" w:hAnsi="Cambria" w:cstheme="minorHAnsi"/>
          <w:color w:val="000000" w:themeColor="text1"/>
          <w:sz w:val="20"/>
          <w:szCs w:val="20"/>
          <w:lang w:val="en-GB"/>
        </w:rPr>
      </w:pPr>
      <w:r w:rsidRPr="00223CBF">
        <w:rPr>
          <w:rFonts w:ascii="Cambria" w:hAnsi="Cambria" w:cstheme="minorHAnsi"/>
          <w:color w:val="000000" w:themeColor="text1"/>
          <w:sz w:val="20"/>
          <w:szCs w:val="20"/>
          <w:lang w:val="en-GB"/>
        </w:rPr>
        <w:t xml:space="preserve">The following </w:t>
      </w:r>
      <w:r w:rsidR="00F425B2">
        <w:rPr>
          <w:rFonts w:ascii="Cambria" w:hAnsi="Cambria" w:cstheme="minorHAnsi"/>
          <w:color w:val="000000" w:themeColor="text1"/>
          <w:sz w:val="20"/>
          <w:szCs w:val="20"/>
          <w:lang w:val="en-GB"/>
        </w:rPr>
        <w:t xml:space="preserve">was </w:t>
      </w:r>
      <w:r w:rsidRPr="00223CBF">
        <w:rPr>
          <w:rFonts w:ascii="Cambria" w:hAnsi="Cambria" w:cstheme="minorHAnsi"/>
          <w:color w:val="000000" w:themeColor="text1"/>
          <w:sz w:val="20"/>
          <w:szCs w:val="20"/>
          <w:lang w:val="en-GB"/>
        </w:rPr>
        <w:t>used to gather information for the evaluation:</w:t>
      </w:r>
    </w:p>
    <w:p w14:paraId="14CA0754" w14:textId="51C8383F" w:rsidR="00F53B9B" w:rsidRDefault="007260A1" w:rsidP="00F53B9B">
      <w:pPr>
        <w:pStyle w:val="ListParagraph"/>
        <w:numPr>
          <w:ilvl w:val="0"/>
          <w:numId w:val="16"/>
        </w:numPr>
        <w:spacing w:line="360" w:lineRule="auto"/>
        <w:contextualSpacing w:val="0"/>
        <w:jc w:val="both"/>
        <w:rPr>
          <w:rFonts w:ascii="Cambria" w:hAnsi="Cambria" w:cstheme="minorHAnsi"/>
          <w:color w:val="000000" w:themeColor="text1"/>
          <w:sz w:val="20"/>
          <w:szCs w:val="20"/>
        </w:rPr>
      </w:pPr>
      <w:r w:rsidRPr="00F53B9B">
        <w:rPr>
          <w:rFonts w:ascii="Cambria" w:hAnsi="Cambria" w:cstheme="minorHAnsi"/>
          <w:b/>
          <w:color w:val="000000" w:themeColor="text1"/>
          <w:sz w:val="20"/>
          <w:szCs w:val="20"/>
        </w:rPr>
        <w:t>Desk review</w:t>
      </w:r>
      <w:r w:rsidRPr="00F53B9B">
        <w:rPr>
          <w:rFonts w:ascii="Cambria" w:hAnsi="Cambria" w:cstheme="minorHAnsi"/>
          <w:color w:val="000000" w:themeColor="text1"/>
          <w:sz w:val="20"/>
          <w:szCs w:val="20"/>
        </w:rPr>
        <w:t xml:space="preserve">: </w:t>
      </w:r>
      <w:r w:rsidR="00147E51">
        <w:rPr>
          <w:rFonts w:ascii="Cambria" w:hAnsi="Cambria" w:cstheme="minorHAnsi"/>
          <w:color w:val="000000" w:themeColor="text1"/>
          <w:sz w:val="20"/>
          <w:szCs w:val="20"/>
        </w:rPr>
        <w:t>T</w:t>
      </w:r>
      <w:r w:rsidRPr="00F53B9B">
        <w:rPr>
          <w:rFonts w:ascii="Cambria" w:hAnsi="Cambria" w:cstheme="minorHAnsi"/>
          <w:color w:val="000000" w:themeColor="text1"/>
          <w:sz w:val="20"/>
          <w:szCs w:val="20"/>
        </w:rPr>
        <w:t>his involve</w:t>
      </w:r>
      <w:r w:rsidR="00192A04">
        <w:rPr>
          <w:rFonts w:ascii="Cambria" w:hAnsi="Cambria" w:cstheme="minorHAnsi"/>
          <w:color w:val="000000" w:themeColor="text1"/>
          <w:sz w:val="20"/>
          <w:szCs w:val="20"/>
        </w:rPr>
        <w:t>d</w:t>
      </w:r>
      <w:r w:rsidRPr="00F53B9B">
        <w:rPr>
          <w:rFonts w:ascii="Cambria" w:hAnsi="Cambria" w:cstheme="minorHAnsi"/>
          <w:color w:val="000000" w:themeColor="text1"/>
          <w:sz w:val="20"/>
          <w:szCs w:val="20"/>
        </w:rPr>
        <w:t xml:space="preserve"> studying all documentation received from the UNDP team and compiling other relevant documentation from public sources such as government, </w:t>
      </w:r>
      <w:r w:rsidR="00F041A4" w:rsidRPr="00F53B9B">
        <w:rPr>
          <w:rFonts w:ascii="Cambria" w:hAnsi="Cambria" w:cstheme="minorHAnsi"/>
          <w:bCs/>
          <w:sz w:val="20"/>
          <w:szCs w:val="20"/>
          <w:lang w:val="en-GB"/>
        </w:rPr>
        <w:t>Non-Governmental Organisations (NGOs)</w:t>
      </w:r>
      <w:r w:rsidRPr="00F53B9B">
        <w:rPr>
          <w:rFonts w:ascii="Cambria" w:hAnsi="Cambria" w:cstheme="minorHAnsi"/>
          <w:color w:val="000000" w:themeColor="text1"/>
          <w:sz w:val="20"/>
          <w:szCs w:val="20"/>
        </w:rPr>
        <w:t>, I</w:t>
      </w:r>
      <w:r w:rsidR="00F25DF1" w:rsidRPr="00F53B9B">
        <w:rPr>
          <w:rFonts w:ascii="Cambria" w:hAnsi="Cambria" w:cstheme="minorHAnsi"/>
          <w:color w:val="000000" w:themeColor="text1"/>
          <w:sz w:val="20"/>
          <w:szCs w:val="20"/>
        </w:rPr>
        <w:t xml:space="preserve">nternational </w:t>
      </w:r>
      <w:r w:rsidRPr="00F53B9B">
        <w:rPr>
          <w:rFonts w:ascii="Cambria" w:hAnsi="Cambria" w:cstheme="minorHAnsi"/>
          <w:color w:val="000000" w:themeColor="text1"/>
          <w:sz w:val="20"/>
          <w:szCs w:val="20"/>
        </w:rPr>
        <w:t>N</w:t>
      </w:r>
      <w:r w:rsidR="00F25DF1" w:rsidRPr="00F53B9B">
        <w:rPr>
          <w:rFonts w:ascii="Cambria" w:hAnsi="Cambria" w:cstheme="minorHAnsi"/>
          <w:color w:val="000000" w:themeColor="text1"/>
          <w:sz w:val="20"/>
          <w:szCs w:val="20"/>
        </w:rPr>
        <w:t>on-</w:t>
      </w:r>
      <w:r w:rsidRPr="00F53B9B">
        <w:rPr>
          <w:rFonts w:ascii="Cambria" w:hAnsi="Cambria" w:cstheme="minorHAnsi"/>
          <w:color w:val="000000" w:themeColor="text1"/>
          <w:sz w:val="20"/>
          <w:szCs w:val="20"/>
        </w:rPr>
        <w:t>G</w:t>
      </w:r>
      <w:r w:rsidR="00F25DF1" w:rsidRPr="00F53B9B">
        <w:rPr>
          <w:rFonts w:ascii="Cambria" w:hAnsi="Cambria" w:cstheme="minorHAnsi"/>
          <w:color w:val="000000" w:themeColor="text1"/>
          <w:sz w:val="20"/>
          <w:szCs w:val="20"/>
        </w:rPr>
        <w:t xml:space="preserve">overnmental </w:t>
      </w:r>
      <w:r w:rsidRPr="00F53B9B">
        <w:rPr>
          <w:rFonts w:ascii="Cambria" w:hAnsi="Cambria" w:cstheme="minorHAnsi"/>
          <w:color w:val="000000" w:themeColor="text1"/>
          <w:sz w:val="20"/>
          <w:szCs w:val="20"/>
        </w:rPr>
        <w:t>O</w:t>
      </w:r>
      <w:r w:rsidR="00F25DF1" w:rsidRPr="00F53B9B">
        <w:rPr>
          <w:rFonts w:ascii="Cambria" w:hAnsi="Cambria" w:cstheme="minorHAnsi"/>
          <w:color w:val="000000" w:themeColor="text1"/>
          <w:sz w:val="20"/>
          <w:szCs w:val="20"/>
        </w:rPr>
        <w:t>rganisation</w:t>
      </w:r>
      <w:r w:rsidRPr="00F53B9B">
        <w:rPr>
          <w:rFonts w:ascii="Cambria" w:hAnsi="Cambria" w:cstheme="minorHAnsi"/>
          <w:color w:val="000000" w:themeColor="text1"/>
          <w:sz w:val="20"/>
          <w:szCs w:val="20"/>
        </w:rPr>
        <w:t>s</w:t>
      </w:r>
      <w:r w:rsidR="001411E0" w:rsidRPr="00F53B9B">
        <w:rPr>
          <w:rFonts w:ascii="Cambria" w:hAnsi="Cambria" w:cstheme="minorHAnsi"/>
          <w:color w:val="000000" w:themeColor="text1"/>
          <w:sz w:val="20"/>
          <w:szCs w:val="20"/>
        </w:rPr>
        <w:t xml:space="preserve"> (INGOs)</w:t>
      </w:r>
      <w:r w:rsidRPr="00F53B9B">
        <w:rPr>
          <w:rFonts w:ascii="Cambria" w:hAnsi="Cambria" w:cstheme="minorHAnsi"/>
          <w:color w:val="000000" w:themeColor="text1"/>
          <w:sz w:val="20"/>
          <w:szCs w:val="20"/>
        </w:rPr>
        <w:t xml:space="preserve">, academic institutions, </w:t>
      </w:r>
      <w:r w:rsidR="00F53B9B" w:rsidRPr="00223CBF">
        <w:rPr>
          <w:rFonts w:ascii="Cambria" w:hAnsi="Cambria" w:cstheme="minorHAnsi"/>
          <w:color w:val="000000" w:themeColor="text1"/>
          <w:sz w:val="20"/>
          <w:szCs w:val="20"/>
        </w:rPr>
        <w:t>etc</w:t>
      </w:r>
      <w:r w:rsidR="00F53B9B" w:rsidRPr="00BB161F">
        <w:rPr>
          <w:rFonts w:ascii="Cambria" w:hAnsi="Cambria" w:cstheme="minorHAnsi"/>
          <w:color w:val="000000" w:themeColor="text1"/>
          <w:sz w:val="20"/>
          <w:szCs w:val="20"/>
        </w:rPr>
        <w:t>. (see list of documents reviewed in Annex Two</w:t>
      </w:r>
      <w:r w:rsidR="00F53B9B" w:rsidRPr="00F425B2">
        <w:rPr>
          <w:rFonts w:ascii="Cambria" w:hAnsi="Cambria" w:cstheme="minorHAnsi"/>
          <w:color w:val="000000" w:themeColor="text1"/>
          <w:sz w:val="20"/>
          <w:szCs w:val="20"/>
        </w:rPr>
        <w:t xml:space="preserve">). These </w:t>
      </w:r>
      <w:r w:rsidR="00F425B2" w:rsidRPr="00F425B2">
        <w:rPr>
          <w:rFonts w:ascii="Cambria" w:hAnsi="Cambria" w:cstheme="minorHAnsi"/>
          <w:color w:val="000000" w:themeColor="text1"/>
          <w:sz w:val="20"/>
          <w:szCs w:val="20"/>
        </w:rPr>
        <w:t xml:space="preserve">were </w:t>
      </w:r>
      <w:r w:rsidR="00F53B9B" w:rsidRPr="00F425B2">
        <w:rPr>
          <w:rFonts w:ascii="Cambria" w:hAnsi="Cambria" w:cstheme="minorHAnsi"/>
          <w:color w:val="000000" w:themeColor="text1"/>
          <w:sz w:val="20"/>
          <w:szCs w:val="20"/>
        </w:rPr>
        <w:t>used during the inception</w:t>
      </w:r>
      <w:r w:rsidR="00F53B9B" w:rsidRPr="00223CBF">
        <w:rPr>
          <w:rFonts w:ascii="Cambria" w:hAnsi="Cambria" w:cstheme="minorHAnsi"/>
          <w:color w:val="000000" w:themeColor="text1"/>
          <w:sz w:val="20"/>
          <w:szCs w:val="20"/>
        </w:rPr>
        <w:t xml:space="preserve"> phase to develop a framework for the evaluation and the key question areas within each of the assessment criteria and the strategic direction. The review will provide</w:t>
      </w:r>
      <w:r w:rsidR="00F425B2">
        <w:rPr>
          <w:rFonts w:ascii="Cambria" w:hAnsi="Cambria" w:cstheme="minorHAnsi"/>
          <w:color w:val="000000" w:themeColor="text1"/>
          <w:sz w:val="20"/>
          <w:szCs w:val="20"/>
        </w:rPr>
        <w:t>,</w:t>
      </w:r>
      <w:r w:rsidR="00F53B9B" w:rsidRPr="00223CBF">
        <w:rPr>
          <w:rFonts w:ascii="Cambria" w:hAnsi="Cambria" w:cstheme="minorHAnsi"/>
          <w:color w:val="000000" w:themeColor="text1"/>
          <w:sz w:val="20"/>
          <w:szCs w:val="20"/>
        </w:rPr>
        <w:t xml:space="preserve"> insights into the implementation of activities and achievement of outputs</w:t>
      </w:r>
      <w:r w:rsidR="00F425B2">
        <w:rPr>
          <w:rFonts w:ascii="Cambria" w:hAnsi="Cambria" w:cstheme="minorHAnsi"/>
          <w:color w:val="000000" w:themeColor="text1"/>
          <w:sz w:val="20"/>
          <w:szCs w:val="20"/>
        </w:rPr>
        <w:t>,</w:t>
      </w:r>
      <w:r w:rsidR="00F53B9B" w:rsidRPr="00223CBF">
        <w:rPr>
          <w:rFonts w:ascii="Cambria" w:hAnsi="Cambria" w:cstheme="minorHAnsi"/>
          <w:color w:val="000000" w:themeColor="text1"/>
          <w:sz w:val="20"/>
          <w:szCs w:val="20"/>
        </w:rPr>
        <w:t xml:space="preserve"> in addition to helping an identification of gaps in information</w:t>
      </w:r>
      <w:r w:rsidR="00F425B2">
        <w:rPr>
          <w:rFonts w:ascii="Cambria" w:hAnsi="Cambria" w:cstheme="minorHAnsi"/>
          <w:color w:val="000000" w:themeColor="text1"/>
          <w:sz w:val="20"/>
          <w:szCs w:val="20"/>
        </w:rPr>
        <w:t>,</w:t>
      </w:r>
      <w:r w:rsidR="00F53B9B" w:rsidRPr="00223CBF">
        <w:rPr>
          <w:rFonts w:ascii="Cambria" w:hAnsi="Cambria" w:cstheme="minorHAnsi"/>
          <w:color w:val="000000" w:themeColor="text1"/>
          <w:sz w:val="20"/>
          <w:szCs w:val="20"/>
        </w:rPr>
        <w:t xml:space="preserve"> to be explored in the data collection phase. Information from the review will be triangulated during the key person interviews.</w:t>
      </w:r>
    </w:p>
    <w:p w14:paraId="6B3315B4" w14:textId="77777777" w:rsidR="00F53B9B" w:rsidRPr="00F53B9B" w:rsidRDefault="00F53B9B" w:rsidP="00F53B9B">
      <w:pPr>
        <w:pStyle w:val="ListParagraph"/>
        <w:spacing w:line="360" w:lineRule="auto"/>
        <w:ind w:left="360"/>
        <w:contextualSpacing w:val="0"/>
        <w:jc w:val="both"/>
        <w:rPr>
          <w:rFonts w:ascii="Cambria" w:hAnsi="Cambria" w:cstheme="minorHAnsi"/>
          <w:color w:val="000000" w:themeColor="text1"/>
          <w:sz w:val="20"/>
          <w:szCs w:val="20"/>
        </w:rPr>
      </w:pPr>
    </w:p>
    <w:p w14:paraId="49CC5A23" w14:textId="79AEC597" w:rsidR="007260A1" w:rsidRPr="00E017FC" w:rsidRDefault="007260A1" w:rsidP="00F53B9B">
      <w:pPr>
        <w:pStyle w:val="ListParagraph"/>
        <w:numPr>
          <w:ilvl w:val="0"/>
          <w:numId w:val="16"/>
        </w:numPr>
        <w:spacing w:line="360" w:lineRule="auto"/>
        <w:contextualSpacing w:val="0"/>
        <w:jc w:val="both"/>
        <w:rPr>
          <w:rFonts w:ascii="Cambria" w:hAnsi="Cambria" w:cstheme="minorHAnsi"/>
          <w:color w:val="000000" w:themeColor="text1"/>
          <w:sz w:val="20"/>
          <w:szCs w:val="20"/>
        </w:rPr>
      </w:pPr>
      <w:r w:rsidRPr="00F53B9B">
        <w:rPr>
          <w:rFonts w:ascii="Cambria" w:hAnsi="Cambria" w:cstheme="minorHAnsi"/>
          <w:b/>
          <w:color w:val="000000" w:themeColor="text1"/>
          <w:sz w:val="20"/>
          <w:szCs w:val="20"/>
        </w:rPr>
        <w:t xml:space="preserve">Semi-structured key person interviews (KPI): </w:t>
      </w:r>
      <w:bookmarkStart w:id="16" w:name="_Toc54247666"/>
      <w:r w:rsidR="00F53B9B" w:rsidRPr="00223CBF">
        <w:rPr>
          <w:rFonts w:ascii="Cambria" w:hAnsi="Cambria" w:cstheme="minorHAnsi"/>
          <w:color w:val="000000" w:themeColor="text1"/>
          <w:sz w:val="20"/>
          <w:szCs w:val="20"/>
        </w:rPr>
        <w:t>The initial document review provide</w:t>
      </w:r>
      <w:r w:rsidR="00F425B2">
        <w:rPr>
          <w:rFonts w:ascii="Cambria" w:hAnsi="Cambria" w:cstheme="minorHAnsi"/>
          <w:color w:val="000000" w:themeColor="text1"/>
          <w:sz w:val="20"/>
          <w:szCs w:val="20"/>
        </w:rPr>
        <w:t>d</w:t>
      </w:r>
      <w:r w:rsidR="00F53B9B" w:rsidRPr="00223CBF">
        <w:rPr>
          <w:rFonts w:ascii="Cambria" w:hAnsi="Cambria" w:cstheme="minorHAnsi"/>
          <w:color w:val="000000" w:themeColor="text1"/>
          <w:sz w:val="20"/>
          <w:szCs w:val="20"/>
        </w:rPr>
        <w:t xml:space="preserve"> key information,</w:t>
      </w:r>
      <w:r w:rsidR="00F425B2">
        <w:rPr>
          <w:rFonts w:ascii="Cambria" w:hAnsi="Cambria" w:cstheme="minorHAnsi"/>
          <w:color w:val="000000" w:themeColor="text1"/>
          <w:sz w:val="20"/>
          <w:szCs w:val="20"/>
        </w:rPr>
        <w:t xml:space="preserve"> </w:t>
      </w:r>
      <w:r w:rsidR="00F53B9B" w:rsidRPr="00223CBF">
        <w:rPr>
          <w:rFonts w:ascii="Cambria" w:hAnsi="Cambria" w:cstheme="minorHAnsi"/>
          <w:color w:val="000000" w:themeColor="text1"/>
          <w:sz w:val="20"/>
          <w:szCs w:val="20"/>
        </w:rPr>
        <w:t xml:space="preserve">to formulate questions for interviews and information gathering. </w:t>
      </w:r>
      <w:r w:rsidR="00F53B9B" w:rsidRPr="00223CBF">
        <w:rPr>
          <w:rFonts w:ascii="Cambria" w:hAnsi="Cambria" w:cstheme="minorHAnsi"/>
          <w:bCs/>
          <w:color w:val="000000" w:themeColor="text1"/>
          <w:sz w:val="20"/>
          <w:szCs w:val="20"/>
        </w:rPr>
        <w:t xml:space="preserve">A total of </w:t>
      </w:r>
      <w:r w:rsidR="00F53B9B" w:rsidRPr="00147E51">
        <w:rPr>
          <w:rFonts w:ascii="Cambria" w:hAnsi="Cambria" w:cstheme="minorHAnsi"/>
          <w:bCs/>
          <w:color w:val="000000" w:themeColor="text1"/>
          <w:sz w:val="20"/>
          <w:szCs w:val="20"/>
        </w:rPr>
        <w:t>63 key person interviews</w:t>
      </w:r>
      <w:r w:rsidR="00F53B9B" w:rsidRPr="00223CBF">
        <w:rPr>
          <w:rFonts w:ascii="Cambria" w:hAnsi="Cambria" w:cstheme="minorHAnsi"/>
          <w:bCs/>
          <w:color w:val="000000" w:themeColor="text1"/>
          <w:sz w:val="20"/>
          <w:szCs w:val="20"/>
        </w:rPr>
        <w:t xml:space="preserve"> </w:t>
      </w:r>
      <w:r w:rsidR="00E017FC">
        <w:rPr>
          <w:rFonts w:ascii="Cambria" w:hAnsi="Cambria" w:cstheme="minorHAnsi"/>
          <w:bCs/>
          <w:color w:val="000000" w:themeColor="text1"/>
          <w:sz w:val="20"/>
          <w:szCs w:val="20"/>
        </w:rPr>
        <w:t xml:space="preserve">were </w:t>
      </w:r>
      <w:r w:rsidR="00F53B9B" w:rsidRPr="00223CBF">
        <w:rPr>
          <w:rFonts w:ascii="Cambria" w:hAnsi="Cambria" w:cstheme="minorHAnsi"/>
          <w:bCs/>
          <w:color w:val="000000" w:themeColor="text1"/>
          <w:sz w:val="20"/>
          <w:szCs w:val="20"/>
        </w:rPr>
        <w:t>conducted with a broad range of stakeholders (refer table in Annex</w:t>
      </w:r>
      <w:r w:rsidR="00F53B9B">
        <w:rPr>
          <w:rFonts w:ascii="Cambria" w:hAnsi="Cambria" w:cstheme="minorHAnsi"/>
          <w:bCs/>
          <w:color w:val="000000" w:themeColor="text1"/>
          <w:sz w:val="20"/>
          <w:szCs w:val="20"/>
        </w:rPr>
        <w:t xml:space="preserve"> Three</w:t>
      </w:r>
      <w:r w:rsidR="00F53B9B" w:rsidRPr="00223CBF">
        <w:rPr>
          <w:rFonts w:ascii="Cambria" w:hAnsi="Cambria" w:cstheme="minorHAnsi"/>
          <w:bCs/>
          <w:color w:val="000000" w:themeColor="text1"/>
          <w:sz w:val="20"/>
          <w:szCs w:val="20"/>
        </w:rPr>
        <w:t xml:space="preserve">). It </w:t>
      </w:r>
      <w:r w:rsidR="00F53B9B" w:rsidRPr="00223CBF">
        <w:rPr>
          <w:rFonts w:ascii="Cambria" w:hAnsi="Cambria" w:cstheme="minorHAnsi"/>
          <w:color w:val="000000" w:themeColor="text1"/>
          <w:sz w:val="20"/>
          <w:szCs w:val="20"/>
        </w:rPr>
        <w:t>include</w:t>
      </w:r>
      <w:r w:rsidR="00E017FC">
        <w:rPr>
          <w:rFonts w:ascii="Cambria" w:hAnsi="Cambria" w:cstheme="minorHAnsi"/>
          <w:color w:val="000000" w:themeColor="text1"/>
          <w:sz w:val="20"/>
          <w:szCs w:val="20"/>
        </w:rPr>
        <w:t>d</w:t>
      </w:r>
      <w:r w:rsidR="00F53B9B" w:rsidRPr="00223CBF">
        <w:rPr>
          <w:rFonts w:ascii="Cambria" w:hAnsi="Cambria" w:cstheme="minorHAnsi"/>
          <w:color w:val="000000" w:themeColor="text1"/>
          <w:sz w:val="20"/>
          <w:szCs w:val="20"/>
        </w:rPr>
        <w:t xml:space="preserve"> stakeholders who are currently involved in managing and implementing activities and others who work within the broad </w:t>
      </w:r>
      <w:r w:rsidR="00F53B9B" w:rsidRPr="00E017FC">
        <w:rPr>
          <w:rFonts w:ascii="Cambria" w:hAnsi="Cambria" w:cstheme="minorHAnsi"/>
          <w:color w:val="000000" w:themeColor="text1"/>
          <w:sz w:val="20"/>
          <w:szCs w:val="20"/>
        </w:rPr>
        <w:t>institutional landscape that the intervention is situated within. A question guideline drawing from the DAC framework help</w:t>
      </w:r>
      <w:r w:rsidR="00E017FC" w:rsidRPr="00E017FC">
        <w:rPr>
          <w:rFonts w:ascii="Cambria" w:hAnsi="Cambria" w:cstheme="minorHAnsi"/>
          <w:color w:val="000000" w:themeColor="text1"/>
          <w:sz w:val="20"/>
          <w:szCs w:val="20"/>
        </w:rPr>
        <w:t xml:space="preserve">ed to </w:t>
      </w:r>
      <w:r w:rsidR="00F53B9B" w:rsidRPr="00E017FC">
        <w:rPr>
          <w:rFonts w:ascii="Cambria" w:hAnsi="Cambria" w:cstheme="minorHAnsi"/>
          <w:color w:val="000000" w:themeColor="text1"/>
          <w:sz w:val="20"/>
          <w:szCs w:val="20"/>
        </w:rPr>
        <w:t>establish progress towards activities taking account of each stakeholder’s particular area of work, the level of knowledge or experience of the intervention, and other specificities. Interviewees w</w:t>
      </w:r>
      <w:r w:rsidR="00E017FC" w:rsidRPr="00E017FC">
        <w:rPr>
          <w:rFonts w:ascii="Cambria" w:hAnsi="Cambria" w:cstheme="minorHAnsi"/>
          <w:color w:val="000000" w:themeColor="text1"/>
          <w:sz w:val="20"/>
          <w:szCs w:val="20"/>
        </w:rPr>
        <w:t xml:space="preserve">ere </w:t>
      </w:r>
      <w:r w:rsidR="00F53B9B" w:rsidRPr="00E017FC">
        <w:rPr>
          <w:rFonts w:ascii="Cambria" w:hAnsi="Cambria" w:cstheme="minorHAnsi"/>
          <w:color w:val="000000" w:themeColor="text1"/>
          <w:sz w:val="20"/>
          <w:szCs w:val="20"/>
        </w:rPr>
        <w:t xml:space="preserve">asked to reflect on learning, contextual challenges and opportunities, and recommendations for improvements as the initiative continues. (Refer table in Annex Three for a breakdown of the interviews that </w:t>
      </w:r>
      <w:r w:rsidR="00147E51" w:rsidRPr="00E017FC">
        <w:rPr>
          <w:rFonts w:ascii="Cambria" w:hAnsi="Cambria" w:cstheme="minorHAnsi"/>
          <w:color w:val="000000" w:themeColor="text1"/>
          <w:sz w:val="20"/>
          <w:szCs w:val="20"/>
        </w:rPr>
        <w:t xml:space="preserve">was </w:t>
      </w:r>
      <w:r w:rsidR="00F53B9B" w:rsidRPr="00E017FC">
        <w:rPr>
          <w:rFonts w:ascii="Cambria" w:hAnsi="Cambria" w:cstheme="minorHAnsi"/>
          <w:color w:val="000000" w:themeColor="text1"/>
          <w:sz w:val="20"/>
          <w:szCs w:val="20"/>
        </w:rPr>
        <w:t>conducted within each stakeholder category).</w:t>
      </w:r>
    </w:p>
    <w:p w14:paraId="00989359" w14:textId="77777777" w:rsidR="00165EC4" w:rsidRPr="00223CBF" w:rsidRDefault="00165EC4" w:rsidP="005C789D">
      <w:pPr>
        <w:pStyle w:val="ListParagraph"/>
        <w:spacing w:line="360" w:lineRule="auto"/>
        <w:ind w:left="360"/>
        <w:contextualSpacing w:val="0"/>
        <w:jc w:val="both"/>
        <w:rPr>
          <w:rFonts w:ascii="Cambria" w:hAnsi="Cambria" w:cstheme="minorHAnsi"/>
          <w:color w:val="000000" w:themeColor="text1"/>
          <w:sz w:val="20"/>
          <w:szCs w:val="20"/>
        </w:rPr>
      </w:pPr>
    </w:p>
    <w:p w14:paraId="16B26D32" w14:textId="1B7D4A2E" w:rsidR="007260A1" w:rsidRPr="00F53B9B" w:rsidRDefault="007260A1" w:rsidP="00081358">
      <w:pPr>
        <w:pStyle w:val="Heading1"/>
        <w:numPr>
          <w:ilvl w:val="1"/>
          <w:numId w:val="76"/>
        </w:numPr>
        <w:spacing w:before="0" w:line="360" w:lineRule="auto"/>
        <w:jc w:val="both"/>
        <w:rPr>
          <w:rFonts w:ascii="Cambria" w:hAnsi="Cambria" w:cstheme="minorHAnsi"/>
          <w:b/>
          <w:bCs/>
          <w:color w:val="000000" w:themeColor="text1"/>
          <w:sz w:val="28"/>
          <w:szCs w:val="28"/>
        </w:rPr>
      </w:pPr>
      <w:bookmarkStart w:id="17" w:name="_Toc57135094"/>
      <w:bookmarkStart w:id="18" w:name="_Toc57135153"/>
      <w:bookmarkStart w:id="19" w:name="_Toc57135169"/>
      <w:bookmarkStart w:id="20" w:name="_Toc54247668"/>
      <w:bookmarkEnd w:id="16"/>
      <w:r w:rsidRPr="00F53B9B">
        <w:rPr>
          <w:rFonts w:ascii="Cambria" w:hAnsi="Cambria" w:cstheme="minorHAnsi"/>
          <w:b/>
          <w:bCs/>
          <w:color w:val="000000" w:themeColor="text1"/>
          <w:sz w:val="28"/>
          <w:szCs w:val="28"/>
        </w:rPr>
        <w:t>Limitations</w:t>
      </w:r>
      <w:bookmarkEnd w:id="17"/>
      <w:bookmarkEnd w:id="18"/>
      <w:bookmarkEnd w:id="19"/>
      <w:r w:rsidRPr="00F53B9B">
        <w:rPr>
          <w:rFonts w:ascii="Cambria" w:hAnsi="Cambria" w:cstheme="minorHAnsi"/>
          <w:b/>
          <w:bCs/>
          <w:color w:val="000000" w:themeColor="text1"/>
          <w:sz w:val="28"/>
          <w:szCs w:val="28"/>
        </w:rPr>
        <w:t xml:space="preserve"> </w:t>
      </w:r>
    </w:p>
    <w:p w14:paraId="5613DF3E" w14:textId="796ADE04" w:rsidR="007260A1" w:rsidRPr="00223CBF" w:rsidRDefault="007260A1" w:rsidP="000507CA">
      <w:pPr>
        <w:pStyle w:val="Heading1"/>
        <w:spacing w:before="0" w:line="360" w:lineRule="auto"/>
        <w:jc w:val="both"/>
        <w:rPr>
          <w:rFonts w:ascii="Cambria" w:hAnsi="Cambria"/>
          <w:b/>
          <w:bCs/>
          <w:color w:val="000000" w:themeColor="text1"/>
          <w:sz w:val="20"/>
          <w:szCs w:val="20"/>
        </w:rPr>
      </w:pPr>
      <w:bookmarkStart w:id="21" w:name="_Toc57135095"/>
      <w:bookmarkStart w:id="22" w:name="_Toc57135154"/>
      <w:bookmarkStart w:id="23" w:name="_Toc57135170"/>
      <w:bookmarkEnd w:id="20"/>
      <w:r w:rsidRPr="00223CBF">
        <w:rPr>
          <w:rFonts w:ascii="Cambria" w:hAnsi="Cambria" w:cstheme="minorHAnsi"/>
          <w:b/>
          <w:bCs/>
          <w:color w:val="000000" w:themeColor="text1"/>
          <w:sz w:val="20"/>
          <w:szCs w:val="20"/>
        </w:rPr>
        <w:t>The</w:t>
      </w:r>
      <w:r w:rsidRPr="00223CBF">
        <w:rPr>
          <w:rFonts w:ascii="Cambria" w:hAnsi="Cambria"/>
          <w:b/>
          <w:bCs/>
          <w:color w:val="000000" w:themeColor="text1"/>
          <w:sz w:val="20"/>
          <w:szCs w:val="20"/>
        </w:rPr>
        <w:t xml:space="preserve"> evaluation </w:t>
      </w:r>
      <w:r w:rsidR="00E017FC">
        <w:rPr>
          <w:rFonts w:ascii="Cambria" w:hAnsi="Cambria"/>
          <w:b/>
          <w:bCs/>
          <w:color w:val="000000" w:themeColor="text1"/>
          <w:sz w:val="20"/>
          <w:szCs w:val="20"/>
        </w:rPr>
        <w:t>was l</w:t>
      </w:r>
      <w:r w:rsidRPr="00223CBF">
        <w:rPr>
          <w:rFonts w:ascii="Cambria" w:hAnsi="Cambria"/>
          <w:b/>
          <w:bCs/>
          <w:color w:val="000000" w:themeColor="text1"/>
          <w:sz w:val="20"/>
          <w:szCs w:val="20"/>
        </w:rPr>
        <w:t>imited by the following,</w:t>
      </w:r>
      <w:bookmarkEnd w:id="21"/>
      <w:bookmarkEnd w:id="22"/>
      <w:bookmarkEnd w:id="23"/>
      <w:r w:rsidRPr="00223CBF">
        <w:rPr>
          <w:rFonts w:ascii="Cambria" w:hAnsi="Cambria"/>
          <w:b/>
          <w:bCs/>
          <w:color w:val="000000" w:themeColor="text1"/>
          <w:sz w:val="20"/>
          <w:szCs w:val="20"/>
        </w:rPr>
        <w:t xml:space="preserve"> </w:t>
      </w:r>
    </w:p>
    <w:p w14:paraId="4AF2D721" w14:textId="4EEE2434" w:rsidR="00F53B9B" w:rsidRPr="00223CBF" w:rsidRDefault="00F53B9B" w:rsidP="00F53B9B">
      <w:pPr>
        <w:pStyle w:val="ListParagraph"/>
        <w:numPr>
          <w:ilvl w:val="0"/>
          <w:numId w:val="17"/>
        </w:numPr>
        <w:spacing w:line="360" w:lineRule="auto"/>
        <w:jc w:val="both"/>
        <w:rPr>
          <w:rFonts w:ascii="Cambria" w:hAnsi="Cambria" w:cstheme="minorHAnsi"/>
          <w:color w:val="000000" w:themeColor="text1"/>
          <w:sz w:val="20"/>
          <w:szCs w:val="20"/>
        </w:rPr>
      </w:pPr>
      <w:r w:rsidRPr="00223CBF">
        <w:rPr>
          <w:rFonts w:ascii="Cambria" w:hAnsi="Cambria" w:cstheme="minorHAnsi"/>
          <w:color w:val="000000" w:themeColor="text1"/>
          <w:sz w:val="20"/>
          <w:szCs w:val="20"/>
        </w:rPr>
        <w:t>The increasing prevalence of the Covid-19 pandemic during the months of the evaluation was a serious impediment in accessing different stakeholder groups. Access to the UNCO, government departments, NGO, INGO and Development Partner</w:t>
      </w:r>
      <w:r>
        <w:rPr>
          <w:rFonts w:ascii="Cambria" w:hAnsi="Cambria" w:cstheme="minorHAnsi"/>
          <w:color w:val="000000" w:themeColor="text1"/>
          <w:sz w:val="20"/>
          <w:szCs w:val="20"/>
        </w:rPr>
        <w:t xml:space="preserve">s </w:t>
      </w:r>
      <w:r w:rsidRPr="00223CBF">
        <w:rPr>
          <w:rFonts w:ascii="Cambria" w:hAnsi="Cambria" w:cstheme="minorHAnsi"/>
          <w:color w:val="000000" w:themeColor="text1"/>
          <w:sz w:val="20"/>
          <w:szCs w:val="20"/>
        </w:rPr>
        <w:t xml:space="preserve">were restricted due to health and safety regulations of the Ministry of </w:t>
      </w:r>
      <w:r w:rsidRPr="00223CBF">
        <w:rPr>
          <w:rFonts w:ascii="Cambria" w:hAnsi="Cambria" w:cstheme="minorHAnsi"/>
          <w:color w:val="000000" w:themeColor="text1"/>
          <w:sz w:val="20"/>
          <w:szCs w:val="20"/>
        </w:rPr>
        <w:lastRenderedPageBreak/>
        <w:t>Health, which exacerbated with the second wave of the pandemic</w:t>
      </w:r>
      <w:r w:rsidR="00CB40E1">
        <w:rPr>
          <w:rFonts w:ascii="Cambria" w:hAnsi="Cambria" w:cstheme="minorHAnsi"/>
          <w:color w:val="000000" w:themeColor="text1"/>
          <w:sz w:val="20"/>
          <w:szCs w:val="20"/>
        </w:rPr>
        <w:t>,</w:t>
      </w:r>
      <w:r w:rsidRPr="00223CBF">
        <w:rPr>
          <w:rFonts w:ascii="Cambria" w:hAnsi="Cambria" w:cstheme="minorHAnsi"/>
          <w:color w:val="000000" w:themeColor="text1"/>
          <w:sz w:val="20"/>
          <w:szCs w:val="20"/>
        </w:rPr>
        <w:t xml:space="preserve"> in mid-October 2020.  Therefore, majority of the interviews </w:t>
      </w:r>
      <w:r w:rsidR="00CB40E1">
        <w:rPr>
          <w:rFonts w:ascii="Cambria" w:hAnsi="Cambria" w:cstheme="minorHAnsi"/>
          <w:color w:val="000000" w:themeColor="text1"/>
          <w:sz w:val="20"/>
          <w:szCs w:val="20"/>
        </w:rPr>
        <w:t xml:space="preserve">were </w:t>
      </w:r>
      <w:r w:rsidRPr="00223CBF">
        <w:rPr>
          <w:rFonts w:ascii="Cambria" w:hAnsi="Cambria" w:cstheme="minorHAnsi"/>
          <w:color w:val="000000" w:themeColor="text1"/>
          <w:sz w:val="20"/>
          <w:szCs w:val="20"/>
        </w:rPr>
        <w:t>conducted remotely</w:t>
      </w:r>
      <w:r>
        <w:rPr>
          <w:rFonts w:ascii="Cambria" w:hAnsi="Cambria" w:cstheme="minorHAnsi"/>
          <w:color w:val="000000" w:themeColor="text1"/>
          <w:sz w:val="20"/>
          <w:szCs w:val="20"/>
        </w:rPr>
        <w:t xml:space="preserve"> rather than face-to-face</w:t>
      </w:r>
      <w:r w:rsidRPr="00223CBF">
        <w:rPr>
          <w:rFonts w:ascii="Cambria" w:hAnsi="Cambria" w:cstheme="minorHAnsi"/>
          <w:color w:val="000000" w:themeColor="text1"/>
          <w:sz w:val="20"/>
          <w:szCs w:val="20"/>
        </w:rPr>
        <w:t>. Conducting interviews remotely had its own share of limitations and challenges due to lack of facilities</w:t>
      </w:r>
      <w:r w:rsidR="00147E51">
        <w:rPr>
          <w:rFonts w:ascii="Cambria" w:hAnsi="Cambria" w:cstheme="minorHAnsi"/>
          <w:color w:val="000000" w:themeColor="text1"/>
          <w:sz w:val="20"/>
          <w:szCs w:val="20"/>
        </w:rPr>
        <w:t xml:space="preserve">, </w:t>
      </w:r>
      <w:r>
        <w:rPr>
          <w:rFonts w:ascii="Cambria" w:hAnsi="Cambria" w:cstheme="minorHAnsi"/>
          <w:color w:val="000000" w:themeColor="text1"/>
          <w:sz w:val="20"/>
          <w:szCs w:val="20"/>
        </w:rPr>
        <w:t>connectivity</w:t>
      </w:r>
      <w:r w:rsidR="00147E51">
        <w:rPr>
          <w:rFonts w:ascii="Cambria" w:hAnsi="Cambria" w:cstheme="minorHAnsi"/>
          <w:color w:val="000000" w:themeColor="text1"/>
          <w:sz w:val="20"/>
          <w:szCs w:val="20"/>
        </w:rPr>
        <w:t xml:space="preserve"> and lack of </w:t>
      </w:r>
      <w:r w:rsidRPr="00223CBF">
        <w:rPr>
          <w:rFonts w:ascii="Cambria" w:hAnsi="Cambria" w:cstheme="minorHAnsi"/>
          <w:color w:val="000000" w:themeColor="text1"/>
          <w:sz w:val="20"/>
          <w:szCs w:val="20"/>
        </w:rPr>
        <w:t>data and comprehensive internet coverage</w:t>
      </w:r>
      <w:r w:rsidR="00CB40E1">
        <w:rPr>
          <w:rFonts w:ascii="Cambria" w:hAnsi="Cambria" w:cstheme="minorHAnsi"/>
          <w:color w:val="000000" w:themeColor="text1"/>
          <w:sz w:val="20"/>
          <w:szCs w:val="20"/>
        </w:rPr>
        <w:t>,</w:t>
      </w:r>
      <w:r w:rsidRPr="00223CBF">
        <w:rPr>
          <w:rFonts w:ascii="Cambria" w:hAnsi="Cambria" w:cstheme="minorHAnsi"/>
          <w:color w:val="000000" w:themeColor="text1"/>
          <w:sz w:val="20"/>
          <w:szCs w:val="20"/>
        </w:rPr>
        <w:t xml:space="preserve"> interrupting discussions many a time. Remote interviews also meant limited time duration for interviews as most stakeholders were suffering from ‘zoom fatigue’.</w:t>
      </w:r>
      <w:r>
        <w:rPr>
          <w:rFonts w:ascii="Cambria" w:hAnsi="Cambria" w:cstheme="minorHAnsi"/>
          <w:color w:val="000000" w:themeColor="text1"/>
          <w:sz w:val="20"/>
          <w:szCs w:val="20"/>
        </w:rPr>
        <w:t xml:space="preserve"> However, there was no alternative to undertaking these interviews in the prevailing situation given the timeline of the evaluation and uncertainty in the level of risk posted to do the interviews face-to-face. </w:t>
      </w:r>
      <w:r w:rsidRPr="00223CBF">
        <w:rPr>
          <w:rFonts w:ascii="Cambria" w:hAnsi="Cambria" w:cstheme="minorHAnsi"/>
          <w:color w:val="000000" w:themeColor="text1"/>
          <w:sz w:val="20"/>
          <w:szCs w:val="20"/>
        </w:rPr>
        <w:t xml:space="preserve"> </w:t>
      </w:r>
    </w:p>
    <w:p w14:paraId="6133E28E" w14:textId="77777777" w:rsidR="00F53B9B" w:rsidRPr="00223CBF" w:rsidRDefault="00F53B9B" w:rsidP="00F53B9B">
      <w:pPr>
        <w:pStyle w:val="ListParagraph"/>
        <w:numPr>
          <w:ilvl w:val="0"/>
          <w:numId w:val="17"/>
        </w:numPr>
        <w:spacing w:line="360" w:lineRule="auto"/>
        <w:jc w:val="both"/>
        <w:rPr>
          <w:rFonts w:ascii="Cambria" w:hAnsi="Cambria" w:cstheme="minorHAnsi"/>
          <w:color w:val="000000" w:themeColor="text1"/>
          <w:sz w:val="20"/>
          <w:szCs w:val="20"/>
        </w:rPr>
      </w:pPr>
      <w:r w:rsidRPr="00223CBF">
        <w:rPr>
          <w:rFonts w:ascii="Cambria" w:hAnsi="Cambria" w:cstheme="minorHAnsi"/>
          <w:color w:val="000000" w:themeColor="text1"/>
          <w:sz w:val="20"/>
          <w:szCs w:val="20"/>
        </w:rPr>
        <w:t xml:space="preserve">In-person meetings with beneficiaries were not possible during the data collection phase and meetings arraigned </w:t>
      </w:r>
      <w:r w:rsidRPr="00223CBF">
        <w:rPr>
          <w:rFonts w:ascii="Cambria" w:hAnsi="Cambria" w:cstheme="minorHAnsi"/>
          <w:i/>
          <w:iCs/>
          <w:color w:val="000000" w:themeColor="text1"/>
          <w:sz w:val="20"/>
          <w:szCs w:val="20"/>
        </w:rPr>
        <w:t>via</w:t>
      </w:r>
      <w:r w:rsidRPr="00223CBF">
        <w:rPr>
          <w:rFonts w:ascii="Cambria" w:hAnsi="Cambria" w:cstheme="minorHAnsi"/>
          <w:color w:val="000000" w:themeColor="text1"/>
          <w:sz w:val="20"/>
          <w:szCs w:val="20"/>
        </w:rPr>
        <w:t xml:space="preserve"> online communications platforms fell through due to various constraints. As a result, information of beneficiary experiences was ascertained from other stakeholders involved in implementing the intervention.   </w:t>
      </w:r>
    </w:p>
    <w:p w14:paraId="1E874C10" w14:textId="77777777" w:rsidR="00F53B9B" w:rsidRPr="00223CBF" w:rsidRDefault="00F53B9B" w:rsidP="00F53B9B">
      <w:pPr>
        <w:pStyle w:val="ListParagraph"/>
        <w:numPr>
          <w:ilvl w:val="0"/>
          <w:numId w:val="17"/>
        </w:numPr>
        <w:spacing w:line="360" w:lineRule="auto"/>
        <w:jc w:val="both"/>
        <w:rPr>
          <w:rFonts w:ascii="Cambria" w:hAnsi="Cambria" w:cstheme="minorHAnsi"/>
          <w:color w:val="000000" w:themeColor="text1"/>
          <w:sz w:val="20"/>
          <w:szCs w:val="20"/>
        </w:rPr>
      </w:pPr>
      <w:r w:rsidRPr="00223CBF">
        <w:rPr>
          <w:rFonts w:ascii="Cambria" w:hAnsi="Cambria" w:cstheme="minorHAnsi"/>
          <w:color w:val="000000" w:themeColor="text1"/>
          <w:sz w:val="20"/>
          <w:szCs w:val="20"/>
        </w:rPr>
        <w:t>Travel outside Colombo was impossible and travel within Colombo was also restricted for non-residents due to police curfew.</w:t>
      </w:r>
      <w:r>
        <w:rPr>
          <w:rFonts w:ascii="Cambria" w:hAnsi="Cambria" w:cstheme="minorHAnsi"/>
          <w:color w:val="000000" w:themeColor="text1"/>
          <w:sz w:val="20"/>
          <w:szCs w:val="20"/>
        </w:rPr>
        <w:t xml:space="preserve"> </w:t>
      </w:r>
    </w:p>
    <w:p w14:paraId="477DB98F" w14:textId="77777777" w:rsidR="00F53B9B" w:rsidRPr="00223CBF" w:rsidRDefault="00F53B9B" w:rsidP="00F53B9B">
      <w:pPr>
        <w:pStyle w:val="ListParagraph"/>
        <w:numPr>
          <w:ilvl w:val="0"/>
          <w:numId w:val="17"/>
        </w:numPr>
        <w:spacing w:line="360" w:lineRule="auto"/>
        <w:jc w:val="both"/>
        <w:rPr>
          <w:rFonts w:ascii="Cambria" w:hAnsi="Cambria" w:cstheme="minorHAnsi"/>
          <w:color w:val="000000" w:themeColor="text1"/>
          <w:sz w:val="20"/>
          <w:szCs w:val="20"/>
        </w:rPr>
      </w:pPr>
      <w:r w:rsidRPr="00223CBF">
        <w:rPr>
          <w:rFonts w:ascii="Cambria" w:hAnsi="Cambria" w:cstheme="minorHAnsi"/>
          <w:color w:val="000000" w:themeColor="text1"/>
          <w:sz w:val="20"/>
          <w:szCs w:val="20"/>
        </w:rPr>
        <w:t>There were shortcomings in collection of data by way of annual reports and quarterly reports due to non-availability of reports by implementing partners, especially government partners</w:t>
      </w:r>
      <w:r>
        <w:rPr>
          <w:rFonts w:ascii="Cambria" w:hAnsi="Cambria" w:cstheme="minorHAnsi"/>
          <w:color w:val="000000" w:themeColor="text1"/>
          <w:sz w:val="20"/>
          <w:szCs w:val="20"/>
        </w:rPr>
        <w:t xml:space="preserve"> and limited information available in periodic reporting by UNDP against the results framework</w:t>
      </w:r>
      <w:r w:rsidRPr="00223CBF">
        <w:rPr>
          <w:rFonts w:ascii="Cambria" w:hAnsi="Cambria" w:cstheme="minorHAnsi"/>
          <w:color w:val="000000" w:themeColor="text1"/>
          <w:sz w:val="20"/>
          <w:szCs w:val="20"/>
        </w:rPr>
        <w:t>.</w:t>
      </w:r>
      <w:r>
        <w:rPr>
          <w:rFonts w:ascii="Cambria" w:hAnsi="Cambria" w:cstheme="minorHAnsi"/>
          <w:color w:val="000000" w:themeColor="text1"/>
          <w:sz w:val="20"/>
          <w:szCs w:val="20"/>
        </w:rPr>
        <w:t xml:space="preserve"> </w:t>
      </w:r>
    </w:p>
    <w:p w14:paraId="3D44822F" w14:textId="77777777" w:rsidR="00F53B9B" w:rsidRPr="00223CBF" w:rsidRDefault="00F53B9B" w:rsidP="00F53B9B">
      <w:pPr>
        <w:pStyle w:val="ListParagraph"/>
        <w:numPr>
          <w:ilvl w:val="0"/>
          <w:numId w:val="17"/>
        </w:numPr>
        <w:spacing w:line="360" w:lineRule="auto"/>
        <w:jc w:val="both"/>
        <w:rPr>
          <w:rFonts w:ascii="Cambria" w:hAnsi="Cambria" w:cstheme="minorHAnsi"/>
          <w:color w:val="000000" w:themeColor="text1"/>
          <w:sz w:val="20"/>
          <w:szCs w:val="20"/>
        </w:rPr>
      </w:pPr>
      <w:r w:rsidRPr="00223CBF">
        <w:rPr>
          <w:rFonts w:ascii="Cambria" w:hAnsi="Cambria" w:cstheme="minorHAnsi"/>
          <w:color w:val="000000" w:themeColor="text1"/>
          <w:sz w:val="20"/>
          <w:szCs w:val="20"/>
        </w:rPr>
        <w:t>As a mitigation measure the MTE took into consideration each activity cluster in detail and discussed these activities with a relevant and diverse number of key stakeholders</w:t>
      </w:r>
      <w:r>
        <w:rPr>
          <w:rFonts w:ascii="Cambria" w:hAnsi="Cambria" w:cstheme="minorHAnsi"/>
          <w:color w:val="000000" w:themeColor="text1"/>
          <w:sz w:val="20"/>
          <w:szCs w:val="20"/>
        </w:rPr>
        <w:t xml:space="preserve"> including partners</w:t>
      </w:r>
      <w:r w:rsidRPr="00223CBF">
        <w:rPr>
          <w:rFonts w:ascii="Cambria" w:hAnsi="Cambria" w:cstheme="minorHAnsi"/>
          <w:color w:val="000000" w:themeColor="text1"/>
          <w:sz w:val="20"/>
          <w:szCs w:val="20"/>
        </w:rPr>
        <w:t xml:space="preserve">. In addition, the MTE arranged discussions at the broader strategic level with UNDP team members and other independent experts and stakeholders working in the justice sector. This enabled the obtaining of a more rounded view of the initiative and the effects of various contextual factors on the intervention and its implementation to date and in the future. </w:t>
      </w:r>
    </w:p>
    <w:p w14:paraId="084319BF" w14:textId="0EEFD66F" w:rsidR="00F53B9B" w:rsidRPr="00223CBF" w:rsidRDefault="00F53B9B" w:rsidP="00F53B9B">
      <w:pPr>
        <w:pStyle w:val="ListParagraph"/>
        <w:numPr>
          <w:ilvl w:val="0"/>
          <w:numId w:val="17"/>
        </w:numPr>
        <w:shd w:val="clear" w:color="auto" w:fill="FFFFFF"/>
        <w:autoSpaceDE w:val="0"/>
        <w:autoSpaceDN w:val="0"/>
        <w:adjustRightInd w:val="0"/>
        <w:spacing w:line="360" w:lineRule="auto"/>
        <w:jc w:val="both"/>
        <w:rPr>
          <w:rFonts w:ascii="Cambria" w:hAnsi="Cambria" w:cs="Arial"/>
          <w:b/>
          <w:bCs/>
          <w:color w:val="000000" w:themeColor="text1"/>
          <w:sz w:val="20"/>
          <w:szCs w:val="20"/>
        </w:rPr>
      </w:pPr>
      <w:r w:rsidRPr="00223CBF">
        <w:rPr>
          <w:rFonts w:ascii="Cambria" w:hAnsi="Cambria" w:cstheme="minorHAnsi"/>
          <w:color w:val="000000" w:themeColor="text1"/>
          <w:sz w:val="20"/>
          <w:szCs w:val="20"/>
        </w:rPr>
        <w:t>The impact of the Covid-19 pandemic continues to affect Sri Lanka despite many measures being in place. It can be envisaged that it will continue to affect how interventions such as these can be implemented in the immediate and longer-term intervention timeline. Realistic reflection will be necessary on how the pandemic may delay some or most activities and how these will affect the reali</w:t>
      </w:r>
      <w:r w:rsidR="00147E51">
        <w:rPr>
          <w:rFonts w:ascii="Cambria" w:hAnsi="Cambria" w:cstheme="minorHAnsi"/>
          <w:color w:val="000000" w:themeColor="text1"/>
          <w:sz w:val="20"/>
          <w:szCs w:val="20"/>
        </w:rPr>
        <w:t>s</w:t>
      </w:r>
      <w:r w:rsidRPr="00223CBF">
        <w:rPr>
          <w:rFonts w:ascii="Cambria" w:hAnsi="Cambria" w:cstheme="minorHAnsi"/>
          <w:color w:val="000000" w:themeColor="text1"/>
          <w:sz w:val="20"/>
          <w:szCs w:val="20"/>
        </w:rPr>
        <w:t>ation of outputs and broader outcomes as the intervention progresses.</w:t>
      </w:r>
    </w:p>
    <w:p w14:paraId="3CEF41B7" w14:textId="06F257C2" w:rsidR="007260A1" w:rsidRPr="00223CBF" w:rsidRDefault="007260A1" w:rsidP="000507CA">
      <w:pPr>
        <w:pStyle w:val="NormalWeb"/>
        <w:shd w:val="clear" w:color="auto" w:fill="FFFFFF"/>
        <w:spacing w:line="360" w:lineRule="auto"/>
        <w:jc w:val="both"/>
        <w:rPr>
          <w:rFonts w:ascii="Cambria" w:hAnsi="Cambria" w:cs="Arial"/>
          <w:b/>
          <w:bCs/>
          <w:color w:val="000000" w:themeColor="text1"/>
          <w:sz w:val="20"/>
          <w:szCs w:val="20"/>
        </w:rPr>
      </w:pPr>
    </w:p>
    <w:p w14:paraId="13A39303" w14:textId="77777777" w:rsidR="00A65CB7" w:rsidRPr="00223CBF" w:rsidRDefault="00A65CB7" w:rsidP="000507CA">
      <w:pPr>
        <w:spacing w:after="0" w:line="360" w:lineRule="auto"/>
        <w:rPr>
          <w:rFonts w:ascii="Cambria" w:eastAsia="Times New Roman" w:hAnsi="Cambria" w:cstheme="minorHAnsi"/>
          <w:b/>
          <w:bCs/>
          <w:color w:val="000000" w:themeColor="text1"/>
          <w:sz w:val="20"/>
          <w:szCs w:val="20"/>
          <w:lang w:eastAsia="en-GB" w:bidi="si-LK"/>
        </w:rPr>
      </w:pPr>
      <w:r w:rsidRPr="00223CBF">
        <w:rPr>
          <w:rFonts w:ascii="Cambria" w:hAnsi="Cambria" w:cstheme="minorHAnsi"/>
          <w:b/>
          <w:bCs/>
          <w:color w:val="000000" w:themeColor="text1"/>
          <w:sz w:val="20"/>
          <w:szCs w:val="20"/>
        </w:rPr>
        <w:br w:type="page"/>
      </w:r>
    </w:p>
    <w:p w14:paraId="255D9016" w14:textId="6B7CD894" w:rsidR="00FF4CE1" w:rsidRPr="00F53B9B" w:rsidRDefault="00FF4CE1" w:rsidP="00081358">
      <w:pPr>
        <w:pStyle w:val="NormalWeb"/>
        <w:numPr>
          <w:ilvl w:val="0"/>
          <w:numId w:val="76"/>
        </w:numPr>
        <w:spacing w:line="360" w:lineRule="auto"/>
        <w:jc w:val="both"/>
        <w:rPr>
          <w:rFonts w:ascii="Cambria" w:hAnsi="Cambria" w:cs="Arial"/>
          <w:b/>
          <w:bCs/>
          <w:color w:val="000000" w:themeColor="text1"/>
          <w:sz w:val="32"/>
          <w:szCs w:val="32"/>
        </w:rPr>
      </w:pPr>
      <w:r w:rsidRPr="00F53B9B">
        <w:rPr>
          <w:rFonts w:ascii="Cambria" w:hAnsi="Cambria" w:cs="Arial"/>
          <w:b/>
          <w:bCs/>
          <w:color w:val="000000" w:themeColor="text1"/>
          <w:sz w:val="32"/>
          <w:szCs w:val="32"/>
        </w:rPr>
        <w:lastRenderedPageBreak/>
        <w:t xml:space="preserve">Country Context and Portfolio Rationale </w:t>
      </w:r>
    </w:p>
    <w:p w14:paraId="116D5C82" w14:textId="003CC5BD" w:rsidR="00FF4CE1" w:rsidRPr="00A931B6" w:rsidRDefault="00FF4CE1" w:rsidP="00FF4CE1">
      <w:pPr>
        <w:pStyle w:val="NormalWeb"/>
        <w:spacing w:line="360" w:lineRule="auto"/>
        <w:jc w:val="both"/>
        <w:rPr>
          <w:rFonts w:ascii="Cambria" w:hAnsi="Cambria" w:cs="Arial"/>
          <w:color w:val="000000" w:themeColor="text1"/>
          <w:sz w:val="20"/>
          <w:szCs w:val="20"/>
        </w:rPr>
      </w:pPr>
      <w:r w:rsidRPr="00A931B6">
        <w:rPr>
          <w:rFonts w:ascii="Cambria" w:hAnsi="Cambria" w:cs="Arial"/>
          <w:color w:val="000000" w:themeColor="text1"/>
          <w:sz w:val="20"/>
          <w:szCs w:val="20"/>
        </w:rPr>
        <w:t xml:space="preserve">The year 2015 marked a historic milestone in global mobilisation, as all member states of the United Nations signed on to the 2030 Agenda for Sustainable Development with the pledge ‘Leave No One Behind.’ </w:t>
      </w:r>
      <w:r w:rsidRPr="00A931B6">
        <w:rPr>
          <w:rFonts w:ascii="Cambria" w:hAnsi="Cambria" w:cs="Arial"/>
          <w:color w:val="000000" w:themeColor="text1"/>
          <w:sz w:val="20"/>
          <w:szCs w:val="20"/>
          <w:shd w:val="clear" w:color="auto" w:fill="FFFFFF"/>
        </w:rPr>
        <w:t>In realising this Agenda</w:t>
      </w:r>
      <w:r w:rsidR="00587164">
        <w:rPr>
          <w:rFonts w:ascii="Cambria" w:hAnsi="Cambria" w:cs="Arial"/>
          <w:color w:val="000000" w:themeColor="text1"/>
          <w:sz w:val="20"/>
          <w:szCs w:val="20"/>
          <w:shd w:val="clear" w:color="auto" w:fill="FFFFFF"/>
        </w:rPr>
        <w:t>,</w:t>
      </w:r>
      <w:r w:rsidRPr="00A931B6">
        <w:rPr>
          <w:rFonts w:ascii="Cambria" w:hAnsi="Cambria" w:cs="Arial"/>
          <w:color w:val="000000" w:themeColor="text1"/>
          <w:sz w:val="20"/>
          <w:szCs w:val="20"/>
          <w:shd w:val="clear" w:color="auto" w:fill="FFFFFF"/>
        </w:rPr>
        <w:t xml:space="preserve"> member states adopted </w:t>
      </w:r>
      <w:r w:rsidRPr="00A931B6">
        <w:rPr>
          <w:rFonts w:ascii="Cambria" w:hAnsi="Cambria" w:cs="Arial"/>
          <w:color w:val="000000" w:themeColor="text1"/>
          <w:sz w:val="20"/>
          <w:szCs w:val="20"/>
        </w:rPr>
        <w:t>a range of priorities</w:t>
      </w:r>
      <w:r w:rsidR="00587164">
        <w:rPr>
          <w:rFonts w:ascii="Cambria" w:hAnsi="Cambria" w:cs="Arial"/>
          <w:color w:val="000000" w:themeColor="text1"/>
          <w:sz w:val="20"/>
          <w:szCs w:val="20"/>
        </w:rPr>
        <w:t>,</w:t>
      </w:r>
      <w:r w:rsidRPr="00A931B6">
        <w:rPr>
          <w:rFonts w:ascii="Cambria" w:hAnsi="Cambria" w:cs="Arial"/>
          <w:color w:val="000000" w:themeColor="text1"/>
          <w:sz w:val="20"/>
          <w:szCs w:val="20"/>
        </w:rPr>
        <w:t xml:space="preserve"> packaged into 17 Goals (SDGs)</w:t>
      </w:r>
      <w:r w:rsidRPr="00A931B6">
        <w:rPr>
          <w:rStyle w:val="FootnoteReference"/>
          <w:rFonts w:ascii="Cambria" w:hAnsi="Cambria" w:cs="Arial"/>
          <w:color w:val="000000" w:themeColor="text1"/>
          <w:sz w:val="20"/>
          <w:szCs w:val="20"/>
        </w:rPr>
        <w:footnoteReference w:id="4"/>
      </w:r>
      <w:r w:rsidRPr="00A931B6">
        <w:rPr>
          <w:rFonts w:ascii="Cambria" w:hAnsi="Cambria" w:cs="Arial"/>
          <w:color w:val="000000" w:themeColor="text1"/>
          <w:sz w:val="20"/>
          <w:szCs w:val="20"/>
        </w:rPr>
        <w:t xml:space="preserve"> and</w:t>
      </w:r>
      <w:r w:rsidRPr="00A931B6">
        <w:rPr>
          <w:rFonts w:ascii="Cambria" w:hAnsi="Cambria" w:cs="Arial"/>
          <w:color w:val="000000" w:themeColor="text1"/>
          <w:sz w:val="20"/>
          <w:szCs w:val="20"/>
          <w:shd w:val="clear" w:color="auto" w:fill="FFFFFF"/>
        </w:rPr>
        <w:t xml:space="preserve"> committed to embark on a </w:t>
      </w:r>
      <w:r w:rsidRPr="00A931B6">
        <w:rPr>
          <w:rFonts w:ascii="Cambria" w:hAnsi="Cambria" w:cs="Arial"/>
          <w:color w:val="000000" w:themeColor="text1"/>
          <w:sz w:val="20"/>
          <w:szCs w:val="20"/>
        </w:rPr>
        <w:t>universal call of action</w:t>
      </w:r>
      <w:r w:rsidR="00587164">
        <w:rPr>
          <w:rFonts w:ascii="Cambria" w:hAnsi="Cambria" w:cs="Arial"/>
          <w:color w:val="000000" w:themeColor="text1"/>
          <w:sz w:val="20"/>
          <w:szCs w:val="20"/>
        </w:rPr>
        <w:t>,</w:t>
      </w:r>
      <w:r w:rsidRPr="00A931B6">
        <w:rPr>
          <w:rFonts w:ascii="Cambria" w:hAnsi="Cambria" w:cs="Arial"/>
          <w:color w:val="000000" w:themeColor="text1"/>
          <w:sz w:val="20"/>
          <w:szCs w:val="20"/>
        </w:rPr>
        <w:t xml:space="preserve"> to </w:t>
      </w:r>
      <w:r w:rsidRPr="00A931B6">
        <w:rPr>
          <w:rFonts w:ascii="Cambria" w:hAnsi="Cambria" w:cs="Arial"/>
          <w:color w:val="000000" w:themeColor="text1"/>
          <w:spacing w:val="4"/>
          <w:sz w:val="20"/>
          <w:szCs w:val="20"/>
          <w:shd w:val="clear" w:color="auto" w:fill="FEFEFE"/>
        </w:rPr>
        <w:t xml:space="preserve">put an end to poverty, protect the planet and ensure that all people enjoy peace and prosperity by 2030. </w:t>
      </w:r>
      <w:r w:rsidRPr="00A931B6">
        <w:rPr>
          <w:rFonts w:ascii="Cambria" w:hAnsi="Cambria" w:cs="Calibri Light"/>
          <w:sz w:val="20"/>
          <w:szCs w:val="20"/>
        </w:rPr>
        <w:t>Sri Lanka endorsed the 2030 Agenda for Sustainable Development in 2015</w:t>
      </w:r>
      <w:r w:rsidR="00587164">
        <w:rPr>
          <w:rFonts w:ascii="Cambria" w:hAnsi="Cambria" w:cs="Calibri Light"/>
          <w:sz w:val="20"/>
          <w:szCs w:val="20"/>
        </w:rPr>
        <w:t>,</w:t>
      </w:r>
      <w:r w:rsidR="0003786E">
        <w:rPr>
          <w:rFonts w:ascii="Cambria" w:hAnsi="Cambria" w:cs="Calibri Light"/>
          <w:sz w:val="20"/>
          <w:szCs w:val="20"/>
        </w:rPr>
        <w:t xml:space="preserve"> </w:t>
      </w:r>
      <w:r w:rsidRPr="00A931B6">
        <w:rPr>
          <w:rFonts w:ascii="Cambria" w:hAnsi="Cambria" w:cs="Calibri Light"/>
          <w:sz w:val="20"/>
          <w:szCs w:val="20"/>
        </w:rPr>
        <w:t>after meeting many of its milestones</w:t>
      </w:r>
      <w:r w:rsidR="00587164">
        <w:rPr>
          <w:rFonts w:ascii="Cambria" w:hAnsi="Cambria" w:cs="Calibri Light"/>
          <w:sz w:val="20"/>
          <w:szCs w:val="20"/>
        </w:rPr>
        <w:t>,</w:t>
      </w:r>
      <w:r w:rsidRPr="00A931B6">
        <w:rPr>
          <w:rFonts w:ascii="Cambria" w:hAnsi="Cambria" w:cs="Calibri Light"/>
          <w:sz w:val="20"/>
          <w:szCs w:val="20"/>
        </w:rPr>
        <w:t xml:space="preserve"> under the Millennium Development Goals (MDG), and thereafter undertook several initiatives to facilitate its implementation in the country.</w:t>
      </w:r>
      <w:r w:rsidRPr="00A931B6">
        <w:rPr>
          <w:rStyle w:val="FootnoteReference"/>
          <w:rFonts w:ascii="Cambria" w:hAnsi="Cambria" w:cs="Calibri Light"/>
          <w:sz w:val="20"/>
          <w:szCs w:val="20"/>
        </w:rPr>
        <w:footnoteReference w:id="5"/>
      </w:r>
      <w:r w:rsidRPr="00A931B6">
        <w:rPr>
          <w:rFonts w:ascii="Cambria" w:hAnsi="Cambria" w:cs="Calibri Light"/>
          <w:sz w:val="20"/>
          <w:szCs w:val="20"/>
        </w:rPr>
        <w:t xml:space="preserve"> </w:t>
      </w:r>
    </w:p>
    <w:p w14:paraId="2B82A9C4" w14:textId="09D2A3EF" w:rsidR="00FF4CE1" w:rsidRPr="00A931B6" w:rsidRDefault="00FF4CE1" w:rsidP="00FF4CE1">
      <w:pPr>
        <w:pStyle w:val="NormalWeb"/>
        <w:shd w:val="clear" w:color="auto" w:fill="FFFFFF"/>
        <w:spacing w:line="360" w:lineRule="auto"/>
        <w:jc w:val="both"/>
        <w:rPr>
          <w:rFonts w:ascii="Cambria" w:hAnsi="Cambria" w:cs="Arial"/>
          <w:color w:val="000000" w:themeColor="text1"/>
          <w:sz w:val="20"/>
          <w:szCs w:val="20"/>
        </w:rPr>
      </w:pPr>
      <w:r w:rsidRPr="00A931B6">
        <w:rPr>
          <w:rFonts w:ascii="Cambria" w:hAnsi="Cambria" w:cs="Arial"/>
          <w:color w:val="000000" w:themeColor="text1"/>
          <w:sz w:val="20"/>
          <w:szCs w:val="20"/>
        </w:rPr>
        <w:t>The year 2015 also marked a dramatic change in the political landscape</w:t>
      </w:r>
      <w:r w:rsidR="00587164">
        <w:rPr>
          <w:rFonts w:ascii="Cambria" w:hAnsi="Cambria" w:cs="Arial"/>
          <w:color w:val="000000" w:themeColor="text1"/>
          <w:sz w:val="20"/>
          <w:szCs w:val="20"/>
        </w:rPr>
        <w:t>,</w:t>
      </w:r>
      <w:r w:rsidRPr="00A931B6">
        <w:rPr>
          <w:rFonts w:ascii="Cambria" w:hAnsi="Cambria" w:cs="Arial"/>
          <w:color w:val="000000" w:themeColor="text1"/>
          <w:sz w:val="20"/>
          <w:szCs w:val="20"/>
        </w:rPr>
        <w:t xml:space="preserve"> post 2015 Presidential Elections, whereby the National Unity Government defeated the incumbent president Mahinda Rajapakse, under whose government the conflict between the Government of Sri Lanka (GoSL) and Liberation Tigers of Tamil Eelam (LTTE)</w:t>
      </w:r>
      <w:r w:rsidR="00587164">
        <w:rPr>
          <w:rFonts w:ascii="Cambria" w:hAnsi="Cambria" w:cs="Arial"/>
          <w:color w:val="000000" w:themeColor="text1"/>
          <w:sz w:val="20"/>
          <w:szCs w:val="20"/>
        </w:rPr>
        <w:t>,</w:t>
      </w:r>
      <w:r w:rsidRPr="00A931B6">
        <w:rPr>
          <w:rFonts w:ascii="Cambria" w:hAnsi="Cambria" w:cs="Arial"/>
          <w:color w:val="000000" w:themeColor="text1"/>
          <w:sz w:val="20"/>
          <w:szCs w:val="20"/>
        </w:rPr>
        <w:t xml:space="preserve"> came to a decisive end in 2009. The National Unity Government</w:t>
      </w:r>
      <w:r w:rsidR="00587164">
        <w:rPr>
          <w:rFonts w:ascii="Cambria" w:hAnsi="Cambria" w:cs="Arial"/>
          <w:color w:val="000000" w:themeColor="text1"/>
          <w:sz w:val="20"/>
          <w:szCs w:val="20"/>
        </w:rPr>
        <w:t>,</w:t>
      </w:r>
      <w:r w:rsidRPr="00A931B6">
        <w:rPr>
          <w:rFonts w:ascii="Cambria" w:hAnsi="Cambria" w:cs="Arial"/>
          <w:color w:val="000000" w:themeColor="text1"/>
          <w:sz w:val="20"/>
          <w:szCs w:val="20"/>
        </w:rPr>
        <w:t xml:space="preserve"> also undertook to commit towards reconciliation, accountability and human rights</w:t>
      </w:r>
      <w:r w:rsidR="00587164">
        <w:rPr>
          <w:rFonts w:ascii="Cambria" w:hAnsi="Cambria" w:cs="Arial"/>
          <w:color w:val="000000" w:themeColor="text1"/>
          <w:sz w:val="20"/>
          <w:szCs w:val="20"/>
        </w:rPr>
        <w:t>,</w:t>
      </w:r>
      <w:r w:rsidRPr="00A931B6">
        <w:rPr>
          <w:rFonts w:ascii="Cambria" w:hAnsi="Cambria" w:cs="Arial"/>
          <w:color w:val="000000" w:themeColor="text1"/>
          <w:sz w:val="20"/>
          <w:szCs w:val="20"/>
        </w:rPr>
        <w:t xml:space="preserve"> by co-sponsoring the UN Human Rights Council Resolution 30/1, although progress towards meeting its commitments proved to be slow.</w:t>
      </w:r>
      <w:r w:rsidRPr="00A931B6">
        <w:rPr>
          <w:rStyle w:val="FootnoteReference"/>
          <w:rFonts w:ascii="Cambria" w:hAnsi="Cambria"/>
          <w:color w:val="333333"/>
          <w:sz w:val="20"/>
          <w:szCs w:val="20"/>
          <w:shd w:val="clear" w:color="auto" w:fill="FFFFFF"/>
        </w:rPr>
        <w:footnoteReference w:id="6"/>
      </w:r>
    </w:p>
    <w:p w14:paraId="4EB78311" w14:textId="70E7ADCF" w:rsidR="00FF4CE1" w:rsidRPr="00A931B6" w:rsidRDefault="00FF4CE1" w:rsidP="00FF4CE1">
      <w:pPr>
        <w:pStyle w:val="NormalWeb"/>
        <w:shd w:val="clear" w:color="auto" w:fill="FFFFFF"/>
        <w:spacing w:line="360" w:lineRule="auto"/>
        <w:jc w:val="both"/>
        <w:rPr>
          <w:rFonts w:ascii="Cambria" w:hAnsi="Cambria" w:cs="Arial"/>
          <w:color w:val="000000" w:themeColor="text1"/>
          <w:sz w:val="20"/>
          <w:szCs w:val="20"/>
        </w:rPr>
      </w:pPr>
      <w:r w:rsidRPr="00A931B6">
        <w:rPr>
          <w:rFonts w:ascii="Cambria" w:hAnsi="Cambria" w:cs="Arial"/>
          <w:color w:val="000000" w:themeColor="text1"/>
          <w:sz w:val="20"/>
          <w:szCs w:val="20"/>
        </w:rPr>
        <w:t>The general optimism towards enhanced government commitment to rule of law, good governance, transitional justice (TJ) and sustainable development</w:t>
      </w:r>
      <w:r w:rsidRPr="00A931B6">
        <w:rPr>
          <w:rStyle w:val="FootnoteReference"/>
          <w:rFonts w:ascii="Cambria" w:hAnsi="Cambria" w:cs="Arial"/>
          <w:color w:val="000000" w:themeColor="text1"/>
          <w:sz w:val="20"/>
          <w:szCs w:val="20"/>
        </w:rPr>
        <w:footnoteReference w:id="7"/>
      </w:r>
      <w:r w:rsidR="00587164">
        <w:rPr>
          <w:rFonts w:ascii="Cambria" w:hAnsi="Cambria" w:cs="Arial"/>
          <w:color w:val="000000" w:themeColor="text1"/>
          <w:sz w:val="20"/>
          <w:szCs w:val="20"/>
        </w:rPr>
        <w:t>,</w:t>
      </w:r>
      <w:r w:rsidRPr="00A931B6">
        <w:rPr>
          <w:rFonts w:ascii="Cambria" w:hAnsi="Cambria" w:cs="Arial"/>
          <w:color w:val="000000" w:themeColor="text1"/>
          <w:sz w:val="20"/>
          <w:szCs w:val="20"/>
        </w:rPr>
        <w:t xml:space="preserve"> and the political commitment towards implementing international obligations as evidenced by, the complete withdrawal of the European Union (EU) ban on </w:t>
      </w:r>
      <w:r w:rsidRPr="00A931B6">
        <w:rPr>
          <w:rFonts w:ascii="Cambria" w:hAnsi="Cambria" w:cs="Arial"/>
          <w:color w:val="000000" w:themeColor="text1"/>
          <w:sz w:val="20"/>
          <w:szCs w:val="20"/>
        </w:rPr>
        <w:lastRenderedPageBreak/>
        <w:t xml:space="preserve">fisheries exports in 2016 and the withdrawal of the ban on GSP plus tariff concessions in 2017, pushed forward reforms in other areas of governance. </w:t>
      </w:r>
    </w:p>
    <w:p w14:paraId="712C0C39" w14:textId="1F63A25D" w:rsidR="00FF4CE1" w:rsidRDefault="00FF4CE1" w:rsidP="00FF4CE1">
      <w:pPr>
        <w:pStyle w:val="NormalWeb"/>
        <w:shd w:val="clear" w:color="auto" w:fill="FFFFFF"/>
        <w:spacing w:line="360" w:lineRule="auto"/>
        <w:jc w:val="both"/>
        <w:rPr>
          <w:rFonts w:ascii="Cambria" w:hAnsi="Cambria" w:cs="Arial"/>
          <w:color w:val="000000" w:themeColor="text1"/>
          <w:sz w:val="20"/>
          <w:szCs w:val="20"/>
        </w:rPr>
      </w:pPr>
      <w:r w:rsidRPr="00A931B6">
        <w:rPr>
          <w:rFonts w:ascii="Cambria" w:hAnsi="Cambria" w:cs="Arial"/>
          <w:color w:val="000000" w:themeColor="text1"/>
          <w:sz w:val="20"/>
          <w:szCs w:val="20"/>
        </w:rPr>
        <w:t>The re-introduction of the Constitutional Council</w:t>
      </w:r>
      <w:r w:rsidR="000315E5">
        <w:rPr>
          <w:rFonts w:ascii="Cambria" w:hAnsi="Cambria" w:cs="Arial"/>
          <w:color w:val="000000" w:themeColor="text1"/>
          <w:sz w:val="20"/>
          <w:szCs w:val="20"/>
        </w:rPr>
        <w:t xml:space="preserve"> (CC)</w:t>
      </w:r>
      <w:r w:rsidR="00587164">
        <w:rPr>
          <w:rFonts w:ascii="Cambria" w:hAnsi="Cambria" w:cs="Arial"/>
          <w:color w:val="000000" w:themeColor="text1"/>
          <w:sz w:val="20"/>
          <w:szCs w:val="20"/>
        </w:rPr>
        <w:t>,</w:t>
      </w:r>
      <w:r w:rsidRPr="00A931B6">
        <w:rPr>
          <w:rFonts w:ascii="Cambria" w:hAnsi="Cambria" w:cs="Arial"/>
          <w:color w:val="000000" w:themeColor="text1"/>
          <w:sz w:val="20"/>
          <w:szCs w:val="20"/>
        </w:rPr>
        <w:t xml:space="preserve"> through the enactment of the Nineteenth amendment to the Constitution (hereinafter referred to as the 19</w:t>
      </w:r>
      <w:r w:rsidRPr="00A931B6">
        <w:rPr>
          <w:rFonts w:ascii="Cambria" w:hAnsi="Cambria" w:cs="Arial"/>
          <w:color w:val="000000" w:themeColor="text1"/>
          <w:sz w:val="20"/>
          <w:szCs w:val="20"/>
          <w:vertAlign w:val="superscript"/>
        </w:rPr>
        <w:t>th</w:t>
      </w:r>
      <w:r w:rsidRPr="00A931B6">
        <w:rPr>
          <w:rFonts w:ascii="Cambria" w:hAnsi="Cambria" w:cs="Arial"/>
          <w:color w:val="000000" w:themeColor="text1"/>
          <w:sz w:val="20"/>
          <w:szCs w:val="20"/>
        </w:rPr>
        <w:t xml:space="preserve"> Amendment)</w:t>
      </w:r>
      <w:r w:rsidR="00587164">
        <w:rPr>
          <w:rFonts w:ascii="Cambria" w:hAnsi="Cambria" w:cs="Arial"/>
          <w:color w:val="000000" w:themeColor="text1"/>
          <w:sz w:val="20"/>
          <w:szCs w:val="20"/>
        </w:rPr>
        <w:t>,</w:t>
      </w:r>
      <w:r w:rsidRPr="00A931B6">
        <w:rPr>
          <w:rFonts w:ascii="Cambria" w:hAnsi="Cambria" w:cs="Arial"/>
          <w:color w:val="000000" w:themeColor="text1"/>
          <w:sz w:val="20"/>
          <w:szCs w:val="20"/>
        </w:rPr>
        <w:t xml:space="preserve"> to depoliticise the public service and the establishment of Independent Institutions, and restrictions imposed on the powers of the Executive President</w:t>
      </w:r>
      <w:r w:rsidR="00587164">
        <w:rPr>
          <w:rFonts w:ascii="Cambria" w:hAnsi="Cambria" w:cs="Arial"/>
          <w:color w:val="000000" w:themeColor="text1"/>
          <w:sz w:val="20"/>
          <w:szCs w:val="20"/>
        </w:rPr>
        <w:t>,</w:t>
      </w:r>
      <w:r w:rsidRPr="00A931B6">
        <w:rPr>
          <w:rFonts w:ascii="Cambria" w:hAnsi="Cambria" w:cs="Arial"/>
          <w:color w:val="000000" w:themeColor="text1"/>
          <w:sz w:val="20"/>
          <w:szCs w:val="20"/>
        </w:rPr>
        <w:t xml:space="preserve"> by introducing provisions for enhanced power sharing between the President and the Prime Minister, highlighted the importance of investing in oversight bodies to improve accountability and inclusivity. </w:t>
      </w:r>
    </w:p>
    <w:p w14:paraId="41DDD9DF" w14:textId="77777777" w:rsidR="00FF4CE1" w:rsidRPr="00A931B6" w:rsidRDefault="00FF4CE1" w:rsidP="00FF4CE1">
      <w:pPr>
        <w:pStyle w:val="NormalWeb"/>
        <w:shd w:val="clear" w:color="auto" w:fill="FFFFFF"/>
        <w:spacing w:line="360" w:lineRule="auto"/>
        <w:jc w:val="both"/>
        <w:rPr>
          <w:rFonts w:ascii="Cambria" w:hAnsi="Cambria" w:cstheme="minorHAnsi"/>
          <w:sz w:val="20"/>
          <w:szCs w:val="20"/>
        </w:rPr>
      </w:pPr>
      <w:r w:rsidRPr="00A931B6">
        <w:rPr>
          <w:rFonts w:ascii="Cambria" w:hAnsi="Cambria" w:cstheme="minorHAnsi"/>
          <w:sz w:val="20"/>
          <w:szCs w:val="20"/>
        </w:rPr>
        <w:t>The programming rationale also recognised the existence of a centralised, supply driven public sector that, has long suffered from fragmented and disconnected structures, incoherent and incomplete reforms and inadequacy of resources, to provide responsive, accountable and inclusive services to vulnerable groups.</w:t>
      </w:r>
      <w:r w:rsidRPr="00A931B6">
        <w:rPr>
          <w:rStyle w:val="FootnoteReference"/>
          <w:rFonts w:ascii="Cambria" w:hAnsi="Cambria" w:cstheme="minorHAnsi"/>
          <w:sz w:val="20"/>
          <w:szCs w:val="20"/>
        </w:rPr>
        <w:footnoteReference w:id="8"/>
      </w:r>
      <w:r w:rsidRPr="00A931B6">
        <w:rPr>
          <w:rFonts w:ascii="Cambria" w:hAnsi="Cambria" w:cstheme="minorHAnsi"/>
          <w:sz w:val="20"/>
          <w:szCs w:val="20"/>
        </w:rPr>
        <w:t xml:space="preserve"> </w:t>
      </w:r>
    </w:p>
    <w:p w14:paraId="76FC20E4" w14:textId="66BF7222" w:rsidR="00FF4CE1" w:rsidRPr="00A931B6" w:rsidRDefault="00FF4CE1" w:rsidP="00FF4CE1">
      <w:pPr>
        <w:pStyle w:val="NormalWeb"/>
        <w:shd w:val="clear" w:color="auto" w:fill="FFFFFF"/>
        <w:spacing w:line="360" w:lineRule="auto"/>
        <w:jc w:val="both"/>
        <w:rPr>
          <w:rFonts w:ascii="Cambria" w:hAnsi="Cambria" w:cstheme="minorHAnsi"/>
          <w:sz w:val="20"/>
          <w:szCs w:val="20"/>
        </w:rPr>
      </w:pPr>
      <w:r w:rsidRPr="00A931B6">
        <w:rPr>
          <w:rFonts w:ascii="Cambria" w:hAnsi="Cambria" w:cstheme="minorHAnsi"/>
          <w:sz w:val="20"/>
          <w:szCs w:val="20"/>
        </w:rPr>
        <w:t>Many areas were identified as cross cutting issues including</w:t>
      </w:r>
      <w:r w:rsidRPr="00A931B6">
        <w:rPr>
          <w:rStyle w:val="FootnoteReference"/>
          <w:rFonts w:ascii="Cambria" w:hAnsi="Cambria" w:cstheme="minorHAnsi"/>
          <w:sz w:val="20"/>
          <w:szCs w:val="20"/>
        </w:rPr>
        <w:footnoteReference w:id="9"/>
      </w:r>
      <w:r w:rsidR="00587164">
        <w:rPr>
          <w:rFonts w:ascii="Cambria" w:hAnsi="Cambria" w:cstheme="minorHAnsi"/>
          <w:sz w:val="20"/>
          <w:szCs w:val="20"/>
        </w:rPr>
        <w:t>,</w:t>
      </w:r>
      <w:r w:rsidRPr="00A931B6">
        <w:rPr>
          <w:rFonts w:ascii="Cambria" w:hAnsi="Cambria" w:cstheme="minorHAnsi"/>
          <w:sz w:val="20"/>
          <w:szCs w:val="20"/>
        </w:rPr>
        <w:t xml:space="preserve">  Gender Equality and Women’s Empowerment</w:t>
      </w:r>
      <w:r w:rsidR="000315E5">
        <w:rPr>
          <w:rFonts w:ascii="Cambria" w:hAnsi="Cambria" w:cstheme="minorHAnsi"/>
          <w:sz w:val="20"/>
          <w:szCs w:val="20"/>
        </w:rPr>
        <w:t xml:space="preserve"> (GEWE)</w:t>
      </w:r>
      <w:r w:rsidRPr="00A931B6">
        <w:rPr>
          <w:rFonts w:ascii="Cambria" w:hAnsi="Cambria" w:cstheme="minorHAnsi"/>
          <w:sz w:val="20"/>
          <w:szCs w:val="20"/>
        </w:rPr>
        <w:t>.</w:t>
      </w:r>
      <w:r w:rsidRPr="00A931B6">
        <w:rPr>
          <w:rStyle w:val="FootnoteReference"/>
          <w:rFonts w:ascii="Cambria" w:hAnsi="Cambria" w:cstheme="minorHAnsi"/>
          <w:sz w:val="20"/>
          <w:szCs w:val="20"/>
        </w:rPr>
        <w:footnoteReference w:id="10"/>
      </w:r>
      <w:r w:rsidRPr="00A931B6">
        <w:rPr>
          <w:rFonts w:ascii="Cambria" w:hAnsi="Cambria" w:cstheme="minorHAnsi"/>
          <w:sz w:val="20"/>
          <w:szCs w:val="20"/>
        </w:rPr>
        <w:t xml:space="preserve"> Despite high social indicators for women, exceeding that of men,</w:t>
      </w:r>
      <w:r w:rsidRPr="00A931B6">
        <w:rPr>
          <w:rStyle w:val="FootnoteReference"/>
          <w:rFonts w:ascii="Cambria" w:hAnsi="Cambria" w:cstheme="minorHAnsi"/>
          <w:sz w:val="20"/>
          <w:szCs w:val="20"/>
        </w:rPr>
        <w:footnoteReference w:id="11"/>
      </w:r>
      <w:r w:rsidRPr="00A931B6">
        <w:rPr>
          <w:rFonts w:ascii="Cambria" w:hAnsi="Cambria" w:cstheme="minorHAnsi"/>
          <w:sz w:val="20"/>
          <w:szCs w:val="20"/>
        </w:rPr>
        <w:t xml:space="preserve"> the Portfolio rational highlighted the barriers faced by women accessing justice</w:t>
      </w:r>
      <w:r w:rsidR="00587164">
        <w:rPr>
          <w:rFonts w:ascii="Cambria" w:hAnsi="Cambria" w:cstheme="minorHAnsi"/>
          <w:sz w:val="20"/>
          <w:szCs w:val="20"/>
        </w:rPr>
        <w:t>,</w:t>
      </w:r>
      <w:r w:rsidRPr="00A931B6">
        <w:rPr>
          <w:rFonts w:ascii="Cambria" w:hAnsi="Cambria" w:cstheme="minorHAnsi"/>
          <w:sz w:val="20"/>
          <w:szCs w:val="20"/>
        </w:rPr>
        <w:t xml:space="preserve"> exacerbated by war and the existence of a culture of violence against women, particularly Sexual and Gender Based Violence (SGBV) that</w:t>
      </w:r>
      <w:r w:rsidR="00587164">
        <w:rPr>
          <w:rFonts w:ascii="Cambria" w:hAnsi="Cambria" w:cstheme="minorHAnsi"/>
          <w:sz w:val="20"/>
          <w:szCs w:val="20"/>
        </w:rPr>
        <w:t>,</w:t>
      </w:r>
      <w:r w:rsidRPr="00A931B6">
        <w:rPr>
          <w:rFonts w:ascii="Cambria" w:hAnsi="Cambria" w:cstheme="minorHAnsi"/>
          <w:sz w:val="20"/>
          <w:szCs w:val="20"/>
        </w:rPr>
        <w:t xml:space="preserve"> go unheeded.</w:t>
      </w:r>
    </w:p>
    <w:p w14:paraId="4186C5B6" w14:textId="598A6BA0" w:rsidR="00FF4CE1" w:rsidRPr="00A931B6" w:rsidRDefault="00FF4CE1" w:rsidP="00FF4CE1">
      <w:pPr>
        <w:pStyle w:val="NormalWeb"/>
        <w:shd w:val="clear" w:color="auto" w:fill="FFFFFF"/>
        <w:spacing w:line="360" w:lineRule="auto"/>
        <w:jc w:val="both"/>
        <w:rPr>
          <w:rFonts w:ascii="Cambria" w:hAnsi="Cambria" w:cstheme="minorHAnsi"/>
          <w:sz w:val="20"/>
          <w:szCs w:val="20"/>
          <w:lang w:val="en-GB"/>
        </w:rPr>
      </w:pPr>
      <w:r w:rsidRPr="00A931B6">
        <w:rPr>
          <w:rFonts w:ascii="Cambria" w:hAnsi="Cambria" w:cstheme="minorHAnsi"/>
          <w:sz w:val="20"/>
          <w:szCs w:val="20"/>
        </w:rPr>
        <w:t>Therefore, taking into consideration the development challenge at the time and country context, the Portfolio strategy</w:t>
      </w:r>
      <w:r w:rsidR="00C54552">
        <w:rPr>
          <w:rStyle w:val="FootnoteReference"/>
          <w:rFonts w:ascii="Cambria" w:hAnsi="Cambria" w:cstheme="minorHAnsi"/>
          <w:sz w:val="20"/>
          <w:szCs w:val="20"/>
        </w:rPr>
        <w:footnoteReference w:id="12"/>
      </w:r>
      <w:r w:rsidRPr="00A931B6">
        <w:rPr>
          <w:rFonts w:ascii="Cambria" w:hAnsi="Cambria" w:cstheme="minorHAnsi"/>
          <w:sz w:val="20"/>
          <w:szCs w:val="20"/>
        </w:rPr>
        <w:t xml:space="preserve"> was developed to contribute to Sri Lanka achieving SDG 16, which is universally regarded as the enabler for reali</w:t>
      </w:r>
      <w:r w:rsidR="0003786E">
        <w:rPr>
          <w:rFonts w:ascii="Cambria" w:hAnsi="Cambria" w:cstheme="minorHAnsi"/>
          <w:sz w:val="20"/>
          <w:szCs w:val="20"/>
        </w:rPr>
        <w:t>s</w:t>
      </w:r>
      <w:r w:rsidRPr="00A931B6">
        <w:rPr>
          <w:rFonts w:ascii="Cambria" w:hAnsi="Cambria" w:cstheme="minorHAnsi"/>
          <w:sz w:val="20"/>
          <w:szCs w:val="20"/>
        </w:rPr>
        <w:t>ing SDGs 1-15. The theory of change stemmed from the overarching theory of change of UNDP Sri Lanka’s broader Country Programme Document (CPD). It envisaged reducing inequalities</w:t>
      </w:r>
      <w:r w:rsidR="00997030">
        <w:rPr>
          <w:rStyle w:val="FootnoteReference"/>
          <w:rFonts w:ascii="Cambria" w:hAnsi="Cambria" w:cstheme="minorHAnsi"/>
          <w:sz w:val="20"/>
          <w:szCs w:val="20"/>
        </w:rPr>
        <w:footnoteReference w:id="13"/>
      </w:r>
      <w:r w:rsidR="00997030">
        <w:rPr>
          <w:rFonts w:ascii="Cambria" w:hAnsi="Cambria" w:cstheme="minorHAnsi"/>
          <w:sz w:val="20"/>
          <w:szCs w:val="20"/>
        </w:rPr>
        <w:t xml:space="preserve"> </w:t>
      </w:r>
      <w:r w:rsidRPr="00A931B6">
        <w:rPr>
          <w:rFonts w:ascii="Cambria" w:hAnsi="Cambria" w:cstheme="minorHAnsi"/>
          <w:sz w:val="20"/>
          <w:szCs w:val="20"/>
        </w:rPr>
        <w:t xml:space="preserve">and </w:t>
      </w:r>
      <w:r w:rsidRPr="00A931B6">
        <w:rPr>
          <w:rFonts w:ascii="Cambria" w:hAnsi="Cambria" w:cstheme="minorHAnsi"/>
          <w:sz w:val="20"/>
          <w:szCs w:val="20"/>
        </w:rPr>
        <w:lastRenderedPageBreak/>
        <w:t>vulnerabilities and building public trust</w:t>
      </w:r>
      <w:r w:rsidRPr="00A931B6">
        <w:rPr>
          <w:rStyle w:val="FootnoteReference"/>
          <w:rFonts w:ascii="Cambria" w:hAnsi="Cambria" w:cstheme="minorHAnsi"/>
          <w:sz w:val="20"/>
          <w:szCs w:val="20"/>
        </w:rPr>
        <w:footnoteReference w:id="14"/>
      </w:r>
      <w:r w:rsidRPr="00A931B6">
        <w:rPr>
          <w:rFonts w:ascii="Cambria" w:hAnsi="Cambria" w:cstheme="minorHAnsi"/>
          <w:sz w:val="20"/>
          <w:szCs w:val="20"/>
        </w:rPr>
        <w:t xml:space="preserve"> in public institutions by, </w:t>
      </w:r>
      <w:r w:rsidRPr="00A931B6">
        <w:rPr>
          <w:rFonts w:ascii="Cambria" w:hAnsi="Cambria" w:cstheme="minorHAnsi"/>
          <w:sz w:val="20"/>
          <w:szCs w:val="20"/>
          <w:lang w:val="en-GB"/>
        </w:rPr>
        <w:t>developing the capacities of duty-bearers to exercise their mandate more effectively to promote peace and development and supporting right-holders to engage in governance processes</w:t>
      </w:r>
      <w:r w:rsidR="00587164">
        <w:rPr>
          <w:rFonts w:ascii="Cambria" w:hAnsi="Cambria" w:cstheme="minorHAnsi"/>
          <w:sz w:val="20"/>
          <w:szCs w:val="20"/>
          <w:lang w:val="en-GB"/>
        </w:rPr>
        <w:t>,</w:t>
      </w:r>
      <w:r w:rsidRPr="00A931B6">
        <w:rPr>
          <w:rFonts w:ascii="Cambria" w:hAnsi="Cambria" w:cstheme="minorHAnsi"/>
          <w:sz w:val="20"/>
          <w:szCs w:val="20"/>
          <w:lang w:val="en-GB"/>
        </w:rPr>
        <w:t xml:space="preserve"> to ensure the representation of public interests, accountability and promotion of peace and reconciliation.</w:t>
      </w:r>
      <w:r w:rsidRPr="00A931B6">
        <w:rPr>
          <w:rStyle w:val="FootnoteReference"/>
          <w:rFonts w:ascii="Cambria" w:hAnsi="Cambria" w:cstheme="minorHAnsi"/>
          <w:sz w:val="20"/>
          <w:szCs w:val="20"/>
          <w:lang w:val="en-GB"/>
        </w:rPr>
        <w:footnoteReference w:id="15"/>
      </w:r>
      <w:r w:rsidRPr="00A931B6">
        <w:rPr>
          <w:rFonts w:ascii="Cambria" w:hAnsi="Cambria" w:cstheme="minorHAnsi"/>
          <w:sz w:val="20"/>
          <w:szCs w:val="20"/>
          <w:lang w:val="en-GB"/>
        </w:rPr>
        <w:t xml:space="preserve"> </w:t>
      </w:r>
    </w:p>
    <w:p w14:paraId="6A5BACC2" w14:textId="7CDC6810" w:rsidR="00FF4CE1" w:rsidRPr="0055598A" w:rsidRDefault="00FF4CE1" w:rsidP="00081358">
      <w:pPr>
        <w:pStyle w:val="NormalWeb"/>
        <w:numPr>
          <w:ilvl w:val="1"/>
          <w:numId w:val="77"/>
        </w:numPr>
        <w:shd w:val="clear" w:color="auto" w:fill="FFFFFF"/>
        <w:spacing w:line="360" w:lineRule="auto"/>
        <w:jc w:val="both"/>
        <w:rPr>
          <w:rFonts w:ascii="Cambria" w:hAnsi="Cambria" w:cs="Arial"/>
          <w:b/>
          <w:bCs/>
          <w:color w:val="000000" w:themeColor="text1"/>
          <w:sz w:val="28"/>
          <w:szCs w:val="28"/>
        </w:rPr>
      </w:pPr>
      <w:r w:rsidRPr="0055598A">
        <w:rPr>
          <w:rFonts w:ascii="Cambria" w:hAnsi="Cambria" w:cs="Arial"/>
          <w:b/>
          <w:bCs/>
          <w:color w:val="000000" w:themeColor="text1"/>
          <w:sz w:val="28"/>
          <w:szCs w:val="28"/>
        </w:rPr>
        <w:t>Current Context and Challenges 2018 -2020</w:t>
      </w:r>
    </w:p>
    <w:p w14:paraId="59FF7FEB" w14:textId="79D14427" w:rsidR="00FF4CE1" w:rsidRPr="00A931B6" w:rsidRDefault="00587164" w:rsidP="00FF4CE1">
      <w:pPr>
        <w:pStyle w:val="NormalWeb"/>
        <w:shd w:val="clear" w:color="auto" w:fill="FFFFFF"/>
        <w:spacing w:line="360" w:lineRule="auto"/>
        <w:jc w:val="both"/>
        <w:rPr>
          <w:rFonts w:ascii="Cambria" w:hAnsi="Cambria" w:cs="Arial"/>
          <w:color w:val="000000" w:themeColor="text1"/>
          <w:sz w:val="20"/>
          <w:szCs w:val="20"/>
        </w:rPr>
      </w:pPr>
      <w:r>
        <w:rPr>
          <w:rFonts w:ascii="Cambria" w:hAnsi="Cambria" w:cs="Arial"/>
          <w:color w:val="000000" w:themeColor="text1"/>
          <w:sz w:val="20"/>
          <w:szCs w:val="20"/>
        </w:rPr>
        <w:t>T</w:t>
      </w:r>
      <w:r w:rsidR="00FF4CE1" w:rsidRPr="00A931B6">
        <w:rPr>
          <w:rFonts w:ascii="Cambria" w:hAnsi="Cambria" w:cs="Arial"/>
          <w:color w:val="000000" w:themeColor="text1"/>
          <w:sz w:val="20"/>
          <w:szCs w:val="20"/>
        </w:rPr>
        <w:t>here were many challenges to the development trajectory of Sri Lanka despite the momentum experienced during the period 2015-2018. Firstly, the internal power struggles between the two coalition parties under the National Unity government</w:t>
      </w:r>
      <w:r>
        <w:rPr>
          <w:rFonts w:ascii="Cambria" w:hAnsi="Cambria" w:cs="Arial"/>
          <w:color w:val="000000" w:themeColor="text1"/>
          <w:sz w:val="20"/>
          <w:szCs w:val="20"/>
        </w:rPr>
        <w:t>,</w:t>
      </w:r>
      <w:r w:rsidR="00FF4CE1" w:rsidRPr="00A931B6">
        <w:rPr>
          <w:rFonts w:ascii="Cambria" w:hAnsi="Cambria" w:cs="Arial"/>
          <w:color w:val="000000" w:themeColor="text1"/>
          <w:sz w:val="20"/>
          <w:szCs w:val="20"/>
        </w:rPr>
        <w:t xml:space="preserve"> perpetuated incoherence in policy making, coordination and implementation</w:t>
      </w:r>
      <w:r>
        <w:rPr>
          <w:rFonts w:ascii="Cambria" w:hAnsi="Cambria" w:cs="Arial"/>
          <w:color w:val="000000" w:themeColor="text1"/>
          <w:sz w:val="20"/>
          <w:szCs w:val="20"/>
        </w:rPr>
        <w:t xml:space="preserve">. This </w:t>
      </w:r>
      <w:r w:rsidR="00FF4CE1" w:rsidRPr="00A931B6">
        <w:rPr>
          <w:rFonts w:ascii="Cambria" w:hAnsi="Cambria" w:cs="Arial"/>
          <w:color w:val="000000" w:themeColor="text1"/>
          <w:sz w:val="20"/>
          <w:szCs w:val="20"/>
        </w:rPr>
        <w:t>resulted in slow progress of many of the reforms undertaken</w:t>
      </w:r>
      <w:r w:rsidR="00FF4CE1" w:rsidRPr="00A931B6">
        <w:rPr>
          <w:rStyle w:val="FootnoteReference"/>
          <w:rFonts w:ascii="Cambria" w:hAnsi="Cambria" w:cs="Arial"/>
          <w:color w:val="000000" w:themeColor="text1"/>
          <w:sz w:val="20"/>
          <w:szCs w:val="20"/>
        </w:rPr>
        <w:footnoteReference w:id="16"/>
      </w:r>
      <w:r w:rsidR="00FF4CE1" w:rsidRPr="00A931B6">
        <w:rPr>
          <w:rFonts w:ascii="Cambria" w:hAnsi="Cambria" w:cs="Arial"/>
          <w:color w:val="000000" w:themeColor="text1"/>
          <w:sz w:val="20"/>
          <w:szCs w:val="20"/>
        </w:rPr>
        <w:t>, including government’s commitment to constitutional reform. The political turmoil created by President Maithripala Sirisena</w:t>
      </w:r>
      <w:r>
        <w:rPr>
          <w:rFonts w:ascii="Cambria" w:hAnsi="Cambria" w:cs="Arial"/>
          <w:color w:val="000000" w:themeColor="text1"/>
          <w:sz w:val="20"/>
          <w:szCs w:val="20"/>
        </w:rPr>
        <w:t>,</w:t>
      </w:r>
      <w:r w:rsidR="00FF4CE1" w:rsidRPr="00A931B6">
        <w:rPr>
          <w:rFonts w:ascii="Cambria" w:hAnsi="Cambria" w:cs="Arial"/>
          <w:color w:val="000000" w:themeColor="text1"/>
          <w:sz w:val="20"/>
          <w:szCs w:val="20"/>
        </w:rPr>
        <w:t xml:space="preserve"> in an unprecedented move to replace the Prime Minister Ranil Wickremasinghe</w:t>
      </w:r>
      <w:r>
        <w:rPr>
          <w:rFonts w:ascii="Cambria" w:hAnsi="Cambria" w:cs="Arial"/>
          <w:color w:val="000000" w:themeColor="text1"/>
          <w:sz w:val="20"/>
          <w:szCs w:val="20"/>
        </w:rPr>
        <w:t xml:space="preserve"> </w:t>
      </w:r>
      <w:r w:rsidR="00FF4CE1" w:rsidRPr="00A931B6">
        <w:rPr>
          <w:rFonts w:ascii="Cambria" w:hAnsi="Cambria" w:cs="Arial"/>
          <w:color w:val="000000" w:themeColor="text1"/>
          <w:sz w:val="20"/>
          <w:szCs w:val="20"/>
        </w:rPr>
        <w:t xml:space="preserve">in direct contravention </w:t>
      </w:r>
      <w:r>
        <w:rPr>
          <w:rFonts w:ascii="Cambria" w:hAnsi="Cambria" w:cs="Arial"/>
          <w:color w:val="000000" w:themeColor="text1"/>
          <w:sz w:val="20"/>
          <w:szCs w:val="20"/>
        </w:rPr>
        <w:t xml:space="preserve">of </w:t>
      </w:r>
      <w:r w:rsidR="00FF4CE1" w:rsidRPr="00A931B6">
        <w:rPr>
          <w:rFonts w:ascii="Cambria" w:hAnsi="Cambria" w:cs="Arial"/>
          <w:color w:val="000000" w:themeColor="text1"/>
          <w:sz w:val="20"/>
          <w:szCs w:val="20"/>
        </w:rPr>
        <w:t>the Constitution in 2018</w:t>
      </w:r>
      <w:r>
        <w:rPr>
          <w:rFonts w:ascii="Cambria" w:hAnsi="Cambria" w:cs="Arial"/>
          <w:color w:val="000000" w:themeColor="text1"/>
          <w:sz w:val="20"/>
          <w:szCs w:val="20"/>
        </w:rPr>
        <w:t xml:space="preserve">, </w:t>
      </w:r>
      <w:r w:rsidR="00FF4CE1" w:rsidRPr="00A931B6">
        <w:rPr>
          <w:rFonts w:ascii="Cambria" w:hAnsi="Cambria" w:cs="Arial"/>
          <w:color w:val="000000" w:themeColor="text1"/>
          <w:sz w:val="20"/>
          <w:szCs w:val="20"/>
        </w:rPr>
        <w:t>followed by the Easter attacks in 2019 and several waves of ethnic and religious violence</w:t>
      </w:r>
      <w:r>
        <w:rPr>
          <w:rFonts w:ascii="Cambria" w:hAnsi="Cambria" w:cs="Arial"/>
          <w:color w:val="000000" w:themeColor="text1"/>
          <w:sz w:val="20"/>
          <w:szCs w:val="20"/>
        </w:rPr>
        <w:t>, f</w:t>
      </w:r>
      <w:r w:rsidR="00FF4CE1" w:rsidRPr="00A931B6">
        <w:rPr>
          <w:rFonts w:ascii="Cambria" w:hAnsi="Cambria" w:cs="Arial"/>
          <w:color w:val="000000" w:themeColor="text1"/>
          <w:sz w:val="20"/>
          <w:szCs w:val="20"/>
        </w:rPr>
        <w:t xml:space="preserve">urther decelerated progress in governance reforms. </w:t>
      </w:r>
    </w:p>
    <w:p w14:paraId="39DB345C" w14:textId="4E4F24B0" w:rsidR="00FF4CE1" w:rsidRPr="00A931B6" w:rsidRDefault="00FF4CE1" w:rsidP="00FF4CE1">
      <w:pPr>
        <w:pStyle w:val="NormalWeb"/>
        <w:shd w:val="clear" w:color="auto" w:fill="FFFFFF"/>
        <w:spacing w:line="360" w:lineRule="auto"/>
        <w:jc w:val="both"/>
        <w:rPr>
          <w:rFonts w:ascii="Cambria" w:hAnsi="Cambria" w:cs="Arial"/>
          <w:color w:val="000000" w:themeColor="text1"/>
          <w:sz w:val="20"/>
          <w:szCs w:val="20"/>
        </w:rPr>
      </w:pPr>
      <w:r w:rsidRPr="00A931B6">
        <w:rPr>
          <w:rFonts w:ascii="Cambria" w:hAnsi="Cambria" w:cs="Arial"/>
          <w:color w:val="000000" w:themeColor="text1"/>
          <w:sz w:val="20"/>
          <w:szCs w:val="20"/>
        </w:rPr>
        <w:t>Secondly, the Presidential Election in 2019, effectively shifted power to the Sri Lanka Podujana Peramuna (SLPP), which highlighted 10 key areas in its national policy framework ‘Vistas of Prosperity and Splendour’</w:t>
      </w:r>
      <w:r w:rsidRPr="00A931B6">
        <w:rPr>
          <w:rStyle w:val="FootnoteReference"/>
          <w:rFonts w:ascii="Cambria" w:hAnsi="Cambria" w:cs="Arial"/>
          <w:color w:val="000000" w:themeColor="text1"/>
          <w:sz w:val="20"/>
          <w:szCs w:val="20"/>
        </w:rPr>
        <w:footnoteReference w:id="17"/>
      </w:r>
      <w:r w:rsidRPr="00A931B6">
        <w:rPr>
          <w:rFonts w:ascii="Cambria" w:hAnsi="Cambria" w:cs="Arial"/>
          <w:color w:val="000000" w:themeColor="text1"/>
          <w:sz w:val="20"/>
          <w:szCs w:val="20"/>
        </w:rPr>
        <w:t>. SLPP prioritised n</w:t>
      </w:r>
      <w:r w:rsidRPr="00A931B6">
        <w:rPr>
          <w:rFonts w:ascii="Cambria" w:hAnsi="Cambria"/>
          <w:sz w:val="20"/>
          <w:szCs w:val="20"/>
        </w:rPr>
        <w:t>ational security, friendly, non-aligned, foreign policy, an administration free from corruption, a new constitution that fulfills the Peoples wishes, productive citizenry and a vibrant human resource, people centric economic development, technology</w:t>
      </w:r>
      <w:r w:rsidR="00B718AA">
        <w:rPr>
          <w:rFonts w:ascii="Cambria" w:hAnsi="Cambria"/>
          <w:sz w:val="20"/>
          <w:szCs w:val="20"/>
        </w:rPr>
        <w:t>-</w:t>
      </w:r>
      <w:r w:rsidRPr="00A931B6">
        <w:rPr>
          <w:rFonts w:ascii="Cambria" w:hAnsi="Cambria"/>
          <w:sz w:val="20"/>
          <w:szCs w:val="20"/>
        </w:rPr>
        <w:t>based society, development of physical resources, sustainable environmental management and disciplined, law abiding and values</w:t>
      </w:r>
      <w:r w:rsidR="00F53B9B">
        <w:rPr>
          <w:rFonts w:ascii="Cambria" w:hAnsi="Cambria"/>
          <w:sz w:val="20"/>
          <w:szCs w:val="20"/>
        </w:rPr>
        <w:t>-</w:t>
      </w:r>
      <w:r w:rsidRPr="00A931B6">
        <w:rPr>
          <w:rFonts w:ascii="Cambria" w:hAnsi="Cambria"/>
          <w:sz w:val="20"/>
          <w:szCs w:val="20"/>
        </w:rPr>
        <w:t>based society</w:t>
      </w:r>
      <w:r w:rsidRPr="00A931B6">
        <w:rPr>
          <w:rFonts w:ascii="Cambria" w:hAnsi="Cambria" w:cs="Arial"/>
          <w:color w:val="000000" w:themeColor="text1"/>
          <w:sz w:val="20"/>
          <w:szCs w:val="20"/>
        </w:rPr>
        <w:t>.</w:t>
      </w:r>
      <w:r w:rsidRPr="00A931B6">
        <w:rPr>
          <w:rStyle w:val="FootnoteReference"/>
          <w:rFonts w:ascii="Cambria" w:hAnsi="Cambria" w:cs="Arial"/>
          <w:color w:val="000000" w:themeColor="text1"/>
          <w:sz w:val="20"/>
          <w:szCs w:val="20"/>
        </w:rPr>
        <w:footnoteReference w:id="18"/>
      </w:r>
      <w:r w:rsidRPr="00A931B6">
        <w:rPr>
          <w:rFonts w:ascii="Cambria" w:hAnsi="Cambria" w:cs="Arial"/>
          <w:color w:val="000000" w:themeColor="text1"/>
          <w:sz w:val="20"/>
          <w:szCs w:val="20"/>
        </w:rPr>
        <w:t xml:space="preserve"> </w:t>
      </w:r>
    </w:p>
    <w:p w14:paraId="29748D08" w14:textId="48ED4385" w:rsidR="00FF4CE1" w:rsidRDefault="00FF4CE1" w:rsidP="00FF4CE1">
      <w:pPr>
        <w:pStyle w:val="NormalWeb"/>
        <w:shd w:val="clear" w:color="auto" w:fill="FFFFFF"/>
        <w:spacing w:line="360" w:lineRule="auto"/>
        <w:jc w:val="both"/>
        <w:rPr>
          <w:rFonts w:ascii="Cambria" w:hAnsi="Cambria"/>
          <w:sz w:val="20"/>
          <w:szCs w:val="20"/>
        </w:rPr>
      </w:pPr>
      <w:r w:rsidRPr="00A931B6">
        <w:rPr>
          <w:rFonts w:ascii="Cambria" w:hAnsi="Cambria" w:cs="Arial"/>
          <w:color w:val="000000" w:themeColor="text1"/>
          <w:sz w:val="20"/>
          <w:szCs w:val="20"/>
        </w:rPr>
        <w:t>In February 2020</w:t>
      </w:r>
      <w:r w:rsidR="00B30ADD">
        <w:rPr>
          <w:rFonts w:ascii="Cambria" w:hAnsi="Cambria" w:cs="Arial"/>
          <w:color w:val="000000" w:themeColor="text1"/>
          <w:sz w:val="20"/>
          <w:szCs w:val="20"/>
        </w:rPr>
        <w:t>,</w:t>
      </w:r>
      <w:r w:rsidRPr="00A931B6">
        <w:rPr>
          <w:rFonts w:ascii="Cambria" w:hAnsi="Cambria" w:cs="Arial"/>
          <w:color w:val="000000" w:themeColor="text1"/>
          <w:sz w:val="20"/>
          <w:szCs w:val="20"/>
        </w:rPr>
        <w:t xml:space="preserve"> the government announced its decision, approved by the Cabinet of Ministers to withdraw from the UNHRC Resolution 30/1 and 40/1. Renouncing the resolution as a ‘historical betrayal by the </w:t>
      </w:r>
      <w:r w:rsidRPr="0015285C">
        <w:rPr>
          <w:rFonts w:ascii="Cambria" w:hAnsi="Cambria" w:cs="Arial"/>
          <w:sz w:val="20"/>
          <w:szCs w:val="20"/>
        </w:rPr>
        <w:lastRenderedPageBreak/>
        <w:t>Yahapalana government’</w:t>
      </w:r>
      <w:r w:rsidRPr="0015285C">
        <w:rPr>
          <w:rStyle w:val="FootnoteReference"/>
          <w:rFonts w:ascii="Cambria" w:hAnsi="Cambria" w:cs="Arial"/>
          <w:sz w:val="20"/>
          <w:szCs w:val="20"/>
        </w:rPr>
        <w:footnoteReference w:id="19"/>
      </w:r>
      <w:r w:rsidRPr="0015285C">
        <w:rPr>
          <w:rFonts w:ascii="Cambria" w:hAnsi="Cambria" w:cs="Arial"/>
          <w:sz w:val="20"/>
          <w:szCs w:val="20"/>
        </w:rPr>
        <w:t>, the new government committed to achieving the goals set by the people of Sri Lanka on accountability and human rights towards sustainable peace and reconciliation. The withdrawal sparked domestic and international criticism calling for a robust response from the Human Rights Council</w:t>
      </w:r>
      <w:r w:rsidR="00B30ADD">
        <w:rPr>
          <w:rFonts w:ascii="Cambria" w:hAnsi="Cambria" w:cs="Arial"/>
          <w:sz w:val="20"/>
          <w:szCs w:val="20"/>
        </w:rPr>
        <w:t xml:space="preserve"> (HRC)</w:t>
      </w:r>
      <w:r w:rsidRPr="0015285C">
        <w:rPr>
          <w:rFonts w:ascii="Cambria" w:hAnsi="Cambria" w:cs="Arial"/>
          <w:sz w:val="20"/>
          <w:szCs w:val="20"/>
        </w:rPr>
        <w:t xml:space="preserve"> ‘including steps towards the creation of an accountability mechanism to ensure the victims of the nearly three-</w:t>
      </w:r>
      <w:r w:rsidRPr="002D372D">
        <w:rPr>
          <w:rFonts w:ascii="Cambria" w:hAnsi="Cambria" w:cs="Arial"/>
          <w:sz w:val="20"/>
          <w:szCs w:val="20"/>
        </w:rPr>
        <w:t>decade long conflict get the justice that is owed to them’</w:t>
      </w:r>
      <w:r w:rsidR="00B30ADD" w:rsidRPr="002D372D">
        <w:rPr>
          <w:rFonts w:ascii="Cambria" w:hAnsi="Cambria" w:cs="Arial"/>
          <w:sz w:val="20"/>
          <w:szCs w:val="20"/>
        </w:rPr>
        <w:t>.</w:t>
      </w:r>
      <w:r w:rsidRPr="002D372D">
        <w:rPr>
          <w:rStyle w:val="FootnoteReference"/>
          <w:rFonts w:ascii="Cambria" w:hAnsi="Cambria" w:cs="Arial"/>
          <w:sz w:val="20"/>
          <w:szCs w:val="20"/>
        </w:rPr>
        <w:footnoteReference w:id="20"/>
      </w:r>
      <w:r w:rsidRPr="002D372D">
        <w:rPr>
          <w:rFonts w:ascii="Cambria" w:hAnsi="Cambria" w:cs="Arial"/>
          <w:sz w:val="20"/>
          <w:szCs w:val="20"/>
        </w:rPr>
        <w:t xml:space="preserve"> </w:t>
      </w:r>
      <w:r w:rsidR="00420101" w:rsidRPr="002D372D">
        <w:rPr>
          <w:rFonts w:ascii="Cambria" w:hAnsi="Cambria"/>
          <w:sz w:val="20"/>
          <w:szCs w:val="20"/>
        </w:rPr>
        <w:t>In March 2021, t</w:t>
      </w:r>
      <w:r w:rsidR="00420101" w:rsidRPr="002D372D">
        <w:rPr>
          <w:rFonts w:ascii="Cambria" w:hAnsi="Cambria" w:cs="Arial"/>
          <w:sz w:val="20"/>
          <w:szCs w:val="20"/>
        </w:rPr>
        <w:t>he HRC adopted a resolution on Sri Lanka “</w:t>
      </w:r>
      <w:r w:rsidR="00420101" w:rsidRPr="002D372D">
        <w:rPr>
          <w:rFonts w:ascii="Cambria" w:hAnsi="Cambria"/>
          <w:sz w:val="20"/>
          <w:szCs w:val="20"/>
        </w:rPr>
        <w:t>to strengthen the capacity of the Office of the High Commissioner to collect, consolidate, analyse and preserve information and evidence and to develop possible strategies for future accountability processes for gross violations of human rights or serious violations of international humanitarian law in Sri Lanka to advocate for victims and survivors, and to support relevant judicial and other proceedings, including in Member States, with competent jurisdiction.”</w:t>
      </w:r>
      <w:r w:rsidR="00B30ADD" w:rsidRPr="002D372D">
        <w:rPr>
          <w:rStyle w:val="FootnoteReference"/>
          <w:rFonts w:ascii="Cambria" w:hAnsi="Cambria" w:cs="Arial"/>
          <w:sz w:val="20"/>
          <w:szCs w:val="20"/>
        </w:rPr>
        <w:footnoteReference w:id="21"/>
      </w:r>
    </w:p>
    <w:p w14:paraId="77533D0D" w14:textId="77777777" w:rsidR="00FF4CE1" w:rsidRPr="0015285C" w:rsidRDefault="00FF4CE1" w:rsidP="00FF4CE1">
      <w:pPr>
        <w:spacing w:line="360" w:lineRule="auto"/>
        <w:jc w:val="both"/>
        <w:rPr>
          <w:rFonts w:ascii="Cambria" w:eastAsia="Times New Roman" w:hAnsi="Cambria" w:cs="Times New Roman"/>
          <w:sz w:val="20"/>
          <w:szCs w:val="20"/>
          <w:shd w:val="clear" w:color="auto" w:fill="FFFFFF"/>
          <w:lang w:eastAsia="en-GB"/>
        </w:rPr>
      </w:pPr>
      <w:r w:rsidRPr="0015285C">
        <w:rPr>
          <w:rFonts w:ascii="Cambria" w:hAnsi="Cambria" w:cs="Arial"/>
          <w:sz w:val="20"/>
          <w:szCs w:val="20"/>
        </w:rPr>
        <w:t>The proliferation of Presidential Task forces</w:t>
      </w:r>
      <w:r w:rsidRPr="0015285C">
        <w:rPr>
          <w:rStyle w:val="FootnoteReference"/>
          <w:rFonts w:ascii="Cambria" w:hAnsi="Cambria" w:cs="Arial"/>
          <w:sz w:val="20"/>
          <w:szCs w:val="20"/>
        </w:rPr>
        <w:footnoteReference w:id="22"/>
      </w:r>
      <w:r w:rsidRPr="0015285C">
        <w:rPr>
          <w:rFonts w:ascii="Cambria" w:hAnsi="Cambria" w:cs="Arial"/>
          <w:sz w:val="20"/>
          <w:szCs w:val="20"/>
        </w:rPr>
        <w:t xml:space="preserve"> reporting directly to the President</w:t>
      </w:r>
      <w:r w:rsidRPr="0015285C">
        <w:rPr>
          <w:rStyle w:val="FootnoteReference"/>
          <w:rFonts w:ascii="Cambria" w:hAnsi="Cambria" w:cs="Arial"/>
          <w:sz w:val="20"/>
          <w:szCs w:val="20"/>
        </w:rPr>
        <w:footnoteReference w:id="23"/>
      </w:r>
      <w:r w:rsidRPr="0015285C">
        <w:rPr>
          <w:rFonts w:ascii="Cambria" w:hAnsi="Cambria" w:cs="Arial"/>
          <w:sz w:val="20"/>
          <w:szCs w:val="20"/>
        </w:rPr>
        <w:t xml:space="preserve">, primarily </w:t>
      </w:r>
      <w:r w:rsidRPr="0015285C">
        <w:rPr>
          <w:rFonts w:ascii="Cambria" w:eastAsia="Times New Roman" w:hAnsi="Cambria" w:cs="Times New Roman"/>
          <w:sz w:val="20"/>
          <w:szCs w:val="20"/>
          <w:shd w:val="clear" w:color="auto" w:fill="FFFFFF"/>
          <w:lang w:eastAsia="en-GB"/>
        </w:rPr>
        <w:t>composed of present and former military and law and order officials and the militarisation of the public service, demonstrates the steady drift towards militarising civil functions within Sri Lanka’s health, educational, development and public administration sectors.</w:t>
      </w:r>
      <w:r w:rsidRPr="0015285C">
        <w:rPr>
          <w:rStyle w:val="FootnoteReference"/>
          <w:rFonts w:ascii="Cambria" w:eastAsia="Times New Roman" w:hAnsi="Cambria" w:cs="Times New Roman"/>
          <w:sz w:val="20"/>
          <w:szCs w:val="20"/>
          <w:shd w:val="clear" w:color="auto" w:fill="FFFFFF"/>
          <w:lang w:eastAsia="en-GB"/>
        </w:rPr>
        <w:footnoteReference w:id="24"/>
      </w:r>
      <w:r w:rsidRPr="0015285C">
        <w:rPr>
          <w:rFonts w:ascii="Cambria" w:eastAsia="Times New Roman" w:hAnsi="Cambria" w:cs="Times New Roman"/>
          <w:sz w:val="20"/>
          <w:szCs w:val="20"/>
          <w:shd w:val="clear" w:color="auto" w:fill="FFFFFF"/>
          <w:lang w:eastAsia="en-GB"/>
        </w:rPr>
        <w:t xml:space="preserve"> </w:t>
      </w:r>
    </w:p>
    <w:p w14:paraId="5ED29A9E" w14:textId="77777777" w:rsidR="00362F4C" w:rsidRDefault="00FF4CE1" w:rsidP="00362F4C">
      <w:pPr>
        <w:pStyle w:val="NormalWeb"/>
        <w:shd w:val="clear" w:color="auto" w:fill="FFFFFF"/>
        <w:spacing w:before="0" w:beforeAutospacing="0" w:after="150" w:afterAutospacing="0" w:line="360" w:lineRule="atLeast"/>
        <w:jc w:val="both"/>
        <w:rPr>
          <w:rFonts w:ascii="Cambria" w:hAnsi="Cambria"/>
          <w:color w:val="000000" w:themeColor="text1"/>
          <w:sz w:val="20"/>
          <w:szCs w:val="20"/>
        </w:rPr>
      </w:pPr>
      <w:r w:rsidRPr="00F53B9B">
        <w:rPr>
          <w:rFonts w:ascii="Cambria" w:hAnsi="Cambria" w:cs="Arial"/>
          <w:color w:val="000000" w:themeColor="text1"/>
          <w:sz w:val="20"/>
          <w:szCs w:val="20"/>
        </w:rPr>
        <w:lastRenderedPageBreak/>
        <w:t xml:space="preserve">The Parliamentary elections, which were held in August </w:t>
      </w:r>
      <w:r w:rsidRPr="00A931B6">
        <w:rPr>
          <w:rFonts w:ascii="Cambria" w:hAnsi="Cambria" w:cs="Arial"/>
          <w:color w:val="000000" w:themeColor="text1"/>
          <w:sz w:val="20"/>
          <w:szCs w:val="20"/>
        </w:rPr>
        <w:t>2020 secured a convincing win for the SLPP, transferring the power balance and reducing minority and inclusive representation in parliament. The passing of the Twentieth Amendment to the Constitution (hereinafter referred to as the 20</w:t>
      </w:r>
      <w:r w:rsidRPr="00A931B6">
        <w:rPr>
          <w:rFonts w:ascii="Cambria" w:hAnsi="Cambria" w:cs="Arial"/>
          <w:color w:val="000000" w:themeColor="text1"/>
          <w:sz w:val="20"/>
          <w:szCs w:val="20"/>
          <w:vertAlign w:val="superscript"/>
        </w:rPr>
        <w:t>th</w:t>
      </w:r>
      <w:r w:rsidRPr="00A931B6">
        <w:rPr>
          <w:rFonts w:ascii="Cambria" w:hAnsi="Cambria" w:cs="Arial"/>
          <w:color w:val="000000" w:themeColor="text1"/>
          <w:sz w:val="20"/>
          <w:szCs w:val="20"/>
        </w:rPr>
        <w:t xml:space="preserve"> Amendment) further weakened oversight functions and institutional resilience of public institutions including the parliament</w:t>
      </w:r>
      <w:r w:rsidR="00B30ADD">
        <w:rPr>
          <w:rFonts w:ascii="Cambria" w:hAnsi="Cambria" w:cs="Arial"/>
          <w:color w:val="000000" w:themeColor="text1"/>
          <w:sz w:val="20"/>
          <w:szCs w:val="20"/>
        </w:rPr>
        <w:t xml:space="preserve"> and the judiciary</w:t>
      </w:r>
      <w:r w:rsidRPr="00A931B6">
        <w:rPr>
          <w:rFonts w:ascii="Cambria" w:hAnsi="Cambria" w:cs="Arial"/>
          <w:color w:val="000000" w:themeColor="text1"/>
          <w:sz w:val="20"/>
          <w:szCs w:val="20"/>
        </w:rPr>
        <w:t xml:space="preserve">. </w:t>
      </w:r>
      <w:r w:rsidR="00420101">
        <w:rPr>
          <w:rFonts w:ascii="Cambria" w:hAnsi="Cambria" w:cs="Arial"/>
          <w:color w:val="000000" w:themeColor="text1"/>
          <w:sz w:val="20"/>
          <w:szCs w:val="20"/>
        </w:rPr>
        <w:t xml:space="preserve">The new commissions will be </w:t>
      </w:r>
      <w:r w:rsidRPr="00420101">
        <w:rPr>
          <w:rFonts w:ascii="Cambria" w:hAnsi="Cambria" w:cs="Arial"/>
          <w:color w:val="000000" w:themeColor="text1"/>
          <w:sz w:val="20"/>
          <w:szCs w:val="20"/>
        </w:rPr>
        <w:t xml:space="preserve">appointed by the Parliamentary Council which will </w:t>
      </w:r>
      <w:r w:rsidRPr="00420101">
        <w:rPr>
          <w:rFonts w:ascii="Cambria" w:hAnsi="Cambria"/>
          <w:color w:val="000000" w:themeColor="text1"/>
          <w:sz w:val="20"/>
          <w:szCs w:val="20"/>
        </w:rPr>
        <w:t>comprise solely of</w:t>
      </w:r>
      <w:r w:rsidRPr="00420101">
        <w:rPr>
          <w:rFonts w:ascii="Cambria" w:hAnsi="Cambria" w:cs="Arial Unicode MS"/>
          <w:color w:val="000000" w:themeColor="text1"/>
          <w:sz w:val="20"/>
          <w:szCs w:val="20"/>
        </w:rPr>
        <w:t xml:space="preserve"> Members of Parliament</w:t>
      </w:r>
      <w:r w:rsidRPr="00420101">
        <w:rPr>
          <w:rFonts w:ascii="Cambria" w:hAnsi="Cambria"/>
          <w:color w:val="000000" w:themeColor="text1"/>
          <w:sz w:val="20"/>
          <w:szCs w:val="20"/>
        </w:rPr>
        <w:t>, who will owe their allegiance to the Government or the main party in the opposition.</w:t>
      </w:r>
      <w:r w:rsidRPr="00A931B6">
        <w:rPr>
          <w:rFonts w:ascii="Cambria" w:hAnsi="Cambria"/>
          <w:color w:val="000000" w:themeColor="text1"/>
          <w:sz w:val="20"/>
          <w:szCs w:val="20"/>
        </w:rPr>
        <w:t xml:space="preserve">  </w:t>
      </w:r>
    </w:p>
    <w:p w14:paraId="4D4D57AC" w14:textId="1329DB06" w:rsidR="00FF4CE1" w:rsidRPr="0015285C" w:rsidRDefault="00FF4CE1" w:rsidP="00FF4CE1">
      <w:pPr>
        <w:pStyle w:val="NormalWeb"/>
        <w:shd w:val="clear" w:color="auto" w:fill="FFFFFF"/>
        <w:spacing w:line="360" w:lineRule="auto"/>
        <w:jc w:val="both"/>
        <w:rPr>
          <w:rFonts w:ascii="Cambria" w:hAnsi="Cambria"/>
          <w:sz w:val="20"/>
          <w:szCs w:val="20"/>
        </w:rPr>
      </w:pPr>
      <w:r w:rsidRPr="0015285C">
        <w:rPr>
          <w:rFonts w:ascii="Cambria" w:hAnsi="Cambria"/>
          <w:sz w:val="20"/>
          <w:szCs w:val="20"/>
        </w:rPr>
        <w:t xml:space="preserve">There is skepticism and fear regarding the rapid closing of civic space and freedom of expression in the aftermath of the Presidential election. There is fear particularly by ethnic and religious minority groups as President Rajapakse was the first executive to win an election solely on the votes of the ethnic majority Sinahalese Buddhist community. The engagement of Civil Society Organisations </w:t>
      </w:r>
      <w:r w:rsidR="00791BE8" w:rsidRPr="0015285C">
        <w:rPr>
          <w:rFonts w:ascii="Cambria" w:hAnsi="Cambria"/>
          <w:sz w:val="20"/>
          <w:szCs w:val="20"/>
        </w:rPr>
        <w:t xml:space="preserve">(CSOs) </w:t>
      </w:r>
      <w:r w:rsidRPr="0015285C">
        <w:rPr>
          <w:rFonts w:ascii="Cambria" w:hAnsi="Cambria"/>
          <w:sz w:val="20"/>
          <w:szCs w:val="20"/>
        </w:rPr>
        <w:t>as enablers for change, which showed a marked improvement in the space for civil society activity in 2015</w:t>
      </w:r>
      <w:r w:rsidRPr="0015285C">
        <w:rPr>
          <w:rStyle w:val="FootnoteReference"/>
          <w:rFonts w:ascii="Cambria" w:hAnsi="Cambria"/>
          <w:sz w:val="20"/>
          <w:szCs w:val="20"/>
        </w:rPr>
        <w:footnoteReference w:id="25"/>
      </w:r>
      <w:r w:rsidRPr="0015285C">
        <w:rPr>
          <w:rFonts w:ascii="Cambria" w:hAnsi="Cambria"/>
          <w:sz w:val="20"/>
          <w:szCs w:val="20"/>
        </w:rPr>
        <w:t xml:space="preserve">, is now viewed as threatened as Sri Lankan security agencies step up surveillance, harassment, and threats against human rights activists and journalists and as several important civilian agencies including the civilian police and the NGO Secretariat, which regulates nongovernmental groups were brought under the Ministry of Defence. </w:t>
      </w:r>
    </w:p>
    <w:p w14:paraId="2B29388D" w14:textId="683B4A73" w:rsidR="00FF4CE1" w:rsidRPr="00A931B6" w:rsidRDefault="00FF4CE1" w:rsidP="00FF4CE1">
      <w:pPr>
        <w:spacing w:line="360" w:lineRule="auto"/>
        <w:jc w:val="both"/>
        <w:rPr>
          <w:rFonts w:ascii="Cambria" w:hAnsi="Cambria" w:cs="Arial"/>
          <w:color w:val="000000" w:themeColor="text1"/>
          <w:sz w:val="20"/>
          <w:szCs w:val="20"/>
        </w:rPr>
      </w:pPr>
      <w:r w:rsidRPr="00A931B6">
        <w:rPr>
          <w:rFonts w:ascii="Cambria" w:hAnsi="Cambria" w:cs="Arial"/>
          <w:color w:val="000000" w:themeColor="text1"/>
          <w:sz w:val="20"/>
          <w:szCs w:val="20"/>
        </w:rPr>
        <w:t xml:space="preserve">Thirdly, the Covid-19 pandemic, which imposed unprecedented challenges to health and safety of people resulting in a complete lockdown in March 2020, postponing general elections and closing parliament beyond </w:t>
      </w:r>
      <w:r w:rsidRPr="00420101">
        <w:rPr>
          <w:rFonts w:ascii="Cambria" w:hAnsi="Cambria" w:cs="Arial"/>
          <w:color w:val="000000" w:themeColor="text1"/>
          <w:sz w:val="20"/>
          <w:szCs w:val="20"/>
        </w:rPr>
        <w:t xml:space="preserve">its constitutionally permissible term weakened governance, and further contributed to the macro challenges to the political, socio economic architecture of the country. The second wave of the pandemic which hit Sri Lanka hard and fast in October/November 2020 </w:t>
      </w:r>
      <w:r w:rsidR="00420101" w:rsidRPr="00420101">
        <w:rPr>
          <w:rFonts w:ascii="Cambria" w:hAnsi="Cambria" w:cs="Arial"/>
          <w:color w:val="000000" w:themeColor="text1"/>
          <w:sz w:val="20"/>
          <w:szCs w:val="20"/>
        </w:rPr>
        <w:t xml:space="preserve">and the current third wave </w:t>
      </w:r>
      <w:r w:rsidRPr="00420101">
        <w:rPr>
          <w:rFonts w:ascii="Cambria" w:hAnsi="Cambria" w:cs="Arial"/>
          <w:color w:val="000000" w:themeColor="text1"/>
          <w:sz w:val="20"/>
          <w:szCs w:val="20"/>
        </w:rPr>
        <w:t>undoubtedly promises to bring more challenges to governance, peace and security issues in the country.</w:t>
      </w:r>
      <w:r w:rsidRPr="00A931B6">
        <w:rPr>
          <w:rFonts w:ascii="Cambria" w:hAnsi="Cambria" w:cs="Arial"/>
          <w:color w:val="000000" w:themeColor="text1"/>
          <w:sz w:val="20"/>
          <w:szCs w:val="20"/>
        </w:rPr>
        <w:t xml:space="preserve"> </w:t>
      </w:r>
    </w:p>
    <w:p w14:paraId="676B559B" w14:textId="76932AA5" w:rsidR="00FF4CE1" w:rsidRDefault="00ED3F96" w:rsidP="00FF4CE1">
      <w:pPr>
        <w:pStyle w:val="NormalWeb"/>
        <w:shd w:val="clear" w:color="auto" w:fill="FFFFFF"/>
        <w:spacing w:before="0" w:beforeAutospacing="0" w:after="150" w:afterAutospacing="0" w:line="360" w:lineRule="atLeast"/>
        <w:jc w:val="both"/>
        <w:rPr>
          <w:rFonts w:ascii="Cambria" w:hAnsi="Cambria" w:cs="Arial"/>
          <w:color w:val="000000"/>
          <w:sz w:val="20"/>
          <w:szCs w:val="20"/>
          <w:lang w:eastAsia="en-US" w:bidi="ar-SA"/>
        </w:rPr>
      </w:pPr>
      <w:r>
        <w:rPr>
          <w:rFonts w:ascii="Cambria" w:hAnsi="Cambria" w:cs="Segoe UI"/>
          <w:sz w:val="20"/>
          <w:szCs w:val="20"/>
          <w:shd w:val="clear" w:color="auto" w:fill="FFFFFF"/>
        </w:rPr>
        <w:t>W</w:t>
      </w:r>
      <w:r w:rsidR="00FF4CE1" w:rsidRPr="0015285C">
        <w:rPr>
          <w:rFonts w:ascii="Cambria" w:hAnsi="Cambria" w:cs="Segoe UI"/>
          <w:sz w:val="20"/>
          <w:szCs w:val="20"/>
          <w:shd w:val="clear" w:color="auto" w:fill="FFFFFF"/>
        </w:rPr>
        <w:t xml:space="preserve">ith regard to SDGs, President Rajapakse made several statements committing to preserving the environment for future generations and pledging to work towards it aiming to fulfill the United Nations (UN) Sustainable Development Goals </w:t>
      </w:r>
      <w:r w:rsidR="00F34E52" w:rsidRPr="0015285C">
        <w:rPr>
          <w:rFonts w:ascii="Cambria" w:hAnsi="Cambria" w:cs="Segoe UI"/>
          <w:sz w:val="20"/>
          <w:szCs w:val="20"/>
          <w:shd w:val="clear" w:color="auto" w:fill="FFFFFF"/>
        </w:rPr>
        <w:t xml:space="preserve">(SDGs) </w:t>
      </w:r>
      <w:r w:rsidR="00FF4CE1" w:rsidRPr="0015285C">
        <w:rPr>
          <w:rFonts w:ascii="Cambria" w:hAnsi="Cambria" w:cs="Segoe UI"/>
          <w:sz w:val="20"/>
          <w:szCs w:val="20"/>
          <w:shd w:val="clear" w:color="auto" w:fill="FFFFFF"/>
        </w:rPr>
        <w:t>adopted in 2015</w:t>
      </w:r>
      <w:r w:rsidR="004068A1" w:rsidRPr="0015285C">
        <w:rPr>
          <w:rFonts w:ascii="Cambria" w:hAnsi="Cambria" w:cs="Segoe UI"/>
          <w:sz w:val="20"/>
          <w:szCs w:val="20"/>
          <w:shd w:val="clear" w:color="auto" w:fill="FFFFFF"/>
        </w:rPr>
        <w:t>.</w:t>
      </w:r>
      <w:r w:rsidR="004068A1" w:rsidRPr="0015285C">
        <w:rPr>
          <w:rStyle w:val="FootnoteReference"/>
          <w:rFonts w:ascii="Cambria" w:hAnsi="Cambria" w:cs="Segoe UI"/>
          <w:sz w:val="20"/>
          <w:szCs w:val="20"/>
          <w:shd w:val="clear" w:color="auto" w:fill="FFFFFF"/>
        </w:rPr>
        <w:footnoteReference w:id="26"/>
      </w:r>
      <w:r w:rsidR="004068A1" w:rsidRPr="0015285C">
        <w:rPr>
          <w:rFonts w:ascii="Cambria" w:hAnsi="Cambria" w:cs="Segoe UI"/>
          <w:sz w:val="20"/>
          <w:szCs w:val="20"/>
          <w:shd w:val="clear" w:color="auto" w:fill="FFFFFF"/>
        </w:rPr>
        <w:t xml:space="preserve"> </w:t>
      </w:r>
      <w:r w:rsidR="00FF4CE1" w:rsidRPr="0015285C">
        <w:rPr>
          <w:rFonts w:ascii="Cambria" w:hAnsi="Cambria" w:cs="Segoe UI"/>
          <w:sz w:val="20"/>
          <w:szCs w:val="20"/>
          <w:shd w:val="clear" w:color="auto" w:fill="FFFFFF"/>
        </w:rPr>
        <w:t xml:space="preserve">This was also reflected in the appointment of a </w:t>
      </w:r>
      <w:r w:rsidR="00FF4CE1" w:rsidRPr="0015285C">
        <w:rPr>
          <w:rFonts w:ascii="Cambria" w:hAnsi="Cambria" w:cs="Arial"/>
          <w:sz w:val="20"/>
          <w:szCs w:val="20"/>
          <w:shd w:val="clear" w:color="auto" w:fill="FFFFFF"/>
        </w:rPr>
        <w:t>Working Group to study the current status of Sri Lanka’s implementation &amp; progress of the SDGs.</w:t>
      </w:r>
      <w:r w:rsidR="00FF4CE1" w:rsidRPr="0015285C">
        <w:rPr>
          <w:rFonts w:ascii="Cambria" w:hAnsi="Cambria" w:cs="Arial"/>
          <w:sz w:val="20"/>
          <w:szCs w:val="20"/>
        </w:rPr>
        <w:t xml:space="preserve"> At the Forty Fourth Annual Meeting of Ministers for Foreign Affairs of the Group of 77 held virtually on the 12</w:t>
      </w:r>
      <w:r w:rsidR="00FF4CE1" w:rsidRPr="0015285C">
        <w:rPr>
          <w:rFonts w:ascii="Cambria" w:hAnsi="Cambria" w:cs="Arial"/>
          <w:sz w:val="20"/>
          <w:szCs w:val="20"/>
          <w:vertAlign w:val="superscript"/>
        </w:rPr>
        <w:t>th</w:t>
      </w:r>
      <w:r w:rsidR="00FF4CE1" w:rsidRPr="0015285C">
        <w:rPr>
          <w:rFonts w:ascii="Cambria" w:hAnsi="Cambria" w:cs="Arial"/>
          <w:sz w:val="20"/>
          <w:szCs w:val="20"/>
        </w:rPr>
        <w:t xml:space="preserve"> of November</w:t>
      </w:r>
      <w:r w:rsidR="0015285C">
        <w:rPr>
          <w:rFonts w:ascii="Cambria" w:hAnsi="Cambria" w:cs="Arial"/>
          <w:sz w:val="20"/>
          <w:szCs w:val="20"/>
        </w:rPr>
        <w:t xml:space="preserve"> 2020</w:t>
      </w:r>
      <w:r w:rsidR="00FF4CE1" w:rsidRPr="0015285C">
        <w:rPr>
          <w:rFonts w:ascii="Cambria" w:hAnsi="Cambria" w:cs="Arial"/>
          <w:sz w:val="20"/>
          <w:szCs w:val="20"/>
        </w:rPr>
        <w:t xml:space="preserve">, the </w:t>
      </w:r>
      <w:r w:rsidR="00FF4CE1" w:rsidRPr="0015285C">
        <w:rPr>
          <w:rFonts w:ascii="Cambria" w:hAnsi="Cambria" w:cs="Arial"/>
          <w:sz w:val="20"/>
          <w:szCs w:val="20"/>
          <w:lang w:eastAsia="en-US" w:bidi="ar-SA"/>
        </w:rPr>
        <w:t xml:space="preserve">Foreign Minister reiterated the call for ‘adequate funding </w:t>
      </w:r>
      <w:r w:rsidR="00FF4CE1" w:rsidRPr="00A931B6">
        <w:rPr>
          <w:rFonts w:ascii="Cambria" w:hAnsi="Cambria" w:cs="Arial"/>
          <w:color w:val="000000"/>
          <w:sz w:val="20"/>
          <w:szCs w:val="20"/>
          <w:lang w:eastAsia="en-US" w:bidi="ar-SA"/>
        </w:rPr>
        <w:t xml:space="preserve">for development initiatives enabling developing countries to overcome the multifaceted challenges hindering the achievement of the SDGs in the context of the </w:t>
      </w:r>
      <w:r w:rsidR="00FF4CE1" w:rsidRPr="00A931B6">
        <w:rPr>
          <w:rFonts w:ascii="Cambria" w:hAnsi="Cambria" w:cs="Arial"/>
          <w:color w:val="000000"/>
          <w:sz w:val="20"/>
          <w:szCs w:val="20"/>
          <w:lang w:eastAsia="en-US" w:bidi="ar-SA"/>
        </w:rPr>
        <w:lastRenderedPageBreak/>
        <w:t>exacerbated global situation due to the pandemic and its adverse effects on trade, tourism, investment and employment</w:t>
      </w:r>
      <w:r w:rsidR="00FF4CE1">
        <w:rPr>
          <w:rFonts w:ascii="Cambria" w:hAnsi="Cambria" w:cs="Arial"/>
          <w:color w:val="000000"/>
          <w:sz w:val="20"/>
          <w:szCs w:val="20"/>
          <w:lang w:eastAsia="en-US" w:bidi="ar-SA"/>
        </w:rPr>
        <w:t>’.</w:t>
      </w:r>
      <w:r w:rsidR="004068A1">
        <w:rPr>
          <w:rStyle w:val="FootnoteReference"/>
          <w:rFonts w:ascii="Cambria" w:hAnsi="Cambria" w:cs="Arial"/>
          <w:color w:val="000000"/>
          <w:sz w:val="20"/>
          <w:szCs w:val="20"/>
          <w:lang w:eastAsia="en-US" w:bidi="ar-SA"/>
        </w:rPr>
        <w:footnoteReference w:id="27"/>
      </w:r>
      <w:r w:rsidR="00FF4CE1">
        <w:rPr>
          <w:rFonts w:ascii="Cambria" w:hAnsi="Cambria" w:cs="Arial"/>
          <w:color w:val="000000"/>
          <w:sz w:val="20"/>
          <w:szCs w:val="20"/>
          <w:lang w:eastAsia="en-US" w:bidi="ar-SA"/>
        </w:rPr>
        <w:t xml:space="preserve"> Although the Parliamentary Select Committee on SDGs is currently suspended the government appointed a Sustainable Development Council consisting of public officials and experts to drive the SDG Agenda 2030 forward. </w:t>
      </w:r>
    </w:p>
    <w:p w14:paraId="244C859C" w14:textId="32856223" w:rsidR="00143DAB" w:rsidRDefault="002D372D" w:rsidP="00552C5C">
      <w:pPr>
        <w:pStyle w:val="BodyText"/>
        <w:spacing w:line="360" w:lineRule="auto"/>
        <w:contextualSpacing/>
        <w:jc w:val="both"/>
        <w:rPr>
          <w:rFonts w:ascii="Cambria" w:hAnsi="Cambria"/>
          <w:color w:val="000000" w:themeColor="text1"/>
          <w:sz w:val="20"/>
          <w:szCs w:val="20"/>
        </w:rPr>
      </w:pPr>
      <w:r w:rsidRPr="002D372D">
        <w:rPr>
          <w:rFonts w:ascii="Cambria" w:hAnsi="Cambria" w:cstheme="minorHAnsi"/>
          <w:sz w:val="20"/>
          <w:szCs w:val="20"/>
        </w:rPr>
        <w:t xml:space="preserve">No doubt </w:t>
      </w:r>
      <w:r w:rsidR="00552C5C">
        <w:rPr>
          <w:rFonts w:ascii="Cambria" w:hAnsi="Cambria" w:cstheme="minorHAnsi"/>
          <w:sz w:val="20"/>
          <w:szCs w:val="20"/>
        </w:rPr>
        <w:t xml:space="preserve">the aforementioned contextual changes </w:t>
      </w:r>
      <w:r w:rsidRPr="002D372D">
        <w:rPr>
          <w:rFonts w:ascii="Cambria" w:hAnsi="Cambria" w:cs="Arial"/>
          <w:color w:val="000000"/>
          <w:sz w:val="20"/>
          <w:szCs w:val="20"/>
        </w:rPr>
        <w:t xml:space="preserve">will impact the interventions of the Portfolio under Pillar One: Parliament and Independent Commissions </w:t>
      </w:r>
      <w:r w:rsidR="00420101" w:rsidRPr="002D372D">
        <w:rPr>
          <w:rFonts w:ascii="Cambria" w:hAnsi="Cambria" w:cs="Arial"/>
          <w:color w:val="000000"/>
          <w:sz w:val="20"/>
          <w:szCs w:val="20"/>
        </w:rPr>
        <w:t>and Pillar Two: Rule of Law and Access to Justice</w:t>
      </w:r>
      <w:r w:rsidR="00552C5C">
        <w:rPr>
          <w:rFonts w:ascii="Cambria" w:hAnsi="Cambria" w:cs="Arial"/>
          <w:color w:val="000000"/>
          <w:sz w:val="20"/>
          <w:szCs w:val="20"/>
        </w:rPr>
        <w:t xml:space="preserve">.  Due to the withdrawal from the Joint UNHRC Resolution, commitments which included </w:t>
      </w:r>
      <w:r w:rsidR="00552C5C" w:rsidRPr="00AC1452">
        <w:rPr>
          <w:rFonts w:ascii="Cambria" w:hAnsi="Cambria"/>
          <w:color w:val="000000" w:themeColor="text1"/>
          <w:sz w:val="20"/>
          <w:szCs w:val="20"/>
        </w:rPr>
        <w:t>the establishment of the Office of Missions Persons (OMP) and review of and strengthening of Victim and Witness Protection (VWP) legislation in the country</w:t>
      </w:r>
      <w:r w:rsidR="00552C5C">
        <w:rPr>
          <w:rFonts w:ascii="Cambria" w:hAnsi="Cambria"/>
          <w:color w:val="000000" w:themeColor="text1"/>
          <w:sz w:val="20"/>
          <w:szCs w:val="20"/>
        </w:rPr>
        <w:t xml:space="preserve">, will now be at stake. Given the regress in the position and independence of </w:t>
      </w:r>
      <w:r w:rsidR="00143DAB">
        <w:rPr>
          <w:rFonts w:ascii="Cambria" w:hAnsi="Cambria"/>
          <w:color w:val="000000" w:themeColor="text1"/>
          <w:sz w:val="20"/>
          <w:szCs w:val="20"/>
        </w:rPr>
        <w:t xml:space="preserve">justice sector institutions such as the Judiciary and </w:t>
      </w:r>
      <w:r w:rsidR="00552C5C">
        <w:rPr>
          <w:rFonts w:ascii="Cambria" w:hAnsi="Cambria"/>
          <w:color w:val="000000" w:themeColor="text1"/>
          <w:sz w:val="20"/>
          <w:szCs w:val="20"/>
        </w:rPr>
        <w:t>transitional justice institutions</w:t>
      </w:r>
      <w:r w:rsidR="00605B39">
        <w:rPr>
          <w:rFonts w:ascii="Cambria" w:hAnsi="Cambria"/>
          <w:color w:val="000000" w:themeColor="text1"/>
          <w:sz w:val="20"/>
          <w:szCs w:val="20"/>
        </w:rPr>
        <w:t>/</w:t>
      </w:r>
      <w:r w:rsidR="00552C5C">
        <w:rPr>
          <w:rFonts w:ascii="Cambria" w:hAnsi="Cambria"/>
          <w:color w:val="000000" w:themeColor="text1"/>
          <w:sz w:val="20"/>
          <w:szCs w:val="20"/>
        </w:rPr>
        <w:t xml:space="preserve">mechanisms </w:t>
      </w:r>
      <w:r w:rsidR="00143DAB">
        <w:rPr>
          <w:rFonts w:ascii="Cambria" w:hAnsi="Cambria"/>
          <w:color w:val="000000" w:themeColor="text1"/>
          <w:sz w:val="20"/>
          <w:szCs w:val="20"/>
        </w:rPr>
        <w:t xml:space="preserve">in the aftermath of </w:t>
      </w:r>
      <w:r w:rsidR="00552C5C">
        <w:rPr>
          <w:rFonts w:ascii="Cambria" w:hAnsi="Cambria"/>
          <w:color w:val="000000" w:themeColor="text1"/>
          <w:sz w:val="20"/>
          <w:szCs w:val="20"/>
        </w:rPr>
        <w:t>the 20</w:t>
      </w:r>
      <w:r w:rsidR="00552C5C" w:rsidRPr="00552C5C">
        <w:rPr>
          <w:rFonts w:ascii="Cambria" w:hAnsi="Cambria"/>
          <w:color w:val="000000" w:themeColor="text1"/>
          <w:sz w:val="20"/>
          <w:szCs w:val="20"/>
          <w:vertAlign w:val="superscript"/>
        </w:rPr>
        <w:t>th</w:t>
      </w:r>
      <w:r w:rsidR="00552C5C">
        <w:rPr>
          <w:rFonts w:ascii="Cambria" w:hAnsi="Cambria"/>
          <w:color w:val="000000" w:themeColor="text1"/>
          <w:sz w:val="20"/>
          <w:szCs w:val="20"/>
        </w:rPr>
        <w:t xml:space="preserve"> Amendment, respect for human rights and rule of law has demonstrably diminished. This would have a strong impact on the sustainability of interventions under both Pillars. </w:t>
      </w:r>
    </w:p>
    <w:p w14:paraId="0C094D5E" w14:textId="77777777" w:rsidR="00143DAB" w:rsidRDefault="00143DAB" w:rsidP="00552C5C">
      <w:pPr>
        <w:pStyle w:val="BodyText"/>
        <w:spacing w:line="360" w:lineRule="auto"/>
        <w:contextualSpacing/>
        <w:jc w:val="both"/>
        <w:rPr>
          <w:rFonts w:ascii="Cambria" w:hAnsi="Cambria"/>
          <w:color w:val="000000" w:themeColor="text1"/>
          <w:sz w:val="20"/>
          <w:szCs w:val="20"/>
        </w:rPr>
      </w:pPr>
    </w:p>
    <w:p w14:paraId="4F4C4FB8" w14:textId="157270F0" w:rsidR="00ED3F96" w:rsidRDefault="00552C5C" w:rsidP="00552C5C">
      <w:pPr>
        <w:pStyle w:val="BodyText"/>
        <w:spacing w:line="360" w:lineRule="auto"/>
        <w:contextualSpacing/>
        <w:jc w:val="both"/>
        <w:rPr>
          <w:rFonts w:ascii="Cambria" w:hAnsi="Cambria" w:cstheme="minorHAnsi"/>
          <w:color w:val="000000" w:themeColor="text1"/>
          <w:sz w:val="20"/>
          <w:szCs w:val="20"/>
        </w:rPr>
      </w:pPr>
      <w:r>
        <w:rPr>
          <w:rFonts w:ascii="Cambria" w:hAnsi="Cambria"/>
          <w:color w:val="000000" w:themeColor="text1"/>
          <w:sz w:val="20"/>
          <w:szCs w:val="20"/>
        </w:rPr>
        <w:t>Further, t</w:t>
      </w:r>
      <w:r w:rsidR="002D372D" w:rsidRPr="002D372D">
        <w:rPr>
          <w:rFonts w:ascii="Cambria" w:hAnsi="Cambria" w:cstheme="minorHAnsi"/>
          <w:sz w:val="20"/>
          <w:szCs w:val="20"/>
        </w:rPr>
        <w:t>here are certain risks and challenges working with parliament as a result of the 20</w:t>
      </w:r>
      <w:r w:rsidR="002D372D" w:rsidRPr="002D372D">
        <w:rPr>
          <w:rFonts w:ascii="Cambria" w:hAnsi="Cambria" w:cstheme="minorHAnsi"/>
          <w:sz w:val="20"/>
          <w:szCs w:val="20"/>
          <w:vertAlign w:val="superscript"/>
        </w:rPr>
        <w:t>th</w:t>
      </w:r>
      <w:r w:rsidR="002D372D" w:rsidRPr="002D372D">
        <w:rPr>
          <w:rFonts w:ascii="Cambria" w:hAnsi="Cambria" w:cstheme="minorHAnsi"/>
          <w:sz w:val="20"/>
          <w:szCs w:val="20"/>
        </w:rPr>
        <w:t xml:space="preserve"> Amendment. Whilst the term limit of Parliament remains intact, the 20</w:t>
      </w:r>
      <w:r w:rsidR="002D372D" w:rsidRPr="002D372D">
        <w:rPr>
          <w:rFonts w:ascii="Cambria" w:hAnsi="Cambria" w:cstheme="minorHAnsi"/>
          <w:sz w:val="20"/>
          <w:szCs w:val="20"/>
          <w:vertAlign w:val="superscript"/>
        </w:rPr>
        <w:t>th</w:t>
      </w:r>
      <w:r w:rsidR="002D372D" w:rsidRPr="002D372D">
        <w:rPr>
          <w:rFonts w:ascii="Cambria" w:hAnsi="Cambria" w:cstheme="minorHAnsi"/>
          <w:sz w:val="20"/>
          <w:szCs w:val="20"/>
        </w:rPr>
        <w:t xml:space="preserve"> Amendment re-vests the president with discretionary powers to dissolve parliament any time after the expiration of two years and six months from the date appointed for Parliament’s first sitting, except in certain limited situations.</w:t>
      </w:r>
      <w:r w:rsidR="002D372D" w:rsidRPr="002D372D">
        <w:rPr>
          <w:rStyle w:val="FootnoteReference"/>
          <w:rFonts w:ascii="Cambria" w:hAnsi="Cambria" w:cstheme="minorHAnsi"/>
          <w:sz w:val="20"/>
          <w:szCs w:val="20"/>
        </w:rPr>
        <w:footnoteReference w:id="28"/>
      </w:r>
      <w:r w:rsidR="002D372D" w:rsidRPr="002D372D">
        <w:rPr>
          <w:rFonts w:ascii="Cambria" w:hAnsi="Cambria" w:cstheme="minorHAnsi"/>
          <w:sz w:val="20"/>
          <w:szCs w:val="20"/>
        </w:rPr>
        <w:t xml:space="preserve"> This provision increases the control the President has over Parliament and undermines the doctrine of separation of powers. </w:t>
      </w:r>
      <w:r w:rsidR="002D372D" w:rsidRPr="002D372D">
        <w:rPr>
          <w:rFonts w:ascii="Cambria" w:hAnsi="Cambria" w:cstheme="minorHAnsi"/>
          <w:color w:val="000000" w:themeColor="text1"/>
          <w:sz w:val="20"/>
          <w:szCs w:val="20"/>
        </w:rPr>
        <w:t>The Amendment also reduces the period of time within</w:t>
      </w:r>
      <w:r w:rsidR="00ED3F96">
        <w:rPr>
          <w:rFonts w:ascii="Cambria" w:hAnsi="Cambria" w:cstheme="minorHAnsi"/>
          <w:color w:val="000000" w:themeColor="text1"/>
          <w:sz w:val="20"/>
          <w:szCs w:val="20"/>
        </w:rPr>
        <w:t>,</w:t>
      </w:r>
      <w:r w:rsidR="002D372D" w:rsidRPr="002D372D">
        <w:rPr>
          <w:rFonts w:ascii="Cambria" w:hAnsi="Cambria" w:cstheme="minorHAnsi"/>
          <w:color w:val="000000" w:themeColor="text1"/>
          <w:sz w:val="20"/>
          <w:szCs w:val="20"/>
        </w:rPr>
        <w:t xml:space="preserve"> which a Bill can be scrutinised by the public (by being published in the gazette) and challenged before the supreme court on the basis that</w:t>
      </w:r>
      <w:r w:rsidR="00ED3F96">
        <w:rPr>
          <w:rFonts w:ascii="Cambria" w:hAnsi="Cambria" w:cstheme="minorHAnsi"/>
          <w:color w:val="000000" w:themeColor="text1"/>
          <w:sz w:val="20"/>
          <w:szCs w:val="20"/>
        </w:rPr>
        <w:t>,</w:t>
      </w:r>
      <w:r w:rsidR="002D372D" w:rsidRPr="002D372D">
        <w:rPr>
          <w:rFonts w:ascii="Cambria" w:hAnsi="Cambria" w:cstheme="minorHAnsi"/>
          <w:color w:val="000000" w:themeColor="text1"/>
          <w:sz w:val="20"/>
          <w:szCs w:val="20"/>
        </w:rPr>
        <w:t xml:space="preserve"> it is inconsistent with the Constitution (from 14 to 7 days). This provision severely undermines the rule of law especially in the constitutional climate of Sri Lanka</w:t>
      </w:r>
      <w:r w:rsidR="00ED3F96">
        <w:rPr>
          <w:rFonts w:ascii="Cambria" w:hAnsi="Cambria" w:cstheme="minorHAnsi"/>
          <w:color w:val="000000" w:themeColor="text1"/>
          <w:sz w:val="20"/>
          <w:szCs w:val="20"/>
        </w:rPr>
        <w:t>,</w:t>
      </w:r>
      <w:r w:rsidR="002D372D" w:rsidRPr="002D372D">
        <w:rPr>
          <w:rFonts w:ascii="Cambria" w:hAnsi="Cambria" w:cstheme="minorHAnsi"/>
          <w:color w:val="000000" w:themeColor="text1"/>
          <w:sz w:val="20"/>
          <w:szCs w:val="20"/>
        </w:rPr>
        <w:t xml:space="preserve"> which does not provide for post-enactment judicial review of legislation. </w:t>
      </w:r>
    </w:p>
    <w:p w14:paraId="03D345F9" w14:textId="77777777" w:rsidR="00ED3F96" w:rsidRDefault="00ED3F96" w:rsidP="00552C5C">
      <w:pPr>
        <w:pStyle w:val="BodyText"/>
        <w:spacing w:line="360" w:lineRule="auto"/>
        <w:contextualSpacing/>
        <w:jc w:val="both"/>
        <w:rPr>
          <w:rFonts w:ascii="Cambria" w:hAnsi="Cambria" w:cstheme="minorHAnsi"/>
          <w:color w:val="000000" w:themeColor="text1"/>
          <w:sz w:val="20"/>
          <w:szCs w:val="20"/>
        </w:rPr>
      </w:pPr>
    </w:p>
    <w:p w14:paraId="2B34F2F6" w14:textId="54987563" w:rsidR="002D372D" w:rsidRPr="004F5AE4" w:rsidRDefault="002D372D" w:rsidP="00552C5C">
      <w:pPr>
        <w:pStyle w:val="BodyText"/>
        <w:spacing w:line="360" w:lineRule="auto"/>
        <w:contextualSpacing/>
        <w:jc w:val="both"/>
        <w:rPr>
          <w:rFonts w:ascii="Cambria" w:hAnsi="Cambria" w:cstheme="minorHAnsi"/>
          <w:sz w:val="20"/>
          <w:szCs w:val="20"/>
        </w:rPr>
      </w:pPr>
      <w:r w:rsidRPr="002D372D">
        <w:rPr>
          <w:rFonts w:ascii="Cambria" w:hAnsi="Cambria" w:cstheme="minorHAnsi"/>
          <w:color w:val="000000" w:themeColor="text1"/>
          <w:sz w:val="20"/>
          <w:szCs w:val="20"/>
        </w:rPr>
        <w:t xml:space="preserve">This may impact civil society participation in a political climate already where there is a perceived sense of limited space for robust civil society engagement. This also provides </w:t>
      </w:r>
      <w:r w:rsidR="00ED3F96">
        <w:rPr>
          <w:rFonts w:ascii="Cambria" w:hAnsi="Cambria" w:cstheme="minorHAnsi"/>
          <w:color w:val="000000" w:themeColor="text1"/>
          <w:sz w:val="20"/>
          <w:szCs w:val="20"/>
        </w:rPr>
        <w:t xml:space="preserve">a loophole </w:t>
      </w:r>
      <w:r w:rsidRPr="002D372D">
        <w:rPr>
          <w:rFonts w:ascii="Cambria" w:hAnsi="Cambria" w:cstheme="minorHAnsi"/>
          <w:color w:val="000000" w:themeColor="text1"/>
          <w:sz w:val="20"/>
          <w:szCs w:val="20"/>
        </w:rPr>
        <w:t>for bills inconsistent with the constitution to be tabled and debated in parliament without challenge. Moreover, the Amendment reintroduced the option for the president to refer to the Supreme Court directly any Bill certified by the Cabinet of Ministers as “urgent in the national interest.”  This results in a situation where citizens might not even know the contents of such Bills before it is passed by Parliament.</w:t>
      </w:r>
      <w:r w:rsidRPr="004F5AE4">
        <w:rPr>
          <w:rFonts w:ascii="Cambria" w:hAnsi="Cambria" w:cstheme="minorHAnsi"/>
          <w:color w:val="000000" w:themeColor="text1"/>
          <w:sz w:val="20"/>
          <w:szCs w:val="20"/>
        </w:rPr>
        <w:t xml:space="preserve"> </w:t>
      </w:r>
    </w:p>
    <w:p w14:paraId="3C70E196" w14:textId="17A449B8" w:rsidR="00331FB6" w:rsidRPr="004068A1" w:rsidRDefault="00331FB6" w:rsidP="00081358">
      <w:pPr>
        <w:pStyle w:val="NormalWeb"/>
        <w:numPr>
          <w:ilvl w:val="0"/>
          <w:numId w:val="77"/>
        </w:numPr>
        <w:shd w:val="clear" w:color="auto" w:fill="FFFFFF"/>
        <w:spacing w:line="360" w:lineRule="auto"/>
        <w:jc w:val="both"/>
        <w:rPr>
          <w:rFonts w:ascii="Cambria" w:hAnsi="Cambria" w:cstheme="minorHAnsi"/>
          <w:b/>
          <w:bCs/>
          <w:color w:val="000000" w:themeColor="text1"/>
          <w:sz w:val="32"/>
          <w:szCs w:val="32"/>
        </w:rPr>
      </w:pPr>
      <w:r w:rsidRPr="004068A1">
        <w:rPr>
          <w:rFonts w:ascii="Cambria" w:hAnsi="Cambria" w:cstheme="minorHAnsi"/>
          <w:b/>
          <w:bCs/>
          <w:color w:val="000000" w:themeColor="text1"/>
          <w:sz w:val="32"/>
          <w:szCs w:val="32"/>
        </w:rPr>
        <w:lastRenderedPageBreak/>
        <w:t xml:space="preserve">Evaluation </w:t>
      </w:r>
      <w:r w:rsidR="009E311C">
        <w:rPr>
          <w:rFonts w:ascii="Cambria" w:hAnsi="Cambria" w:cstheme="minorHAnsi"/>
          <w:b/>
          <w:bCs/>
          <w:color w:val="000000" w:themeColor="text1"/>
          <w:sz w:val="32"/>
          <w:szCs w:val="32"/>
        </w:rPr>
        <w:t xml:space="preserve">Against Criteria/Evaluation </w:t>
      </w:r>
      <w:r w:rsidR="00286237">
        <w:rPr>
          <w:rFonts w:ascii="Cambria" w:hAnsi="Cambria" w:cstheme="minorHAnsi"/>
          <w:b/>
          <w:bCs/>
          <w:color w:val="000000" w:themeColor="text1"/>
          <w:sz w:val="32"/>
          <w:szCs w:val="32"/>
        </w:rPr>
        <w:t xml:space="preserve">Findings </w:t>
      </w:r>
    </w:p>
    <w:p w14:paraId="518AFD79" w14:textId="71FFA029" w:rsidR="00331FB6" w:rsidRPr="004068A1" w:rsidRDefault="00331FB6" w:rsidP="00081358">
      <w:pPr>
        <w:pStyle w:val="NormalWeb"/>
        <w:numPr>
          <w:ilvl w:val="1"/>
          <w:numId w:val="77"/>
        </w:numPr>
        <w:shd w:val="clear" w:color="auto" w:fill="FFFFFF"/>
        <w:spacing w:line="360" w:lineRule="auto"/>
        <w:jc w:val="both"/>
        <w:rPr>
          <w:rFonts w:ascii="Cambria" w:hAnsi="Cambria" w:cstheme="minorHAnsi"/>
          <w:b/>
          <w:bCs/>
          <w:color w:val="000000" w:themeColor="text1"/>
          <w:sz w:val="28"/>
          <w:szCs w:val="28"/>
        </w:rPr>
      </w:pPr>
      <w:r w:rsidRPr="004068A1">
        <w:rPr>
          <w:rFonts w:ascii="Cambria" w:hAnsi="Cambria" w:cstheme="minorHAnsi"/>
          <w:b/>
          <w:bCs/>
          <w:color w:val="000000" w:themeColor="text1"/>
          <w:sz w:val="28"/>
          <w:szCs w:val="28"/>
        </w:rPr>
        <w:t>Pillar One: Parliament and Independent Commissions</w:t>
      </w:r>
    </w:p>
    <w:p w14:paraId="2E2DB869" w14:textId="20799892" w:rsidR="004068A1" w:rsidRPr="00223CBF" w:rsidRDefault="004068A1" w:rsidP="004068A1">
      <w:pPr>
        <w:pStyle w:val="NormalWeb"/>
        <w:shd w:val="clear" w:color="auto" w:fill="FFFFFF"/>
        <w:spacing w:line="360" w:lineRule="auto"/>
        <w:jc w:val="both"/>
        <w:rPr>
          <w:rFonts w:ascii="Cambria" w:hAnsi="Cambria" w:cstheme="minorHAnsi"/>
          <w:b/>
          <w:bCs/>
          <w:sz w:val="20"/>
          <w:szCs w:val="20"/>
          <w:lang w:val="en-GB"/>
        </w:rPr>
      </w:pPr>
      <w:r w:rsidRPr="00223CBF">
        <w:rPr>
          <w:rFonts w:ascii="Cambria" w:hAnsi="Cambria" w:cstheme="minorHAnsi"/>
          <w:color w:val="000000" w:themeColor="text1"/>
          <w:sz w:val="20"/>
          <w:szCs w:val="20"/>
        </w:rPr>
        <w:t xml:space="preserve">The MTE </w:t>
      </w:r>
      <w:r w:rsidR="00C76A6A">
        <w:rPr>
          <w:rFonts w:ascii="Cambria" w:hAnsi="Cambria" w:cstheme="minorHAnsi"/>
          <w:color w:val="000000" w:themeColor="text1"/>
          <w:sz w:val="20"/>
          <w:szCs w:val="20"/>
        </w:rPr>
        <w:t>was</w:t>
      </w:r>
      <w:r w:rsidRPr="00223CBF">
        <w:rPr>
          <w:rFonts w:ascii="Cambria" w:hAnsi="Cambria" w:cstheme="minorHAnsi"/>
          <w:color w:val="000000" w:themeColor="text1"/>
          <w:sz w:val="20"/>
          <w:szCs w:val="20"/>
        </w:rPr>
        <w:t xml:space="preserve"> structured around the key questions in the TOR defined by the UNDP and expanded by the approved Overall Framework for Evaluation </w:t>
      </w:r>
      <w:r w:rsidRPr="00C97654">
        <w:rPr>
          <w:rFonts w:ascii="Cambria" w:hAnsi="Cambria" w:cstheme="minorHAnsi"/>
          <w:color w:val="000000" w:themeColor="text1"/>
          <w:sz w:val="20"/>
          <w:szCs w:val="20"/>
        </w:rPr>
        <w:t>(Annex One).</w:t>
      </w:r>
      <w:r w:rsidRPr="00223CBF">
        <w:rPr>
          <w:rFonts w:ascii="Cambria" w:hAnsi="Cambria" w:cstheme="minorHAnsi"/>
          <w:color w:val="000000" w:themeColor="text1"/>
          <w:sz w:val="20"/>
          <w:szCs w:val="20"/>
        </w:rPr>
        <w:t xml:space="preserve"> It assesse</w:t>
      </w:r>
      <w:r w:rsidR="00C76A6A">
        <w:rPr>
          <w:rFonts w:ascii="Cambria" w:hAnsi="Cambria" w:cstheme="minorHAnsi"/>
          <w:color w:val="000000" w:themeColor="text1"/>
          <w:sz w:val="20"/>
          <w:szCs w:val="20"/>
        </w:rPr>
        <w:t>d</w:t>
      </w:r>
      <w:r w:rsidRPr="00223CBF">
        <w:rPr>
          <w:rFonts w:ascii="Cambria" w:hAnsi="Cambria" w:cstheme="minorHAnsi"/>
          <w:color w:val="000000" w:themeColor="text1"/>
          <w:sz w:val="20"/>
          <w:szCs w:val="20"/>
        </w:rPr>
        <w:t xml:space="preserve"> the Outputs over the implementation period (January 2019 to August 2020) by undertaking an assessment of the Output’s relevance, effectiveness, efficiency, impact and sustainability. </w:t>
      </w:r>
    </w:p>
    <w:p w14:paraId="78584C95" w14:textId="1E0E7A67" w:rsidR="00331FB6" w:rsidRPr="004068A1" w:rsidRDefault="00331FB6" w:rsidP="00081358">
      <w:pPr>
        <w:pStyle w:val="ListParagraph"/>
        <w:numPr>
          <w:ilvl w:val="2"/>
          <w:numId w:val="77"/>
        </w:numPr>
        <w:spacing w:line="360" w:lineRule="auto"/>
        <w:jc w:val="both"/>
        <w:rPr>
          <w:rFonts w:ascii="Cambria" w:hAnsi="Cambria" w:cstheme="minorHAnsi"/>
          <w:b/>
          <w:bCs/>
          <w:lang w:val="en-GB"/>
        </w:rPr>
      </w:pPr>
      <w:r w:rsidRPr="004068A1">
        <w:rPr>
          <w:rFonts w:ascii="Cambria" w:hAnsi="Cambria" w:cstheme="minorHAnsi"/>
          <w:b/>
          <w:bCs/>
          <w:lang w:val="en-GB"/>
        </w:rPr>
        <w:t>Explanation of Outcome/Outputs</w:t>
      </w:r>
    </w:p>
    <w:p w14:paraId="6E7EF486" w14:textId="77777777" w:rsidR="00331FB6" w:rsidRPr="00223CBF" w:rsidRDefault="00331FB6" w:rsidP="000507CA">
      <w:pPr>
        <w:spacing w:line="360" w:lineRule="auto"/>
        <w:jc w:val="both"/>
        <w:rPr>
          <w:rFonts w:ascii="Cambria" w:hAnsi="Cambria" w:cstheme="minorHAnsi"/>
          <w:color w:val="C00000"/>
          <w:sz w:val="20"/>
          <w:szCs w:val="20"/>
        </w:rPr>
      </w:pPr>
      <w:r w:rsidRPr="00223CBF">
        <w:rPr>
          <w:rFonts w:ascii="Cambria" w:hAnsi="Cambria" w:cstheme="minorHAnsi"/>
          <w:b/>
          <w:bCs/>
          <w:color w:val="C00000"/>
          <w:sz w:val="20"/>
          <w:szCs w:val="20"/>
          <w:lang w:val="en-GB"/>
        </w:rPr>
        <w:t>Outcome 1: Select policymaking and oversight structures strengthened to perform core functions for improved accountability and inclusivity</w:t>
      </w:r>
      <w:r w:rsidRPr="00223CBF">
        <w:rPr>
          <w:rFonts w:ascii="Cambria" w:hAnsi="Cambria" w:cstheme="minorHAnsi"/>
          <w:color w:val="C00000"/>
          <w:sz w:val="20"/>
          <w:szCs w:val="20"/>
        </w:rPr>
        <w:t>  </w:t>
      </w:r>
    </w:p>
    <w:p w14:paraId="1777B763" w14:textId="6F76BF21" w:rsidR="00331FB6" w:rsidRPr="00223CBF" w:rsidRDefault="00331FB6" w:rsidP="000507CA">
      <w:pPr>
        <w:spacing w:line="360" w:lineRule="auto"/>
        <w:jc w:val="both"/>
        <w:rPr>
          <w:rFonts w:ascii="Cambria" w:hAnsi="Cambria" w:cstheme="minorHAnsi"/>
          <w:color w:val="000000" w:themeColor="text1"/>
          <w:sz w:val="20"/>
          <w:szCs w:val="20"/>
        </w:rPr>
      </w:pPr>
      <w:r w:rsidRPr="00223CBF">
        <w:rPr>
          <w:rFonts w:ascii="Cambria" w:hAnsi="Cambria" w:cstheme="minorHAnsi"/>
          <w:sz w:val="20"/>
          <w:szCs w:val="20"/>
        </w:rPr>
        <w:t>The objective of the Outcome is aimed at strengthening the core functions of</w:t>
      </w:r>
      <w:r w:rsidR="00854A5A">
        <w:rPr>
          <w:rFonts w:ascii="Cambria" w:hAnsi="Cambria" w:cstheme="minorHAnsi"/>
          <w:sz w:val="20"/>
          <w:szCs w:val="20"/>
        </w:rPr>
        <w:t xml:space="preserve"> selected </w:t>
      </w:r>
      <w:r w:rsidR="00F25DF1">
        <w:rPr>
          <w:rFonts w:ascii="Cambria" w:hAnsi="Cambria" w:cstheme="minorHAnsi"/>
          <w:sz w:val="20"/>
          <w:szCs w:val="20"/>
        </w:rPr>
        <w:t>IPs</w:t>
      </w:r>
      <w:r w:rsidR="00854A5A">
        <w:rPr>
          <w:rFonts w:ascii="Cambria" w:hAnsi="Cambria" w:cstheme="minorHAnsi"/>
          <w:sz w:val="20"/>
          <w:szCs w:val="20"/>
        </w:rPr>
        <w:t>, namely the</w:t>
      </w:r>
      <w:r w:rsidRPr="00223CBF">
        <w:rPr>
          <w:rFonts w:ascii="Cambria" w:hAnsi="Cambria" w:cstheme="minorHAnsi"/>
          <w:sz w:val="20"/>
          <w:szCs w:val="20"/>
        </w:rPr>
        <w:t xml:space="preserve"> parliament and select </w:t>
      </w:r>
      <w:r w:rsidR="00F25DF1">
        <w:rPr>
          <w:rFonts w:ascii="Cambria" w:hAnsi="Cambria" w:cstheme="minorHAnsi"/>
          <w:sz w:val="20"/>
          <w:szCs w:val="20"/>
        </w:rPr>
        <w:t>ICs</w:t>
      </w:r>
      <w:r w:rsidRPr="00223CBF">
        <w:rPr>
          <w:rFonts w:ascii="Cambria" w:hAnsi="Cambria" w:cstheme="minorHAnsi"/>
          <w:sz w:val="20"/>
          <w:szCs w:val="20"/>
        </w:rPr>
        <w:t xml:space="preserve"> to improve accountability; independence, transparency, adequate checks and balances and inclusivity</w:t>
      </w:r>
      <w:r w:rsidR="00E72C79" w:rsidRPr="00223CBF">
        <w:rPr>
          <w:rFonts w:ascii="Cambria" w:hAnsi="Cambria" w:cstheme="minorHAnsi"/>
          <w:sz w:val="20"/>
          <w:szCs w:val="20"/>
        </w:rPr>
        <w:t>;</w:t>
      </w:r>
      <w:r w:rsidRPr="00223CBF">
        <w:rPr>
          <w:rFonts w:ascii="Cambria" w:hAnsi="Cambria" w:cstheme="minorHAnsi"/>
          <w:sz w:val="20"/>
          <w:szCs w:val="20"/>
        </w:rPr>
        <w:t xml:space="preserve"> equitable, nondiscriminatory, participatory decision making for</w:t>
      </w:r>
      <w:r w:rsidR="00AB26B5" w:rsidRPr="00223CBF">
        <w:rPr>
          <w:rFonts w:ascii="Cambria" w:hAnsi="Cambria" w:cstheme="minorHAnsi"/>
          <w:sz w:val="20"/>
          <w:szCs w:val="20"/>
        </w:rPr>
        <w:t>,</w:t>
      </w:r>
      <w:r w:rsidRPr="00223CBF">
        <w:rPr>
          <w:rFonts w:ascii="Cambria" w:hAnsi="Cambria" w:cstheme="minorHAnsi"/>
          <w:sz w:val="20"/>
          <w:szCs w:val="20"/>
        </w:rPr>
        <w:t xml:space="preserve"> traditionally excluded vulnerable groups, broadly defined by the Portfolio.</w:t>
      </w:r>
      <w:r w:rsidRPr="00223CBF">
        <w:rPr>
          <w:rStyle w:val="FootnoteReference"/>
          <w:rFonts w:ascii="Cambria" w:hAnsi="Cambria" w:cstheme="minorHAnsi"/>
          <w:sz w:val="20"/>
          <w:szCs w:val="20"/>
        </w:rPr>
        <w:footnoteReference w:id="29"/>
      </w:r>
      <w:r w:rsidRPr="00223CBF">
        <w:rPr>
          <w:rFonts w:ascii="Cambria" w:hAnsi="Cambria" w:cstheme="minorHAnsi"/>
          <w:sz w:val="20"/>
          <w:szCs w:val="20"/>
        </w:rPr>
        <w:t xml:space="preserve"> </w:t>
      </w:r>
    </w:p>
    <w:p w14:paraId="66C30A6F" w14:textId="1CE20B30" w:rsidR="00331FB6" w:rsidRPr="00223CBF" w:rsidRDefault="00331FB6" w:rsidP="000507CA">
      <w:pPr>
        <w:spacing w:line="360" w:lineRule="auto"/>
        <w:jc w:val="both"/>
        <w:rPr>
          <w:rFonts w:ascii="Cambria" w:hAnsi="Cambria" w:cstheme="minorHAnsi"/>
          <w:sz w:val="20"/>
          <w:szCs w:val="20"/>
        </w:rPr>
      </w:pPr>
      <w:r w:rsidRPr="00223CBF">
        <w:rPr>
          <w:rFonts w:ascii="Cambria" w:hAnsi="Cambria" w:cstheme="minorHAnsi"/>
          <w:sz w:val="20"/>
          <w:szCs w:val="20"/>
        </w:rPr>
        <w:t>During the first phase of the</w:t>
      </w:r>
      <w:r w:rsidR="00AB26B5" w:rsidRPr="00223CBF">
        <w:rPr>
          <w:rFonts w:ascii="Cambria" w:hAnsi="Cambria" w:cstheme="minorHAnsi"/>
          <w:sz w:val="20"/>
          <w:szCs w:val="20"/>
        </w:rPr>
        <w:t xml:space="preserve"> Portfolio</w:t>
      </w:r>
      <w:r w:rsidRPr="00223CBF">
        <w:rPr>
          <w:rFonts w:ascii="Cambria" w:hAnsi="Cambria" w:cstheme="minorHAnsi"/>
          <w:sz w:val="20"/>
          <w:szCs w:val="20"/>
        </w:rPr>
        <w:t xml:space="preserve">, a diverse range of </w:t>
      </w:r>
      <w:r w:rsidR="00AB26B5" w:rsidRPr="00223CBF">
        <w:rPr>
          <w:rFonts w:ascii="Cambria" w:hAnsi="Cambria" w:cstheme="minorHAnsi"/>
          <w:sz w:val="20"/>
          <w:szCs w:val="20"/>
        </w:rPr>
        <w:t xml:space="preserve">activities </w:t>
      </w:r>
      <w:r w:rsidRPr="00223CBF">
        <w:rPr>
          <w:rFonts w:ascii="Cambria" w:hAnsi="Cambria" w:cstheme="minorHAnsi"/>
          <w:sz w:val="20"/>
          <w:szCs w:val="20"/>
        </w:rPr>
        <w:t xml:space="preserve">were identified </w:t>
      </w:r>
      <w:r w:rsidRPr="00223CBF">
        <w:rPr>
          <w:rFonts w:ascii="Cambria" w:hAnsi="Cambria" w:cstheme="minorHAnsi"/>
          <w:sz w:val="20"/>
          <w:szCs w:val="20"/>
          <w:lang w:val="en-GB"/>
        </w:rPr>
        <w:t>with incremental steps towards transformative reform within the parliament and IC</w:t>
      </w:r>
      <w:r w:rsidR="00F25DF1">
        <w:rPr>
          <w:rFonts w:ascii="Cambria" w:hAnsi="Cambria" w:cstheme="minorHAnsi"/>
          <w:sz w:val="20"/>
          <w:szCs w:val="20"/>
          <w:lang w:val="en-GB"/>
        </w:rPr>
        <w:t>s</w:t>
      </w:r>
      <w:r w:rsidRPr="00223CBF">
        <w:rPr>
          <w:rFonts w:ascii="Cambria" w:hAnsi="Cambria" w:cstheme="minorHAnsi"/>
          <w:sz w:val="20"/>
          <w:szCs w:val="20"/>
          <w:lang w:val="en-GB"/>
        </w:rPr>
        <w:t>. SDG 16 Indicators</w:t>
      </w:r>
      <w:r w:rsidRPr="00223CBF">
        <w:rPr>
          <w:rStyle w:val="FootnoteReference"/>
          <w:rFonts w:ascii="Cambria" w:hAnsi="Cambria" w:cstheme="minorHAnsi"/>
          <w:sz w:val="20"/>
          <w:szCs w:val="20"/>
          <w:lang w:val="en-GB"/>
        </w:rPr>
        <w:footnoteReference w:id="30"/>
      </w:r>
      <w:r w:rsidRPr="00223CBF">
        <w:rPr>
          <w:rFonts w:ascii="Cambria" w:hAnsi="Cambria" w:cstheme="minorHAnsi"/>
          <w:sz w:val="20"/>
          <w:szCs w:val="20"/>
          <w:lang w:val="en-GB"/>
        </w:rPr>
        <w:t xml:space="preserve"> for Sri Lanka emphatically highlight the importance of developing</w:t>
      </w:r>
      <w:r w:rsidRPr="00223CBF">
        <w:rPr>
          <w:rFonts w:ascii="Cambria" w:hAnsi="Cambria" w:cstheme="minorHAnsi"/>
          <w:sz w:val="20"/>
          <w:szCs w:val="20"/>
        </w:rPr>
        <w:t xml:space="preserve"> effective, accountable and transparent institutions, ensuring responsive, inclusive, participatory and representative decision-making at all levels and enforcing non-discriminatory laws and policies for sustainable development. </w:t>
      </w:r>
    </w:p>
    <w:p w14:paraId="63742A60" w14:textId="1F4333BB" w:rsidR="00331FB6" w:rsidRPr="00223CBF" w:rsidRDefault="00331FB6" w:rsidP="000507CA">
      <w:pPr>
        <w:spacing w:line="360" w:lineRule="auto"/>
        <w:jc w:val="both"/>
        <w:rPr>
          <w:rFonts w:ascii="Cambria" w:hAnsi="Cambria" w:cstheme="minorHAnsi"/>
          <w:sz w:val="20"/>
          <w:szCs w:val="20"/>
        </w:rPr>
      </w:pPr>
      <w:r w:rsidRPr="00223CBF">
        <w:rPr>
          <w:rFonts w:ascii="Cambria" w:hAnsi="Cambria" w:cstheme="minorHAnsi"/>
          <w:sz w:val="20"/>
          <w:szCs w:val="20"/>
        </w:rPr>
        <w:t xml:space="preserve">Therefore, the selection of Parliament as the repository of the legislative power of the people and three important </w:t>
      </w:r>
      <w:r w:rsidR="00854A5A">
        <w:rPr>
          <w:rFonts w:ascii="Cambria" w:hAnsi="Cambria" w:cstheme="minorHAnsi"/>
          <w:sz w:val="20"/>
          <w:szCs w:val="20"/>
        </w:rPr>
        <w:t>ICs</w:t>
      </w:r>
      <w:r w:rsidRPr="00223CBF">
        <w:rPr>
          <w:rFonts w:ascii="Cambria" w:hAnsi="Cambria" w:cstheme="minorHAnsi"/>
          <w:sz w:val="20"/>
          <w:szCs w:val="20"/>
        </w:rPr>
        <w:t xml:space="preserve">, namely the HRC, </w:t>
      </w:r>
      <w:r w:rsidR="00854A5A">
        <w:rPr>
          <w:rFonts w:ascii="Cambria" w:hAnsi="Cambria" w:cstheme="minorHAnsi"/>
          <w:sz w:val="20"/>
          <w:szCs w:val="20"/>
        </w:rPr>
        <w:t xml:space="preserve">NPC </w:t>
      </w:r>
      <w:r w:rsidRPr="00223CBF">
        <w:rPr>
          <w:rFonts w:ascii="Cambria" w:hAnsi="Cambria" w:cstheme="minorHAnsi"/>
          <w:sz w:val="20"/>
          <w:szCs w:val="20"/>
        </w:rPr>
        <w:t>and RTIC as IPs was crucial and context relevant under Outcome 1.</w:t>
      </w:r>
    </w:p>
    <w:p w14:paraId="4D45CBB0" w14:textId="6A8A14BA" w:rsidR="00AB26B5" w:rsidRPr="00223CBF" w:rsidRDefault="00331FB6" w:rsidP="000507CA">
      <w:pPr>
        <w:spacing w:line="360" w:lineRule="auto"/>
        <w:jc w:val="both"/>
        <w:rPr>
          <w:rFonts w:ascii="Cambria" w:hAnsi="Cambria" w:cstheme="minorHAnsi"/>
          <w:sz w:val="20"/>
          <w:szCs w:val="20"/>
        </w:rPr>
      </w:pPr>
      <w:r w:rsidRPr="00223CBF">
        <w:rPr>
          <w:rFonts w:ascii="Cambria" w:hAnsi="Cambria" w:cstheme="minorHAnsi"/>
          <w:sz w:val="20"/>
          <w:szCs w:val="20"/>
        </w:rPr>
        <w:t xml:space="preserve">For the purpose of the MTE, </w:t>
      </w:r>
      <w:r w:rsidRPr="00223CBF">
        <w:rPr>
          <w:rFonts w:ascii="Cambria" w:hAnsi="Cambria" w:cstheme="minorHAnsi"/>
          <w:b/>
          <w:bCs/>
          <w:sz w:val="20"/>
          <w:szCs w:val="20"/>
          <w:lang w:val="en-GB"/>
        </w:rPr>
        <w:t xml:space="preserve">Output 1.1. The core functions (legislative, oversight, representation and budgetary) of </w:t>
      </w:r>
      <w:r w:rsidR="00854A5A">
        <w:rPr>
          <w:rFonts w:ascii="Cambria" w:hAnsi="Cambria" w:cstheme="minorHAnsi"/>
          <w:b/>
          <w:bCs/>
          <w:sz w:val="20"/>
          <w:szCs w:val="20"/>
          <w:lang w:val="en-GB"/>
        </w:rPr>
        <w:t>p</w:t>
      </w:r>
      <w:r w:rsidRPr="00223CBF">
        <w:rPr>
          <w:rFonts w:ascii="Cambria" w:hAnsi="Cambria" w:cstheme="minorHAnsi"/>
          <w:b/>
          <w:bCs/>
          <w:sz w:val="20"/>
          <w:szCs w:val="20"/>
          <w:lang w:val="en-GB"/>
        </w:rPr>
        <w:t xml:space="preserve">arliament and its role in the implementation of the 2030 Agenda for Sustainable Development strengthened and </w:t>
      </w:r>
      <w:r w:rsidRPr="00223CBF">
        <w:rPr>
          <w:rFonts w:ascii="Cambria" w:hAnsi="Cambria" w:cstheme="minorHAnsi"/>
          <w:sz w:val="20"/>
          <w:szCs w:val="20"/>
        </w:rPr>
        <w:t xml:space="preserve">and </w:t>
      </w:r>
      <w:r w:rsidRPr="00223CBF">
        <w:rPr>
          <w:rFonts w:ascii="Cambria" w:hAnsi="Cambria" w:cstheme="minorHAnsi"/>
          <w:b/>
          <w:bCs/>
          <w:sz w:val="20"/>
          <w:szCs w:val="20"/>
          <w:lang w:val="en-GB"/>
        </w:rPr>
        <w:t xml:space="preserve">Output 1.2. The openness of the </w:t>
      </w:r>
      <w:r w:rsidR="00854A5A">
        <w:rPr>
          <w:rFonts w:ascii="Cambria" w:hAnsi="Cambria" w:cstheme="minorHAnsi"/>
          <w:b/>
          <w:bCs/>
          <w:sz w:val="20"/>
          <w:szCs w:val="20"/>
          <w:lang w:val="en-GB"/>
        </w:rPr>
        <w:t>p</w:t>
      </w:r>
      <w:r w:rsidRPr="00223CBF">
        <w:rPr>
          <w:rFonts w:ascii="Cambria" w:hAnsi="Cambria" w:cstheme="minorHAnsi"/>
          <w:b/>
          <w:bCs/>
          <w:sz w:val="20"/>
          <w:szCs w:val="20"/>
          <w:lang w:val="en-GB"/>
        </w:rPr>
        <w:t xml:space="preserve">arliament and its ability to obtain </w:t>
      </w:r>
      <w:r w:rsidRPr="00223CBF">
        <w:rPr>
          <w:rFonts w:ascii="Cambria" w:hAnsi="Cambria" w:cstheme="minorHAnsi"/>
          <w:b/>
          <w:bCs/>
          <w:sz w:val="20"/>
          <w:szCs w:val="20"/>
          <w:lang w:val="en-GB"/>
        </w:rPr>
        <w:lastRenderedPageBreak/>
        <w:t xml:space="preserve">public/civil society input to its functions improved, </w:t>
      </w:r>
      <w:r w:rsidRPr="00223CBF">
        <w:rPr>
          <w:rFonts w:ascii="Cambria" w:hAnsi="Cambria" w:cstheme="minorHAnsi"/>
          <w:sz w:val="20"/>
          <w:szCs w:val="20"/>
        </w:rPr>
        <w:t xml:space="preserve">directed at strengthening the core functions and openness of parliament will be clustered together </w:t>
      </w:r>
      <w:r w:rsidR="00AB26B5" w:rsidRPr="00223CBF">
        <w:rPr>
          <w:rFonts w:ascii="Cambria" w:hAnsi="Cambria" w:cstheme="minorHAnsi"/>
          <w:sz w:val="20"/>
          <w:szCs w:val="20"/>
        </w:rPr>
        <w:t xml:space="preserve">as they are complementary and mutually reinforcing. </w:t>
      </w:r>
    </w:p>
    <w:p w14:paraId="32EAA206" w14:textId="77777777" w:rsidR="004068A1" w:rsidRPr="00223CBF" w:rsidRDefault="004068A1" w:rsidP="004068A1">
      <w:pPr>
        <w:spacing w:line="360" w:lineRule="auto"/>
        <w:jc w:val="both"/>
        <w:rPr>
          <w:rFonts w:ascii="Cambria" w:hAnsi="Cambria" w:cstheme="minorHAnsi"/>
          <w:sz w:val="20"/>
          <w:szCs w:val="20"/>
        </w:rPr>
      </w:pPr>
      <w:r w:rsidRPr="00223CBF">
        <w:rPr>
          <w:rFonts w:ascii="Cambria" w:hAnsi="Cambria" w:cstheme="minorHAnsi"/>
          <w:sz w:val="20"/>
          <w:szCs w:val="20"/>
        </w:rPr>
        <w:t xml:space="preserve">Further, </w:t>
      </w:r>
      <w:r w:rsidRPr="00223CBF">
        <w:rPr>
          <w:rFonts w:ascii="Cambria" w:hAnsi="Cambria" w:cstheme="minorHAnsi"/>
          <w:b/>
          <w:bCs/>
          <w:sz w:val="20"/>
          <w:szCs w:val="20"/>
        </w:rPr>
        <w:t>Output</w:t>
      </w:r>
      <w:r w:rsidRPr="00223CBF">
        <w:rPr>
          <w:rFonts w:ascii="Cambria" w:hAnsi="Cambria" w:cstheme="minorHAnsi"/>
          <w:sz w:val="20"/>
          <w:szCs w:val="20"/>
        </w:rPr>
        <w:t xml:space="preserve"> </w:t>
      </w:r>
      <w:r w:rsidRPr="00223CBF">
        <w:rPr>
          <w:rFonts w:ascii="Cambria" w:hAnsi="Cambria" w:cstheme="minorHAnsi"/>
          <w:b/>
          <w:bCs/>
          <w:sz w:val="20"/>
          <w:szCs w:val="20"/>
        </w:rPr>
        <w:t>1.3</w:t>
      </w:r>
      <w:r w:rsidRPr="00223CBF">
        <w:rPr>
          <w:rFonts w:ascii="Cambria" w:hAnsi="Cambria" w:cstheme="minorHAnsi"/>
          <w:sz w:val="20"/>
          <w:szCs w:val="20"/>
        </w:rPr>
        <w:t xml:space="preserve">. </w:t>
      </w:r>
      <w:r w:rsidRPr="00223CBF">
        <w:rPr>
          <w:rFonts w:ascii="Cambria" w:hAnsi="Cambria"/>
          <w:b/>
          <w:bCs/>
          <w:sz w:val="20"/>
          <w:szCs w:val="20"/>
          <w:lang w:val="en-GB"/>
        </w:rPr>
        <w:t>Human Rights Commission has improved capacities to discharge its core functions, Output 1.4. National Police Commission has improved capacities to discharge its core functions and Output 1.5. Right to Information Commission has improved capacities to discharge its core functions</w:t>
      </w:r>
      <w:r w:rsidRPr="00223CBF">
        <w:rPr>
          <w:rFonts w:ascii="Cambria" w:hAnsi="Cambria" w:cstheme="minorHAnsi"/>
          <w:sz w:val="20"/>
          <w:szCs w:val="20"/>
        </w:rPr>
        <w:t>, directed at strengthening the core functions of the selected Commissions will be clustered together</w:t>
      </w:r>
      <w:r>
        <w:rPr>
          <w:rFonts w:ascii="Cambria" w:hAnsi="Cambria" w:cstheme="minorHAnsi"/>
          <w:sz w:val="20"/>
          <w:szCs w:val="20"/>
        </w:rPr>
        <w:t xml:space="preserve">. </w:t>
      </w:r>
    </w:p>
    <w:p w14:paraId="52EE7A0E" w14:textId="77777777" w:rsidR="0046122B" w:rsidRPr="00223CBF" w:rsidRDefault="00331FB6" w:rsidP="0046122B">
      <w:pPr>
        <w:spacing w:after="0" w:line="360" w:lineRule="auto"/>
        <w:jc w:val="both"/>
        <w:rPr>
          <w:rFonts w:ascii="Cambria" w:hAnsi="Cambria"/>
          <w:color w:val="000000" w:themeColor="text1"/>
          <w:sz w:val="20"/>
          <w:szCs w:val="20"/>
        </w:rPr>
      </w:pPr>
      <w:r w:rsidRPr="00223CBF">
        <w:rPr>
          <w:rFonts w:ascii="Cambria" w:hAnsi="Cambria" w:cstheme="minorHAnsi"/>
          <w:bCs/>
          <w:sz w:val="20"/>
          <w:szCs w:val="20"/>
          <w:lang w:val="en-GB"/>
        </w:rPr>
        <w:t xml:space="preserve">The Outputs under Pillar One are conceptually relevant to the Outcome and resonates with the </w:t>
      </w:r>
      <w:r w:rsidRPr="00223CBF">
        <w:rPr>
          <w:rFonts w:ascii="Cambria" w:hAnsi="Cambria"/>
          <w:color w:val="000000" w:themeColor="text1"/>
          <w:sz w:val="20"/>
          <w:szCs w:val="20"/>
        </w:rPr>
        <w:t xml:space="preserve">UNSDF Driver 2 and CPD Output 1.1, which embraces the Sustainable Development Agenda 2030, drawing linkages between Outputs and </w:t>
      </w:r>
      <w:r w:rsidR="00AB26B5" w:rsidRPr="00223CBF">
        <w:rPr>
          <w:rFonts w:ascii="Cambria" w:hAnsi="Cambria"/>
          <w:color w:val="000000" w:themeColor="text1"/>
          <w:sz w:val="20"/>
          <w:szCs w:val="20"/>
        </w:rPr>
        <w:t xml:space="preserve">more specifically, </w:t>
      </w:r>
      <w:r w:rsidRPr="00223CBF">
        <w:rPr>
          <w:rFonts w:ascii="Cambria" w:hAnsi="Cambria"/>
          <w:color w:val="000000" w:themeColor="text1"/>
          <w:sz w:val="20"/>
          <w:szCs w:val="20"/>
        </w:rPr>
        <w:t>the SDG Goal 16.</w:t>
      </w:r>
      <w:r w:rsidR="00AB26B5" w:rsidRPr="00223CBF">
        <w:rPr>
          <w:rStyle w:val="FootnoteReference"/>
          <w:rFonts w:ascii="Cambria" w:hAnsi="Cambria"/>
          <w:color w:val="000000" w:themeColor="text1"/>
          <w:sz w:val="20"/>
          <w:szCs w:val="20"/>
        </w:rPr>
        <w:footnoteReference w:id="31"/>
      </w:r>
    </w:p>
    <w:p w14:paraId="5B0DC771" w14:textId="1D33A084" w:rsidR="0046122B" w:rsidRDefault="0046122B" w:rsidP="0046122B">
      <w:pPr>
        <w:spacing w:after="0" w:line="360" w:lineRule="auto"/>
        <w:jc w:val="both"/>
        <w:rPr>
          <w:rFonts w:ascii="Cambria" w:hAnsi="Cambria"/>
          <w:color w:val="000000" w:themeColor="text1"/>
          <w:sz w:val="20"/>
          <w:szCs w:val="20"/>
        </w:rPr>
      </w:pPr>
    </w:p>
    <w:p w14:paraId="60A1B1FB" w14:textId="3635D5B5" w:rsidR="00EC3AF6" w:rsidRDefault="00EC3AF6" w:rsidP="0046122B">
      <w:pPr>
        <w:spacing w:after="0" w:line="360" w:lineRule="auto"/>
        <w:jc w:val="both"/>
        <w:rPr>
          <w:rFonts w:ascii="Cambria" w:hAnsi="Cambria"/>
          <w:color w:val="000000" w:themeColor="text1"/>
          <w:sz w:val="20"/>
          <w:szCs w:val="20"/>
        </w:rPr>
      </w:pPr>
    </w:p>
    <w:p w14:paraId="4A544D55" w14:textId="1F2781C9" w:rsidR="00EC3AF6" w:rsidRDefault="00EC3AF6" w:rsidP="0046122B">
      <w:pPr>
        <w:spacing w:after="0" w:line="360" w:lineRule="auto"/>
        <w:jc w:val="both"/>
        <w:rPr>
          <w:rFonts w:ascii="Cambria" w:hAnsi="Cambria"/>
          <w:color w:val="000000" w:themeColor="text1"/>
          <w:sz w:val="20"/>
          <w:szCs w:val="20"/>
        </w:rPr>
      </w:pPr>
    </w:p>
    <w:p w14:paraId="49AAAF92" w14:textId="341E4CAE" w:rsidR="00EC3AF6" w:rsidRDefault="00EC3AF6" w:rsidP="0046122B">
      <w:pPr>
        <w:spacing w:after="0" w:line="360" w:lineRule="auto"/>
        <w:jc w:val="both"/>
        <w:rPr>
          <w:rFonts w:ascii="Cambria" w:hAnsi="Cambria"/>
          <w:color w:val="000000" w:themeColor="text1"/>
          <w:sz w:val="20"/>
          <w:szCs w:val="20"/>
        </w:rPr>
      </w:pPr>
    </w:p>
    <w:p w14:paraId="0970847C" w14:textId="3C973149" w:rsidR="00EC3AF6" w:rsidRDefault="00EC3AF6" w:rsidP="0046122B">
      <w:pPr>
        <w:spacing w:after="0" w:line="360" w:lineRule="auto"/>
        <w:jc w:val="both"/>
        <w:rPr>
          <w:rFonts w:ascii="Cambria" w:hAnsi="Cambria"/>
          <w:color w:val="000000" w:themeColor="text1"/>
          <w:sz w:val="20"/>
          <w:szCs w:val="20"/>
        </w:rPr>
      </w:pPr>
    </w:p>
    <w:p w14:paraId="0F4A85C1" w14:textId="38F9F47C" w:rsidR="00EC3AF6" w:rsidRDefault="00EC3AF6" w:rsidP="0046122B">
      <w:pPr>
        <w:spacing w:after="0" w:line="360" w:lineRule="auto"/>
        <w:jc w:val="both"/>
        <w:rPr>
          <w:rFonts w:ascii="Cambria" w:hAnsi="Cambria"/>
          <w:color w:val="000000" w:themeColor="text1"/>
          <w:sz w:val="20"/>
          <w:szCs w:val="20"/>
        </w:rPr>
      </w:pPr>
    </w:p>
    <w:p w14:paraId="68251BCD" w14:textId="72A870BE" w:rsidR="00EC3AF6" w:rsidRDefault="00EC3AF6" w:rsidP="0046122B">
      <w:pPr>
        <w:spacing w:after="0" w:line="360" w:lineRule="auto"/>
        <w:jc w:val="both"/>
        <w:rPr>
          <w:rFonts w:ascii="Cambria" w:hAnsi="Cambria"/>
          <w:color w:val="000000" w:themeColor="text1"/>
          <w:sz w:val="20"/>
          <w:szCs w:val="20"/>
        </w:rPr>
      </w:pPr>
    </w:p>
    <w:p w14:paraId="42FA3118" w14:textId="133A3A2A" w:rsidR="00EC3AF6" w:rsidRDefault="00EC3AF6" w:rsidP="0046122B">
      <w:pPr>
        <w:spacing w:after="0" w:line="360" w:lineRule="auto"/>
        <w:jc w:val="both"/>
        <w:rPr>
          <w:rFonts w:ascii="Cambria" w:hAnsi="Cambria"/>
          <w:color w:val="000000" w:themeColor="text1"/>
          <w:sz w:val="20"/>
          <w:szCs w:val="20"/>
        </w:rPr>
      </w:pPr>
    </w:p>
    <w:p w14:paraId="3BD62BEF" w14:textId="22603F07" w:rsidR="00EC3AF6" w:rsidRDefault="00EC3AF6" w:rsidP="0046122B">
      <w:pPr>
        <w:spacing w:after="0" w:line="360" w:lineRule="auto"/>
        <w:jc w:val="both"/>
        <w:rPr>
          <w:rFonts w:ascii="Cambria" w:hAnsi="Cambria"/>
          <w:color w:val="000000" w:themeColor="text1"/>
          <w:sz w:val="20"/>
          <w:szCs w:val="20"/>
        </w:rPr>
      </w:pPr>
    </w:p>
    <w:p w14:paraId="615EA2CB" w14:textId="069828E1" w:rsidR="00EC3AF6" w:rsidRDefault="00EC3AF6" w:rsidP="0046122B">
      <w:pPr>
        <w:spacing w:after="0" w:line="360" w:lineRule="auto"/>
        <w:jc w:val="both"/>
        <w:rPr>
          <w:rFonts w:ascii="Cambria" w:hAnsi="Cambria"/>
          <w:color w:val="000000" w:themeColor="text1"/>
          <w:sz w:val="20"/>
          <w:szCs w:val="20"/>
        </w:rPr>
      </w:pPr>
    </w:p>
    <w:p w14:paraId="1664FF21" w14:textId="3B9C6217" w:rsidR="00EC3AF6" w:rsidRDefault="00EC3AF6" w:rsidP="0046122B">
      <w:pPr>
        <w:spacing w:after="0" w:line="360" w:lineRule="auto"/>
        <w:jc w:val="both"/>
        <w:rPr>
          <w:rFonts w:ascii="Cambria" w:hAnsi="Cambria"/>
          <w:color w:val="000000" w:themeColor="text1"/>
          <w:sz w:val="20"/>
          <w:szCs w:val="20"/>
        </w:rPr>
      </w:pPr>
    </w:p>
    <w:p w14:paraId="796BE2AB" w14:textId="3AE3C3EA" w:rsidR="00EC3AF6" w:rsidRDefault="00EC3AF6" w:rsidP="0046122B">
      <w:pPr>
        <w:spacing w:after="0" w:line="360" w:lineRule="auto"/>
        <w:jc w:val="both"/>
        <w:rPr>
          <w:rFonts w:ascii="Cambria" w:hAnsi="Cambria"/>
          <w:color w:val="000000" w:themeColor="text1"/>
          <w:sz w:val="20"/>
          <w:szCs w:val="20"/>
        </w:rPr>
      </w:pPr>
    </w:p>
    <w:p w14:paraId="4EDFC358" w14:textId="7955F0EA" w:rsidR="00EC3AF6" w:rsidRDefault="00EC3AF6" w:rsidP="0046122B">
      <w:pPr>
        <w:spacing w:after="0" w:line="360" w:lineRule="auto"/>
        <w:jc w:val="both"/>
        <w:rPr>
          <w:rFonts w:ascii="Cambria" w:hAnsi="Cambria"/>
          <w:color w:val="000000" w:themeColor="text1"/>
          <w:sz w:val="20"/>
          <w:szCs w:val="20"/>
        </w:rPr>
      </w:pPr>
    </w:p>
    <w:p w14:paraId="71083B10" w14:textId="63CED0F8" w:rsidR="00EC3AF6" w:rsidRDefault="00EC3AF6" w:rsidP="0046122B">
      <w:pPr>
        <w:spacing w:after="0" w:line="360" w:lineRule="auto"/>
        <w:jc w:val="both"/>
        <w:rPr>
          <w:rFonts w:ascii="Cambria" w:hAnsi="Cambria"/>
          <w:color w:val="000000" w:themeColor="text1"/>
          <w:sz w:val="20"/>
          <w:szCs w:val="20"/>
        </w:rPr>
      </w:pPr>
    </w:p>
    <w:p w14:paraId="10339330" w14:textId="25A24ACB" w:rsidR="00EC3AF6" w:rsidRDefault="00EC3AF6" w:rsidP="0046122B">
      <w:pPr>
        <w:spacing w:after="0" w:line="360" w:lineRule="auto"/>
        <w:jc w:val="both"/>
        <w:rPr>
          <w:rFonts w:ascii="Cambria" w:hAnsi="Cambria"/>
          <w:color w:val="000000" w:themeColor="text1"/>
          <w:sz w:val="20"/>
          <w:szCs w:val="20"/>
        </w:rPr>
      </w:pPr>
    </w:p>
    <w:p w14:paraId="5E1C039E" w14:textId="77777777" w:rsidR="00EC3AF6" w:rsidRPr="00223CBF" w:rsidRDefault="00EC3AF6" w:rsidP="0046122B">
      <w:pPr>
        <w:spacing w:after="0" w:line="360" w:lineRule="auto"/>
        <w:jc w:val="both"/>
        <w:rPr>
          <w:rFonts w:ascii="Cambria" w:hAnsi="Cambria"/>
          <w:color w:val="000000" w:themeColor="text1"/>
          <w:sz w:val="20"/>
          <w:szCs w:val="20"/>
        </w:rPr>
      </w:pPr>
    </w:p>
    <w:p w14:paraId="79B7B9FC" w14:textId="7177E640" w:rsidR="0046122B" w:rsidRPr="004068A1" w:rsidRDefault="0046122B" w:rsidP="00925CAD">
      <w:pPr>
        <w:pStyle w:val="ListParagraph"/>
        <w:numPr>
          <w:ilvl w:val="0"/>
          <w:numId w:val="34"/>
        </w:numPr>
        <w:spacing w:line="360" w:lineRule="auto"/>
        <w:rPr>
          <w:rFonts w:ascii="Cambria" w:hAnsi="Cambria"/>
          <w:b/>
          <w:bCs/>
          <w:color w:val="0070C0"/>
        </w:rPr>
      </w:pPr>
      <w:r w:rsidRPr="004068A1">
        <w:rPr>
          <w:rFonts w:ascii="Cambria" w:hAnsi="Cambria"/>
          <w:b/>
          <w:bCs/>
          <w:color w:val="0070C0"/>
        </w:rPr>
        <w:lastRenderedPageBreak/>
        <w:t xml:space="preserve">Parliament </w:t>
      </w:r>
    </w:p>
    <w:p w14:paraId="79AB53C9" w14:textId="4D5CBC7C" w:rsidR="00331FB6" w:rsidRPr="00223CBF" w:rsidRDefault="00331FB6" w:rsidP="000507CA">
      <w:pPr>
        <w:spacing w:line="360" w:lineRule="auto"/>
        <w:rPr>
          <w:rFonts w:ascii="Cambria" w:hAnsi="Cambria"/>
          <w:b/>
          <w:bCs/>
          <w:sz w:val="20"/>
          <w:szCs w:val="20"/>
        </w:rPr>
      </w:pPr>
      <w:r w:rsidRPr="00223CBF">
        <w:rPr>
          <w:rFonts w:ascii="Cambria" w:hAnsi="Cambria"/>
          <w:b/>
          <w:bCs/>
          <w:sz w:val="20"/>
          <w:szCs w:val="20"/>
        </w:rPr>
        <w:t xml:space="preserve">EQ1. Relevance </w:t>
      </w:r>
    </w:p>
    <w:p w14:paraId="772A9323" w14:textId="77777777" w:rsidR="00876EB2" w:rsidRPr="00223CBF" w:rsidRDefault="00876EB2" w:rsidP="000507CA">
      <w:pPr>
        <w:shd w:val="clear" w:color="auto" w:fill="92D050"/>
        <w:spacing w:line="360" w:lineRule="auto"/>
        <w:jc w:val="center"/>
        <w:rPr>
          <w:rFonts w:ascii="Cambria" w:hAnsi="Cambria" w:cstheme="minorHAnsi"/>
          <w:sz w:val="20"/>
          <w:szCs w:val="20"/>
        </w:rPr>
      </w:pPr>
    </w:p>
    <w:p w14:paraId="4E4D8B3F" w14:textId="375BA0BF" w:rsidR="00331FB6" w:rsidRPr="00223CBF" w:rsidRDefault="00331FB6" w:rsidP="000507CA">
      <w:pPr>
        <w:shd w:val="clear" w:color="auto" w:fill="92D050"/>
        <w:spacing w:line="360" w:lineRule="auto"/>
        <w:jc w:val="center"/>
        <w:rPr>
          <w:rFonts w:ascii="Cambria" w:hAnsi="Cambria" w:cstheme="minorHAnsi"/>
          <w:sz w:val="20"/>
          <w:szCs w:val="20"/>
        </w:rPr>
      </w:pPr>
      <w:r w:rsidRPr="00223CBF">
        <w:rPr>
          <w:rFonts w:ascii="Cambria" w:hAnsi="Cambria" w:cstheme="minorHAnsi"/>
          <w:sz w:val="20"/>
          <w:szCs w:val="20"/>
        </w:rPr>
        <w:t xml:space="preserve">Relevance refers to the extent to which the interventions under the Portfolio </w:t>
      </w:r>
      <w:r w:rsidRPr="00223CBF">
        <w:rPr>
          <w:rFonts w:ascii="Cambria" w:hAnsi="Cambria" w:cstheme="minorHAnsi"/>
          <w:b/>
          <w:bCs/>
          <w:sz w:val="20"/>
          <w:szCs w:val="20"/>
        </w:rPr>
        <w:t>identified national priorities and adopted a policy and context sensitive approach.</w:t>
      </w:r>
      <w:r w:rsidRPr="00223CBF">
        <w:rPr>
          <w:rFonts w:ascii="Cambria" w:hAnsi="Cambria" w:cstheme="minorHAnsi"/>
          <w:sz w:val="20"/>
          <w:szCs w:val="20"/>
        </w:rPr>
        <w:t xml:space="preserve"> It refers to the </w:t>
      </w:r>
      <w:r w:rsidRPr="00851350">
        <w:rPr>
          <w:rFonts w:ascii="Cambria" w:hAnsi="Cambria" w:cstheme="minorHAnsi"/>
          <w:b/>
          <w:bCs/>
          <w:sz w:val="20"/>
          <w:szCs w:val="20"/>
        </w:rPr>
        <w:t>r</w:t>
      </w:r>
      <w:r w:rsidRPr="00223CBF">
        <w:rPr>
          <w:rFonts w:ascii="Cambria" w:hAnsi="Cambria" w:cstheme="minorHAnsi"/>
          <w:b/>
          <w:bCs/>
          <w:sz w:val="20"/>
          <w:szCs w:val="20"/>
        </w:rPr>
        <w:t xml:space="preserve">esponsiveness </w:t>
      </w:r>
      <w:r w:rsidRPr="00223CBF">
        <w:rPr>
          <w:rFonts w:ascii="Cambria" w:hAnsi="Cambria" w:cstheme="minorHAnsi"/>
          <w:sz w:val="20"/>
          <w:szCs w:val="20"/>
        </w:rPr>
        <w:t xml:space="preserve">of the Portfolio to meet the needs of the beneficiaries (most vulnerable communities) identified including its </w:t>
      </w:r>
      <w:r w:rsidRPr="00223CBF">
        <w:rPr>
          <w:rFonts w:ascii="Cambria" w:hAnsi="Cambria" w:cstheme="minorHAnsi"/>
          <w:b/>
          <w:bCs/>
          <w:sz w:val="20"/>
          <w:szCs w:val="20"/>
        </w:rPr>
        <w:t>capacity to adapt and realign</w:t>
      </w:r>
      <w:r w:rsidRPr="00223CBF">
        <w:rPr>
          <w:rFonts w:ascii="Cambria" w:hAnsi="Cambria" w:cstheme="minorHAnsi"/>
          <w:sz w:val="20"/>
          <w:szCs w:val="20"/>
        </w:rPr>
        <w:t xml:space="preserve"> priorities to meet country and context specific socio-economic and political changes</w:t>
      </w:r>
      <w:r w:rsidRPr="00B02905">
        <w:rPr>
          <w:rFonts w:ascii="Cambria" w:hAnsi="Cambria" w:cstheme="minorHAnsi"/>
          <w:sz w:val="20"/>
          <w:szCs w:val="20"/>
        </w:rPr>
        <w:t>. Relevance will also consider the extent to which cross cutting themes informed strategies.</w:t>
      </w:r>
    </w:p>
    <w:p w14:paraId="5132A31E" w14:textId="77777777" w:rsidR="00876EB2" w:rsidRPr="00223CBF" w:rsidRDefault="00876EB2" w:rsidP="000507CA">
      <w:pPr>
        <w:shd w:val="clear" w:color="auto" w:fill="92D050"/>
        <w:spacing w:line="360" w:lineRule="auto"/>
        <w:jc w:val="center"/>
        <w:rPr>
          <w:rFonts w:ascii="Cambria" w:hAnsi="Cambria" w:cstheme="minorHAnsi"/>
          <w:sz w:val="20"/>
          <w:szCs w:val="20"/>
        </w:rPr>
      </w:pPr>
    </w:p>
    <w:p w14:paraId="0FE3DE09" w14:textId="377AC20A" w:rsidR="00331FB6" w:rsidRDefault="00331FB6" w:rsidP="000507CA">
      <w:pPr>
        <w:pStyle w:val="Default"/>
        <w:spacing w:line="360" w:lineRule="auto"/>
        <w:ind w:left="360"/>
        <w:jc w:val="both"/>
        <w:rPr>
          <w:rFonts w:ascii="Cambria" w:hAnsi="Cambria" w:cstheme="minorHAnsi"/>
          <w:color w:val="auto"/>
          <w:sz w:val="20"/>
          <w:szCs w:val="20"/>
        </w:rPr>
      </w:pPr>
    </w:p>
    <w:p w14:paraId="33C9B332" w14:textId="77777777" w:rsidR="00331FB6" w:rsidRPr="00223CBF" w:rsidRDefault="00331FB6" w:rsidP="007C766E">
      <w:pPr>
        <w:pStyle w:val="ListParagraph"/>
        <w:numPr>
          <w:ilvl w:val="0"/>
          <w:numId w:val="1"/>
        </w:numPr>
        <w:spacing w:line="360" w:lineRule="auto"/>
        <w:jc w:val="both"/>
        <w:rPr>
          <w:rFonts w:ascii="Cambria" w:hAnsi="Cambria" w:cstheme="minorHAnsi"/>
          <w:b/>
          <w:bCs/>
          <w:color w:val="0070C0"/>
          <w:sz w:val="20"/>
          <w:szCs w:val="20"/>
        </w:rPr>
      </w:pPr>
      <w:r w:rsidRPr="00223CBF">
        <w:rPr>
          <w:rFonts w:ascii="Cambria" w:hAnsi="Cambria" w:cstheme="minorHAnsi"/>
          <w:b/>
          <w:bCs/>
          <w:color w:val="0070C0"/>
          <w:sz w:val="20"/>
          <w:szCs w:val="20"/>
          <w:lang w:val="en-GB"/>
        </w:rPr>
        <w:t xml:space="preserve">The extent to which strategies adopted reflected local contexts, needs and priorities </w:t>
      </w:r>
    </w:p>
    <w:p w14:paraId="5BEC5A48" w14:textId="77777777" w:rsidR="00331FB6" w:rsidRPr="00223CBF" w:rsidRDefault="00331FB6" w:rsidP="000507CA">
      <w:pPr>
        <w:pStyle w:val="ListParagraph"/>
        <w:spacing w:line="360" w:lineRule="auto"/>
        <w:ind w:left="360"/>
        <w:jc w:val="both"/>
        <w:rPr>
          <w:rFonts w:ascii="Cambria" w:hAnsi="Cambria" w:cstheme="minorHAnsi"/>
          <w:b/>
          <w:bCs/>
          <w:color w:val="0070C0"/>
          <w:sz w:val="20"/>
          <w:szCs w:val="20"/>
        </w:rPr>
      </w:pPr>
    </w:p>
    <w:p w14:paraId="14ABDF84" w14:textId="7F7BD74F" w:rsidR="00C17CA3" w:rsidRPr="00C73B2B" w:rsidRDefault="00331FB6" w:rsidP="00C17CA3">
      <w:pPr>
        <w:spacing w:line="360" w:lineRule="auto"/>
        <w:jc w:val="both"/>
        <w:rPr>
          <w:rFonts w:ascii="Cambria" w:hAnsi="Cambria" w:cstheme="minorHAnsi"/>
          <w:b/>
          <w:bCs/>
          <w:color w:val="000000" w:themeColor="text1"/>
          <w:sz w:val="20"/>
          <w:szCs w:val="20"/>
          <w:lang w:val="en-GB"/>
        </w:rPr>
      </w:pPr>
      <w:r w:rsidRPr="00223CBF">
        <w:rPr>
          <w:rFonts w:ascii="Cambria" w:hAnsi="Cambria" w:cstheme="minorHAnsi"/>
          <w:b/>
          <w:bCs/>
          <w:color w:val="000000" w:themeColor="text1"/>
          <w:sz w:val="20"/>
          <w:szCs w:val="20"/>
        </w:rPr>
        <w:t xml:space="preserve">Policy and Project Alignment: </w:t>
      </w:r>
      <w:r w:rsidR="00C17CA3" w:rsidRPr="00C73B2B">
        <w:rPr>
          <w:rFonts w:ascii="Cambria" w:hAnsi="Cambria" w:cstheme="minorHAnsi"/>
          <w:color w:val="000000" w:themeColor="text1"/>
          <w:sz w:val="20"/>
          <w:szCs w:val="20"/>
        </w:rPr>
        <w:t>The Outputs responded to emerging national priorities following the shift in power in 2015</w:t>
      </w:r>
      <w:r w:rsidR="00C76A6A">
        <w:rPr>
          <w:rFonts w:ascii="Cambria" w:hAnsi="Cambria" w:cstheme="minorHAnsi"/>
          <w:color w:val="000000" w:themeColor="text1"/>
          <w:sz w:val="20"/>
          <w:szCs w:val="20"/>
        </w:rPr>
        <w:t xml:space="preserve">. It was </w:t>
      </w:r>
      <w:r w:rsidR="00C17CA3" w:rsidRPr="00C73B2B">
        <w:rPr>
          <w:rFonts w:ascii="Cambria" w:hAnsi="Cambria" w:cstheme="minorHAnsi"/>
          <w:color w:val="000000" w:themeColor="text1"/>
          <w:sz w:val="20"/>
          <w:szCs w:val="20"/>
        </w:rPr>
        <w:t>aligned to identified priorities</w:t>
      </w:r>
      <w:r w:rsidR="00C76A6A">
        <w:rPr>
          <w:rFonts w:ascii="Cambria" w:hAnsi="Cambria" w:cstheme="minorHAnsi"/>
          <w:color w:val="000000" w:themeColor="text1"/>
          <w:sz w:val="20"/>
          <w:szCs w:val="20"/>
        </w:rPr>
        <w:t>,</w:t>
      </w:r>
      <w:r w:rsidR="00C17CA3" w:rsidRPr="00C73B2B">
        <w:rPr>
          <w:rFonts w:ascii="Cambria" w:hAnsi="Cambria" w:cstheme="minorHAnsi"/>
          <w:color w:val="000000" w:themeColor="text1"/>
          <w:sz w:val="20"/>
          <w:szCs w:val="20"/>
        </w:rPr>
        <w:t xml:space="preserve"> stipulated in the </w:t>
      </w:r>
      <w:r w:rsidR="00C17CA3" w:rsidRPr="00C73B2B">
        <w:rPr>
          <w:rFonts w:ascii="Cambria" w:hAnsi="Cambria" w:cstheme="minorHAnsi"/>
          <w:color w:val="000000" w:themeColor="text1"/>
          <w:sz w:val="20"/>
          <w:szCs w:val="20"/>
          <w:lang w:val="en-GB"/>
        </w:rPr>
        <w:t>100 Day Work Programme, the Sustainable Development Strategy for Sri Lanka</w:t>
      </w:r>
      <w:r w:rsidR="00DD4530" w:rsidRPr="00C73B2B">
        <w:rPr>
          <w:rStyle w:val="FootnoteReference"/>
          <w:rFonts w:ascii="Cambria" w:hAnsi="Cambria" w:cstheme="minorHAnsi"/>
          <w:color w:val="000000" w:themeColor="text1"/>
          <w:sz w:val="20"/>
          <w:szCs w:val="20"/>
          <w:lang w:val="en-GB"/>
        </w:rPr>
        <w:footnoteReference w:id="32"/>
      </w:r>
      <w:r w:rsidR="00C17CA3" w:rsidRPr="00C73B2B">
        <w:rPr>
          <w:rFonts w:ascii="Cambria" w:hAnsi="Cambria" w:cstheme="minorHAnsi"/>
          <w:color w:val="000000" w:themeColor="text1"/>
          <w:sz w:val="20"/>
          <w:szCs w:val="20"/>
          <w:lang w:val="en-GB"/>
        </w:rPr>
        <w:t xml:space="preserve"> and the change to system of governance introduced by the 19</w:t>
      </w:r>
      <w:r w:rsidR="00C17CA3" w:rsidRPr="00C73B2B">
        <w:rPr>
          <w:rFonts w:ascii="Cambria" w:hAnsi="Cambria" w:cstheme="minorHAnsi"/>
          <w:color w:val="000000" w:themeColor="text1"/>
          <w:sz w:val="20"/>
          <w:szCs w:val="20"/>
          <w:vertAlign w:val="superscript"/>
          <w:lang w:val="en-GB"/>
        </w:rPr>
        <w:t>th</w:t>
      </w:r>
      <w:r w:rsidR="00C17CA3" w:rsidRPr="00C73B2B">
        <w:rPr>
          <w:rFonts w:ascii="Cambria" w:hAnsi="Cambria" w:cstheme="minorHAnsi"/>
          <w:color w:val="000000" w:themeColor="text1"/>
          <w:sz w:val="20"/>
          <w:szCs w:val="20"/>
          <w:lang w:val="en-GB"/>
        </w:rPr>
        <w:t xml:space="preserve"> Amendment.</w:t>
      </w:r>
      <w:r w:rsidR="00DD4530" w:rsidRPr="00C73B2B">
        <w:rPr>
          <w:rStyle w:val="FootnoteReference"/>
          <w:rFonts w:ascii="Cambria" w:hAnsi="Cambria" w:cstheme="minorHAnsi"/>
          <w:color w:val="000000" w:themeColor="text1"/>
          <w:sz w:val="20"/>
          <w:szCs w:val="20"/>
          <w:lang w:val="en-GB"/>
        </w:rPr>
        <w:footnoteReference w:id="33"/>
      </w:r>
      <w:r w:rsidR="00C17CA3" w:rsidRPr="00C73B2B">
        <w:rPr>
          <w:rFonts w:ascii="Cambria" w:hAnsi="Cambria" w:cstheme="minorHAnsi"/>
          <w:color w:val="000000" w:themeColor="text1"/>
          <w:sz w:val="20"/>
          <w:szCs w:val="20"/>
          <w:lang w:val="en-GB"/>
        </w:rPr>
        <w:t xml:space="preserve"> </w:t>
      </w:r>
      <w:r w:rsidR="00C17CA3" w:rsidRPr="00C73B2B">
        <w:rPr>
          <w:rFonts w:ascii="Cambria" w:hAnsi="Cambria" w:cstheme="minorHAnsi"/>
          <w:color w:val="000000" w:themeColor="text1"/>
          <w:sz w:val="20"/>
          <w:szCs w:val="20"/>
        </w:rPr>
        <w:t>The 19</w:t>
      </w:r>
      <w:r w:rsidR="00C17CA3" w:rsidRPr="00C73B2B">
        <w:rPr>
          <w:rFonts w:ascii="Cambria" w:hAnsi="Cambria" w:cstheme="minorHAnsi"/>
          <w:color w:val="000000" w:themeColor="text1"/>
          <w:sz w:val="20"/>
          <w:szCs w:val="20"/>
          <w:vertAlign w:val="superscript"/>
        </w:rPr>
        <w:t>th</w:t>
      </w:r>
      <w:r w:rsidR="00C17CA3" w:rsidRPr="00C73B2B">
        <w:rPr>
          <w:rFonts w:ascii="Cambria" w:hAnsi="Cambria" w:cstheme="minorHAnsi"/>
          <w:color w:val="000000" w:themeColor="text1"/>
          <w:sz w:val="20"/>
          <w:szCs w:val="20"/>
        </w:rPr>
        <w:t xml:space="preserve"> Amendment reduced the powers of the executive president by introducing further checks and balances</w:t>
      </w:r>
      <w:r w:rsidR="00C76A6A">
        <w:rPr>
          <w:rFonts w:ascii="Cambria" w:hAnsi="Cambria" w:cstheme="minorHAnsi"/>
          <w:color w:val="000000" w:themeColor="text1"/>
          <w:sz w:val="20"/>
          <w:szCs w:val="20"/>
        </w:rPr>
        <w:t>,</w:t>
      </w:r>
      <w:r w:rsidR="00C17CA3" w:rsidRPr="00C73B2B">
        <w:rPr>
          <w:rFonts w:ascii="Cambria" w:hAnsi="Cambria" w:cstheme="minorHAnsi"/>
          <w:color w:val="000000" w:themeColor="text1"/>
          <w:sz w:val="20"/>
          <w:szCs w:val="20"/>
        </w:rPr>
        <w:t xml:space="preserve"> by way of a hybrid system of power sharing</w:t>
      </w:r>
      <w:r w:rsidR="00C76A6A">
        <w:rPr>
          <w:rFonts w:ascii="Cambria" w:hAnsi="Cambria" w:cstheme="minorHAnsi"/>
          <w:color w:val="000000" w:themeColor="text1"/>
          <w:sz w:val="20"/>
          <w:szCs w:val="20"/>
        </w:rPr>
        <w:t>,</w:t>
      </w:r>
      <w:r w:rsidR="00C17CA3" w:rsidRPr="00C73B2B">
        <w:rPr>
          <w:rFonts w:ascii="Cambria" w:hAnsi="Cambria" w:cstheme="minorHAnsi"/>
          <w:color w:val="000000" w:themeColor="text1"/>
          <w:sz w:val="20"/>
          <w:szCs w:val="20"/>
        </w:rPr>
        <w:t xml:space="preserve"> between the President and Prime Minister and by way of enhancing the role of parliament.</w:t>
      </w:r>
      <w:r w:rsidR="00DD4530" w:rsidRPr="00C73B2B">
        <w:rPr>
          <w:rStyle w:val="FootnoteReference"/>
          <w:rFonts w:ascii="Cambria" w:hAnsi="Cambria" w:cstheme="minorHAnsi"/>
          <w:color w:val="000000" w:themeColor="text1"/>
          <w:sz w:val="20"/>
          <w:szCs w:val="20"/>
        </w:rPr>
        <w:footnoteReference w:id="34"/>
      </w:r>
    </w:p>
    <w:p w14:paraId="20AA8D0B" w14:textId="4CFFEDB5" w:rsidR="00C17CA3" w:rsidRPr="00C73B2B" w:rsidRDefault="00C17CA3" w:rsidP="00C17CA3">
      <w:pPr>
        <w:tabs>
          <w:tab w:val="left" w:pos="1080"/>
        </w:tabs>
        <w:spacing w:line="360" w:lineRule="auto"/>
        <w:jc w:val="both"/>
        <w:rPr>
          <w:rFonts w:ascii="Cambria" w:hAnsi="Cambria" w:cstheme="minorHAnsi"/>
          <w:color w:val="000000" w:themeColor="text1"/>
          <w:sz w:val="20"/>
          <w:szCs w:val="20"/>
        </w:rPr>
      </w:pPr>
      <w:r w:rsidRPr="00C73B2B">
        <w:rPr>
          <w:rFonts w:ascii="Cambria" w:hAnsi="Cambria" w:cstheme="minorHAnsi"/>
          <w:color w:val="000000" w:themeColor="text1"/>
          <w:sz w:val="20"/>
          <w:szCs w:val="20"/>
        </w:rPr>
        <w:t>Following the 19</w:t>
      </w:r>
      <w:r w:rsidRPr="00C73B2B">
        <w:rPr>
          <w:rFonts w:ascii="Cambria" w:hAnsi="Cambria" w:cstheme="minorHAnsi"/>
          <w:color w:val="000000" w:themeColor="text1"/>
          <w:sz w:val="20"/>
          <w:szCs w:val="20"/>
          <w:vertAlign w:val="superscript"/>
        </w:rPr>
        <w:t>th</w:t>
      </w:r>
      <w:r w:rsidRPr="00C73B2B">
        <w:rPr>
          <w:rFonts w:ascii="Cambria" w:hAnsi="Cambria" w:cstheme="minorHAnsi"/>
          <w:color w:val="000000" w:themeColor="text1"/>
          <w:sz w:val="20"/>
          <w:szCs w:val="20"/>
        </w:rPr>
        <w:t xml:space="preserve"> amendment, parliament introduced several reforms to its legal and operational framework</w:t>
      </w:r>
      <w:r w:rsidR="00C76A6A">
        <w:rPr>
          <w:rFonts w:ascii="Cambria" w:hAnsi="Cambria" w:cstheme="minorHAnsi"/>
          <w:color w:val="000000" w:themeColor="text1"/>
          <w:sz w:val="20"/>
          <w:szCs w:val="20"/>
        </w:rPr>
        <w:t>,</w:t>
      </w:r>
      <w:r w:rsidRPr="00C73B2B">
        <w:rPr>
          <w:rFonts w:ascii="Cambria" w:hAnsi="Cambria" w:cstheme="minorHAnsi"/>
          <w:color w:val="000000" w:themeColor="text1"/>
          <w:sz w:val="20"/>
          <w:szCs w:val="20"/>
        </w:rPr>
        <w:t xml:space="preserve"> to reflect the new balance between the Parliament and the Executive.</w:t>
      </w:r>
      <w:r w:rsidRPr="00C73B2B">
        <w:rPr>
          <w:rStyle w:val="FootnoteReference"/>
          <w:rFonts w:ascii="Cambria" w:hAnsi="Cambria" w:cstheme="minorHAnsi"/>
          <w:color w:val="000000" w:themeColor="text1"/>
          <w:sz w:val="20"/>
          <w:szCs w:val="20"/>
        </w:rPr>
        <w:footnoteReference w:id="35"/>
      </w:r>
      <w:r w:rsidRPr="00C73B2B">
        <w:rPr>
          <w:rFonts w:ascii="Cambria" w:hAnsi="Cambria" w:cstheme="minorHAnsi"/>
          <w:color w:val="000000" w:themeColor="text1"/>
          <w:sz w:val="20"/>
          <w:szCs w:val="20"/>
        </w:rPr>
        <w:t xml:space="preserve"> Institutional and sectoral policy direction was provided by formulating a Parliamentary Development Action Plan (PDAP)</w:t>
      </w:r>
      <w:r w:rsidR="003A3DD6" w:rsidRPr="00C73B2B">
        <w:rPr>
          <w:rStyle w:val="FootnoteReference"/>
          <w:rFonts w:ascii="Cambria" w:hAnsi="Cambria" w:cstheme="minorHAnsi"/>
          <w:color w:val="000000" w:themeColor="text1"/>
          <w:sz w:val="20"/>
          <w:szCs w:val="20"/>
        </w:rPr>
        <w:footnoteReference w:id="36"/>
      </w:r>
      <w:r w:rsidR="003A3DD6" w:rsidRPr="00C73B2B">
        <w:rPr>
          <w:rFonts w:ascii="Cambria" w:hAnsi="Cambria" w:cstheme="minorHAnsi"/>
          <w:color w:val="000000" w:themeColor="text1"/>
          <w:sz w:val="20"/>
          <w:szCs w:val="20"/>
        </w:rPr>
        <w:t xml:space="preserve"> </w:t>
      </w:r>
      <w:r w:rsidRPr="00C73B2B">
        <w:rPr>
          <w:rFonts w:ascii="Cambria" w:hAnsi="Cambria" w:cstheme="minorHAnsi"/>
          <w:color w:val="000000" w:themeColor="text1"/>
          <w:sz w:val="20"/>
          <w:szCs w:val="20"/>
        </w:rPr>
        <w:t xml:space="preserve">for the Eight Parliament (previous parliament), which was optimised by the support through the Outputs. </w:t>
      </w:r>
    </w:p>
    <w:p w14:paraId="3F1FE991" w14:textId="38F2CFAC" w:rsidR="0046122B" w:rsidRPr="00C73B2B" w:rsidRDefault="00C17CA3" w:rsidP="00C17CA3">
      <w:pPr>
        <w:tabs>
          <w:tab w:val="left" w:pos="1080"/>
        </w:tabs>
        <w:spacing w:line="360" w:lineRule="auto"/>
        <w:jc w:val="both"/>
        <w:rPr>
          <w:rFonts w:ascii="Cambria" w:hAnsi="Cambria" w:cstheme="minorHAnsi"/>
          <w:b/>
          <w:bCs/>
          <w:color w:val="000000" w:themeColor="text1"/>
          <w:sz w:val="20"/>
          <w:szCs w:val="20"/>
        </w:rPr>
      </w:pPr>
      <w:r w:rsidRPr="00C73B2B">
        <w:rPr>
          <w:rFonts w:ascii="Cambria" w:hAnsi="Cambria" w:cstheme="minorHAnsi"/>
          <w:color w:val="000000" w:themeColor="text1"/>
          <w:sz w:val="20"/>
          <w:szCs w:val="20"/>
        </w:rPr>
        <w:t xml:space="preserve">This action was further reinforced by formulating a new Action Plan for the Ninth and current parliament in 2019, following a </w:t>
      </w:r>
      <w:r w:rsidRPr="00C73B2B">
        <w:rPr>
          <w:rFonts w:ascii="Cambria" w:hAnsi="Cambria" w:cstheme="minorHAnsi"/>
          <w:i/>
          <w:iCs/>
          <w:color w:val="000000" w:themeColor="text1"/>
          <w:sz w:val="20"/>
          <w:szCs w:val="20"/>
        </w:rPr>
        <w:t>‘Consultative Assessment on Strengthening Core Functions of Parliament’</w:t>
      </w:r>
      <w:r w:rsidRPr="00C73B2B">
        <w:rPr>
          <w:rFonts w:ascii="Cambria" w:hAnsi="Cambria" w:cstheme="minorHAnsi"/>
          <w:color w:val="000000" w:themeColor="text1"/>
          <w:sz w:val="20"/>
          <w:szCs w:val="20"/>
        </w:rPr>
        <w:t xml:space="preserve"> (hereinafter referred </w:t>
      </w:r>
      <w:r w:rsidRPr="00C73B2B">
        <w:rPr>
          <w:rFonts w:ascii="Cambria" w:hAnsi="Cambria" w:cstheme="minorHAnsi"/>
          <w:color w:val="000000" w:themeColor="text1"/>
          <w:sz w:val="20"/>
          <w:szCs w:val="20"/>
        </w:rPr>
        <w:lastRenderedPageBreak/>
        <w:t>to as the Consultative Assessment), which aimed to consolidate interventions to parliamentary reforms by several DPs.</w:t>
      </w:r>
    </w:p>
    <w:p w14:paraId="5AFA47F9" w14:textId="37234BA6" w:rsidR="00997030" w:rsidRDefault="00331FB6" w:rsidP="000507CA">
      <w:pPr>
        <w:tabs>
          <w:tab w:val="left" w:pos="1080"/>
        </w:tabs>
        <w:spacing w:line="360" w:lineRule="auto"/>
        <w:jc w:val="both"/>
        <w:rPr>
          <w:rFonts w:ascii="Cambria" w:hAnsi="Cambria" w:cstheme="minorHAnsi"/>
          <w:color w:val="000000" w:themeColor="text1"/>
          <w:sz w:val="20"/>
          <w:szCs w:val="20"/>
        </w:rPr>
      </w:pPr>
      <w:r w:rsidRPr="00C73B2B">
        <w:rPr>
          <w:rFonts w:ascii="Cambria" w:hAnsi="Cambria" w:cstheme="minorHAnsi"/>
          <w:b/>
          <w:bCs/>
          <w:color w:val="000000" w:themeColor="text1"/>
          <w:sz w:val="20"/>
          <w:szCs w:val="20"/>
        </w:rPr>
        <w:t>Maximi</w:t>
      </w:r>
      <w:r w:rsidR="00695CB5" w:rsidRPr="00C73B2B">
        <w:rPr>
          <w:rFonts w:ascii="Cambria" w:hAnsi="Cambria" w:cstheme="minorHAnsi"/>
          <w:b/>
          <w:bCs/>
          <w:color w:val="000000" w:themeColor="text1"/>
          <w:sz w:val="20"/>
          <w:szCs w:val="20"/>
        </w:rPr>
        <w:t>s</w:t>
      </w:r>
      <w:r w:rsidRPr="00C73B2B">
        <w:rPr>
          <w:rFonts w:ascii="Cambria" w:hAnsi="Cambria" w:cstheme="minorHAnsi"/>
          <w:b/>
          <w:bCs/>
          <w:color w:val="000000" w:themeColor="text1"/>
          <w:sz w:val="20"/>
          <w:szCs w:val="20"/>
        </w:rPr>
        <w:t xml:space="preserve">ing on Modality of engagement: </w:t>
      </w:r>
      <w:r w:rsidRPr="00C73B2B">
        <w:rPr>
          <w:rFonts w:ascii="Cambria" w:hAnsi="Cambria" w:cstheme="minorHAnsi"/>
          <w:color w:val="000000" w:themeColor="text1"/>
          <w:sz w:val="20"/>
          <w:szCs w:val="20"/>
        </w:rPr>
        <w:t>The PDAP provided an inclusive platform and an implementation modality by way of an Advisory Board</w:t>
      </w:r>
      <w:r w:rsidRPr="00C73B2B">
        <w:rPr>
          <w:rStyle w:val="FootnoteReference"/>
          <w:rFonts w:ascii="Cambria" w:hAnsi="Cambria" w:cstheme="minorHAnsi"/>
          <w:color w:val="000000" w:themeColor="text1"/>
          <w:sz w:val="20"/>
          <w:szCs w:val="20"/>
        </w:rPr>
        <w:footnoteReference w:id="37"/>
      </w:r>
      <w:r w:rsidRPr="00C73B2B">
        <w:rPr>
          <w:rFonts w:ascii="Cambria" w:hAnsi="Cambria" w:cstheme="minorHAnsi"/>
          <w:color w:val="000000" w:themeColor="text1"/>
          <w:sz w:val="20"/>
          <w:szCs w:val="20"/>
        </w:rPr>
        <w:t xml:space="preserve"> chaired by the Speaker and Project Board chaired by the Secretary General of Parliament (SG) and Resident Representative of the UNDP</w:t>
      </w:r>
      <w:r w:rsidR="00DD4530" w:rsidRPr="00C73B2B">
        <w:rPr>
          <w:rFonts w:ascii="Cambria" w:hAnsi="Cambria" w:cstheme="minorHAnsi"/>
          <w:color w:val="000000" w:themeColor="text1"/>
          <w:sz w:val="20"/>
          <w:szCs w:val="20"/>
        </w:rPr>
        <w:t>.</w:t>
      </w:r>
      <w:r w:rsidRPr="00C73B2B">
        <w:rPr>
          <w:rFonts w:ascii="Cambria" w:hAnsi="Cambria" w:cstheme="minorHAnsi"/>
          <w:color w:val="000000" w:themeColor="text1"/>
          <w:sz w:val="20"/>
          <w:szCs w:val="20"/>
        </w:rPr>
        <w:t xml:space="preserve"> </w:t>
      </w:r>
      <w:r w:rsidR="00DD4530" w:rsidRPr="00C73B2B">
        <w:rPr>
          <w:rFonts w:ascii="Cambria" w:hAnsi="Cambria" w:cstheme="minorHAnsi"/>
          <w:color w:val="000000" w:themeColor="text1"/>
          <w:sz w:val="20"/>
          <w:szCs w:val="20"/>
        </w:rPr>
        <w:t>T</w:t>
      </w:r>
      <w:r w:rsidR="00AB26B5" w:rsidRPr="00C73B2B">
        <w:rPr>
          <w:rFonts w:ascii="Cambria" w:hAnsi="Cambria" w:cstheme="minorHAnsi"/>
          <w:color w:val="000000" w:themeColor="text1"/>
          <w:sz w:val="20"/>
          <w:szCs w:val="20"/>
        </w:rPr>
        <w:t>he forum was convened</w:t>
      </w:r>
      <w:r w:rsidRPr="00C73B2B">
        <w:rPr>
          <w:rFonts w:ascii="Cambria" w:hAnsi="Cambria" w:cstheme="minorHAnsi"/>
          <w:color w:val="000000" w:themeColor="text1"/>
          <w:sz w:val="20"/>
          <w:szCs w:val="20"/>
        </w:rPr>
        <w:t xml:space="preserve"> by the UNDP for all </w:t>
      </w:r>
      <w:r w:rsidR="000315E5" w:rsidRPr="00C73B2B">
        <w:rPr>
          <w:rFonts w:ascii="Cambria" w:hAnsi="Cambria" w:cstheme="minorHAnsi"/>
          <w:color w:val="000000" w:themeColor="text1"/>
          <w:sz w:val="20"/>
          <w:szCs w:val="20"/>
        </w:rPr>
        <w:t>DPs</w:t>
      </w:r>
      <w:r w:rsidR="00C76A6A">
        <w:rPr>
          <w:rFonts w:ascii="Cambria" w:hAnsi="Cambria" w:cstheme="minorHAnsi"/>
          <w:color w:val="000000" w:themeColor="text1"/>
          <w:sz w:val="20"/>
          <w:szCs w:val="20"/>
        </w:rPr>
        <w:t>,</w:t>
      </w:r>
      <w:r w:rsidRPr="00C73B2B">
        <w:rPr>
          <w:rFonts w:ascii="Cambria" w:hAnsi="Cambria" w:cstheme="minorHAnsi"/>
          <w:color w:val="000000" w:themeColor="text1"/>
          <w:sz w:val="20"/>
          <w:szCs w:val="20"/>
        </w:rPr>
        <w:t xml:space="preserve"> to converge and support development priorities identified, which maximi</w:t>
      </w:r>
      <w:r w:rsidR="00C17CA3" w:rsidRPr="00C73B2B">
        <w:rPr>
          <w:rFonts w:ascii="Cambria" w:hAnsi="Cambria" w:cstheme="minorHAnsi"/>
          <w:color w:val="000000" w:themeColor="text1"/>
          <w:sz w:val="20"/>
          <w:szCs w:val="20"/>
        </w:rPr>
        <w:t>s</w:t>
      </w:r>
      <w:r w:rsidRPr="00C73B2B">
        <w:rPr>
          <w:rFonts w:ascii="Cambria" w:hAnsi="Cambria" w:cstheme="minorHAnsi"/>
          <w:color w:val="000000" w:themeColor="text1"/>
          <w:sz w:val="20"/>
          <w:szCs w:val="20"/>
        </w:rPr>
        <w:t>ed relevance and effectiveness of expected outputs.</w:t>
      </w:r>
    </w:p>
    <w:p w14:paraId="0DE3D0DE" w14:textId="77777777" w:rsidR="004068A1" w:rsidRDefault="004068A1" w:rsidP="000507CA">
      <w:pPr>
        <w:tabs>
          <w:tab w:val="left" w:pos="1080"/>
        </w:tabs>
        <w:spacing w:line="360" w:lineRule="auto"/>
        <w:jc w:val="both"/>
        <w:rPr>
          <w:rFonts w:ascii="Cambria" w:hAnsi="Cambria" w:cstheme="minorHAnsi"/>
          <w:color w:val="000000" w:themeColor="text1"/>
          <w:sz w:val="20"/>
          <w:szCs w:val="20"/>
        </w:rPr>
      </w:pPr>
      <w:r w:rsidRPr="00C73B2B">
        <w:rPr>
          <w:rFonts w:ascii="Cambria" w:hAnsi="Cambria" w:cstheme="minorHAnsi"/>
          <w:color w:val="000000" w:themeColor="text1"/>
          <w:sz w:val="20"/>
          <w:szCs w:val="20"/>
        </w:rPr>
        <w:t>Relevance of interventions were also augmented by the consolidation of UNDP’s role as facilitator/convener to coordinate all development partner engagement during the first phase of the Portfolio, which also guaranteed greater influence and continued association with the leadership of the Parliament and Parliamentary Secretariate (PS).</w:t>
      </w:r>
    </w:p>
    <w:p w14:paraId="0F782DD4" w14:textId="423C9210" w:rsidR="00331FB6" w:rsidRPr="00223CBF" w:rsidRDefault="00331FB6" w:rsidP="000507CA">
      <w:pPr>
        <w:tabs>
          <w:tab w:val="left" w:pos="1080"/>
        </w:tabs>
        <w:spacing w:line="360" w:lineRule="auto"/>
        <w:jc w:val="both"/>
        <w:rPr>
          <w:rFonts w:ascii="Cambria" w:hAnsi="Cambria" w:cstheme="minorHAnsi"/>
          <w:color w:val="000000" w:themeColor="text1"/>
          <w:sz w:val="20"/>
          <w:szCs w:val="20"/>
        </w:rPr>
      </w:pPr>
      <w:r w:rsidRPr="00223CBF">
        <w:rPr>
          <w:rFonts w:ascii="Cambria" w:hAnsi="Cambria" w:cstheme="minorHAnsi"/>
          <w:color w:val="000000" w:themeColor="text1"/>
          <w:sz w:val="20"/>
          <w:szCs w:val="20"/>
        </w:rPr>
        <w:t>IP interviews and discussions with DPs engaged in parliamentary reforms in Sri Lanka, acknowledged the impartial and valuable role played by UNDP as facilitator</w:t>
      </w:r>
      <w:r w:rsidR="00C76A6A">
        <w:rPr>
          <w:rFonts w:ascii="Cambria" w:hAnsi="Cambria" w:cstheme="minorHAnsi"/>
          <w:color w:val="000000" w:themeColor="text1"/>
          <w:sz w:val="20"/>
          <w:szCs w:val="20"/>
        </w:rPr>
        <w:t>,</w:t>
      </w:r>
      <w:r w:rsidRPr="00223CBF">
        <w:rPr>
          <w:rFonts w:ascii="Cambria" w:hAnsi="Cambria" w:cstheme="minorHAnsi"/>
          <w:color w:val="000000" w:themeColor="text1"/>
          <w:sz w:val="20"/>
          <w:szCs w:val="20"/>
        </w:rPr>
        <w:t xml:space="preserve"> and its continued relevance in the second phase of the Portfolio. </w:t>
      </w:r>
    </w:p>
    <w:p w14:paraId="1082D59E" w14:textId="248F027E" w:rsidR="00331FB6" w:rsidRPr="00223CBF" w:rsidRDefault="00331FB6" w:rsidP="000507CA">
      <w:pPr>
        <w:spacing w:line="360" w:lineRule="auto"/>
        <w:jc w:val="both"/>
        <w:rPr>
          <w:rFonts w:ascii="Cambria" w:hAnsi="Cambria" w:cstheme="minorHAnsi"/>
          <w:color w:val="000000" w:themeColor="text1"/>
          <w:sz w:val="20"/>
          <w:szCs w:val="20"/>
        </w:rPr>
      </w:pPr>
      <w:r w:rsidRPr="00223CBF">
        <w:rPr>
          <w:rFonts w:ascii="Cambria" w:hAnsi="Cambria" w:cstheme="minorHAnsi"/>
          <w:b/>
          <w:bCs/>
          <w:color w:val="000000" w:themeColor="text1"/>
          <w:sz w:val="20"/>
          <w:szCs w:val="20"/>
        </w:rPr>
        <w:t xml:space="preserve">Adaptability of the Outputs: </w:t>
      </w:r>
      <w:r w:rsidRPr="00223CBF">
        <w:rPr>
          <w:rFonts w:ascii="Cambria" w:hAnsi="Cambria" w:cstheme="minorHAnsi"/>
          <w:color w:val="000000" w:themeColor="text1"/>
          <w:sz w:val="20"/>
          <w:szCs w:val="20"/>
        </w:rPr>
        <w:t>The ability of the Outputs to adapt to emerging political and contextual changes</w:t>
      </w:r>
      <w:r w:rsidR="00C76A6A">
        <w:rPr>
          <w:rFonts w:ascii="Cambria" w:hAnsi="Cambria" w:cstheme="minorHAnsi"/>
          <w:color w:val="000000" w:themeColor="text1"/>
          <w:sz w:val="20"/>
          <w:szCs w:val="20"/>
        </w:rPr>
        <w:t>,</w:t>
      </w:r>
      <w:r w:rsidRPr="00223CBF">
        <w:rPr>
          <w:rFonts w:ascii="Cambria" w:hAnsi="Cambria" w:cstheme="minorHAnsi"/>
          <w:color w:val="000000" w:themeColor="text1"/>
          <w:sz w:val="20"/>
          <w:szCs w:val="20"/>
        </w:rPr>
        <w:t xml:space="preserve"> to remain relevant</w:t>
      </w:r>
      <w:r w:rsidR="00C76A6A">
        <w:rPr>
          <w:rFonts w:ascii="Cambria" w:hAnsi="Cambria" w:cstheme="minorHAnsi"/>
          <w:color w:val="000000" w:themeColor="text1"/>
          <w:sz w:val="20"/>
          <w:szCs w:val="20"/>
        </w:rPr>
        <w:t>,</w:t>
      </w:r>
      <w:r w:rsidRPr="00223CBF">
        <w:rPr>
          <w:rFonts w:ascii="Cambria" w:hAnsi="Cambria" w:cstheme="minorHAnsi"/>
          <w:color w:val="000000" w:themeColor="text1"/>
          <w:sz w:val="20"/>
          <w:szCs w:val="20"/>
        </w:rPr>
        <w:t xml:space="preserve"> was challenged in the aftermath of the Presidential elections in 2019</w:t>
      </w:r>
      <w:r w:rsidR="00C76A6A">
        <w:rPr>
          <w:rFonts w:ascii="Cambria" w:hAnsi="Cambria" w:cstheme="minorHAnsi"/>
          <w:color w:val="000000" w:themeColor="text1"/>
          <w:sz w:val="20"/>
          <w:szCs w:val="20"/>
        </w:rPr>
        <w:t xml:space="preserve">. For this </w:t>
      </w:r>
      <w:r w:rsidRPr="00223CBF">
        <w:rPr>
          <w:rFonts w:ascii="Cambria" w:hAnsi="Cambria" w:cstheme="minorHAnsi"/>
          <w:color w:val="000000" w:themeColor="text1"/>
          <w:sz w:val="20"/>
          <w:szCs w:val="20"/>
        </w:rPr>
        <w:t>paved the way for the formation of a new government implying a change in the balance of power in Parliament.  The Portfolio reacted well and devised a New Action Plan for the Ninth Parliament (2020 -2022 and beyond) with broad consultations</w:t>
      </w:r>
      <w:r w:rsidR="00C76A6A">
        <w:rPr>
          <w:rFonts w:ascii="Cambria" w:hAnsi="Cambria" w:cstheme="minorHAnsi"/>
          <w:color w:val="000000" w:themeColor="text1"/>
          <w:sz w:val="20"/>
          <w:szCs w:val="20"/>
        </w:rPr>
        <w:t>. These consultations</w:t>
      </w:r>
      <w:r w:rsidRPr="00223CBF">
        <w:rPr>
          <w:rFonts w:ascii="Cambria" w:hAnsi="Cambria" w:cstheme="minorHAnsi"/>
          <w:color w:val="000000" w:themeColor="text1"/>
          <w:sz w:val="20"/>
          <w:szCs w:val="20"/>
        </w:rPr>
        <w:t xml:space="preserve"> included interviews with </w:t>
      </w:r>
      <w:r w:rsidR="00223CBF" w:rsidRPr="00223CBF">
        <w:rPr>
          <w:rFonts w:ascii="Cambria" w:hAnsi="Cambria" w:cstheme="minorHAnsi"/>
          <w:color w:val="000000" w:themeColor="text1"/>
          <w:sz w:val="20"/>
          <w:szCs w:val="20"/>
        </w:rPr>
        <w:t xml:space="preserve">opposition Members of Parliament (MPs) </w:t>
      </w:r>
      <w:r w:rsidRPr="00223CBF">
        <w:rPr>
          <w:rFonts w:ascii="Cambria" w:hAnsi="Cambria" w:cstheme="minorHAnsi"/>
          <w:color w:val="000000" w:themeColor="text1"/>
          <w:sz w:val="20"/>
          <w:szCs w:val="20"/>
        </w:rPr>
        <w:t>who are currently in power</w:t>
      </w:r>
      <w:r w:rsidR="00AB26B5" w:rsidRPr="00223CBF">
        <w:rPr>
          <w:rFonts w:ascii="Cambria" w:hAnsi="Cambria" w:cstheme="minorHAnsi"/>
          <w:color w:val="000000" w:themeColor="text1"/>
          <w:sz w:val="20"/>
          <w:szCs w:val="20"/>
        </w:rPr>
        <w:t xml:space="preserve">. The Consultative Assessment also took note </w:t>
      </w:r>
      <w:r w:rsidRPr="00223CBF">
        <w:rPr>
          <w:rFonts w:ascii="Cambria" w:hAnsi="Cambria" w:cstheme="minorHAnsi"/>
          <w:color w:val="000000" w:themeColor="text1"/>
          <w:sz w:val="20"/>
          <w:szCs w:val="20"/>
        </w:rPr>
        <w:t>of the current government’s policy on strengthening branches of the government, including the parliament to be more effective and efficient. The simple strategy of conducting extensive consultations</w:t>
      </w:r>
      <w:r w:rsidR="00C76A6A">
        <w:rPr>
          <w:rFonts w:ascii="Cambria" w:hAnsi="Cambria" w:cstheme="minorHAnsi"/>
          <w:color w:val="000000" w:themeColor="text1"/>
          <w:sz w:val="20"/>
          <w:szCs w:val="20"/>
        </w:rPr>
        <w:t>,</w:t>
      </w:r>
      <w:r w:rsidRPr="00223CBF">
        <w:rPr>
          <w:rFonts w:ascii="Cambria" w:hAnsi="Cambria" w:cstheme="minorHAnsi"/>
          <w:color w:val="000000" w:themeColor="text1"/>
          <w:sz w:val="20"/>
          <w:szCs w:val="20"/>
        </w:rPr>
        <w:t xml:space="preserve"> prior to submitting observations and recommendations was profitable</w:t>
      </w:r>
      <w:r w:rsidR="00AB26B5" w:rsidRPr="00223CBF">
        <w:rPr>
          <w:rFonts w:ascii="Cambria" w:hAnsi="Cambria" w:cstheme="minorHAnsi"/>
          <w:color w:val="000000" w:themeColor="text1"/>
          <w:sz w:val="20"/>
          <w:szCs w:val="20"/>
        </w:rPr>
        <w:t>,</w:t>
      </w:r>
      <w:r w:rsidRPr="00223CBF">
        <w:rPr>
          <w:rFonts w:ascii="Cambria" w:hAnsi="Cambria" w:cstheme="minorHAnsi"/>
          <w:color w:val="000000" w:themeColor="text1"/>
          <w:sz w:val="20"/>
          <w:szCs w:val="20"/>
        </w:rPr>
        <w:t xml:space="preserve"> as signaled by the endorsement of the PDAP by the current Speaker</w:t>
      </w:r>
      <w:r w:rsidR="00C76A6A">
        <w:rPr>
          <w:rFonts w:ascii="Cambria" w:hAnsi="Cambria" w:cstheme="minorHAnsi"/>
          <w:color w:val="000000" w:themeColor="text1"/>
          <w:sz w:val="20"/>
          <w:szCs w:val="20"/>
        </w:rPr>
        <w:t xml:space="preserve">. The current Speaker </w:t>
      </w:r>
      <w:r w:rsidRPr="00223CBF">
        <w:rPr>
          <w:rFonts w:ascii="Cambria" w:hAnsi="Cambria" w:cstheme="minorHAnsi"/>
          <w:color w:val="000000" w:themeColor="text1"/>
          <w:sz w:val="20"/>
          <w:szCs w:val="20"/>
        </w:rPr>
        <w:t>has also requested UNDP’s continued support and role as facilitator/convener</w:t>
      </w:r>
      <w:r w:rsidR="00AB26B5" w:rsidRPr="00223CBF">
        <w:rPr>
          <w:rFonts w:ascii="Cambria" w:hAnsi="Cambria" w:cstheme="minorHAnsi"/>
          <w:color w:val="000000" w:themeColor="text1"/>
          <w:sz w:val="20"/>
          <w:szCs w:val="20"/>
        </w:rPr>
        <w:t xml:space="preserve">. This has ensured </w:t>
      </w:r>
      <w:r w:rsidRPr="00223CBF">
        <w:rPr>
          <w:rFonts w:ascii="Cambria" w:hAnsi="Cambria" w:cstheme="minorHAnsi"/>
          <w:color w:val="000000" w:themeColor="text1"/>
          <w:sz w:val="20"/>
          <w:szCs w:val="20"/>
        </w:rPr>
        <w:t>continued relevance of interventions in the long-term effort to moderni</w:t>
      </w:r>
      <w:r w:rsidR="00DD4530">
        <w:rPr>
          <w:rFonts w:ascii="Cambria" w:hAnsi="Cambria" w:cstheme="minorHAnsi"/>
          <w:color w:val="000000" w:themeColor="text1"/>
          <w:sz w:val="20"/>
          <w:szCs w:val="20"/>
        </w:rPr>
        <w:t>s</w:t>
      </w:r>
      <w:r w:rsidRPr="00223CBF">
        <w:rPr>
          <w:rFonts w:ascii="Cambria" w:hAnsi="Cambria" w:cstheme="minorHAnsi"/>
          <w:color w:val="000000" w:themeColor="text1"/>
          <w:sz w:val="20"/>
          <w:szCs w:val="20"/>
        </w:rPr>
        <w:t xml:space="preserve">e and reform parliament.  </w:t>
      </w:r>
    </w:p>
    <w:p w14:paraId="35BFECF5" w14:textId="5D05ADAF" w:rsidR="004068A1" w:rsidRPr="00223CBF" w:rsidRDefault="004068A1" w:rsidP="004068A1">
      <w:pPr>
        <w:shd w:val="clear" w:color="auto" w:fill="FFFFFF"/>
        <w:spacing w:line="360" w:lineRule="auto"/>
        <w:jc w:val="both"/>
        <w:rPr>
          <w:rFonts w:ascii="Cambria" w:eastAsia="Times New Roman" w:hAnsi="Cambria" w:cstheme="minorHAnsi"/>
          <w:color w:val="000000" w:themeColor="text1"/>
          <w:sz w:val="20"/>
          <w:szCs w:val="20"/>
        </w:rPr>
      </w:pPr>
      <w:r w:rsidRPr="00223CBF">
        <w:rPr>
          <w:rFonts w:ascii="Cambria" w:hAnsi="Cambria" w:cstheme="minorHAnsi"/>
          <w:color w:val="000000" w:themeColor="text1"/>
          <w:sz w:val="20"/>
          <w:szCs w:val="20"/>
        </w:rPr>
        <w:t>The strength of the design and implementation modality of the</w:t>
      </w:r>
      <w:r>
        <w:rPr>
          <w:rFonts w:ascii="Cambria" w:hAnsi="Cambria" w:cstheme="minorHAnsi"/>
          <w:color w:val="000000" w:themeColor="text1"/>
          <w:sz w:val="20"/>
          <w:szCs w:val="20"/>
        </w:rPr>
        <w:t xml:space="preserve"> Outputs </w:t>
      </w:r>
      <w:r w:rsidRPr="00223CBF">
        <w:rPr>
          <w:rFonts w:ascii="Cambria" w:hAnsi="Cambria" w:cstheme="minorHAnsi"/>
          <w:color w:val="000000" w:themeColor="text1"/>
          <w:sz w:val="20"/>
          <w:szCs w:val="20"/>
        </w:rPr>
        <w:t>was challenged in 2020</w:t>
      </w:r>
      <w:r w:rsidR="00C76A6A">
        <w:rPr>
          <w:rFonts w:ascii="Cambria" w:hAnsi="Cambria" w:cstheme="minorHAnsi"/>
          <w:color w:val="000000" w:themeColor="text1"/>
          <w:sz w:val="20"/>
          <w:szCs w:val="20"/>
        </w:rPr>
        <w:t>,</w:t>
      </w:r>
      <w:r w:rsidRPr="00223CBF">
        <w:rPr>
          <w:rFonts w:ascii="Cambria" w:hAnsi="Cambria" w:cstheme="minorHAnsi"/>
          <w:color w:val="000000" w:themeColor="text1"/>
          <w:sz w:val="20"/>
          <w:szCs w:val="20"/>
        </w:rPr>
        <w:t xml:space="preserve"> due to prolonged closure of parliament beyond the constitutional permutation and unprecedented challenges thrown by the Covid-19 pandemic. </w:t>
      </w:r>
      <w:r w:rsidRPr="00145E6F">
        <w:rPr>
          <w:rFonts w:ascii="Cambria" w:hAnsi="Cambria" w:cstheme="minorHAnsi"/>
          <w:color w:val="000000" w:themeColor="text1"/>
          <w:sz w:val="20"/>
          <w:szCs w:val="20"/>
        </w:rPr>
        <w:t xml:space="preserve">The </w:t>
      </w:r>
      <w:r>
        <w:rPr>
          <w:rFonts w:ascii="Cambria" w:hAnsi="Cambria" w:cstheme="minorHAnsi"/>
          <w:color w:val="000000" w:themeColor="text1"/>
          <w:sz w:val="20"/>
          <w:szCs w:val="20"/>
        </w:rPr>
        <w:t xml:space="preserve">Portfolio </w:t>
      </w:r>
      <w:r w:rsidRPr="00145E6F">
        <w:rPr>
          <w:rFonts w:ascii="Cambria" w:hAnsi="Cambria" w:cstheme="minorHAnsi"/>
          <w:color w:val="000000" w:themeColor="text1"/>
          <w:sz w:val="20"/>
          <w:szCs w:val="20"/>
        </w:rPr>
        <w:t xml:space="preserve">reacted immediately to </w:t>
      </w:r>
      <w:r w:rsidRPr="00145E6F">
        <w:rPr>
          <w:rFonts w:ascii="Cambria" w:eastAsia="Times New Roman" w:hAnsi="Cambria" w:cstheme="minorHAnsi"/>
          <w:color w:val="000000" w:themeColor="text1"/>
          <w:sz w:val="20"/>
          <w:szCs w:val="20"/>
        </w:rPr>
        <w:t>secure digital solutions by way of Zoom subscriptions for the PS to ensure business continuity during the lockdown period of April 2020.</w:t>
      </w:r>
    </w:p>
    <w:p w14:paraId="08BD6B92" w14:textId="5AF6EE7D" w:rsidR="002B202B" w:rsidRPr="00997030" w:rsidRDefault="002B202B" w:rsidP="002B202B">
      <w:pPr>
        <w:pStyle w:val="ListParagraph"/>
        <w:numPr>
          <w:ilvl w:val="0"/>
          <w:numId w:val="1"/>
        </w:numPr>
        <w:spacing w:line="360" w:lineRule="auto"/>
        <w:jc w:val="both"/>
        <w:rPr>
          <w:rFonts w:ascii="Cambria" w:hAnsi="Cambria" w:cstheme="minorHAnsi"/>
          <w:color w:val="297FD5" w:themeColor="accent3"/>
          <w:sz w:val="20"/>
          <w:szCs w:val="20"/>
        </w:rPr>
      </w:pPr>
      <w:r w:rsidRPr="002B202B">
        <w:rPr>
          <w:rFonts w:ascii="Cambria" w:hAnsi="Cambria" w:cstheme="minorHAnsi"/>
          <w:b/>
          <w:bCs/>
          <w:color w:val="297FD5" w:themeColor="accent3"/>
          <w:sz w:val="20"/>
          <w:szCs w:val="20"/>
        </w:rPr>
        <w:lastRenderedPageBreak/>
        <w:t>The extent to which cross cutting themes</w:t>
      </w:r>
      <w:r w:rsidR="00B02905">
        <w:rPr>
          <w:rStyle w:val="FootnoteReference"/>
          <w:rFonts w:ascii="Cambria" w:hAnsi="Cambria" w:cstheme="minorHAnsi"/>
          <w:b/>
          <w:bCs/>
          <w:color w:val="297FD5" w:themeColor="accent3"/>
          <w:sz w:val="20"/>
          <w:szCs w:val="20"/>
        </w:rPr>
        <w:footnoteReference w:id="38"/>
      </w:r>
      <w:r w:rsidRPr="002B202B">
        <w:rPr>
          <w:rFonts w:ascii="Cambria" w:hAnsi="Cambria" w:cstheme="minorHAnsi"/>
          <w:b/>
          <w:bCs/>
          <w:color w:val="297FD5" w:themeColor="accent3"/>
          <w:sz w:val="20"/>
          <w:szCs w:val="20"/>
        </w:rPr>
        <w:t xml:space="preserve"> informed strategies </w:t>
      </w:r>
    </w:p>
    <w:p w14:paraId="68B94DDC" w14:textId="6C5E20DA" w:rsidR="00331FB6" w:rsidRPr="002B202B" w:rsidRDefault="00331FB6" w:rsidP="002B202B">
      <w:pPr>
        <w:spacing w:line="360" w:lineRule="auto"/>
        <w:jc w:val="both"/>
        <w:rPr>
          <w:rFonts w:ascii="Cambria" w:hAnsi="Cambria" w:cstheme="minorHAnsi"/>
          <w:color w:val="000000" w:themeColor="text1"/>
          <w:sz w:val="20"/>
          <w:szCs w:val="20"/>
        </w:rPr>
      </w:pPr>
      <w:r w:rsidRPr="002B202B">
        <w:rPr>
          <w:rFonts w:ascii="Cambria" w:hAnsi="Cambria" w:cstheme="minorHAnsi"/>
          <w:b/>
          <w:bCs/>
          <w:color w:val="000000" w:themeColor="text1"/>
          <w:sz w:val="20"/>
          <w:szCs w:val="20"/>
        </w:rPr>
        <w:t xml:space="preserve">Innovation: </w:t>
      </w:r>
      <w:r w:rsidRPr="002B202B">
        <w:rPr>
          <w:rFonts w:ascii="Cambria" w:hAnsi="Cambria" w:cstheme="minorHAnsi"/>
          <w:color w:val="000000" w:themeColor="text1"/>
          <w:sz w:val="20"/>
          <w:szCs w:val="20"/>
        </w:rPr>
        <w:t>it was generally noted that digiti</w:t>
      </w:r>
      <w:r w:rsidR="00C17CA3" w:rsidRPr="002B202B">
        <w:rPr>
          <w:rFonts w:ascii="Cambria" w:hAnsi="Cambria" w:cstheme="minorHAnsi"/>
          <w:color w:val="000000" w:themeColor="text1"/>
          <w:sz w:val="20"/>
          <w:szCs w:val="20"/>
        </w:rPr>
        <w:t>s</w:t>
      </w:r>
      <w:r w:rsidRPr="002B202B">
        <w:rPr>
          <w:rFonts w:ascii="Cambria" w:hAnsi="Cambria" w:cstheme="minorHAnsi"/>
          <w:color w:val="000000" w:themeColor="text1"/>
          <w:sz w:val="20"/>
          <w:szCs w:val="20"/>
        </w:rPr>
        <w:t xml:space="preserve">ation of parliament to effectively implement its communications strategy was relevant. Substantial support was provided to </w:t>
      </w:r>
      <w:r w:rsidR="007E78D1">
        <w:rPr>
          <w:rFonts w:ascii="Cambria" w:hAnsi="Cambria" w:cstheme="minorHAnsi"/>
          <w:color w:val="000000" w:themeColor="text1"/>
          <w:sz w:val="20"/>
          <w:szCs w:val="20"/>
        </w:rPr>
        <w:t>parliament,</w:t>
      </w:r>
      <w:r w:rsidRPr="002B202B">
        <w:rPr>
          <w:rFonts w:ascii="Cambria" w:hAnsi="Cambria" w:cstheme="minorHAnsi"/>
          <w:color w:val="000000" w:themeColor="text1"/>
          <w:sz w:val="20"/>
          <w:szCs w:val="20"/>
        </w:rPr>
        <w:t xml:space="preserve"> to digiti</w:t>
      </w:r>
      <w:r w:rsidR="00C17CA3" w:rsidRPr="002B202B">
        <w:rPr>
          <w:rFonts w:ascii="Cambria" w:hAnsi="Cambria" w:cstheme="minorHAnsi"/>
          <w:color w:val="000000" w:themeColor="text1"/>
          <w:sz w:val="20"/>
          <w:szCs w:val="20"/>
        </w:rPr>
        <w:t>s</w:t>
      </w:r>
      <w:r w:rsidRPr="002B202B">
        <w:rPr>
          <w:rFonts w:ascii="Cambria" w:hAnsi="Cambria" w:cstheme="minorHAnsi"/>
          <w:color w:val="000000" w:themeColor="text1"/>
          <w:sz w:val="20"/>
          <w:szCs w:val="20"/>
        </w:rPr>
        <w:t>e its proceedings and open parliament to the public</w:t>
      </w:r>
      <w:r w:rsidR="007E78D1">
        <w:rPr>
          <w:rFonts w:ascii="Cambria" w:hAnsi="Cambria" w:cstheme="minorHAnsi"/>
          <w:color w:val="000000" w:themeColor="text1"/>
          <w:sz w:val="20"/>
          <w:szCs w:val="20"/>
        </w:rPr>
        <w:t>,</w:t>
      </w:r>
      <w:r w:rsidRPr="002B202B">
        <w:rPr>
          <w:rFonts w:ascii="Cambria" w:hAnsi="Cambria" w:cstheme="minorHAnsi"/>
          <w:color w:val="000000" w:themeColor="text1"/>
          <w:sz w:val="20"/>
          <w:szCs w:val="20"/>
        </w:rPr>
        <w:t xml:space="preserve"> to garner public opinion and to boost equitable and greater participation in policy making. For example, through ICT support, committee proceedings of two main committees that has attracted public interest, namely, Committee on Public Enterprise (COPE) and Committee on Public Accounts (COPA) was broadcasted live and posted live for online viewing. Committee conventions were dramatically changed to invite media to attend proceedings. UNDP support to develop a Toolkit – Media Guidelines for Parliamentary Public Consultations</w:t>
      </w:r>
      <w:r w:rsidR="007E78D1">
        <w:rPr>
          <w:rFonts w:ascii="Cambria" w:hAnsi="Cambria" w:cstheme="minorHAnsi"/>
          <w:color w:val="000000" w:themeColor="text1"/>
          <w:sz w:val="20"/>
          <w:szCs w:val="20"/>
        </w:rPr>
        <w:t>,</w:t>
      </w:r>
      <w:r w:rsidRPr="002B202B">
        <w:rPr>
          <w:rFonts w:ascii="Cambria" w:hAnsi="Cambria" w:cstheme="minorHAnsi"/>
          <w:color w:val="000000" w:themeColor="text1"/>
          <w:sz w:val="20"/>
          <w:szCs w:val="20"/>
        </w:rPr>
        <w:t xml:space="preserve"> for constructive media and citizen engagement in the business of parliament</w:t>
      </w:r>
      <w:r w:rsidR="007E78D1">
        <w:rPr>
          <w:rFonts w:ascii="Cambria" w:hAnsi="Cambria" w:cstheme="minorHAnsi"/>
          <w:color w:val="000000" w:themeColor="text1"/>
          <w:sz w:val="20"/>
          <w:szCs w:val="20"/>
        </w:rPr>
        <w:t>,</w:t>
      </w:r>
      <w:r w:rsidRPr="002B202B">
        <w:rPr>
          <w:rFonts w:ascii="Cambria" w:hAnsi="Cambria" w:cstheme="minorHAnsi"/>
          <w:color w:val="000000" w:themeColor="text1"/>
          <w:sz w:val="20"/>
          <w:szCs w:val="20"/>
        </w:rPr>
        <w:t xml:space="preserve"> was relevant</w:t>
      </w:r>
      <w:r w:rsidR="007E78D1">
        <w:rPr>
          <w:rFonts w:ascii="Cambria" w:hAnsi="Cambria" w:cstheme="minorHAnsi"/>
          <w:color w:val="000000" w:themeColor="text1"/>
          <w:sz w:val="20"/>
          <w:szCs w:val="20"/>
        </w:rPr>
        <w:t>,</w:t>
      </w:r>
      <w:r w:rsidRPr="002B202B">
        <w:rPr>
          <w:rFonts w:ascii="Cambria" w:hAnsi="Cambria" w:cstheme="minorHAnsi"/>
          <w:color w:val="000000" w:themeColor="text1"/>
          <w:sz w:val="20"/>
          <w:szCs w:val="20"/>
        </w:rPr>
        <w:t xml:space="preserve"> and provided an opportunity to broaden its partner base. </w:t>
      </w:r>
    </w:p>
    <w:p w14:paraId="4C5778FA" w14:textId="323840DC" w:rsidR="00C17CA3" w:rsidRDefault="00F25DF1" w:rsidP="00C17CA3">
      <w:pPr>
        <w:spacing w:line="360" w:lineRule="auto"/>
        <w:jc w:val="both"/>
        <w:rPr>
          <w:rFonts w:ascii="Cambria" w:hAnsi="Cambria" w:cstheme="minorHAnsi"/>
          <w:sz w:val="20"/>
          <w:szCs w:val="20"/>
        </w:rPr>
      </w:pPr>
      <w:r>
        <w:rPr>
          <w:rFonts w:ascii="Cambria" w:hAnsi="Cambria" w:cstheme="minorHAnsi"/>
          <w:b/>
          <w:bCs/>
          <w:color w:val="000000" w:themeColor="text1"/>
          <w:sz w:val="20"/>
          <w:szCs w:val="20"/>
        </w:rPr>
        <w:t>GEWE</w:t>
      </w:r>
      <w:r w:rsidR="00331FB6" w:rsidRPr="00223CBF">
        <w:rPr>
          <w:rFonts w:ascii="Cambria" w:hAnsi="Cambria" w:cstheme="minorHAnsi"/>
          <w:b/>
          <w:bCs/>
          <w:color w:val="000000" w:themeColor="text1"/>
          <w:sz w:val="20"/>
          <w:szCs w:val="20"/>
        </w:rPr>
        <w:t>:</w:t>
      </w:r>
      <w:r w:rsidR="00331FB6" w:rsidRPr="00223CBF">
        <w:rPr>
          <w:rFonts w:ascii="Cambria" w:hAnsi="Cambria" w:cstheme="minorHAnsi"/>
          <w:color w:val="000000" w:themeColor="text1"/>
          <w:sz w:val="20"/>
          <w:szCs w:val="20"/>
        </w:rPr>
        <w:t xml:space="preserve"> </w:t>
      </w:r>
      <w:r w:rsidR="00C17CA3" w:rsidRPr="00223CBF">
        <w:rPr>
          <w:rFonts w:ascii="Cambria" w:hAnsi="Cambria" w:cstheme="minorHAnsi"/>
          <w:color w:val="000000" w:themeColor="text1"/>
          <w:sz w:val="20"/>
          <w:szCs w:val="20"/>
        </w:rPr>
        <w:t>The Outputs were aligned to the Gender Equality Strategy of UNDP Sri Lanka. The strategic interventions identified were augmented by collaborative efforts with a parallel project on Women, Peace and Security (WPS)</w:t>
      </w:r>
      <w:r w:rsidR="007E78D1">
        <w:rPr>
          <w:rFonts w:ascii="Cambria" w:hAnsi="Cambria" w:cstheme="minorHAnsi"/>
          <w:color w:val="000000" w:themeColor="text1"/>
          <w:sz w:val="20"/>
          <w:szCs w:val="20"/>
        </w:rPr>
        <w:t>,</w:t>
      </w:r>
      <w:r w:rsidR="00C17CA3" w:rsidRPr="00223CBF">
        <w:rPr>
          <w:rFonts w:ascii="Cambria" w:hAnsi="Cambria" w:cstheme="minorHAnsi"/>
          <w:color w:val="000000" w:themeColor="text1"/>
          <w:sz w:val="20"/>
          <w:szCs w:val="20"/>
        </w:rPr>
        <w:t xml:space="preserve"> to implement the UN Resolution 1325 in Sri Lanka. The project worked closely with parliament and particularly with women Members of Parliament and through the Sectoral Oversight Committee (SOC) on Women and Gender. The project supported the Committee</w:t>
      </w:r>
      <w:r w:rsidR="007E78D1">
        <w:rPr>
          <w:rFonts w:ascii="Cambria" w:hAnsi="Cambria" w:cstheme="minorHAnsi"/>
          <w:color w:val="000000" w:themeColor="text1"/>
          <w:sz w:val="20"/>
          <w:szCs w:val="20"/>
        </w:rPr>
        <w:t>,</w:t>
      </w:r>
      <w:r w:rsidR="00C17CA3" w:rsidRPr="00223CBF">
        <w:rPr>
          <w:rFonts w:ascii="Cambria" w:hAnsi="Cambria" w:cstheme="minorHAnsi"/>
          <w:color w:val="000000" w:themeColor="text1"/>
          <w:sz w:val="20"/>
          <w:szCs w:val="20"/>
        </w:rPr>
        <w:t xml:space="preserve"> to draft three private member bills to amend the laws on General Marriages Ordinance to allow all citizens to register their marriages </w:t>
      </w:r>
      <w:r w:rsidR="00C17CA3" w:rsidRPr="00223CBF">
        <w:rPr>
          <w:rFonts w:ascii="Cambria" w:hAnsi="Cambria" w:cstheme="minorHAnsi"/>
          <w:sz w:val="20"/>
          <w:szCs w:val="20"/>
        </w:rPr>
        <w:t xml:space="preserve">under the general law and raising the minimum age of marriage to 18 years of age for all citizens, including for Muslims and introducing </w:t>
      </w:r>
      <w:r w:rsidR="009A3E26">
        <w:rPr>
          <w:rFonts w:ascii="Cambria" w:hAnsi="Cambria" w:cstheme="minorHAnsi"/>
          <w:sz w:val="20"/>
          <w:szCs w:val="20"/>
        </w:rPr>
        <w:t xml:space="preserve">gender neutral terminology by </w:t>
      </w:r>
      <w:r w:rsidR="00C17CA3" w:rsidRPr="00223CBF">
        <w:rPr>
          <w:rFonts w:ascii="Cambria" w:hAnsi="Cambria" w:cstheme="minorHAnsi"/>
          <w:sz w:val="20"/>
          <w:szCs w:val="20"/>
        </w:rPr>
        <w:t>amendment</w:t>
      </w:r>
      <w:r w:rsidR="009A3E26">
        <w:rPr>
          <w:rFonts w:ascii="Cambria" w:hAnsi="Cambria" w:cstheme="minorHAnsi"/>
          <w:sz w:val="20"/>
          <w:szCs w:val="20"/>
        </w:rPr>
        <w:t>s</w:t>
      </w:r>
      <w:r w:rsidR="00C17CA3" w:rsidRPr="00223CBF">
        <w:rPr>
          <w:rFonts w:ascii="Cambria" w:hAnsi="Cambria" w:cstheme="minorHAnsi"/>
          <w:sz w:val="20"/>
          <w:szCs w:val="20"/>
        </w:rPr>
        <w:t xml:space="preserve"> to the Land Development Ordinance (LDO) to promote inheritance rights of women. The WPS project also engaged with the MPs and PS to promote dialogue between CSOs</w:t>
      </w:r>
      <w:r w:rsidR="00695CB5">
        <w:rPr>
          <w:rFonts w:ascii="Cambria" w:hAnsi="Cambria" w:cstheme="minorHAnsi"/>
          <w:sz w:val="20"/>
          <w:szCs w:val="20"/>
        </w:rPr>
        <w:t xml:space="preserve"> </w:t>
      </w:r>
      <w:r w:rsidR="00C17CA3" w:rsidRPr="00223CBF">
        <w:rPr>
          <w:rFonts w:ascii="Cambria" w:hAnsi="Cambria" w:cstheme="minorHAnsi"/>
          <w:sz w:val="20"/>
          <w:szCs w:val="20"/>
        </w:rPr>
        <w:t>and parliament to identify critical issues to promote WPS</w:t>
      </w:r>
      <w:r w:rsidR="009A3E26">
        <w:rPr>
          <w:rFonts w:ascii="Cambria" w:hAnsi="Cambria" w:cstheme="minorHAnsi"/>
          <w:sz w:val="20"/>
          <w:szCs w:val="20"/>
        </w:rPr>
        <w:t xml:space="preserve"> in the country</w:t>
      </w:r>
      <w:r w:rsidR="00C17CA3" w:rsidRPr="00223CBF">
        <w:rPr>
          <w:rFonts w:ascii="Cambria" w:hAnsi="Cambria" w:cstheme="minorHAnsi"/>
          <w:sz w:val="20"/>
          <w:szCs w:val="20"/>
        </w:rPr>
        <w:t xml:space="preserve">. </w:t>
      </w:r>
    </w:p>
    <w:p w14:paraId="32C7B0A5" w14:textId="31D06669" w:rsidR="00B02C22" w:rsidRDefault="00B02C22" w:rsidP="00C17CA3">
      <w:pPr>
        <w:spacing w:line="360" w:lineRule="auto"/>
        <w:jc w:val="both"/>
        <w:rPr>
          <w:rFonts w:ascii="Cambria" w:hAnsi="Cambria" w:cstheme="minorHAnsi"/>
          <w:sz w:val="20"/>
          <w:szCs w:val="20"/>
        </w:rPr>
      </w:pPr>
    </w:p>
    <w:p w14:paraId="02A2A962" w14:textId="331D02ED" w:rsidR="008867E5" w:rsidRPr="00695CB5" w:rsidRDefault="00B02C22" w:rsidP="008867E5">
      <w:pPr>
        <w:spacing w:line="360" w:lineRule="auto"/>
        <w:jc w:val="both"/>
        <w:rPr>
          <w:rFonts w:ascii="Cambria" w:hAnsi="Cambria" w:cstheme="minorHAnsi"/>
          <w:sz w:val="20"/>
          <w:szCs w:val="20"/>
        </w:rPr>
      </w:pPr>
      <w:r w:rsidRPr="008867E5">
        <w:rPr>
          <w:rFonts w:ascii="Cambria" w:hAnsi="Cambria" w:cstheme="minorHAnsi"/>
          <w:b/>
          <w:bCs/>
          <w:sz w:val="20"/>
          <w:szCs w:val="20"/>
        </w:rPr>
        <w:t xml:space="preserve">Anti-corruption: </w:t>
      </w:r>
      <w:r w:rsidR="008867E5" w:rsidRPr="00695CB5">
        <w:rPr>
          <w:rFonts w:ascii="Cambria" w:hAnsi="Cambria" w:cstheme="minorHAnsi"/>
          <w:sz w:val="20"/>
          <w:szCs w:val="20"/>
        </w:rPr>
        <w:t>Although a</w:t>
      </w:r>
      <w:r w:rsidR="00BA606C" w:rsidRPr="00695CB5">
        <w:rPr>
          <w:rFonts w:ascii="Cambria" w:hAnsi="Cambria" w:cstheme="minorHAnsi"/>
          <w:sz w:val="20"/>
          <w:szCs w:val="20"/>
        </w:rPr>
        <w:t>n ECoC</w:t>
      </w:r>
      <w:r w:rsidR="007C79D6" w:rsidRPr="00695CB5">
        <w:rPr>
          <w:rFonts w:ascii="Cambria" w:hAnsi="Cambria" w:cstheme="minorHAnsi"/>
          <w:sz w:val="20"/>
          <w:szCs w:val="20"/>
        </w:rPr>
        <w:t xml:space="preserve"> </w:t>
      </w:r>
      <w:r w:rsidR="008867E5" w:rsidRPr="00695CB5">
        <w:rPr>
          <w:rFonts w:ascii="Cambria" w:hAnsi="Cambria" w:cstheme="minorHAnsi"/>
          <w:sz w:val="20"/>
          <w:szCs w:val="20"/>
        </w:rPr>
        <w:t>for parliamentarians and PS was initiated</w:t>
      </w:r>
      <w:r w:rsidR="007E78D1">
        <w:rPr>
          <w:rFonts w:ascii="Cambria" w:hAnsi="Cambria" w:cstheme="minorHAnsi"/>
          <w:sz w:val="20"/>
          <w:szCs w:val="20"/>
        </w:rPr>
        <w:t>,</w:t>
      </w:r>
      <w:r w:rsidR="008867E5" w:rsidRPr="00695CB5">
        <w:rPr>
          <w:rFonts w:ascii="Cambria" w:hAnsi="Cambria" w:cstheme="minorHAnsi"/>
          <w:sz w:val="20"/>
          <w:szCs w:val="20"/>
        </w:rPr>
        <w:t xml:space="preserve"> the former fell through due to lack of ownership and political commitment from MPs. </w:t>
      </w:r>
      <w:r w:rsidR="002B470C" w:rsidRPr="00695CB5">
        <w:rPr>
          <w:rFonts w:ascii="Cambria" w:hAnsi="Cambria" w:cstheme="minorHAnsi"/>
          <w:sz w:val="20"/>
          <w:szCs w:val="20"/>
        </w:rPr>
        <w:t xml:space="preserve">The </w:t>
      </w:r>
      <w:r w:rsidR="008867E5" w:rsidRPr="00695CB5">
        <w:rPr>
          <w:rFonts w:ascii="Cambria" w:hAnsi="Cambria" w:cstheme="minorHAnsi"/>
          <w:sz w:val="20"/>
          <w:szCs w:val="20"/>
        </w:rPr>
        <w:t>Code of Ethics for parliamentarians was introduced as priority under the 100-day work programme of the National Unity government, which demanded a system of declaration of assets of MPs</w:t>
      </w:r>
      <w:r w:rsidR="002B470C" w:rsidRPr="00695CB5">
        <w:rPr>
          <w:rFonts w:ascii="Cambria" w:hAnsi="Cambria" w:cstheme="minorHAnsi"/>
          <w:sz w:val="20"/>
          <w:szCs w:val="20"/>
        </w:rPr>
        <w:t>.</w:t>
      </w:r>
      <w:r w:rsidR="00BA606C" w:rsidRPr="00695CB5">
        <w:rPr>
          <w:rFonts w:ascii="Cambria" w:hAnsi="Cambria" w:cstheme="minorHAnsi"/>
          <w:sz w:val="20"/>
          <w:szCs w:val="20"/>
        </w:rPr>
        <w:t xml:space="preserve"> </w:t>
      </w:r>
      <w:r w:rsidR="002B470C" w:rsidRPr="00695CB5">
        <w:rPr>
          <w:rFonts w:ascii="Cambria" w:hAnsi="Cambria" w:cstheme="minorHAnsi"/>
          <w:sz w:val="20"/>
          <w:szCs w:val="20"/>
        </w:rPr>
        <w:t xml:space="preserve"> </w:t>
      </w:r>
      <w:r w:rsidR="00BA606C" w:rsidRPr="00695CB5">
        <w:rPr>
          <w:rStyle w:val="Strong"/>
          <w:rFonts w:ascii="Cambria" w:hAnsi="Cambria"/>
          <w:b w:val="0"/>
          <w:bCs w:val="0"/>
          <w:sz w:val="20"/>
          <w:szCs w:val="20"/>
          <w:shd w:val="clear" w:color="auto" w:fill="FFFFFF"/>
        </w:rPr>
        <w:t>Manthri.lk, a website dedicated to monitor the performance of Parliamentarians, allocated an overall score of 71% to the administration, citing the delay in endorsing and implementing the ECoC for parliamentarians as a serious impediment.</w:t>
      </w:r>
      <w:r w:rsidR="00BA606C" w:rsidRPr="00695CB5">
        <w:rPr>
          <w:rStyle w:val="FootnoteReference"/>
          <w:rFonts w:ascii="Cambria" w:hAnsi="Cambria"/>
          <w:b/>
          <w:bCs/>
          <w:sz w:val="20"/>
          <w:szCs w:val="20"/>
          <w:shd w:val="clear" w:color="auto" w:fill="FFFFFF"/>
        </w:rPr>
        <w:footnoteReference w:id="39"/>
      </w:r>
      <w:r w:rsidR="00BA606C" w:rsidRPr="00695CB5">
        <w:rPr>
          <w:rStyle w:val="Strong"/>
          <w:rFonts w:ascii="Muli" w:hAnsi="Muli"/>
          <w:sz w:val="20"/>
          <w:szCs w:val="20"/>
          <w:shd w:val="clear" w:color="auto" w:fill="FFFFFF"/>
        </w:rPr>
        <w:t xml:space="preserve"> </w:t>
      </w:r>
    </w:p>
    <w:p w14:paraId="787EC28E" w14:textId="3F44EB52" w:rsidR="00331FB6" w:rsidRPr="00223CBF" w:rsidRDefault="00331FB6" w:rsidP="000507CA">
      <w:pPr>
        <w:spacing w:line="360" w:lineRule="auto"/>
        <w:contextualSpacing/>
        <w:jc w:val="both"/>
        <w:rPr>
          <w:rFonts w:ascii="Cambria" w:hAnsi="Cambria" w:cstheme="minorHAnsi"/>
          <w:b/>
          <w:bCs/>
          <w:sz w:val="20"/>
          <w:szCs w:val="20"/>
        </w:rPr>
      </w:pPr>
      <w:bookmarkStart w:id="24" w:name="_Hlk56099654"/>
      <w:r w:rsidRPr="00223CBF">
        <w:rPr>
          <w:rFonts w:ascii="Cambria" w:hAnsi="Cambria" w:cstheme="minorHAnsi"/>
          <w:b/>
          <w:bCs/>
          <w:sz w:val="20"/>
          <w:szCs w:val="20"/>
        </w:rPr>
        <w:lastRenderedPageBreak/>
        <w:t xml:space="preserve">EQ2. Effectiveness </w:t>
      </w:r>
    </w:p>
    <w:p w14:paraId="31FAB2F4" w14:textId="77777777" w:rsidR="00331FB6" w:rsidRPr="00223CBF" w:rsidRDefault="00331FB6" w:rsidP="000507CA">
      <w:pPr>
        <w:shd w:val="clear" w:color="auto" w:fill="92D050"/>
        <w:spacing w:line="360" w:lineRule="auto"/>
        <w:contextualSpacing/>
        <w:jc w:val="both"/>
        <w:rPr>
          <w:rFonts w:ascii="Cambria" w:hAnsi="Cambria" w:cstheme="minorHAnsi"/>
          <w:sz w:val="20"/>
          <w:szCs w:val="20"/>
        </w:rPr>
      </w:pPr>
    </w:p>
    <w:p w14:paraId="720BCFFE" w14:textId="17AC2DE7" w:rsidR="00331FB6" w:rsidRPr="00056242" w:rsidRDefault="00331FB6" w:rsidP="00056242">
      <w:pPr>
        <w:shd w:val="clear" w:color="auto" w:fill="92D050"/>
        <w:spacing w:line="360" w:lineRule="auto"/>
        <w:contextualSpacing/>
        <w:jc w:val="center"/>
        <w:rPr>
          <w:rFonts w:ascii="Cambria" w:hAnsi="Cambria" w:cstheme="minorHAnsi"/>
          <w:b/>
          <w:bCs/>
          <w:sz w:val="20"/>
          <w:szCs w:val="20"/>
        </w:rPr>
      </w:pPr>
      <w:r w:rsidRPr="00223CBF">
        <w:rPr>
          <w:rFonts w:ascii="Cambria" w:hAnsi="Cambria" w:cstheme="minorHAnsi"/>
          <w:sz w:val="20"/>
          <w:szCs w:val="20"/>
        </w:rPr>
        <w:t xml:space="preserve">Effectiveness refers to the </w:t>
      </w:r>
      <w:r w:rsidRPr="00223CBF">
        <w:rPr>
          <w:rFonts w:ascii="Cambria" w:hAnsi="Cambria" w:cstheme="minorHAnsi"/>
          <w:b/>
          <w:bCs/>
          <w:sz w:val="20"/>
          <w:szCs w:val="20"/>
        </w:rPr>
        <w:t>extent to which the strategic interventions have achieved its overall and specific objectives</w:t>
      </w:r>
      <w:r w:rsidRPr="00223CBF">
        <w:rPr>
          <w:rFonts w:ascii="Cambria" w:hAnsi="Cambria" w:cstheme="minorHAnsi"/>
          <w:sz w:val="20"/>
          <w:szCs w:val="20"/>
        </w:rPr>
        <w:t xml:space="preserve"> identified under the Outputs. It refers to the </w:t>
      </w:r>
      <w:r w:rsidRPr="00223CBF">
        <w:rPr>
          <w:rFonts w:ascii="Cambria" w:hAnsi="Cambria" w:cstheme="minorHAnsi"/>
          <w:b/>
          <w:bCs/>
          <w:sz w:val="20"/>
          <w:szCs w:val="20"/>
        </w:rPr>
        <w:t>contribution it has made to reach targeted beneficiaries</w:t>
      </w:r>
      <w:r w:rsidRPr="00223CBF">
        <w:rPr>
          <w:rFonts w:ascii="Cambria" w:hAnsi="Cambria" w:cstheme="minorHAnsi"/>
          <w:sz w:val="20"/>
          <w:szCs w:val="20"/>
        </w:rPr>
        <w:t xml:space="preserve"> including vulnerable communities and the </w:t>
      </w:r>
      <w:r w:rsidRPr="00223CBF">
        <w:rPr>
          <w:rFonts w:ascii="Cambria" w:hAnsi="Cambria" w:cstheme="minorHAnsi"/>
          <w:b/>
          <w:bCs/>
          <w:sz w:val="20"/>
          <w:szCs w:val="20"/>
        </w:rPr>
        <w:t>effectiveness of the partner selection process.</w:t>
      </w:r>
    </w:p>
    <w:p w14:paraId="4A37364A" w14:textId="00AF6136" w:rsidR="00331FB6" w:rsidRPr="00223CBF" w:rsidRDefault="00331FB6" w:rsidP="007C766E">
      <w:pPr>
        <w:pStyle w:val="ListParagraph"/>
        <w:numPr>
          <w:ilvl w:val="0"/>
          <w:numId w:val="2"/>
        </w:numPr>
        <w:spacing w:line="360" w:lineRule="auto"/>
        <w:jc w:val="both"/>
        <w:rPr>
          <w:rFonts w:ascii="Cambria" w:hAnsi="Cambria" w:cstheme="minorHAnsi"/>
          <w:b/>
          <w:color w:val="0070C0"/>
          <w:sz w:val="20"/>
          <w:szCs w:val="20"/>
          <w:lang w:val="en-GB"/>
        </w:rPr>
      </w:pPr>
      <w:r w:rsidRPr="00223CBF">
        <w:rPr>
          <w:rFonts w:ascii="Cambria" w:hAnsi="Cambria" w:cstheme="minorHAnsi"/>
          <w:b/>
          <w:color w:val="0070C0"/>
          <w:sz w:val="20"/>
          <w:szCs w:val="20"/>
          <w:lang w:val="en-GB"/>
        </w:rPr>
        <w:t>The extent to which the strategies adopted achieved its objectives</w:t>
      </w:r>
    </w:p>
    <w:p w14:paraId="3B9F2073" w14:textId="558C8286" w:rsidR="00223CBF" w:rsidRPr="00C73B2B" w:rsidRDefault="00223CBF" w:rsidP="00223CBF">
      <w:pPr>
        <w:pStyle w:val="BodyText"/>
        <w:spacing w:line="360" w:lineRule="auto"/>
        <w:contextualSpacing/>
        <w:jc w:val="both"/>
        <w:rPr>
          <w:rFonts w:ascii="Cambria" w:hAnsi="Cambria" w:cstheme="minorHAnsi"/>
          <w:bCs/>
          <w:sz w:val="20"/>
          <w:szCs w:val="20"/>
          <w:lang w:val="en-GB"/>
        </w:rPr>
      </w:pPr>
      <w:bookmarkStart w:id="25" w:name="_Hlk56099708"/>
      <w:bookmarkEnd w:id="24"/>
      <w:r w:rsidRPr="00C73B2B">
        <w:rPr>
          <w:rFonts w:ascii="Cambria" w:hAnsi="Cambria" w:cstheme="minorHAnsi"/>
          <w:bCs/>
          <w:sz w:val="20"/>
          <w:szCs w:val="20"/>
          <w:lang w:val="en-GB"/>
        </w:rPr>
        <w:t>Increased support to upgrade systems and processes through digitisation and process enhancement</w:t>
      </w:r>
      <w:r w:rsidR="007E78D1">
        <w:rPr>
          <w:rFonts w:ascii="Cambria" w:hAnsi="Cambria" w:cstheme="minorHAnsi"/>
          <w:bCs/>
          <w:sz w:val="20"/>
          <w:szCs w:val="20"/>
          <w:lang w:val="en-GB"/>
        </w:rPr>
        <w:t>;</w:t>
      </w:r>
      <w:r w:rsidRPr="00C73B2B">
        <w:rPr>
          <w:rFonts w:ascii="Cambria" w:hAnsi="Cambria" w:cstheme="minorHAnsi"/>
          <w:bCs/>
          <w:sz w:val="20"/>
          <w:szCs w:val="20"/>
          <w:lang w:val="en-GB"/>
        </w:rPr>
        <w:t xml:space="preserve"> by adopting user friendly platforms, ICT development for the committee system, amending standing orders to introduce SOCs</w:t>
      </w:r>
      <w:r w:rsidRPr="00C73B2B">
        <w:rPr>
          <w:rFonts w:ascii="Cambria" w:hAnsi="Cambria" w:cstheme="minorHAnsi"/>
          <w:bCs/>
          <w:color w:val="4A66AC" w:themeColor="accent1"/>
          <w:sz w:val="20"/>
          <w:szCs w:val="20"/>
          <w:lang w:val="en-GB"/>
        </w:rPr>
        <w:t xml:space="preserve">, </w:t>
      </w:r>
      <w:r w:rsidRPr="00C73B2B">
        <w:rPr>
          <w:rFonts w:ascii="Cambria" w:hAnsi="Cambria" w:cstheme="minorHAnsi"/>
          <w:bCs/>
          <w:sz w:val="20"/>
          <w:szCs w:val="20"/>
          <w:lang w:val="en-GB"/>
        </w:rPr>
        <w:t xml:space="preserve"> streamlining consultations of the SOCs, particularly on Women and Gender and Select Committee on SDGs, formulating media guidelines and toolkit and a template for Ministries to align budgets with SDGs to obtain public/civil society input, made a substantive contribution to improving effectiveness of data collection, reporting and monitoring.</w:t>
      </w:r>
    </w:p>
    <w:p w14:paraId="0D0944F3" w14:textId="77777777" w:rsidR="007E78D1" w:rsidRDefault="007E78D1" w:rsidP="00997030">
      <w:pPr>
        <w:pStyle w:val="BodyText"/>
        <w:spacing w:line="360" w:lineRule="auto"/>
        <w:contextualSpacing/>
        <w:jc w:val="both"/>
        <w:rPr>
          <w:rFonts w:ascii="Cambria" w:hAnsi="Cambria" w:cstheme="minorHAnsi"/>
          <w:bCs/>
          <w:sz w:val="20"/>
          <w:szCs w:val="20"/>
          <w:lang w:val="en-GB"/>
        </w:rPr>
      </w:pPr>
    </w:p>
    <w:p w14:paraId="716126A0" w14:textId="0E52A58E" w:rsidR="00997030" w:rsidRPr="00997030" w:rsidRDefault="00223CBF" w:rsidP="00997030">
      <w:pPr>
        <w:pStyle w:val="BodyText"/>
        <w:spacing w:line="360" w:lineRule="auto"/>
        <w:contextualSpacing/>
        <w:jc w:val="both"/>
        <w:rPr>
          <w:rFonts w:ascii="Cambria" w:hAnsi="Cambria" w:cstheme="minorHAnsi"/>
          <w:b/>
          <w:sz w:val="20"/>
          <w:szCs w:val="20"/>
          <w:lang w:val="en-GB"/>
        </w:rPr>
      </w:pPr>
      <w:r w:rsidRPr="00C73B2B">
        <w:rPr>
          <w:rFonts w:ascii="Cambria" w:hAnsi="Cambria" w:cstheme="minorHAnsi"/>
          <w:bCs/>
          <w:sz w:val="20"/>
          <w:szCs w:val="20"/>
          <w:lang w:val="en-GB"/>
        </w:rPr>
        <w:t>Recognising the need to invest in long term strategic plans</w:t>
      </w:r>
      <w:r w:rsidR="007E78D1">
        <w:rPr>
          <w:rFonts w:ascii="Cambria" w:hAnsi="Cambria" w:cstheme="minorHAnsi"/>
          <w:bCs/>
          <w:sz w:val="20"/>
          <w:szCs w:val="20"/>
          <w:lang w:val="en-GB"/>
        </w:rPr>
        <w:t>,</w:t>
      </w:r>
      <w:r w:rsidRPr="00C73B2B">
        <w:rPr>
          <w:rFonts w:ascii="Cambria" w:hAnsi="Cambria" w:cstheme="minorHAnsi"/>
          <w:bCs/>
          <w:sz w:val="20"/>
          <w:szCs w:val="20"/>
          <w:lang w:val="en-GB"/>
        </w:rPr>
        <w:t xml:space="preserve"> combined with institutional/infrastructure development</w:t>
      </w:r>
      <w:r w:rsidR="007E78D1">
        <w:rPr>
          <w:rFonts w:ascii="Cambria" w:hAnsi="Cambria" w:cstheme="minorHAnsi"/>
          <w:bCs/>
          <w:sz w:val="20"/>
          <w:szCs w:val="20"/>
          <w:lang w:val="en-GB"/>
        </w:rPr>
        <w:t>,</w:t>
      </w:r>
      <w:r w:rsidRPr="00C73B2B">
        <w:rPr>
          <w:rFonts w:ascii="Cambria" w:hAnsi="Cambria" w:cstheme="minorHAnsi"/>
          <w:bCs/>
          <w:sz w:val="20"/>
          <w:szCs w:val="20"/>
          <w:lang w:val="en-GB"/>
        </w:rPr>
        <w:t xml:space="preserve"> the Portfolio </w:t>
      </w:r>
      <w:r w:rsidR="00B02C22" w:rsidRPr="00C73B2B">
        <w:rPr>
          <w:rFonts w:ascii="Cambria" w:hAnsi="Cambria" w:cstheme="minorHAnsi"/>
          <w:bCs/>
          <w:sz w:val="20"/>
          <w:szCs w:val="20"/>
          <w:lang w:val="en-GB"/>
        </w:rPr>
        <w:t xml:space="preserve">made the following contributions namely; </w:t>
      </w:r>
      <w:r w:rsidRPr="00C73B2B">
        <w:rPr>
          <w:rFonts w:ascii="Cambria" w:hAnsi="Cambria" w:cstheme="minorHAnsi"/>
          <w:bCs/>
          <w:sz w:val="20"/>
          <w:szCs w:val="20"/>
          <w:lang w:val="en-GB"/>
        </w:rPr>
        <w:t xml:space="preserve">establishing SOCs, a new communications department, recruitment of skilled staff for Media and Outreach Units and developing a </w:t>
      </w:r>
      <w:r w:rsidR="007E78D1" w:rsidRPr="00C73B2B">
        <w:rPr>
          <w:rFonts w:ascii="Cambria" w:hAnsi="Cambria" w:cstheme="minorHAnsi"/>
          <w:bCs/>
          <w:sz w:val="20"/>
          <w:szCs w:val="20"/>
          <w:lang w:val="en-GB"/>
        </w:rPr>
        <w:t>long-term</w:t>
      </w:r>
      <w:r w:rsidRPr="00C73B2B">
        <w:rPr>
          <w:rFonts w:ascii="Cambria" w:hAnsi="Cambria" w:cstheme="minorHAnsi"/>
          <w:bCs/>
          <w:sz w:val="20"/>
          <w:szCs w:val="20"/>
          <w:lang w:val="en-GB"/>
        </w:rPr>
        <w:t xml:space="preserve"> communications strategy for parliament to improve inclusivity</w:t>
      </w:r>
      <w:r w:rsidR="00B02C22" w:rsidRPr="00C73B2B">
        <w:rPr>
          <w:rFonts w:ascii="Cambria" w:hAnsi="Cambria" w:cstheme="minorHAnsi"/>
          <w:bCs/>
          <w:sz w:val="20"/>
          <w:szCs w:val="20"/>
          <w:lang w:val="en-GB"/>
        </w:rPr>
        <w:t>,</w:t>
      </w:r>
      <w:r w:rsidRPr="00C73B2B">
        <w:rPr>
          <w:rFonts w:ascii="Cambria" w:hAnsi="Cambria" w:cstheme="minorHAnsi"/>
          <w:bCs/>
          <w:sz w:val="20"/>
          <w:szCs w:val="20"/>
          <w:lang w:val="en-GB"/>
        </w:rPr>
        <w:t xml:space="preserve"> through interactions between PS and parliamentarians and MPs and media, civil society groups and community groups</w:t>
      </w:r>
      <w:r w:rsidR="00B02C22" w:rsidRPr="00C73B2B">
        <w:rPr>
          <w:rFonts w:ascii="Cambria" w:hAnsi="Cambria" w:cstheme="minorHAnsi"/>
          <w:bCs/>
          <w:sz w:val="20"/>
          <w:szCs w:val="20"/>
          <w:lang w:val="en-GB"/>
        </w:rPr>
        <w:t xml:space="preserve">. These strategies have </w:t>
      </w:r>
      <w:r w:rsidRPr="00C73B2B">
        <w:rPr>
          <w:rFonts w:ascii="Cambria" w:hAnsi="Cambria" w:cstheme="minorHAnsi"/>
          <w:bCs/>
          <w:sz w:val="20"/>
          <w:szCs w:val="20"/>
          <w:lang w:val="en-GB"/>
        </w:rPr>
        <w:t xml:space="preserve">strengthened policy oversight and direction to enhance effectiveness of public engagement especially </w:t>
      </w:r>
      <w:r w:rsidRPr="00C73B2B">
        <w:rPr>
          <w:rFonts w:ascii="Cambria" w:hAnsi="Cambria" w:cstheme="minorHAnsi"/>
          <w:bCs/>
          <w:i/>
          <w:iCs/>
          <w:sz w:val="20"/>
          <w:szCs w:val="20"/>
          <w:lang w:val="en-GB"/>
        </w:rPr>
        <w:t>via</w:t>
      </w:r>
      <w:r w:rsidRPr="00C73B2B">
        <w:rPr>
          <w:rFonts w:ascii="Cambria" w:hAnsi="Cambria" w:cstheme="minorHAnsi"/>
          <w:bCs/>
          <w:sz w:val="20"/>
          <w:szCs w:val="20"/>
          <w:lang w:val="en-GB"/>
        </w:rPr>
        <w:t xml:space="preserve"> mainstream and social media platforms.</w:t>
      </w:r>
      <w:r w:rsidRPr="00223CBF">
        <w:rPr>
          <w:rFonts w:ascii="Cambria" w:hAnsi="Cambria" w:cstheme="minorHAnsi"/>
          <w:bCs/>
          <w:sz w:val="20"/>
          <w:szCs w:val="20"/>
          <w:lang w:val="en-GB"/>
        </w:rPr>
        <w:t xml:space="preserve"> </w:t>
      </w:r>
    </w:p>
    <w:tbl>
      <w:tblPr>
        <w:tblStyle w:val="TableGrid"/>
        <w:tblW w:w="0" w:type="auto"/>
        <w:tblLook w:val="04A0" w:firstRow="1" w:lastRow="0" w:firstColumn="1" w:lastColumn="0" w:noHBand="0" w:noVBand="1"/>
      </w:tblPr>
      <w:tblGrid>
        <w:gridCol w:w="9350"/>
      </w:tblGrid>
      <w:tr w:rsidR="00997030" w14:paraId="474E98E0" w14:textId="77777777" w:rsidTr="008B166E">
        <w:tc>
          <w:tcPr>
            <w:tcW w:w="9350" w:type="dxa"/>
            <w:tcBorders>
              <w:top w:val="nil"/>
              <w:left w:val="nil"/>
              <w:bottom w:val="nil"/>
              <w:right w:val="nil"/>
            </w:tcBorders>
            <w:shd w:val="clear" w:color="auto" w:fill="FFC000"/>
          </w:tcPr>
          <w:p w14:paraId="43163DD3" w14:textId="09DADBCB" w:rsidR="00997030" w:rsidRDefault="00997030" w:rsidP="00223CBF">
            <w:pPr>
              <w:spacing w:line="360" w:lineRule="auto"/>
              <w:jc w:val="both"/>
              <w:rPr>
                <w:rFonts w:ascii="Cambria" w:hAnsi="Cambria" w:cstheme="minorHAnsi"/>
                <w:bCs/>
                <w:sz w:val="20"/>
                <w:szCs w:val="20"/>
                <w:lang w:val="en-GB"/>
              </w:rPr>
            </w:pPr>
            <w:r w:rsidRPr="00223CBF">
              <w:rPr>
                <w:rFonts w:ascii="Cambria" w:hAnsi="Cambria" w:cstheme="minorHAnsi"/>
                <w:bCs/>
                <w:sz w:val="20"/>
                <w:szCs w:val="20"/>
                <w:lang w:val="en-GB"/>
              </w:rPr>
              <w:t xml:space="preserve">KPIs inform that the development and improvement of online platforms such as the permanent media coverage of parliamentary proceedings, parliament website, Twitter accounts and Instagram accounts for committee proceedings, Facebook and Facebook live, etc. has broadened its audience, appealing to young men and women and changing the way </w:t>
            </w:r>
            <w:r w:rsidRPr="00223CBF">
              <w:rPr>
                <w:rFonts w:ascii="Cambria" w:hAnsi="Cambria" w:cstheme="minorHAnsi"/>
                <w:bCs/>
                <w:i/>
                <w:iCs/>
                <w:sz w:val="20"/>
                <w:szCs w:val="20"/>
                <w:lang w:val="en-GB"/>
              </w:rPr>
              <w:t>‘parliament conducts business’</w:t>
            </w:r>
            <w:r w:rsidRPr="00223CBF">
              <w:rPr>
                <w:rFonts w:ascii="Cambria" w:hAnsi="Cambria" w:cstheme="minorHAnsi"/>
                <w:bCs/>
                <w:sz w:val="20"/>
                <w:szCs w:val="20"/>
                <w:lang w:val="en-GB"/>
              </w:rPr>
              <w:t xml:space="preserve">. </w:t>
            </w:r>
          </w:p>
        </w:tc>
      </w:tr>
    </w:tbl>
    <w:p w14:paraId="4B43DD70" w14:textId="1865F8E2" w:rsidR="00223CBF" w:rsidRPr="00223CBF" w:rsidRDefault="00223CBF" w:rsidP="00223CBF">
      <w:pPr>
        <w:spacing w:line="360" w:lineRule="auto"/>
        <w:jc w:val="both"/>
        <w:rPr>
          <w:rFonts w:ascii="Cambria" w:hAnsi="Cambria" w:cstheme="minorHAnsi"/>
          <w:sz w:val="20"/>
          <w:szCs w:val="20"/>
        </w:rPr>
      </w:pPr>
      <w:r w:rsidRPr="00223CBF">
        <w:rPr>
          <w:rFonts w:ascii="Cambria" w:hAnsi="Cambria" w:cstheme="minorHAnsi"/>
          <w:bCs/>
          <w:sz w:val="20"/>
          <w:szCs w:val="20"/>
          <w:lang w:val="en-GB"/>
        </w:rPr>
        <w:lastRenderedPageBreak/>
        <w:t xml:space="preserve">In addition to the effective functioning of the communications department in the first phase of the project the visibility of parliament </w:t>
      </w:r>
      <w:r w:rsidR="007E78D1">
        <w:rPr>
          <w:rFonts w:ascii="Cambria" w:hAnsi="Cambria" w:cstheme="minorHAnsi"/>
          <w:bCs/>
          <w:sz w:val="20"/>
          <w:szCs w:val="20"/>
          <w:lang w:val="en-GB"/>
        </w:rPr>
        <w:t xml:space="preserve">was </w:t>
      </w:r>
      <w:r w:rsidRPr="00223CBF">
        <w:rPr>
          <w:rFonts w:ascii="Cambria" w:hAnsi="Cambria" w:cstheme="minorHAnsi"/>
          <w:bCs/>
          <w:sz w:val="20"/>
          <w:szCs w:val="20"/>
          <w:lang w:val="en-GB"/>
        </w:rPr>
        <w:t>also effectively changed due to unveiling of restrictions and granting access to committees such as SOC on Women and Gender.</w:t>
      </w:r>
      <w:r w:rsidRPr="00223CBF">
        <w:rPr>
          <w:rStyle w:val="FootnoteReference"/>
          <w:rFonts w:ascii="Cambria" w:hAnsi="Cambria" w:cstheme="minorHAnsi"/>
          <w:bCs/>
          <w:sz w:val="20"/>
          <w:szCs w:val="20"/>
          <w:lang w:val="en-GB"/>
        </w:rPr>
        <w:footnoteReference w:id="40"/>
      </w:r>
      <w:r w:rsidRPr="00223CBF">
        <w:rPr>
          <w:rFonts w:ascii="Cambria" w:hAnsi="Cambria" w:cstheme="minorHAnsi"/>
          <w:bCs/>
          <w:sz w:val="20"/>
          <w:szCs w:val="20"/>
          <w:lang w:val="en-GB"/>
        </w:rPr>
        <w:t xml:space="preserve"> </w:t>
      </w:r>
    </w:p>
    <w:p w14:paraId="0592DC18" w14:textId="7B2FCA72" w:rsidR="00223CBF" w:rsidRPr="00223CBF" w:rsidRDefault="00223CBF" w:rsidP="00223CBF">
      <w:pPr>
        <w:pStyle w:val="BodyText"/>
        <w:spacing w:line="360" w:lineRule="auto"/>
        <w:contextualSpacing/>
        <w:jc w:val="both"/>
        <w:rPr>
          <w:rFonts w:ascii="Cambria" w:hAnsi="Cambria" w:cstheme="minorHAnsi"/>
          <w:sz w:val="20"/>
          <w:szCs w:val="20"/>
        </w:rPr>
      </w:pPr>
      <w:r w:rsidRPr="00223CBF">
        <w:rPr>
          <w:rFonts w:ascii="Cambria" w:hAnsi="Cambria" w:cstheme="minorHAnsi"/>
          <w:bCs/>
          <w:sz w:val="20"/>
          <w:szCs w:val="20"/>
          <w:lang w:val="en-GB"/>
        </w:rPr>
        <w:t>Institutional and systems development was combined with extensive training on IT for staff of the Communications Department and general capacity building to implement the communications strategy</w:t>
      </w:r>
      <w:r w:rsidR="00B02C22">
        <w:rPr>
          <w:rFonts w:ascii="Cambria" w:hAnsi="Cambria" w:cstheme="minorHAnsi"/>
          <w:bCs/>
          <w:sz w:val="20"/>
          <w:szCs w:val="20"/>
          <w:lang w:val="en-GB"/>
        </w:rPr>
        <w:t>. C</w:t>
      </w:r>
      <w:r w:rsidRPr="00223CBF">
        <w:rPr>
          <w:rFonts w:ascii="Cambria" w:hAnsi="Cambria" w:cstheme="minorHAnsi"/>
          <w:bCs/>
          <w:sz w:val="20"/>
          <w:szCs w:val="20"/>
          <w:lang w:val="en-GB"/>
        </w:rPr>
        <w:t>apacity development for MPs</w:t>
      </w:r>
      <w:r w:rsidR="007E78D1">
        <w:rPr>
          <w:rFonts w:ascii="Cambria" w:hAnsi="Cambria" w:cstheme="minorHAnsi"/>
          <w:bCs/>
          <w:sz w:val="20"/>
          <w:szCs w:val="20"/>
          <w:lang w:val="en-GB"/>
        </w:rPr>
        <w:t>,</w:t>
      </w:r>
      <w:r w:rsidRPr="00223CBF">
        <w:rPr>
          <w:rFonts w:ascii="Cambria" w:hAnsi="Cambria" w:cstheme="minorHAnsi"/>
          <w:bCs/>
          <w:sz w:val="20"/>
          <w:szCs w:val="20"/>
          <w:lang w:val="en-GB"/>
        </w:rPr>
        <w:t xml:space="preserve"> through the orientation programme for new parliamentarians was also revamped. IPs highlighted </w:t>
      </w:r>
      <w:r w:rsidRPr="00223CBF">
        <w:rPr>
          <w:rFonts w:ascii="Cambria" w:hAnsi="Cambria" w:cstheme="minorHAnsi"/>
          <w:sz w:val="20"/>
          <w:szCs w:val="20"/>
        </w:rPr>
        <w:t>that, concrete and modern communication platforms developed by the Media and Outreach units of the Communications Department</w:t>
      </w:r>
      <w:r w:rsidRPr="00223CBF">
        <w:rPr>
          <w:rFonts w:ascii="Cambria" w:hAnsi="Cambria" w:cstheme="minorHAnsi"/>
          <w:color w:val="4A66AC" w:themeColor="accent1"/>
          <w:sz w:val="20"/>
          <w:szCs w:val="20"/>
        </w:rPr>
        <w:t>,</w:t>
      </w:r>
      <w:r w:rsidRPr="00223CBF">
        <w:rPr>
          <w:rFonts w:ascii="Cambria" w:hAnsi="Cambria" w:cstheme="minorHAnsi"/>
          <w:sz w:val="20"/>
          <w:szCs w:val="20"/>
        </w:rPr>
        <w:t xml:space="preserve"> has alter</w:t>
      </w:r>
      <w:r w:rsidR="007E78D1">
        <w:rPr>
          <w:rFonts w:ascii="Cambria" w:hAnsi="Cambria" w:cstheme="minorHAnsi"/>
          <w:sz w:val="20"/>
          <w:szCs w:val="20"/>
        </w:rPr>
        <w:t>ed</w:t>
      </w:r>
      <w:r w:rsidRPr="00223CBF">
        <w:rPr>
          <w:rFonts w:ascii="Cambria" w:hAnsi="Cambria" w:cstheme="minorHAnsi"/>
          <w:sz w:val="20"/>
          <w:szCs w:val="20"/>
        </w:rPr>
        <w:t xml:space="preserve"> the attitude</w:t>
      </w:r>
      <w:r w:rsidR="007E78D1">
        <w:rPr>
          <w:rFonts w:ascii="Cambria" w:hAnsi="Cambria" w:cstheme="minorHAnsi"/>
          <w:sz w:val="20"/>
          <w:szCs w:val="20"/>
        </w:rPr>
        <w:t>s</w:t>
      </w:r>
      <w:r w:rsidRPr="00223CBF">
        <w:rPr>
          <w:rFonts w:ascii="Cambria" w:hAnsi="Cambria" w:cstheme="minorHAnsi"/>
          <w:sz w:val="20"/>
          <w:szCs w:val="20"/>
        </w:rPr>
        <w:t xml:space="preserve"> of PS staff to minimise barriers to access to parliament.  </w:t>
      </w:r>
    </w:p>
    <w:p w14:paraId="6E12465A" w14:textId="2011BA04" w:rsidR="00223CBF" w:rsidRPr="00223CBF" w:rsidRDefault="00223CBF" w:rsidP="00223CBF">
      <w:pPr>
        <w:spacing w:line="360" w:lineRule="auto"/>
        <w:jc w:val="both"/>
        <w:rPr>
          <w:rFonts w:ascii="Cambria" w:hAnsi="Cambria" w:cstheme="minorHAnsi"/>
          <w:sz w:val="20"/>
          <w:szCs w:val="20"/>
        </w:rPr>
      </w:pPr>
      <w:r w:rsidRPr="00223CBF">
        <w:rPr>
          <w:rFonts w:ascii="Cambria" w:hAnsi="Cambria" w:cstheme="minorHAnsi"/>
          <w:sz w:val="20"/>
          <w:szCs w:val="20"/>
        </w:rPr>
        <w:t xml:space="preserve">The Portfolio exploited the committee system and was able to effectively influence the establishment of a </w:t>
      </w:r>
      <w:r w:rsidR="00E7754B">
        <w:rPr>
          <w:rFonts w:ascii="Cambria" w:hAnsi="Cambria" w:cstheme="minorHAnsi"/>
          <w:sz w:val="20"/>
          <w:szCs w:val="20"/>
        </w:rPr>
        <w:t>Parliamentary S</w:t>
      </w:r>
      <w:r w:rsidRPr="00223CBF">
        <w:rPr>
          <w:rFonts w:ascii="Cambria" w:hAnsi="Cambria" w:cstheme="minorHAnsi"/>
          <w:sz w:val="20"/>
          <w:szCs w:val="20"/>
        </w:rPr>
        <w:t xml:space="preserve">elect </w:t>
      </w:r>
      <w:r w:rsidR="00E7754B">
        <w:rPr>
          <w:rFonts w:ascii="Cambria" w:hAnsi="Cambria" w:cstheme="minorHAnsi"/>
          <w:sz w:val="20"/>
          <w:szCs w:val="20"/>
        </w:rPr>
        <w:t>C</w:t>
      </w:r>
      <w:r w:rsidRPr="00223CBF">
        <w:rPr>
          <w:rFonts w:ascii="Cambria" w:hAnsi="Cambria" w:cstheme="minorHAnsi"/>
          <w:sz w:val="20"/>
          <w:szCs w:val="20"/>
        </w:rPr>
        <w:t>ommittee</w:t>
      </w:r>
      <w:r w:rsidR="00E7754B">
        <w:rPr>
          <w:rFonts w:ascii="Cambria" w:hAnsi="Cambria" w:cstheme="minorHAnsi"/>
          <w:sz w:val="20"/>
          <w:szCs w:val="20"/>
        </w:rPr>
        <w:t xml:space="preserve"> (PSC)</w:t>
      </w:r>
      <w:r w:rsidRPr="00223CBF">
        <w:rPr>
          <w:rFonts w:ascii="Cambria" w:hAnsi="Cambria" w:cstheme="minorHAnsi"/>
          <w:sz w:val="20"/>
          <w:szCs w:val="20"/>
        </w:rPr>
        <w:t xml:space="preserve"> on SDGs to improve monitoring and evaluation of line ministries through parliament. Technical support to streamline procedures</w:t>
      </w:r>
      <w:r w:rsidR="007E78D1">
        <w:rPr>
          <w:rFonts w:ascii="Cambria" w:hAnsi="Cambria" w:cstheme="minorHAnsi"/>
          <w:sz w:val="20"/>
          <w:szCs w:val="20"/>
        </w:rPr>
        <w:t>,</w:t>
      </w:r>
      <w:r w:rsidRPr="00223CBF">
        <w:rPr>
          <w:rFonts w:ascii="Cambria" w:hAnsi="Cambria" w:cstheme="minorHAnsi"/>
          <w:sz w:val="20"/>
          <w:szCs w:val="20"/>
        </w:rPr>
        <w:t xml:space="preserve"> to collect and collate information with relevant MPs responsible for meeting targets</w:t>
      </w:r>
      <w:r w:rsidR="007E78D1">
        <w:rPr>
          <w:rFonts w:ascii="Cambria" w:hAnsi="Cambria" w:cstheme="minorHAnsi"/>
          <w:sz w:val="20"/>
          <w:szCs w:val="20"/>
        </w:rPr>
        <w:t>,</w:t>
      </w:r>
      <w:r w:rsidRPr="00223CBF">
        <w:rPr>
          <w:rFonts w:ascii="Cambria" w:hAnsi="Cambria" w:cstheme="minorHAnsi"/>
          <w:sz w:val="20"/>
          <w:szCs w:val="20"/>
        </w:rPr>
        <w:t xml:space="preserve"> was crucial and relevant to maintain interest and oversight of its implementation. For example, discussions with regard to budgets and funding for the implementation of the SDGs, resulted in mainstreaming SDGs into </w:t>
      </w:r>
      <w:r w:rsidR="00E7754B">
        <w:rPr>
          <w:rFonts w:ascii="Cambria" w:hAnsi="Cambria" w:cstheme="minorHAnsi"/>
          <w:sz w:val="20"/>
          <w:szCs w:val="20"/>
        </w:rPr>
        <w:t xml:space="preserve">the </w:t>
      </w:r>
      <w:r w:rsidRPr="00223CBF">
        <w:rPr>
          <w:rFonts w:ascii="Cambria" w:hAnsi="Cambria" w:cstheme="minorHAnsi"/>
          <w:sz w:val="20"/>
          <w:szCs w:val="20"/>
        </w:rPr>
        <w:t>National Budget call in 2019, which incorporated a template requiring government institutions to align budget estimates with SDG targets.</w:t>
      </w:r>
    </w:p>
    <w:p w14:paraId="4E21EF65" w14:textId="38064E74" w:rsidR="00223CBF" w:rsidRPr="00223CBF" w:rsidRDefault="00223CBF" w:rsidP="00223CBF">
      <w:pPr>
        <w:spacing w:line="360" w:lineRule="auto"/>
        <w:jc w:val="both"/>
        <w:rPr>
          <w:rFonts w:ascii="Cambria" w:hAnsi="Cambria" w:cstheme="minorHAnsi"/>
          <w:b/>
          <w:bCs/>
          <w:color w:val="4A66AC" w:themeColor="accent1"/>
          <w:sz w:val="20"/>
          <w:szCs w:val="20"/>
        </w:rPr>
      </w:pPr>
      <w:r w:rsidRPr="00223CBF">
        <w:rPr>
          <w:rFonts w:ascii="Cambria" w:eastAsia="Times New Roman" w:hAnsi="Cambria" w:cstheme="minorHAnsi"/>
          <w:sz w:val="20"/>
          <w:szCs w:val="20"/>
        </w:rPr>
        <w:t>The effectiveness of these interventions</w:t>
      </w:r>
      <w:r w:rsidR="007E78D1">
        <w:rPr>
          <w:rFonts w:ascii="Cambria" w:eastAsia="Times New Roman" w:hAnsi="Cambria" w:cstheme="minorHAnsi"/>
          <w:sz w:val="20"/>
          <w:szCs w:val="20"/>
        </w:rPr>
        <w:t>,</w:t>
      </w:r>
      <w:r w:rsidRPr="00223CBF">
        <w:rPr>
          <w:rFonts w:ascii="Cambria" w:eastAsia="Times New Roman" w:hAnsi="Cambria" w:cstheme="minorHAnsi"/>
          <w:sz w:val="20"/>
          <w:szCs w:val="20"/>
        </w:rPr>
        <w:t xml:space="preserve"> may be strengthened by a clearer identification of what is required to fulfill national and international human rights obligations and developing clear</w:t>
      </w:r>
      <w:r w:rsidR="00E7754B">
        <w:rPr>
          <w:rFonts w:ascii="Cambria" w:eastAsia="Times New Roman" w:hAnsi="Cambria" w:cstheme="minorHAnsi"/>
          <w:sz w:val="20"/>
          <w:szCs w:val="20"/>
        </w:rPr>
        <w:t>er</w:t>
      </w:r>
      <w:r w:rsidRPr="00223CBF">
        <w:rPr>
          <w:rFonts w:ascii="Cambria" w:eastAsia="Times New Roman" w:hAnsi="Cambria" w:cstheme="minorHAnsi"/>
          <w:sz w:val="20"/>
          <w:szCs w:val="20"/>
        </w:rPr>
        <w:t xml:space="preserve"> plans to realise the</w:t>
      </w:r>
      <w:r w:rsidR="00E7754B">
        <w:rPr>
          <w:rFonts w:ascii="Cambria" w:eastAsia="Times New Roman" w:hAnsi="Cambria" w:cstheme="minorHAnsi"/>
          <w:sz w:val="20"/>
          <w:szCs w:val="20"/>
        </w:rPr>
        <w:t>m</w:t>
      </w:r>
      <w:r w:rsidRPr="00223CBF">
        <w:rPr>
          <w:rFonts w:ascii="Cambria" w:eastAsia="Times New Roman" w:hAnsi="Cambria" w:cstheme="minorHAnsi"/>
          <w:sz w:val="20"/>
          <w:szCs w:val="20"/>
        </w:rPr>
        <w:t>. This should include</w:t>
      </w:r>
      <w:r w:rsidR="007E78D1">
        <w:rPr>
          <w:rFonts w:ascii="Cambria" w:eastAsia="Times New Roman" w:hAnsi="Cambria" w:cstheme="minorHAnsi"/>
          <w:sz w:val="20"/>
          <w:szCs w:val="20"/>
        </w:rPr>
        <w:t>;</w:t>
      </w:r>
      <w:r w:rsidRPr="00223CBF">
        <w:rPr>
          <w:rFonts w:ascii="Cambria" w:eastAsia="Times New Roman" w:hAnsi="Cambria" w:cstheme="minorHAnsi"/>
          <w:sz w:val="20"/>
          <w:szCs w:val="20"/>
        </w:rPr>
        <w:t xml:space="preserve"> supporting capacity enhancement of institutional staff to implement such plans, </w:t>
      </w:r>
      <w:r w:rsidR="007E78D1">
        <w:rPr>
          <w:rFonts w:ascii="Cambria" w:eastAsia="Times New Roman" w:hAnsi="Cambria" w:cstheme="minorHAnsi"/>
          <w:sz w:val="20"/>
          <w:szCs w:val="20"/>
        </w:rPr>
        <w:t xml:space="preserve">and </w:t>
      </w:r>
      <w:r w:rsidRPr="00223CBF">
        <w:rPr>
          <w:rFonts w:ascii="Cambria" w:eastAsia="Times New Roman" w:hAnsi="Cambria" w:cstheme="minorHAnsi"/>
          <w:sz w:val="20"/>
          <w:szCs w:val="20"/>
        </w:rPr>
        <w:t>assessing how capacity enhancements are improving their work, which will also contribute to greater impact and sustainability of the actions.</w:t>
      </w:r>
    </w:p>
    <w:p w14:paraId="5829095F" w14:textId="752F623C" w:rsidR="00331FB6" w:rsidRPr="002B202B" w:rsidRDefault="00331FB6" w:rsidP="002B202B">
      <w:pPr>
        <w:spacing w:line="360" w:lineRule="auto"/>
        <w:jc w:val="both"/>
        <w:rPr>
          <w:rFonts w:ascii="Cambria" w:hAnsi="Cambria" w:cstheme="minorHAnsi"/>
          <w:b/>
          <w:color w:val="0070C0"/>
          <w:sz w:val="20"/>
          <w:szCs w:val="20"/>
          <w:lang w:val="en-GB"/>
        </w:rPr>
      </w:pPr>
    </w:p>
    <w:p w14:paraId="3C8E558E" w14:textId="6685B79A" w:rsidR="002B202B" w:rsidRPr="00223CBF" w:rsidRDefault="002B202B" w:rsidP="007C766E">
      <w:pPr>
        <w:pStyle w:val="ListParagraph"/>
        <w:numPr>
          <w:ilvl w:val="0"/>
          <w:numId w:val="2"/>
        </w:numPr>
        <w:spacing w:line="360" w:lineRule="auto"/>
        <w:jc w:val="both"/>
        <w:rPr>
          <w:rFonts w:ascii="Cambria" w:hAnsi="Cambria" w:cstheme="minorHAnsi"/>
          <w:color w:val="0070C0"/>
          <w:sz w:val="20"/>
          <w:szCs w:val="20"/>
        </w:rPr>
      </w:pPr>
      <w:bookmarkStart w:id="26" w:name="_Hlk56099616"/>
      <w:bookmarkEnd w:id="25"/>
      <w:r w:rsidRPr="00223CBF">
        <w:rPr>
          <w:rFonts w:ascii="Cambria" w:hAnsi="Cambria" w:cstheme="minorHAnsi"/>
          <w:b/>
          <w:bCs/>
          <w:color w:val="0070C0"/>
          <w:sz w:val="20"/>
          <w:szCs w:val="20"/>
          <w:lang w:val="en-GB"/>
        </w:rPr>
        <w:t xml:space="preserve">The extent to which identified priorities resonated and responded to the needs of beneficiaries </w:t>
      </w:r>
      <w:bookmarkEnd w:id="26"/>
      <w:r>
        <w:rPr>
          <w:rFonts w:ascii="Cambria" w:hAnsi="Cambria" w:cstheme="minorHAnsi"/>
          <w:b/>
          <w:bCs/>
          <w:color w:val="0070C0"/>
          <w:sz w:val="20"/>
          <w:szCs w:val="20"/>
          <w:lang w:val="en-GB"/>
        </w:rPr>
        <w:t xml:space="preserve">and the </w:t>
      </w:r>
      <w:r w:rsidRPr="00223CBF">
        <w:rPr>
          <w:rFonts w:ascii="Cambria" w:hAnsi="Cambria" w:cstheme="minorHAnsi"/>
          <w:b/>
          <w:color w:val="0070C0"/>
          <w:sz w:val="20"/>
          <w:szCs w:val="20"/>
          <w:lang w:val="en-GB"/>
        </w:rPr>
        <w:t>effectiveness of the partnership selection process</w:t>
      </w:r>
    </w:p>
    <w:p w14:paraId="28CB080D" w14:textId="5BB599BE" w:rsidR="004068A1" w:rsidRPr="004068A1" w:rsidRDefault="004068A1" w:rsidP="004068A1">
      <w:pPr>
        <w:spacing w:line="360" w:lineRule="auto"/>
        <w:jc w:val="both"/>
        <w:rPr>
          <w:rFonts w:ascii="Cambria" w:hAnsi="Cambria" w:cs="Arial"/>
          <w:color w:val="000000" w:themeColor="text1"/>
          <w:spacing w:val="4"/>
          <w:sz w:val="20"/>
          <w:szCs w:val="20"/>
          <w:shd w:val="clear" w:color="auto" w:fill="FEFEFE"/>
        </w:rPr>
      </w:pPr>
      <w:bookmarkStart w:id="27" w:name="_Hlk59037153"/>
      <w:r w:rsidRPr="00C73B2B">
        <w:rPr>
          <w:rFonts w:ascii="Cambria" w:hAnsi="Cambria" w:cs="Arial"/>
          <w:color w:val="000000" w:themeColor="text1"/>
          <w:spacing w:val="4"/>
          <w:sz w:val="20"/>
          <w:szCs w:val="20"/>
          <w:shd w:val="clear" w:color="auto" w:fill="FEFEFE"/>
        </w:rPr>
        <w:t>These</w:t>
      </w:r>
      <w:r w:rsidRPr="004068A1">
        <w:rPr>
          <w:rFonts w:ascii="Cambria" w:hAnsi="Cambria" w:cs="Arial"/>
          <w:color w:val="000000" w:themeColor="text1"/>
          <w:spacing w:val="4"/>
          <w:sz w:val="20"/>
          <w:szCs w:val="20"/>
          <w:shd w:val="clear" w:color="auto" w:fill="FEFEFE"/>
        </w:rPr>
        <w:t xml:space="preserve"> Outputs complemented each other and was mutually reinforcing, which contributed to its effectiveness as illustrated below.  </w:t>
      </w:r>
    </w:p>
    <w:bookmarkEnd w:id="27"/>
    <w:p w14:paraId="6195A40E" w14:textId="619C01B4" w:rsidR="004068A1" w:rsidRDefault="004068A1" w:rsidP="004068A1">
      <w:pPr>
        <w:spacing w:line="360" w:lineRule="auto"/>
        <w:jc w:val="both"/>
        <w:rPr>
          <w:rFonts w:ascii="Cambria" w:hAnsi="Cambria" w:cstheme="minorHAnsi"/>
          <w:sz w:val="20"/>
          <w:szCs w:val="20"/>
        </w:rPr>
      </w:pPr>
      <w:r w:rsidRPr="004068A1">
        <w:rPr>
          <w:rFonts w:ascii="Cambria" w:hAnsi="Cambria" w:cstheme="minorHAnsi"/>
          <w:sz w:val="20"/>
          <w:szCs w:val="20"/>
        </w:rPr>
        <w:lastRenderedPageBreak/>
        <w:t xml:space="preserve">Despite strong focus on design the Output was relatively weak in implementation, due to the inability of the </w:t>
      </w:r>
      <w:r w:rsidRPr="00C73B2B">
        <w:rPr>
          <w:rFonts w:ascii="Cambria" w:hAnsi="Cambria" w:cstheme="minorHAnsi"/>
          <w:sz w:val="20"/>
          <w:szCs w:val="20"/>
        </w:rPr>
        <w:t>interventions to adequately respond to the needs of CSOs, media and communities. KPIs observed that</w:t>
      </w:r>
      <w:r w:rsidR="002E5C0D">
        <w:rPr>
          <w:rFonts w:ascii="Cambria" w:hAnsi="Cambria" w:cstheme="minorHAnsi"/>
          <w:sz w:val="20"/>
          <w:szCs w:val="20"/>
        </w:rPr>
        <w:t>,</w:t>
      </w:r>
      <w:r w:rsidRPr="00C73B2B">
        <w:rPr>
          <w:rFonts w:ascii="Cambria" w:hAnsi="Cambria" w:cstheme="minorHAnsi"/>
          <w:sz w:val="20"/>
          <w:szCs w:val="20"/>
        </w:rPr>
        <w:t xml:space="preserve"> improving the responsiveness and inclusiveness of parliament to deliver its core functions to all its citizens through equitable and active participation was largely one sided.</w:t>
      </w:r>
      <w:r w:rsidRPr="004068A1">
        <w:rPr>
          <w:rFonts w:ascii="Cambria" w:hAnsi="Cambria" w:cstheme="minorHAnsi"/>
          <w:sz w:val="20"/>
          <w:szCs w:val="20"/>
        </w:rPr>
        <w:t xml:space="preserve"> </w:t>
      </w:r>
    </w:p>
    <w:p w14:paraId="100092B3" w14:textId="75DEC224" w:rsidR="004068A1" w:rsidRPr="004068A1" w:rsidRDefault="004068A1" w:rsidP="008B166E">
      <w:pPr>
        <w:shd w:val="clear" w:color="auto" w:fill="FFC000"/>
        <w:spacing w:line="360" w:lineRule="auto"/>
        <w:jc w:val="both"/>
        <w:rPr>
          <w:rFonts w:ascii="Cambria" w:hAnsi="Cambria" w:cstheme="minorHAnsi"/>
          <w:sz w:val="20"/>
          <w:szCs w:val="20"/>
        </w:rPr>
      </w:pPr>
      <w:r w:rsidRPr="004068A1">
        <w:rPr>
          <w:rFonts w:ascii="Cambria" w:hAnsi="Cambria" w:cstheme="minorHAnsi"/>
          <w:sz w:val="20"/>
          <w:szCs w:val="20"/>
        </w:rPr>
        <w:t>Targeted activities were aimed at institutional strengthening, systems and process development, capacity building and attitudinal change within parliament and its bureaucracy through the Speaker, MPs, SG and Staff. Simultaneous engagement with CSOs, the media and community groups that, has the capacity to reach grassroot level organisations and traditionally marginalised groups</w:t>
      </w:r>
      <w:r w:rsidR="002E5C0D">
        <w:rPr>
          <w:rFonts w:ascii="Cambria" w:hAnsi="Cambria" w:cstheme="minorHAnsi"/>
          <w:sz w:val="20"/>
          <w:szCs w:val="20"/>
        </w:rPr>
        <w:t>,</w:t>
      </w:r>
      <w:r w:rsidRPr="004068A1">
        <w:rPr>
          <w:rFonts w:ascii="Cambria" w:hAnsi="Cambria" w:cstheme="minorHAnsi"/>
          <w:sz w:val="20"/>
          <w:szCs w:val="20"/>
        </w:rPr>
        <w:t xml:space="preserve"> such as persons with disabilities, women’s groups, youth groups, etc.</w:t>
      </w:r>
      <w:r w:rsidR="002E5C0D">
        <w:rPr>
          <w:rFonts w:ascii="Cambria" w:hAnsi="Cambria" w:cstheme="minorHAnsi"/>
          <w:sz w:val="20"/>
          <w:szCs w:val="20"/>
        </w:rPr>
        <w:t>,</w:t>
      </w:r>
      <w:r w:rsidRPr="004068A1">
        <w:rPr>
          <w:rFonts w:ascii="Cambria" w:hAnsi="Cambria" w:cstheme="minorHAnsi"/>
          <w:sz w:val="20"/>
          <w:szCs w:val="20"/>
        </w:rPr>
        <w:t xml:space="preserve"> did not attract similar attention from the Outputs, except through limited awareness and outreach programmes. </w:t>
      </w:r>
    </w:p>
    <w:p w14:paraId="61B0B918" w14:textId="7DCAC5BA" w:rsidR="002B202B" w:rsidRPr="00223CBF" w:rsidRDefault="002B202B" w:rsidP="002B202B">
      <w:pPr>
        <w:spacing w:line="360" w:lineRule="auto"/>
        <w:jc w:val="both"/>
        <w:rPr>
          <w:rFonts w:ascii="Cambria" w:hAnsi="Cambria" w:cstheme="minorHAnsi"/>
          <w:sz w:val="20"/>
          <w:szCs w:val="20"/>
        </w:rPr>
      </w:pPr>
      <w:r w:rsidRPr="00223CBF">
        <w:rPr>
          <w:rFonts w:ascii="Cambria" w:hAnsi="Cambria" w:cstheme="minorHAnsi"/>
          <w:sz w:val="20"/>
          <w:szCs w:val="20"/>
        </w:rPr>
        <w:t>However, whilst the opportunity to engage more actively and aggressively with beneficiaries was less availed, feedback from interviews, reports and statistics of increased use of social media platforms by the public indicate</w:t>
      </w:r>
      <w:r w:rsidR="002E5C0D">
        <w:rPr>
          <w:rFonts w:ascii="Cambria" w:hAnsi="Cambria" w:cstheme="minorHAnsi"/>
          <w:sz w:val="20"/>
          <w:szCs w:val="20"/>
        </w:rPr>
        <w:t>,</w:t>
      </w:r>
      <w:r w:rsidRPr="00223CBF">
        <w:rPr>
          <w:rFonts w:ascii="Cambria" w:hAnsi="Cambria" w:cstheme="minorHAnsi"/>
          <w:sz w:val="20"/>
          <w:szCs w:val="20"/>
        </w:rPr>
        <w:t xml:space="preserve"> perceived value in the preliminary activities to improve space for citizen engagement in policy making.</w:t>
      </w:r>
      <w:r w:rsidR="00056242">
        <w:rPr>
          <w:rStyle w:val="FootnoteReference"/>
          <w:rFonts w:ascii="Cambria" w:hAnsi="Cambria" w:cstheme="minorHAnsi"/>
          <w:sz w:val="20"/>
          <w:szCs w:val="20"/>
        </w:rPr>
        <w:footnoteReference w:id="41"/>
      </w:r>
    </w:p>
    <w:p w14:paraId="1C646F86" w14:textId="14B2F2F9" w:rsidR="00223CBF" w:rsidRPr="00223CBF" w:rsidRDefault="00223CBF" w:rsidP="008B166E">
      <w:pPr>
        <w:shd w:val="clear" w:color="auto" w:fill="FFC000"/>
        <w:tabs>
          <w:tab w:val="left" w:pos="1080"/>
        </w:tabs>
        <w:spacing w:after="120" w:line="360" w:lineRule="auto"/>
        <w:jc w:val="both"/>
        <w:rPr>
          <w:rFonts w:ascii="Cambria" w:hAnsi="Cambria" w:cstheme="minorHAnsi"/>
          <w:bCs/>
          <w:sz w:val="20"/>
          <w:szCs w:val="20"/>
          <w:lang w:val="en-GB"/>
        </w:rPr>
      </w:pPr>
      <w:r w:rsidRPr="00223CBF">
        <w:rPr>
          <w:rFonts w:ascii="Cambria" w:hAnsi="Cambria" w:cstheme="minorHAnsi"/>
          <w:bCs/>
          <w:sz w:val="20"/>
          <w:szCs w:val="20"/>
          <w:lang w:val="en-GB"/>
        </w:rPr>
        <w:t xml:space="preserve">Interviews with IPs repeatedly acknowledged the existence of </w:t>
      </w:r>
      <w:r w:rsidR="00E54A55">
        <w:rPr>
          <w:rFonts w:ascii="Cambria" w:hAnsi="Cambria" w:cstheme="minorHAnsi"/>
          <w:bCs/>
          <w:sz w:val="20"/>
          <w:szCs w:val="20"/>
          <w:lang w:val="en-GB"/>
        </w:rPr>
        <w:t xml:space="preserve">a </w:t>
      </w:r>
      <w:r w:rsidR="00481166">
        <w:rPr>
          <w:rFonts w:ascii="Cambria" w:hAnsi="Cambria" w:cstheme="minorHAnsi"/>
          <w:bCs/>
          <w:sz w:val="20"/>
          <w:szCs w:val="20"/>
          <w:lang w:val="en-GB"/>
        </w:rPr>
        <w:t>trust-based</w:t>
      </w:r>
      <w:r w:rsidR="00E54A55">
        <w:rPr>
          <w:rFonts w:ascii="Cambria" w:hAnsi="Cambria" w:cstheme="minorHAnsi"/>
          <w:bCs/>
          <w:sz w:val="20"/>
          <w:szCs w:val="20"/>
          <w:lang w:val="en-GB"/>
        </w:rPr>
        <w:t xml:space="preserve"> relationship </w:t>
      </w:r>
      <w:r w:rsidRPr="00223CBF">
        <w:rPr>
          <w:rFonts w:ascii="Cambria" w:hAnsi="Cambria" w:cstheme="minorHAnsi"/>
          <w:bCs/>
          <w:sz w:val="20"/>
          <w:szCs w:val="20"/>
          <w:lang w:val="en-GB"/>
        </w:rPr>
        <w:t>with the UNDP</w:t>
      </w:r>
      <w:r w:rsidR="002E5C0D">
        <w:rPr>
          <w:rFonts w:ascii="Cambria" w:hAnsi="Cambria" w:cstheme="minorHAnsi"/>
          <w:bCs/>
          <w:sz w:val="20"/>
          <w:szCs w:val="20"/>
          <w:lang w:val="en-GB"/>
        </w:rPr>
        <w:t>.</w:t>
      </w:r>
      <w:r w:rsidRPr="00223CBF">
        <w:rPr>
          <w:rFonts w:ascii="Cambria" w:hAnsi="Cambria" w:cstheme="minorHAnsi"/>
          <w:bCs/>
          <w:sz w:val="20"/>
          <w:szCs w:val="20"/>
          <w:lang w:val="en-GB"/>
        </w:rPr>
        <w:t xml:space="preserve"> </w:t>
      </w:r>
      <w:r w:rsidRPr="00223CBF">
        <w:rPr>
          <w:rFonts w:ascii="Cambria" w:hAnsi="Cambria" w:cstheme="minorHAnsi"/>
          <w:sz w:val="20"/>
          <w:szCs w:val="20"/>
        </w:rPr>
        <w:t>UNDP’s role as a knowledge broker</w:t>
      </w:r>
      <w:r w:rsidR="002E5C0D">
        <w:rPr>
          <w:rFonts w:ascii="Cambria" w:hAnsi="Cambria" w:cstheme="minorHAnsi"/>
          <w:sz w:val="20"/>
          <w:szCs w:val="20"/>
        </w:rPr>
        <w:t xml:space="preserve"> (</w:t>
      </w:r>
      <w:r w:rsidRPr="00223CBF">
        <w:rPr>
          <w:rFonts w:ascii="Cambria" w:hAnsi="Cambria" w:cstheme="minorHAnsi"/>
          <w:sz w:val="20"/>
          <w:szCs w:val="20"/>
        </w:rPr>
        <w:t>drawing from global experience and networks</w:t>
      </w:r>
      <w:r w:rsidR="00481166">
        <w:rPr>
          <w:rFonts w:ascii="Cambria" w:hAnsi="Cambria" w:cstheme="minorHAnsi"/>
          <w:sz w:val="20"/>
          <w:szCs w:val="20"/>
        </w:rPr>
        <w:t>,</w:t>
      </w:r>
      <w:r w:rsidRPr="00223CBF">
        <w:rPr>
          <w:rFonts w:ascii="Cambria" w:hAnsi="Cambria" w:cstheme="minorHAnsi"/>
          <w:sz w:val="20"/>
          <w:szCs w:val="20"/>
        </w:rPr>
        <w:t xml:space="preserve"> long term partner and funder of governance initiatives </w:t>
      </w:r>
      <w:r w:rsidR="002E5C0D">
        <w:rPr>
          <w:rFonts w:ascii="Cambria" w:hAnsi="Cambria" w:cstheme="minorHAnsi"/>
          <w:sz w:val="20"/>
          <w:szCs w:val="20"/>
        </w:rPr>
        <w:t xml:space="preserve">) </w:t>
      </w:r>
      <w:r w:rsidRPr="00223CBF">
        <w:rPr>
          <w:rFonts w:ascii="Cambria" w:hAnsi="Cambria" w:cstheme="minorHAnsi"/>
          <w:sz w:val="20"/>
          <w:szCs w:val="20"/>
        </w:rPr>
        <w:t xml:space="preserve">and its role as convener and connector </w:t>
      </w:r>
      <w:r w:rsidR="002E5C0D">
        <w:rPr>
          <w:rFonts w:ascii="Cambria" w:hAnsi="Cambria" w:cstheme="minorHAnsi"/>
          <w:sz w:val="20"/>
          <w:szCs w:val="20"/>
        </w:rPr>
        <w:t>(</w:t>
      </w:r>
      <w:r w:rsidRPr="00223CBF">
        <w:rPr>
          <w:rFonts w:ascii="Cambria" w:hAnsi="Cambria" w:cstheme="minorHAnsi"/>
          <w:sz w:val="20"/>
          <w:szCs w:val="20"/>
        </w:rPr>
        <w:t>due to its ‘apolitical</w:t>
      </w:r>
      <w:r w:rsidR="00481166">
        <w:rPr>
          <w:rFonts w:ascii="Cambria" w:hAnsi="Cambria" w:cstheme="minorHAnsi"/>
          <w:sz w:val="20"/>
          <w:szCs w:val="20"/>
        </w:rPr>
        <w:t xml:space="preserve"> status</w:t>
      </w:r>
      <w:r w:rsidRPr="00223CBF">
        <w:rPr>
          <w:rFonts w:ascii="Cambria" w:hAnsi="Cambria" w:cstheme="minorHAnsi"/>
          <w:sz w:val="20"/>
          <w:szCs w:val="20"/>
        </w:rPr>
        <w:t>’</w:t>
      </w:r>
      <w:r w:rsidR="002E5C0D">
        <w:rPr>
          <w:rFonts w:ascii="Cambria" w:hAnsi="Cambria" w:cstheme="minorHAnsi"/>
          <w:sz w:val="20"/>
          <w:szCs w:val="20"/>
        </w:rPr>
        <w:t>)</w:t>
      </w:r>
      <w:r w:rsidRPr="00223CBF">
        <w:rPr>
          <w:rFonts w:ascii="Cambria" w:hAnsi="Cambria" w:cstheme="minorHAnsi"/>
          <w:sz w:val="20"/>
          <w:szCs w:val="20"/>
        </w:rPr>
        <w:t xml:space="preserve"> earned itself the role of facilitator</w:t>
      </w:r>
      <w:r w:rsidR="002E5C0D">
        <w:rPr>
          <w:rFonts w:ascii="Cambria" w:hAnsi="Cambria" w:cstheme="minorHAnsi"/>
          <w:sz w:val="20"/>
          <w:szCs w:val="20"/>
        </w:rPr>
        <w:t>,</w:t>
      </w:r>
      <w:r w:rsidRPr="00223CBF">
        <w:rPr>
          <w:rFonts w:ascii="Cambria" w:hAnsi="Cambria" w:cstheme="minorHAnsi"/>
          <w:sz w:val="20"/>
          <w:szCs w:val="20"/>
        </w:rPr>
        <w:t xml:space="preserve"> to coordinate all development partner engagement during the first phase of the Portfolio, which grounded its relationship with the leadership of the parliament and the PS.</w:t>
      </w:r>
    </w:p>
    <w:p w14:paraId="29723550" w14:textId="02B3B123" w:rsidR="004F5AE4" w:rsidRPr="00AC1452" w:rsidRDefault="004F5AE4" w:rsidP="004F5AE4">
      <w:pPr>
        <w:pStyle w:val="BodyText"/>
        <w:spacing w:line="360" w:lineRule="auto"/>
        <w:contextualSpacing/>
        <w:jc w:val="both"/>
        <w:rPr>
          <w:rFonts w:ascii="Cambria" w:hAnsi="Cambria" w:cstheme="minorHAnsi"/>
          <w:bCs/>
          <w:sz w:val="20"/>
          <w:szCs w:val="20"/>
          <w:lang w:val="en-GB"/>
        </w:rPr>
      </w:pPr>
      <w:r w:rsidRPr="00AC1452">
        <w:rPr>
          <w:rFonts w:ascii="Cambria" w:hAnsi="Cambria" w:cstheme="minorHAnsi"/>
          <w:bCs/>
          <w:sz w:val="20"/>
          <w:szCs w:val="20"/>
          <w:lang w:val="en-GB"/>
        </w:rPr>
        <w:t>For instance, strategic interventions to promote women and gender issues through the SOC was effective during the first phase of the project</w:t>
      </w:r>
      <w:r>
        <w:rPr>
          <w:rFonts w:ascii="Cambria" w:hAnsi="Cambria" w:cstheme="minorHAnsi"/>
          <w:bCs/>
          <w:sz w:val="20"/>
          <w:szCs w:val="20"/>
          <w:lang w:val="en-GB"/>
        </w:rPr>
        <w:t>,</w:t>
      </w:r>
      <w:r w:rsidRPr="00AC1452">
        <w:rPr>
          <w:rFonts w:ascii="Cambria" w:hAnsi="Cambria" w:cstheme="minorHAnsi"/>
          <w:bCs/>
          <w:sz w:val="20"/>
          <w:szCs w:val="20"/>
          <w:lang w:val="en-GB"/>
        </w:rPr>
        <w:t xml:space="preserve"> due to its consistent engagement with parliament through previous projects. The support to the SOC was combined with the efforts of the work done parallelly through UNDP’s project on W</w:t>
      </w:r>
      <w:r>
        <w:rPr>
          <w:rFonts w:ascii="Cambria" w:hAnsi="Cambria" w:cstheme="minorHAnsi"/>
          <w:bCs/>
          <w:sz w:val="20"/>
          <w:szCs w:val="20"/>
          <w:lang w:val="en-GB"/>
        </w:rPr>
        <w:t>PS</w:t>
      </w:r>
      <w:r w:rsidRPr="00AC1452">
        <w:rPr>
          <w:rFonts w:ascii="Cambria" w:hAnsi="Cambria" w:cstheme="minorHAnsi"/>
          <w:bCs/>
          <w:sz w:val="20"/>
          <w:szCs w:val="20"/>
          <w:lang w:val="en-GB"/>
        </w:rPr>
        <w:t>.</w:t>
      </w:r>
      <w:r w:rsidRPr="00AC1452">
        <w:rPr>
          <w:rFonts w:ascii="Cambria" w:hAnsi="Cambria" w:cstheme="minorHAnsi"/>
          <w:sz w:val="20"/>
          <w:szCs w:val="20"/>
        </w:rPr>
        <w:t xml:space="preserve"> Effective streamlining of committee proceedings and consultations and assistance to document proceedings</w:t>
      </w:r>
      <w:r w:rsidR="002E5C0D">
        <w:rPr>
          <w:rFonts w:ascii="Cambria" w:hAnsi="Cambria" w:cstheme="minorHAnsi"/>
          <w:sz w:val="20"/>
          <w:szCs w:val="20"/>
        </w:rPr>
        <w:t>,</w:t>
      </w:r>
      <w:r w:rsidRPr="00AC1452">
        <w:rPr>
          <w:rFonts w:ascii="Cambria" w:hAnsi="Cambria" w:cstheme="minorHAnsi"/>
          <w:sz w:val="20"/>
          <w:szCs w:val="20"/>
        </w:rPr>
        <w:t xml:space="preserve"> to be tabled in parliament for policy consideration</w:t>
      </w:r>
      <w:r w:rsidR="002E5C0D">
        <w:rPr>
          <w:rFonts w:ascii="Cambria" w:hAnsi="Cambria" w:cstheme="minorHAnsi"/>
          <w:sz w:val="20"/>
          <w:szCs w:val="20"/>
        </w:rPr>
        <w:t>,</w:t>
      </w:r>
      <w:r w:rsidRPr="00AC1452">
        <w:rPr>
          <w:rFonts w:ascii="Cambria" w:hAnsi="Cambria" w:cstheme="minorHAnsi"/>
          <w:sz w:val="20"/>
          <w:szCs w:val="20"/>
        </w:rPr>
        <w:t xml:space="preserve"> enabled t</w:t>
      </w:r>
      <w:r w:rsidRPr="00AC1452">
        <w:rPr>
          <w:rFonts w:ascii="Cambria" w:hAnsi="Cambria" w:cstheme="minorHAnsi"/>
          <w:bCs/>
          <w:sz w:val="20"/>
          <w:szCs w:val="20"/>
          <w:lang w:val="en-GB"/>
        </w:rPr>
        <w:t>he Committee, consisting of cross bench MPs to routinely invite civil society groups and conduct public consultations to solicit public opinion. KPIs remarked that</w:t>
      </w:r>
      <w:r w:rsidR="002E5C0D">
        <w:rPr>
          <w:rFonts w:ascii="Cambria" w:hAnsi="Cambria" w:cstheme="minorHAnsi"/>
          <w:bCs/>
          <w:sz w:val="20"/>
          <w:szCs w:val="20"/>
          <w:lang w:val="en-GB"/>
        </w:rPr>
        <w:t>,</w:t>
      </w:r>
      <w:r w:rsidRPr="00AC1452">
        <w:rPr>
          <w:rFonts w:ascii="Cambria" w:hAnsi="Cambria" w:cstheme="minorHAnsi"/>
          <w:bCs/>
          <w:sz w:val="20"/>
          <w:szCs w:val="20"/>
          <w:lang w:val="en-GB"/>
        </w:rPr>
        <w:t xml:space="preserve"> the effective functioning of the committee and activism paved the way for the drafting of three progressive private member Bills</w:t>
      </w:r>
      <w:r>
        <w:rPr>
          <w:rFonts w:ascii="Cambria" w:hAnsi="Cambria" w:cstheme="minorHAnsi"/>
          <w:bCs/>
          <w:sz w:val="20"/>
          <w:szCs w:val="20"/>
          <w:lang w:val="en-GB"/>
        </w:rPr>
        <w:t>.</w:t>
      </w:r>
      <w:r w:rsidRPr="00AC1452">
        <w:rPr>
          <w:rFonts w:ascii="Cambria" w:hAnsi="Cambria" w:cstheme="minorHAnsi"/>
          <w:bCs/>
          <w:sz w:val="20"/>
          <w:szCs w:val="20"/>
          <w:lang w:val="en-GB"/>
        </w:rPr>
        <w:t xml:space="preserve"> Effective collaboration between SOCs promoted policy dialogue and the opportunity to raise pressing issues relating to gender</w:t>
      </w:r>
      <w:r>
        <w:rPr>
          <w:rFonts w:ascii="Cambria" w:hAnsi="Cambria" w:cstheme="minorHAnsi"/>
          <w:bCs/>
          <w:sz w:val="20"/>
          <w:szCs w:val="20"/>
          <w:lang w:val="en-GB"/>
        </w:rPr>
        <w:t>,</w:t>
      </w:r>
      <w:r w:rsidRPr="00AC1452">
        <w:rPr>
          <w:rFonts w:ascii="Cambria" w:hAnsi="Cambria" w:cstheme="minorHAnsi"/>
          <w:bCs/>
          <w:sz w:val="20"/>
          <w:szCs w:val="20"/>
          <w:lang w:val="en-GB"/>
        </w:rPr>
        <w:t xml:space="preserve"> resulting sometimes in tangible outcomes</w:t>
      </w:r>
      <w:r w:rsidR="002E5C0D">
        <w:rPr>
          <w:rFonts w:ascii="Cambria" w:hAnsi="Cambria" w:cstheme="minorHAnsi"/>
          <w:bCs/>
          <w:sz w:val="20"/>
          <w:szCs w:val="20"/>
          <w:lang w:val="en-GB"/>
        </w:rPr>
        <w:t xml:space="preserve">. For instance, </w:t>
      </w:r>
      <w:r w:rsidRPr="00AC1452">
        <w:rPr>
          <w:rFonts w:ascii="Cambria" w:hAnsi="Cambria" w:cstheme="minorHAnsi"/>
          <w:bCs/>
          <w:sz w:val="20"/>
          <w:szCs w:val="20"/>
          <w:lang w:val="en-GB"/>
        </w:rPr>
        <w:t xml:space="preserve">increase in budget allocations for the MWCA to enforce the SGBV </w:t>
      </w:r>
      <w:r>
        <w:rPr>
          <w:rFonts w:ascii="Cambria" w:hAnsi="Cambria" w:cstheme="minorHAnsi"/>
          <w:bCs/>
          <w:sz w:val="20"/>
          <w:szCs w:val="20"/>
          <w:lang w:val="en-GB"/>
        </w:rPr>
        <w:t xml:space="preserve">Action </w:t>
      </w:r>
      <w:r w:rsidRPr="00AC1452">
        <w:rPr>
          <w:rFonts w:ascii="Cambria" w:hAnsi="Cambria" w:cstheme="minorHAnsi"/>
          <w:bCs/>
          <w:sz w:val="20"/>
          <w:szCs w:val="20"/>
          <w:lang w:val="en-GB"/>
        </w:rPr>
        <w:t xml:space="preserve">Plan </w:t>
      </w:r>
      <w:r>
        <w:rPr>
          <w:rFonts w:ascii="Cambria" w:hAnsi="Cambria" w:cstheme="minorHAnsi"/>
          <w:bCs/>
          <w:sz w:val="20"/>
          <w:szCs w:val="20"/>
          <w:lang w:val="en-GB"/>
        </w:rPr>
        <w:t xml:space="preserve">through </w:t>
      </w:r>
      <w:r w:rsidRPr="00AC1452">
        <w:rPr>
          <w:rFonts w:ascii="Cambria" w:hAnsi="Cambria" w:cstheme="minorHAnsi"/>
          <w:bCs/>
          <w:sz w:val="20"/>
          <w:szCs w:val="20"/>
          <w:lang w:val="en-GB"/>
        </w:rPr>
        <w:t xml:space="preserve">discussions with the SOC on Public Finance. </w:t>
      </w:r>
    </w:p>
    <w:p w14:paraId="1D73F42A" w14:textId="10347423" w:rsidR="004F5AE4" w:rsidRPr="00223CBF" w:rsidRDefault="004F5AE4" w:rsidP="004F5AE4">
      <w:pPr>
        <w:spacing w:line="360" w:lineRule="auto"/>
        <w:jc w:val="both"/>
        <w:rPr>
          <w:rFonts w:ascii="Cambria" w:hAnsi="Cambria" w:cstheme="minorHAnsi"/>
          <w:bCs/>
          <w:sz w:val="20"/>
          <w:szCs w:val="20"/>
          <w:lang w:val="en-GB"/>
        </w:rPr>
      </w:pPr>
      <w:r w:rsidRPr="00223CBF">
        <w:rPr>
          <w:rFonts w:ascii="Cambria" w:hAnsi="Cambria" w:cstheme="minorHAnsi"/>
          <w:sz w:val="20"/>
          <w:szCs w:val="20"/>
        </w:rPr>
        <w:lastRenderedPageBreak/>
        <w:t xml:space="preserve">However, </w:t>
      </w:r>
      <w:r w:rsidRPr="00223CBF">
        <w:rPr>
          <w:rFonts w:ascii="Cambria" w:hAnsi="Cambria" w:cstheme="minorHAnsi"/>
          <w:bCs/>
          <w:sz w:val="20"/>
          <w:szCs w:val="20"/>
          <w:lang w:val="en-GB"/>
        </w:rPr>
        <w:t>the activities identified were less effective in maximising reach of targeted communities. For instance, although the SOC on Women and Gender routinely invited CSOs to participate in proceedings</w:t>
      </w:r>
      <w:r w:rsidRPr="00223CBF">
        <w:rPr>
          <w:rFonts w:ascii="Cambria" w:hAnsi="Cambria" w:cstheme="minorHAnsi"/>
          <w:b/>
          <w:sz w:val="20"/>
          <w:szCs w:val="20"/>
          <w:lang w:val="en-GB"/>
        </w:rPr>
        <w:t xml:space="preserve">, </w:t>
      </w:r>
      <w:r w:rsidRPr="00223CBF">
        <w:rPr>
          <w:rFonts w:ascii="Cambria" w:hAnsi="Cambria" w:cstheme="minorHAnsi"/>
          <w:bCs/>
          <w:sz w:val="20"/>
          <w:szCs w:val="20"/>
          <w:lang w:val="en-GB"/>
        </w:rPr>
        <w:t>inviting public for discussions appeared to be at the discretion of the Chair</w:t>
      </w:r>
      <w:r w:rsidR="00F41638">
        <w:rPr>
          <w:rFonts w:ascii="Cambria" w:hAnsi="Cambria" w:cstheme="minorHAnsi"/>
          <w:bCs/>
          <w:sz w:val="20"/>
          <w:szCs w:val="20"/>
          <w:lang w:val="en-GB"/>
        </w:rPr>
        <w:t>,</w:t>
      </w:r>
      <w:r w:rsidRPr="00223CBF">
        <w:rPr>
          <w:rFonts w:ascii="Cambria" w:hAnsi="Cambria" w:cstheme="minorHAnsi"/>
          <w:bCs/>
          <w:sz w:val="20"/>
          <w:szCs w:val="20"/>
          <w:lang w:val="en-GB"/>
        </w:rPr>
        <w:t xml:space="preserve"> and not necessarily followed by all committees as a rule. Therefore, engagement was limited and selected</w:t>
      </w:r>
      <w:r w:rsidR="00F41638">
        <w:rPr>
          <w:rFonts w:ascii="Cambria" w:hAnsi="Cambria" w:cstheme="minorHAnsi"/>
          <w:bCs/>
          <w:sz w:val="20"/>
          <w:szCs w:val="20"/>
          <w:lang w:val="en-GB"/>
        </w:rPr>
        <w:t>,</w:t>
      </w:r>
      <w:r w:rsidRPr="00223CBF">
        <w:rPr>
          <w:rFonts w:ascii="Cambria" w:hAnsi="Cambria" w:cstheme="minorHAnsi"/>
          <w:bCs/>
          <w:sz w:val="20"/>
          <w:szCs w:val="20"/>
          <w:lang w:val="en-GB"/>
        </w:rPr>
        <w:t xml:space="preserve"> and engagement with broader groups on broader issues was limited through the system.  Logistical issues and mechanics relating to operations of SOCs also impeded its effectiveness.</w:t>
      </w:r>
    </w:p>
    <w:p w14:paraId="046AA848" w14:textId="1A3B3D42" w:rsidR="004F5AE4" w:rsidRPr="00223CBF" w:rsidRDefault="004F5AE4" w:rsidP="008B166E">
      <w:pPr>
        <w:shd w:val="clear" w:color="auto" w:fill="FFC000"/>
        <w:spacing w:line="360" w:lineRule="auto"/>
        <w:jc w:val="both"/>
        <w:rPr>
          <w:rFonts w:ascii="Cambria" w:hAnsi="Cambria" w:cstheme="minorHAnsi"/>
          <w:sz w:val="20"/>
          <w:szCs w:val="20"/>
        </w:rPr>
      </w:pPr>
      <w:r w:rsidRPr="00223CBF">
        <w:rPr>
          <w:rFonts w:ascii="Cambria" w:hAnsi="Cambria" w:cstheme="minorHAnsi"/>
          <w:bCs/>
          <w:sz w:val="20"/>
          <w:szCs w:val="20"/>
          <w:lang w:val="en-GB"/>
        </w:rPr>
        <w:t>Moreover, despite the establishment of SOCs and routine scrutiny of Bills by Committees, secondary data suggest that</w:t>
      </w:r>
      <w:r w:rsidR="00F41638">
        <w:rPr>
          <w:rFonts w:ascii="Cambria" w:hAnsi="Cambria" w:cstheme="minorHAnsi"/>
          <w:bCs/>
          <w:sz w:val="20"/>
          <w:szCs w:val="20"/>
          <w:lang w:val="en-GB"/>
        </w:rPr>
        <w:t>,</w:t>
      </w:r>
      <w:r w:rsidRPr="00223CBF">
        <w:rPr>
          <w:rFonts w:ascii="Cambria" w:hAnsi="Cambria" w:cstheme="minorHAnsi"/>
          <w:bCs/>
          <w:sz w:val="20"/>
          <w:szCs w:val="20"/>
          <w:lang w:val="en-GB"/>
        </w:rPr>
        <w:t xml:space="preserve"> civil society does not consider Parliament as a formidable forum for policy engagement</w:t>
      </w:r>
      <w:r w:rsidRPr="00AC1452">
        <w:rPr>
          <w:rStyle w:val="FootnoteReference"/>
          <w:rFonts w:ascii="Cambria" w:hAnsi="Cambria" w:cstheme="minorHAnsi"/>
          <w:bCs/>
          <w:sz w:val="20"/>
          <w:szCs w:val="20"/>
          <w:lang w:val="en-GB"/>
        </w:rPr>
        <w:footnoteReference w:id="42"/>
      </w:r>
      <w:r w:rsidRPr="00223CBF">
        <w:rPr>
          <w:rFonts w:ascii="Cambria" w:hAnsi="Cambria" w:cstheme="minorHAnsi"/>
          <w:bCs/>
          <w:sz w:val="20"/>
          <w:szCs w:val="20"/>
          <w:lang w:val="en-GB"/>
        </w:rPr>
        <w:t xml:space="preserve"> and relies heavily on ‘relationship-based access channels to powerful actors within government to secure operational space’</w:t>
      </w:r>
      <w:r w:rsidR="00F41638">
        <w:rPr>
          <w:rFonts w:ascii="Cambria" w:hAnsi="Cambria" w:cstheme="minorHAnsi"/>
          <w:bCs/>
          <w:sz w:val="20"/>
          <w:szCs w:val="20"/>
          <w:lang w:val="en-GB"/>
        </w:rPr>
        <w:t>,</w:t>
      </w:r>
      <w:r w:rsidRPr="00223CBF">
        <w:rPr>
          <w:rFonts w:ascii="Cambria" w:hAnsi="Cambria" w:cstheme="minorHAnsi"/>
          <w:bCs/>
          <w:sz w:val="20"/>
          <w:szCs w:val="20"/>
          <w:lang w:val="en-GB"/>
        </w:rPr>
        <w:t xml:space="preserve"> through the executive branch.</w:t>
      </w:r>
      <w:r w:rsidRPr="00AC1452">
        <w:rPr>
          <w:rStyle w:val="FootnoteReference"/>
          <w:rFonts w:ascii="Cambria" w:hAnsi="Cambria" w:cstheme="minorHAnsi"/>
          <w:bCs/>
          <w:sz w:val="20"/>
          <w:szCs w:val="20"/>
          <w:lang w:val="en-GB"/>
        </w:rPr>
        <w:footnoteReference w:id="43"/>
      </w:r>
      <w:r w:rsidRPr="00223CBF">
        <w:rPr>
          <w:rFonts w:ascii="Cambria" w:hAnsi="Cambria" w:cstheme="minorHAnsi"/>
          <w:bCs/>
          <w:sz w:val="20"/>
          <w:szCs w:val="20"/>
          <w:lang w:val="en-GB"/>
        </w:rPr>
        <w:t xml:space="preserve"> </w:t>
      </w:r>
    </w:p>
    <w:p w14:paraId="0AC68E67" w14:textId="2AD60959" w:rsidR="004F5AE4" w:rsidRPr="00223CBF" w:rsidRDefault="004F5AE4" w:rsidP="004F5AE4">
      <w:pPr>
        <w:spacing w:line="360" w:lineRule="auto"/>
        <w:jc w:val="both"/>
        <w:rPr>
          <w:rFonts w:ascii="Cambria" w:hAnsi="Cambria" w:cstheme="minorHAnsi"/>
          <w:sz w:val="20"/>
          <w:szCs w:val="20"/>
        </w:rPr>
      </w:pPr>
      <w:r w:rsidRPr="00223CBF">
        <w:rPr>
          <w:rFonts w:ascii="Cambria" w:hAnsi="Cambria" w:cstheme="minorHAnsi"/>
          <w:bCs/>
          <w:sz w:val="20"/>
          <w:szCs w:val="20"/>
          <w:lang w:val="en-GB"/>
        </w:rPr>
        <w:t>Further</w:t>
      </w:r>
      <w:r w:rsidR="000D02B3">
        <w:rPr>
          <w:rFonts w:ascii="Cambria" w:hAnsi="Cambria" w:cstheme="minorHAnsi"/>
          <w:bCs/>
          <w:sz w:val="20"/>
          <w:szCs w:val="20"/>
          <w:lang w:val="en-GB"/>
        </w:rPr>
        <w:t>,</w:t>
      </w:r>
      <w:r w:rsidRPr="00223CBF">
        <w:rPr>
          <w:rFonts w:ascii="Cambria" w:hAnsi="Cambria" w:cstheme="minorHAnsi"/>
          <w:bCs/>
          <w:sz w:val="20"/>
          <w:szCs w:val="20"/>
          <w:lang w:val="en-GB"/>
        </w:rPr>
        <w:t xml:space="preserve"> limited focus on expanding and maximising existing channels for public petitions such as</w:t>
      </w:r>
      <w:r w:rsidR="000D02B3">
        <w:rPr>
          <w:rFonts w:ascii="Cambria" w:hAnsi="Cambria" w:cstheme="minorHAnsi"/>
          <w:bCs/>
          <w:sz w:val="20"/>
          <w:szCs w:val="20"/>
          <w:lang w:val="en-GB"/>
        </w:rPr>
        <w:t>,</w:t>
      </w:r>
      <w:r w:rsidRPr="00223CBF">
        <w:rPr>
          <w:rFonts w:ascii="Cambria" w:hAnsi="Cambria" w:cstheme="minorHAnsi"/>
          <w:bCs/>
          <w:sz w:val="20"/>
          <w:szCs w:val="20"/>
          <w:lang w:val="en-GB"/>
        </w:rPr>
        <w:t xml:space="preserve"> the public inquiry procedure under the Parliament Standing Orders,</w:t>
      </w:r>
      <w:r w:rsidRPr="00AC1452">
        <w:rPr>
          <w:rStyle w:val="FootnoteReference"/>
          <w:rFonts w:ascii="Cambria" w:hAnsi="Cambria" w:cstheme="minorHAnsi"/>
          <w:bCs/>
          <w:sz w:val="20"/>
          <w:szCs w:val="20"/>
          <w:lang w:val="en-GB"/>
        </w:rPr>
        <w:footnoteReference w:id="44"/>
      </w:r>
      <w:r w:rsidRPr="00223CBF">
        <w:rPr>
          <w:rFonts w:ascii="Cambria" w:hAnsi="Cambria" w:cstheme="minorHAnsi"/>
          <w:bCs/>
          <w:sz w:val="20"/>
          <w:szCs w:val="20"/>
          <w:lang w:val="en-GB"/>
        </w:rPr>
        <w:t xml:space="preserve"> and complimentary work with CSOs to demand information on critical issues that</w:t>
      </w:r>
      <w:r w:rsidR="000D02B3">
        <w:rPr>
          <w:rFonts w:ascii="Cambria" w:hAnsi="Cambria" w:cstheme="minorHAnsi"/>
          <w:bCs/>
          <w:sz w:val="20"/>
          <w:szCs w:val="20"/>
          <w:lang w:val="en-GB"/>
        </w:rPr>
        <w:t>,</w:t>
      </w:r>
      <w:r w:rsidRPr="00223CBF">
        <w:rPr>
          <w:rFonts w:ascii="Cambria" w:hAnsi="Cambria" w:cstheme="minorHAnsi"/>
          <w:bCs/>
          <w:sz w:val="20"/>
          <w:szCs w:val="20"/>
          <w:lang w:val="en-GB"/>
        </w:rPr>
        <w:t xml:space="preserve"> affect their lives such as disaster management, SGBV, etc</w:t>
      </w:r>
      <w:r>
        <w:rPr>
          <w:rFonts w:ascii="Cambria" w:hAnsi="Cambria" w:cstheme="minorHAnsi"/>
          <w:bCs/>
          <w:sz w:val="20"/>
          <w:szCs w:val="20"/>
          <w:lang w:val="en-GB"/>
        </w:rPr>
        <w:t>.</w:t>
      </w:r>
      <w:r w:rsidRPr="00223CBF">
        <w:rPr>
          <w:rFonts w:ascii="Cambria" w:hAnsi="Cambria" w:cstheme="minorHAnsi"/>
          <w:bCs/>
          <w:sz w:val="20"/>
          <w:szCs w:val="20"/>
          <w:lang w:val="en-GB"/>
        </w:rPr>
        <w:t xml:space="preserve"> </w:t>
      </w:r>
      <w:r w:rsidRPr="00BF3054">
        <w:rPr>
          <w:rFonts w:ascii="Cambria" w:hAnsi="Cambria" w:cstheme="minorHAnsi"/>
          <w:bCs/>
          <w:sz w:val="20"/>
          <w:szCs w:val="20"/>
          <w:lang w:val="en-GB"/>
        </w:rPr>
        <w:t>hampered</w:t>
      </w:r>
      <w:r w:rsidRPr="00223CBF">
        <w:rPr>
          <w:rFonts w:ascii="Cambria" w:hAnsi="Cambria" w:cstheme="minorHAnsi"/>
          <w:bCs/>
          <w:sz w:val="20"/>
          <w:szCs w:val="20"/>
          <w:lang w:val="en-GB"/>
        </w:rPr>
        <w:t xml:space="preserve"> effectiveness of interventions. KPIs note that</w:t>
      </w:r>
      <w:r w:rsidR="000D02B3">
        <w:rPr>
          <w:rFonts w:ascii="Cambria" w:hAnsi="Cambria" w:cstheme="minorHAnsi"/>
          <w:bCs/>
          <w:sz w:val="20"/>
          <w:szCs w:val="20"/>
          <w:lang w:val="en-GB"/>
        </w:rPr>
        <w:t>,</w:t>
      </w:r>
      <w:r w:rsidRPr="00223CBF">
        <w:rPr>
          <w:rFonts w:ascii="Cambria" w:hAnsi="Cambria" w:cstheme="minorHAnsi"/>
          <w:bCs/>
          <w:sz w:val="20"/>
          <w:szCs w:val="20"/>
          <w:lang w:val="en-GB"/>
        </w:rPr>
        <w:t xml:space="preserve"> the perception of the part of community counterparts is that</w:t>
      </w:r>
      <w:r w:rsidR="000D02B3">
        <w:rPr>
          <w:rFonts w:ascii="Cambria" w:hAnsi="Cambria" w:cstheme="minorHAnsi"/>
          <w:bCs/>
          <w:sz w:val="20"/>
          <w:szCs w:val="20"/>
          <w:lang w:val="en-GB"/>
        </w:rPr>
        <w:t>,</w:t>
      </w:r>
      <w:r w:rsidRPr="00223CBF">
        <w:rPr>
          <w:rFonts w:ascii="Cambria" w:hAnsi="Cambria" w:cstheme="minorHAnsi"/>
          <w:bCs/>
          <w:sz w:val="20"/>
          <w:szCs w:val="20"/>
          <w:lang w:val="en-GB"/>
        </w:rPr>
        <w:t xml:space="preserve"> there is currently no effective mechanism in place for generation of policy</w:t>
      </w:r>
      <w:r>
        <w:rPr>
          <w:rFonts w:ascii="Cambria" w:hAnsi="Cambria" w:cstheme="minorHAnsi"/>
          <w:bCs/>
          <w:sz w:val="20"/>
          <w:szCs w:val="20"/>
          <w:lang w:val="en-GB"/>
        </w:rPr>
        <w:t>,</w:t>
      </w:r>
      <w:r w:rsidRPr="00223CBF">
        <w:rPr>
          <w:rFonts w:ascii="Cambria" w:hAnsi="Cambria" w:cstheme="minorHAnsi"/>
          <w:bCs/>
          <w:sz w:val="20"/>
          <w:szCs w:val="20"/>
          <w:lang w:val="en-GB"/>
        </w:rPr>
        <w:t xml:space="preserve"> based on public feedback. </w:t>
      </w:r>
    </w:p>
    <w:p w14:paraId="7E51BA64" w14:textId="34186E47" w:rsidR="004F5AE4" w:rsidRPr="00223CBF" w:rsidRDefault="004F5AE4" w:rsidP="004F5AE4">
      <w:pPr>
        <w:spacing w:line="360" w:lineRule="auto"/>
        <w:jc w:val="both"/>
        <w:rPr>
          <w:rFonts w:ascii="Cambria" w:hAnsi="Cambria" w:cstheme="minorHAnsi"/>
          <w:sz w:val="20"/>
          <w:szCs w:val="20"/>
        </w:rPr>
      </w:pPr>
      <w:r w:rsidRPr="00C73B2B">
        <w:rPr>
          <w:rFonts w:ascii="Cambria" w:hAnsi="Cambria" w:cstheme="minorHAnsi"/>
          <w:bCs/>
          <w:sz w:val="20"/>
          <w:szCs w:val="20"/>
          <w:lang w:val="en-GB"/>
        </w:rPr>
        <w:t>This current limitation is recognised both by UNDP and the IP, and the MTE notes that progressively refining and improving feedback mechanisms with the aim of forming a referral system to inform MPs and parliament, or to be escalated to Cabinet for consideration</w:t>
      </w:r>
      <w:r w:rsidR="000D02B3">
        <w:rPr>
          <w:rFonts w:ascii="Cambria" w:hAnsi="Cambria" w:cstheme="minorHAnsi"/>
          <w:bCs/>
          <w:sz w:val="20"/>
          <w:szCs w:val="20"/>
          <w:lang w:val="en-GB"/>
        </w:rPr>
        <w:t>,</w:t>
      </w:r>
      <w:r w:rsidRPr="00C73B2B">
        <w:rPr>
          <w:rFonts w:ascii="Cambria" w:hAnsi="Cambria" w:cstheme="minorHAnsi"/>
          <w:bCs/>
          <w:sz w:val="20"/>
          <w:szCs w:val="20"/>
          <w:lang w:val="en-GB"/>
        </w:rPr>
        <w:t xml:space="preserve"> is imperative in the second phase. An additional mechanism or refinement that should be considered for the second phase of the Portfolio</w:t>
      </w:r>
      <w:r w:rsidR="000D02B3">
        <w:rPr>
          <w:rFonts w:ascii="Cambria" w:hAnsi="Cambria" w:cstheme="minorHAnsi"/>
          <w:bCs/>
          <w:sz w:val="20"/>
          <w:szCs w:val="20"/>
          <w:lang w:val="en-GB"/>
        </w:rPr>
        <w:t>,</w:t>
      </w:r>
      <w:r w:rsidRPr="00C73B2B">
        <w:rPr>
          <w:rFonts w:ascii="Cambria" w:hAnsi="Cambria" w:cstheme="minorHAnsi"/>
          <w:bCs/>
          <w:sz w:val="20"/>
          <w:szCs w:val="20"/>
          <w:lang w:val="en-GB"/>
        </w:rPr>
        <w:t xml:space="preserve"> is to address community concerns and strengthen effectiveness of the interventions through a more systematic reporting system.</w:t>
      </w:r>
      <w:r w:rsidRPr="00223CBF">
        <w:rPr>
          <w:rFonts w:ascii="Cambria" w:hAnsi="Cambria" w:cstheme="minorHAnsi"/>
          <w:bCs/>
          <w:sz w:val="20"/>
          <w:szCs w:val="20"/>
          <w:lang w:val="en-GB"/>
        </w:rPr>
        <w:t xml:space="preserve"> </w:t>
      </w:r>
    </w:p>
    <w:p w14:paraId="5B919C83" w14:textId="37F996F8" w:rsidR="00331FB6" w:rsidRPr="00223CBF" w:rsidRDefault="00331FB6" w:rsidP="000507CA">
      <w:pPr>
        <w:pStyle w:val="ListParagraph"/>
        <w:spacing w:line="360" w:lineRule="auto"/>
        <w:ind w:left="360"/>
        <w:jc w:val="both"/>
        <w:rPr>
          <w:rFonts w:ascii="Cambria" w:hAnsi="Cambria" w:cstheme="minorHAnsi"/>
          <w:sz w:val="20"/>
          <w:szCs w:val="20"/>
        </w:rPr>
      </w:pPr>
    </w:p>
    <w:p w14:paraId="7C2E3E21" w14:textId="3336FACB" w:rsidR="00331FB6" w:rsidRPr="00223CBF" w:rsidRDefault="00331FB6" w:rsidP="000507CA">
      <w:pPr>
        <w:spacing w:line="360" w:lineRule="auto"/>
        <w:jc w:val="both"/>
        <w:rPr>
          <w:rFonts w:ascii="Cambria" w:hAnsi="Cambria" w:cstheme="minorHAnsi"/>
          <w:b/>
          <w:bCs/>
          <w:sz w:val="20"/>
          <w:szCs w:val="20"/>
        </w:rPr>
      </w:pPr>
      <w:bookmarkStart w:id="28" w:name="_Hlk56099726"/>
      <w:r w:rsidRPr="00223CBF">
        <w:rPr>
          <w:rFonts w:ascii="Cambria" w:hAnsi="Cambria" w:cstheme="minorHAnsi"/>
          <w:b/>
          <w:bCs/>
          <w:sz w:val="20"/>
          <w:szCs w:val="20"/>
        </w:rPr>
        <w:t>EQ3: Efficiency</w:t>
      </w:r>
    </w:p>
    <w:p w14:paraId="0E5B7CED" w14:textId="77777777" w:rsidR="004F5AE4" w:rsidRDefault="004F5AE4" w:rsidP="004F5AE4">
      <w:pPr>
        <w:shd w:val="clear" w:color="auto" w:fill="92D050"/>
        <w:spacing w:line="360" w:lineRule="auto"/>
        <w:jc w:val="center"/>
        <w:rPr>
          <w:rFonts w:ascii="Cambria" w:hAnsi="Cambria" w:cstheme="minorHAnsi"/>
          <w:sz w:val="20"/>
          <w:szCs w:val="20"/>
        </w:rPr>
      </w:pPr>
    </w:p>
    <w:p w14:paraId="3379B8B6" w14:textId="66D43DCD" w:rsidR="004F5AE4" w:rsidRDefault="004F5AE4" w:rsidP="004F5AE4">
      <w:pPr>
        <w:shd w:val="clear" w:color="auto" w:fill="92D050"/>
        <w:spacing w:line="360" w:lineRule="auto"/>
        <w:jc w:val="center"/>
        <w:rPr>
          <w:rFonts w:ascii="Cambria" w:hAnsi="Cambria" w:cstheme="minorHAnsi"/>
          <w:sz w:val="20"/>
          <w:szCs w:val="20"/>
        </w:rPr>
      </w:pPr>
      <w:r w:rsidRPr="004F5AE4">
        <w:rPr>
          <w:rFonts w:ascii="Cambria" w:hAnsi="Cambria" w:cstheme="minorHAnsi"/>
          <w:sz w:val="20"/>
          <w:szCs w:val="20"/>
        </w:rPr>
        <w:t xml:space="preserve">Efficiency looks at the extent to which the Portfolio has used the </w:t>
      </w:r>
      <w:r w:rsidRPr="004F5AE4">
        <w:rPr>
          <w:rFonts w:ascii="Cambria" w:hAnsi="Cambria" w:cstheme="minorHAnsi"/>
          <w:b/>
          <w:bCs/>
          <w:sz w:val="20"/>
          <w:szCs w:val="20"/>
        </w:rPr>
        <w:t>most effective methods</w:t>
      </w:r>
      <w:r w:rsidRPr="004F5AE4">
        <w:rPr>
          <w:rFonts w:ascii="Cambria" w:hAnsi="Cambria" w:cstheme="minorHAnsi"/>
          <w:sz w:val="20"/>
          <w:szCs w:val="20"/>
        </w:rPr>
        <w:t xml:space="preserve"> to achieve planned Outputs. Efficiency also refers to the</w:t>
      </w:r>
      <w:r w:rsidRPr="004F5AE4">
        <w:rPr>
          <w:rFonts w:ascii="Cambria" w:hAnsi="Cambria" w:cstheme="minorHAnsi"/>
          <w:b/>
          <w:bCs/>
          <w:sz w:val="20"/>
          <w:szCs w:val="20"/>
        </w:rPr>
        <w:t xml:space="preserve"> adequacy of the structures and modalities</w:t>
      </w:r>
      <w:r w:rsidRPr="004F5AE4">
        <w:rPr>
          <w:rFonts w:ascii="Cambria" w:hAnsi="Cambria" w:cstheme="minorHAnsi"/>
          <w:sz w:val="20"/>
          <w:szCs w:val="20"/>
        </w:rPr>
        <w:t xml:space="preserve"> of the Portfolio to </w:t>
      </w:r>
      <w:r w:rsidRPr="004F5AE4">
        <w:rPr>
          <w:rFonts w:ascii="Cambria" w:hAnsi="Cambria" w:cstheme="minorHAnsi"/>
          <w:sz w:val="20"/>
          <w:szCs w:val="20"/>
        </w:rPr>
        <w:lastRenderedPageBreak/>
        <w:t xml:space="preserve">maximise financial and human resources cost and visibility of </w:t>
      </w:r>
      <w:r w:rsidRPr="004F5AE4">
        <w:rPr>
          <w:rFonts w:ascii="Cambria" w:hAnsi="Cambria" w:cstheme="minorHAnsi"/>
          <w:b/>
          <w:bCs/>
          <w:sz w:val="20"/>
          <w:szCs w:val="20"/>
        </w:rPr>
        <w:t xml:space="preserve">best practices </w:t>
      </w:r>
      <w:r w:rsidRPr="004F5AE4">
        <w:rPr>
          <w:rFonts w:ascii="Cambria" w:hAnsi="Cambria" w:cstheme="minorHAnsi"/>
          <w:sz w:val="20"/>
          <w:szCs w:val="20"/>
        </w:rPr>
        <w:t>in cost efficiency and collaborations.</w:t>
      </w:r>
    </w:p>
    <w:p w14:paraId="7753DA07" w14:textId="77777777" w:rsidR="004F5AE4" w:rsidRPr="004F5AE4" w:rsidRDefault="004F5AE4" w:rsidP="004F5AE4">
      <w:pPr>
        <w:shd w:val="clear" w:color="auto" w:fill="92D050"/>
        <w:spacing w:line="360" w:lineRule="auto"/>
        <w:jc w:val="center"/>
        <w:rPr>
          <w:rFonts w:ascii="Cambria" w:hAnsi="Cambria" w:cstheme="minorHAnsi"/>
          <w:sz w:val="20"/>
          <w:szCs w:val="20"/>
        </w:rPr>
      </w:pPr>
    </w:p>
    <w:p w14:paraId="0AFD20C6" w14:textId="77777777" w:rsidR="004F5AE4" w:rsidRDefault="004F5AE4" w:rsidP="004F5AE4">
      <w:pPr>
        <w:pStyle w:val="BodyText"/>
        <w:spacing w:line="360" w:lineRule="auto"/>
        <w:ind w:left="360"/>
        <w:jc w:val="both"/>
        <w:rPr>
          <w:rFonts w:ascii="Cambria" w:hAnsi="Cambria" w:cstheme="minorHAnsi"/>
          <w:b/>
          <w:color w:val="0070C0"/>
          <w:sz w:val="20"/>
          <w:szCs w:val="20"/>
          <w:lang w:val="en-GB"/>
        </w:rPr>
      </w:pPr>
    </w:p>
    <w:p w14:paraId="4F451433" w14:textId="679645B5" w:rsidR="00331FB6" w:rsidRPr="00223CBF" w:rsidRDefault="00331FB6" w:rsidP="007C766E">
      <w:pPr>
        <w:pStyle w:val="BodyText"/>
        <w:numPr>
          <w:ilvl w:val="0"/>
          <w:numId w:val="3"/>
        </w:numPr>
        <w:spacing w:line="360" w:lineRule="auto"/>
        <w:jc w:val="both"/>
        <w:rPr>
          <w:rFonts w:ascii="Cambria" w:hAnsi="Cambria" w:cstheme="minorHAnsi"/>
          <w:b/>
          <w:color w:val="0070C0"/>
          <w:sz w:val="20"/>
          <w:szCs w:val="20"/>
          <w:lang w:val="en-GB"/>
        </w:rPr>
      </w:pPr>
      <w:r w:rsidRPr="00223CBF">
        <w:rPr>
          <w:rFonts w:ascii="Cambria" w:hAnsi="Cambria" w:cstheme="minorHAnsi"/>
          <w:b/>
          <w:color w:val="0070C0"/>
          <w:sz w:val="20"/>
          <w:szCs w:val="20"/>
          <w:lang w:val="en-GB"/>
        </w:rPr>
        <w:t xml:space="preserve">The extent to which the Outputs have used the most effective methods to achieve planned objectives and best practices </w:t>
      </w:r>
    </w:p>
    <w:p w14:paraId="77F2E1C4" w14:textId="3A707F11" w:rsidR="00223CBF" w:rsidRPr="00AC1452" w:rsidRDefault="004F5AE4" w:rsidP="004F5AE4">
      <w:pPr>
        <w:pStyle w:val="BodyText"/>
        <w:spacing w:line="360" w:lineRule="auto"/>
        <w:jc w:val="both"/>
        <w:rPr>
          <w:rFonts w:ascii="Cambria" w:hAnsi="Cambria" w:cstheme="minorHAnsi"/>
          <w:bCs/>
          <w:sz w:val="20"/>
          <w:szCs w:val="20"/>
          <w:lang w:val="en-GB"/>
        </w:rPr>
      </w:pPr>
      <w:bookmarkStart w:id="29" w:name="_Hlk56099757"/>
      <w:bookmarkStart w:id="30" w:name="_Hlk56520174"/>
      <w:bookmarkEnd w:id="28"/>
      <w:r w:rsidRPr="00AC1452">
        <w:rPr>
          <w:rFonts w:ascii="Cambria" w:hAnsi="Cambria" w:cstheme="minorHAnsi"/>
          <w:b/>
          <w:sz w:val="20"/>
          <w:szCs w:val="20"/>
          <w:lang w:val="en-GB"/>
        </w:rPr>
        <w:t xml:space="preserve">Flexibility in allocation of resources: </w:t>
      </w:r>
      <w:r w:rsidRPr="00AC1452">
        <w:rPr>
          <w:rFonts w:ascii="Cambria" w:hAnsi="Cambria" w:cstheme="minorHAnsi"/>
          <w:bCs/>
          <w:sz w:val="20"/>
          <w:szCs w:val="20"/>
          <w:lang w:val="en-GB"/>
        </w:rPr>
        <w:t>The Portfolio risk log and mitigation measures provides provision for flexibility in the reallocation of resources within the Outcome.</w:t>
      </w:r>
      <w:r>
        <w:rPr>
          <w:rStyle w:val="FootnoteReference"/>
          <w:rFonts w:ascii="Cambria" w:hAnsi="Cambria" w:cstheme="minorHAnsi"/>
          <w:bCs/>
          <w:sz w:val="20"/>
          <w:szCs w:val="20"/>
          <w:lang w:val="en-GB"/>
        </w:rPr>
        <w:footnoteReference w:id="45"/>
      </w:r>
      <w:r w:rsidRPr="00AC1452">
        <w:rPr>
          <w:rFonts w:ascii="Cambria" w:hAnsi="Cambria" w:cstheme="minorHAnsi"/>
          <w:bCs/>
          <w:sz w:val="20"/>
          <w:szCs w:val="20"/>
          <w:lang w:val="en-GB"/>
        </w:rPr>
        <w:t xml:space="preserve"> The Portfolio envisaging political, economic, social and other context specific risks</w:t>
      </w:r>
      <w:r w:rsidR="000D02B3">
        <w:rPr>
          <w:rFonts w:ascii="Cambria" w:hAnsi="Cambria" w:cstheme="minorHAnsi"/>
          <w:bCs/>
          <w:sz w:val="20"/>
          <w:szCs w:val="20"/>
          <w:lang w:val="en-GB"/>
        </w:rPr>
        <w:t>,</w:t>
      </w:r>
      <w:r w:rsidRPr="00AC1452">
        <w:rPr>
          <w:rFonts w:ascii="Cambria" w:hAnsi="Cambria" w:cstheme="minorHAnsi"/>
          <w:bCs/>
          <w:sz w:val="20"/>
          <w:szCs w:val="20"/>
          <w:lang w:val="en-GB"/>
        </w:rPr>
        <w:t xml:space="preserve"> introduced a ‘system of </w:t>
      </w:r>
      <w:r w:rsidRPr="00AC1452">
        <w:rPr>
          <w:rFonts w:ascii="Cambria" w:hAnsi="Cambria" w:cstheme="minorHAnsi"/>
          <w:sz w:val="20"/>
          <w:szCs w:val="20"/>
        </w:rPr>
        <w:t>fluidity to make adjustments to activities, as required, to correspond to context changes ‘.</w:t>
      </w:r>
      <w:r w:rsidRPr="00AC1452">
        <w:rPr>
          <w:rStyle w:val="FootnoteReference"/>
          <w:rFonts w:ascii="Cambria" w:hAnsi="Cambria" w:cstheme="minorHAnsi"/>
          <w:sz w:val="20"/>
          <w:szCs w:val="20"/>
        </w:rPr>
        <w:footnoteReference w:id="46"/>
      </w:r>
      <w:r w:rsidRPr="00AC1452">
        <w:rPr>
          <w:rFonts w:ascii="Cambria" w:hAnsi="Cambria" w:cstheme="minorHAnsi"/>
          <w:sz w:val="20"/>
          <w:szCs w:val="20"/>
        </w:rPr>
        <w:t xml:space="preserve"> This flexibility enabled the Outputs to address emerging needs</w:t>
      </w:r>
      <w:r w:rsidR="000D02B3">
        <w:rPr>
          <w:rFonts w:ascii="Cambria" w:hAnsi="Cambria" w:cstheme="minorHAnsi"/>
          <w:sz w:val="20"/>
          <w:szCs w:val="20"/>
        </w:rPr>
        <w:t xml:space="preserve">, </w:t>
      </w:r>
      <w:r w:rsidRPr="00AC1452">
        <w:rPr>
          <w:rFonts w:ascii="Cambria" w:hAnsi="Cambria" w:cstheme="minorHAnsi"/>
          <w:sz w:val="20"/>
          <w:szCs w:val="20"/>
        </w:rPr>
        <w:t>appropriately and responsively. For example, the Output was able to direct financial and technical resources to conduct a Consultative Assessment to develop a PDAP for the Ninth Parliament</w:t>
      </w:r>
      <w:r w:rsidR="000D02B3">
        <w:rPr>
          <w:rFonts w:ascii="Cambria" w:hAnsi="Cambria" w:cstheme="minorHAnsi"/>
          <w:sz w:val="20"/>
          <w:szCs w:val="20"/>
        </w:rPr>
        <w:t>,</w:t>
      </w:r>
      <w:r w:rsidRPr="00AC1452">
        <w:rPr>
          <w:rFonts w:ascii="Cambria" w:hAnsi="Cambria" w:cstheme="minorHAnsi"/>
          <w:sz w:val="20"/>
          <w:szCs w:val="20"/>
        </w:rPr>
        <w:t xml:space="preserve"> and more importantly allocate immediate funding to parliament</w:t>
      </w:r>
      <w:r w:rsidR="000D02B3">
        <w:rPr>
          <w:rFonts w:ascii="Cambria" w:hAnsi="Cambria" w:cstheme="minorHAnsi"/>
          <w:sz w:val="20"/>
          <w:szCs w:val="20"/>
        </w:rPr>
        <w:t>,</w:t>
      </w:r>
      <w:r w:rsidRPr="00AC1452">
        <w:rPr>
          <w:rFonts w:ascii="Cambria" w:hAnsi="Cambria" w:cstheme="minorHAnsi"/>
          <w:sz w:val="20"/>
          <w:szCs w:val="20"/>
        </w:rPr>
        <w:t xml:space="preserve"> as a response to the pandemic.</w:t>
      </w:r>
    </w:p>
    <w:p w14:paraId="2C1C8C5B" w14:textId="20324FD0" w:rsidR="004F5AE4" w:rsidRDefault="004F5AE4" w:rsidP="004F5AE4">
      <w:pPr>
        <w:pStyle w:val="BodyText"/>
        <w:spacing w:after="160" w:line="360" w:lineRule="auto"/>
        <w:jc w:val="both"/>
        <w:rPr>
          <w:rFonts w:ascii="Cambria" w:hAnsi="Cambria" w:cstheme="minorHAnsi"/>
          <w:bCs/>
          <w:sz w:val="20"/>
          <w:szCs w:val="20"/>
          <w:lang w:val="en-GB"/>
        </w:rPr>
      </w:pPr>
      <w:r w:rsidRPr="00AC1452">
        <w:rPr>
          <w:rFonts w:ascii="Cambria" w:hAnsi="Cambria" w:cstheme="minorHAnsi"/>
          <w:b/>
          <w:sz w:val="20"/>
          <w:szCs w:val="20"/>
          <w:lang w:val="en-GB"/>
        </w:rPr>
        <w:t>Efficient use of resources and ‘best practice</w:t>
      </w:r>
      <w:r w:rsidR="00695CB5">
        <w:rPr>
          <w:rFonts w:ascii="Cambria" w:hAnsi="Cambria" w:cstheme="minorHAnsi"/>
          <w:b/>
          <w:sz w:val="20"/>
          <w:szCs w:val="20"/>
          <w:lang w:val="en-GB"/>
        </w:rPr>
        <w:t>s</w:t>
      </w:r>
      <w:r w:rsidRPr="00AC1452">
        <w:rPr>
          <w:rFonts w:ascii="Cambria" w:hAnsi="Cambria" w:cstheme="minorHAnsi"/>
          <w:b/>
          <w:sz w:val="20"/>
          <w:szCs w:val="20"/>
          <w:lang w:val="en-GB"/>
        </w:rPr>
        <w:t xml:space="preserve">: </w:t>
      </w:r>
      <w:r w:rsidRPr="00AC1452">
        <w:rPr>
          <w:rFonts w:ascii="Cambria" w:hAnsi="Cambria" w:cstheme="minorHAnsi"/>
          <w:bCs/>
          <w:sz w:val="20"/>
          <w:szCs w:val="20"/>
          <w:lang w:val="en-GB"/>
        </w:rPr>
        <w:t xml:space="preserve"> </w:t>
      </w:r>
      <w:bookmarkStart w:id="31" w:name="_Hlk59037897"/>
      <w:r w:rsidRPr="00AC1452">
        <w:rPr>
          <w:rFonts w:ascii="Cambria" w:hAnsi="Cambria" w:cstheme="minorHAnsi"/>
          <w:bCs/>
          <w:sz w:val="20"/>
          <w:szCs w:val="20"/>
          <w:lang w:val="en-GB"/>
        </w:rPr>
        <w:t>Efficient use of resources and ‘best practices’ is also evident from the direct and indirect beneficial use of the SOCs on thematic issues. With the amendment of the Standing Orders of Parliament</w:t>
      </w:r>
      <w:r>
        <w:rPr>
          <w:rFonts w:ascii="Cambria" w:hAnsi="Cambria" w:cstheme="minorHAnsi"/>
          <w:bCs/>
          <w:sz w:val="20"/>
          <w:szCs w:val="20"/>
          <w:lang w:val="en-GB"/>
        </w:rPr>
        <w:t>,</w:t>
      </w:r>
      <w:r w:rsidRPr="00AC1452">
        <w:rPr>
          <w:rFonts w:ascii="Cambria" w:hAnsi="Cambria" w:cstheme="minorHAnsi"/>
          <w:bCs/>
          <w:sz w:val="20"/>
          <w:szCs w:val="20"/>
          <w:lang w:val="en-GB"/>
        </w:rPr>
        <w:t xml:space="preserve"> 20 SOCs were introduced. </w:t>
      </w:r>
    </w:p>
    <w:p w14:paraId="0BB46477" w14:textId="6628BAEE" w:rsidR="004F5AE4" w:rsidRDefault="004F5AE4" w:rsidP="008B166E">
      <w:pPr>
        <w:pStyle w:val="BodyText"/>
        <w:shd w:val="clear" w:color="auto" w:fill="FFC000"/>
        <w:spacing w:after="160" w:line="360" w:lineRule="auto"/>
        <w:jc w:val="both"/>
        <w:rPr>
          <w:rFonts w:ascii="Cambria" w:hAnsi="Cambria" w:cstheme="minorHAnsi"/>
          <w:bCs/>
          <w:sz w:val="20"/>
          <w:szCs w:val="20"/>
          <w:lang w:val="en-GB"/>
        </w:rPr>
      </w:pPr>
      <w:r w:rsidRPr="008B166E">
        <w:rPr>
          <w:rFonts w:ascii="Cambria" w:hAnsi="Cambria" w:cstheme="minorHAnsi"/>
          <w:bCs/>
          <w:sz w:val="20"/>
          <w:szCs w:val="20"/>
          <w:shd w:val="clear" w:color="auto" w:fill="FFC000"/>
          <w:lang w:val="en-GB"/>
        </w:rPr>
        <w:t>IPs reflect that</w:t>
      </w:r>
      <w:r w:rsidR="000D02B3">
        <w:rPr>
          <w:rFonts w:ascii="Cambria" w:hAnsi="Cambria" w:cstheme="minorHAnsi"/>
          <w:bCs/>
          <w:sz w:val="20"/>
          <w:szCs w:val="20"/>
          <w:shd w:val="clear" w:color="auto" w:fill="FFC000"/>
          <w:lang w:val="en-GB"/>
        </w:rPr>
        <w:t>,</w:t>
      </w:r>
      <w:r w:rsidRPr="008B166E">
        <w:rPr>
          <w:rFonts w:ascii="Cambria" w:hAnsi="Cambria" w:cstheme="minorHAnsi"/>
          <w:bCs/>
          <w:sz w:val="20"/>
          <w:szCs w:val="20"/>
          <w:shd w:val="clear" w:color="auto" w:fill="FFC000"/>
          <w:lang w:val="en-GB"/>
        </w:rPr>
        <w:t xml:space="preserve"> SOCs provided a space for MPs to act in their individual capacity without constraints imposed by party politics and narrow expectations of constituencies. It also provided a space for cross bench dialogue for those interested and vigorous participation for opposition MPs</w:t>
      </w:r>
      <w:r w:rsidR="000D02B3">
        <w:rPr>
          <w:rFonts w:ascii="Cambria" w:hAnsi="Cambria" w:cstheme="minorHAnsi"/>
          <w:bCs/>
          <w:sz w:val="20"/>
          <w:szCs w:val="20"/>
          <w:shd w:val="clear" w:color="auto" w:fill="FFC000"/>
          <w:lang w:val="en-GB"/>
        </w:rPr>
        <w:t>,</w:t>
      </w:r>
      <w:r w:rsidRPr="008B166E">
        <w:rPr>
          <w:rFonts w:ascii="Cambria" w:hAnsi="Cambria" w:cstheme="minorHAnsi"/>
          <w:bCs/>
          <w:sz w:val="20"/>
          <w:szCs w:val="20"/>
          <w:shd w:val="clear" w:color="auto" w:fill="FFC000"/>
          <w:lang w:val="en-GB"/>
        </w:rPr>
        <w:t xml:space="preserve"> who were routinely asked to chair SOCs, which allowed for greater transparency and accountability</w:t>
      </w:r>
      <w:bookmarkEnd w:id="31"/>
      <w:r w:rsidRPr="00AC1452">
        <w:rPr>
          <w:rFonts w:ascii="Cambria" w:hAnsi="Cambria" w:cstheme="minorHAnsi"/>
          <w:bCs/>
          <w:sz w:val="20"/>
          <w:szCs w:val="20"/>
          <w:lang w:val="en-GB"/>
        </w:rPr>
        <w:t xml:space="preserve">. </w:t>
      </w:r>
    </w:p>
    <w:p w14:paraId="28D01F79" w14:textId="1DE13A45" w:rsidR="004F5AE4" w:rsidRPr="00AC1452" w:rsidRDefault="004F5AE4" w:rsidP="004F5AE4">
      <w:pPr>
        <w:pStyle w:val="BodyText"/>
        <w:spacing w:after="160" w:line="360" w:lineRule="auto"/>
        <w:jc w:val="both"/>
        <w:rPr>
          <w:rFonts w:ascii="Cambria" w:hAnsi="Cambria" w:cstheme="minorHAnsi"/>
          <w:sz w:val="20"/>
          <w:szCs w:val="20"/>
        </w:rPr>
      </w:pPr>
      <w:r w:rsidRPr="00AC1452">
        <w:rPr>
          <w:rFonts w:ascii="Cambria" w:hAnsi="Cambria" w:cstheme="minorHAnsi"/>
          <w:bCs/>
          <w:sz w:val="20"/>
          <w:szCs w:val="20"/>
          <w:lang w:val="en-GB"/>
        </w:rPr>
        <w:t xml:space="preserve">Best practice example of collaboration and cross bench dialog can be seen by the </w:t>
      </w:r>
      <w:r w:rsidRPr="00AC1452">
        <w:rPr>
          <w:rFonts w:ascii="Cambria" w:hAnsi="Cambria" w:cstheme="minorHAnsi"/>
          <w:sz w:val="20"/>
          <w:szCs w:val="20"/>
        </w:rPr>
        <w:t>Joint-Sub Committee</w:t>
      </w:r>
      <w:r w:rsidRPr="00AC1452">
        <w:rPr>
          <w:rStyle w:val="FootnoteReference"/>
          <w:rFonts w:ascii="Cambria" w:hAnsi="Cambria" w:cstheme="minorHAnsi"/>
          <w:sz w:val="20"/>
          <w:szCs w:val="20"/>
        </w:rPr>
        <w:footnoteReference w:id="47"/>
      </w:r>
      <w:r w:rsidR="000D02B3">
        <w:rPr>
          <w:rFonts w:ascii="Cambria" w:hAnsi="Cambria" w:cstheme="minorHAnsi"/>
          <w:sz w:val="20"/>
          <w:szCs w:val="20"/>
        </w:rPr>
        <w:t>,</w:t>
      </w:r>
      <w:r w:rsidRPr="00AC1452">
        <w:rPr>
          <w:rFonts w:ascii="Cambria" w:hAnsi="Cambria" w:cstheme="minorHAnsi"/>
          <w:sz w:val="20"/>
          <w:szCs w:val="20"/>
        </w:rPr>
        <w:t xml:space="preserve"> formed in 2019 to develop a national policy on waste management.  Through engagement in policy discourse with key stakeholders, the committee identified policy recommendations in April 2019 and developed a work plan, following the research and technical assistance provided by UNDP. Collaborative efforts of the two Sectoral </w:t>
      </w:r>
      <w:r w:rsidRPr="00AC1452">
        <w:rPr>
          <w:rFonts w:ascii="Cambria" w:hAnsi="Cambria" w:cstheme="minorHAnsi"/>
          <w:sz w:val="20"/>
          <w:szCs w:val="20"/>
        </w:rPr>
        <w:lastRenderedPageBreak/>
        <w:t xml:space="preserve">Oversight Committees </w:t>
      </w:r>
      <w:r w:rsidR="000D02B3" w:rsidRPr="00AC1452">
        <w:rPr>
          <w:rFonts w:ascii="Cambria" w:hAnsi="Cambria" w:cstheme="minorHAnsi"/>
          <w:sz w:val="20"/>
          <w:szCs w:val="20"/>
        </w:rPr>
        <w:t>are</w:t>
      </w:r>
      <w:r w:rsidRPr="00AC1452">
        <w:rPr>
          <w:rFonts w:ascii="Cambria" w:hAnsi="Cambria" w:cstheme="minorHAnsi"/>
          <w:sz w:val="20"/>
          <w:szCs w:val="20"/>
        </w:rPr>
        <w:t xml:space="preserve"> a clear example</w:t>
      </w:r>
      <w:r w:rsidR="000D02B3">
        <w:rPr>
          <w:rFonts w:ascii="Cambria" w:hAnsi="Cambria" w:cstheme="minorHAnsi"/>
          <w:sz w:val="20"/>
          <w:szCs w:val="20"/>
        </w:rPr>
        <w:t>,</w:t>
      </w:r>
      <w:r w:rsidRPr="00AC1452">
        <w:rPr>
          <w:rFonts w:ascii="Cambria" w:hAnsi="Cambria" w:cstheme="minorHAnsi"/>
          <w:sz w:val="20"/>
          <w:szCs w:val="20"/>
        </w:rPr>
        <w:t xml:space="preserve"> where the Parliament of Sri Lanka executed its oversight function in a strategic manner</w:t>
      </w:r>
      <w:r w:rsidR="000D02B3">
        <w:rPr>
          <w:rFonts w:ascii="Cambria" w:hAnsi="Cambria" w:cstheme="minorHAnsi"/>
          <w:sz w:val="20"/>
          <w:szCs w:val="20"/>
        </w:rPr>
        <w:t>,</w:t>
      </w:r>
      <w:r w:rsidRPr="00AC1452">
        <w:rPr>
          <w:rFonts w:ascii="Cambria" w:hAnsi="Cambria" w:cstheme="minorHAnsi"/>
          <w:sz w:val="20"/>
          <w:szCs w:val="20"/>
        </w:rPr>
        <w:t xml:space="preserve"> to identify feasible solutions for a growing </w:t>
      </w:r>
      <w:r>
        <w:rPr>
          <w:rFonts w:ascii="Cambria" w:hAnsi="Cambria" w:cstheme="minorHAnsi"/>
          <w:sz w:val="20"/>
          <w:szCs w:val="20"/>
        </w:rPr>
        <w:t>problem</w:t>
      </w:r>
      <w:r w:rsidRPr="00AC1452">
        <w:rPr>
          <w:rFonts w:ascii="Cambria" w:hAnsi="Cambria" w:cstheme="minorHAnsi"/>
          <w:sz w:val="20"/>
          <w:szCs w:val="20"/>
        </w:rPr>
        <w:t xml:space="preserve"> in Sri Lanka. </w:t>
      </w:r>
    </w:p>
    <w:p w14:paraId="5354240C" w14:textId="44455060" w:rsidR="004F5AE4" w:rsidRPr="00AC1452" w:rsidRDefault="004F5AE4" w:rsidP="004F5AE4">
      <w:pPr>
        <w:pStyle w:val="BodyText"/>
        <w:spacing w:line="360" w:lineRule="auto"/>
        <w:jc w:val="both"/>
        <w:rPr>
          <w:rFonts w:ascii="Cambria" w:hAnsi="Cambria" w:cstheme="minorHAnsi"/>
          <w:sz w:val="20"/>
          <w:szCs w:val="20"/>
          <w:shd w:val="clear" w:color="auto" w:fill="FDFDFD"/>
        </w:rPr>
      </w:pPr>
      <w:r w:rsidRPr="00AC1452">
        <w:rPr>
          <w:rFonts w:ascii="Cambria" w:hAnsi="Cambria" w:cstheme="minorHAnsi"/>
          <w:sz w:val="20"/>
          <w:szCs w:val="20"/>
          <w:shd w:val="clear" w:color="auto" w:fill="FDFDFD"/>
        </w:rPr>
        <w:t>Although a cost benefit analysis of efficient use of resources to conduct training programmes and impact on outcome projected is difficult to substantially measure</w:t>
      </w:r>
      <w:r>
        <w:rPr>
          <w:rFonts w:ascii="Cambria" w:hAnsi="Cambria" w:cstheme="minorHAnsi"/>
          <w:sz w:val="20"/>
          <w:szCs w:val="20"/>
          <w:shd w:val="clear" w:color="auto" w:fill="FDFDFD"/>
        </w:rPr>
        <w:t>,</w:t>
      </w:r>
      <w:r w:rsidRPr="00AC1452">
        <w:rPr>
          <w:rFonts w:ascii="Cambria" w:hAnsi="Cambria" w:cstheme="minorHAnsi"/>
          <w:sz w:val="20"/>
          <w:szCs w:val="20"/>
          <w:shd w:val="clear" w:color="auto" w:fill="FDFDFD"/>
        </w:rPr>
        <w:t xml:space="preserve"> due to lack of adequate data and time, </w:t>
      </w:r>
      <w:r>
        <w:rPr>
          <w:rFonts w:ascii="Cambria" w:hAnsi="Cambria" w:cstheme="minorHAnsi"/>
          <w:sz w:val="20"/>
          <w:szCs w:val="20"/>
          <w:shd w:val="clear" w:color="auto" w:fill="FDFDFD"/>
        </w:rPr>
        <w:t xml:space="preserve">KPI interviews </w:t>
      </w:r>
      <w:r w:rsidRPr="00AC1452">
        <w:rPr>
          <w:rFonts w:ascii="Cambria" w:hAnsi="Cambria" w:cstheme="minorHAnsi"/>
          <w:sz w:val="20"/>
          <w:szCs w:val="20"/>
          <w:shd w:val="clear" w:color="auto" w:fill="FDFDFD"/>
        </w:rPr>
        <w:t>highlight the importance of continued capacity building and training and awareness to bridge the gap between policy makers and the public</w:t>
      </w:r>
      <w:r w:rsidR="000D02B3">
        <w:rPr>
          <w:rFonts w:ascii="Cambria" w:hAnsi="Cambria" w:cstheme="minorHAnsi"/>
          <w:sz w:val="20"/>
          <w:szCs w:val="20"/>
          <w:shd w:val="clear" w:color="auto" w:fill="FDFDFD"/>
        </w:rPr>
        <w:t xml:space="preserve">. This was </w:t>
      </w:r>
      <w:r>
        <w:rPr>
          <w:rFonts w:ascii="Cambria" w:hAnsi="Cambria" w:cstheme="minorHAnsi"/>
          <w:sz w:val="20"/>
          <w:szCs w:val="20"/>
          <w:shd w:val="clear" w:color="auto" w:fill="FDFDFD"/>
        </w:rPr>
        <w:t xml:space="preserve">corroborated by </w:t>
      </w:r>
      <w:r w:rsidRPr="00AC1452">
        <w:rPr>
          <w:rFonts w:ascii="Cambria" w:hAnsi="Cambria" w:cstheme="minorHAnsi"/>
          <w:sz w:val="20"/>
          <w:szCs w:val="20"/>
          <w:shd w:val="clear" w:color="auto" w:fill="FDFDFD"/>
        </w:rPr>
        <w:t>IP</w:t>
      </w:r>
      <w:r>
        <w:rPr>
          <w:rFonts w:ascii="Cambria" w:hAnsi="Cambria" w:cstheme="minorHAnsi"/>
          <w:sz w:val="20"/>
          <w:szCs w:val="20"/>
          <w:shd w:val="clear" w:color="auto" w:fill="FDFDFD"/>
        </w:rPr>
        <w:t xml:space="preserve">s regarding the </w:t>
      </w:r>
      <w:r w:rsidRPr="00AC1452">
        <w:rPr>
          <w:rFonts w:ascii="Cambria" w:hAnsi="Cambria" w:cstheme="minorHAnsi"/>
          <w:sz w:val="20"/>
          <w:szCs w:val="20"/>
          <w:shd w:val="clear" w:color="auto" w:fill="FDFDFD"/>
        </w:rPr>
        <w:t xml:space="preserve">perceived benefit </w:t>
      </w:r>
      <w:r>
        <w:rPr>
          <w:rFonts w:ascii="Cambria" w:hAnsi="Cambria" w:cstheme="minorHAnsi"/>
          <w:sz w:val="20"/>
          <w:szCs w:val="20"/>
          <w:shd w:val="clear" w:color="auto" w:fill="FDFDFD"/>
        </w:rPr>
        <w:t xml:space="preserve">of </w:t>
      </w:r>
      <w:r w:rsidRPr="00AC1452">
        <w:rPr>
          <w:rFonts w:ascii="Cambria" w:hAnsi="Cambria" w:cstheme="minorHAnsi"/>
          <w:sz w:val="20"/>
          <w:szCs w:val="20"/>
          <w:shd w:val="clear" w:color="auto" w:fill="FDFDFD"/>
        </w:rPr>
        <w:t>staff training programmes attrib</w:t>
      </w:r>
      <w:r>
        <w:rPr>
          <w:rFonts w:ascii="Cambria" w:hAnsi="Cambria" w:cstheme="minorHAnsi"/>
          <w:sz w:val="20"/>
          <w:szCs w:val="20"/>
          <w:shd w:val="clear" w:color="auto" w:fill="FDFDFD"/>
        </w:rPr>
        <w:t>uting t</w:t>
      </w:r>
      <w:r w:rsidRPr="00AC1452">
        <w:rPr>
          <w:rFonts w:ascii="Cambria" w:hAnsi="Cambria" w:cstheme="minorHAnsi"/>
          <w:sz w:val="20"/>
          <w:szCs w:val="20"/>
          <w:shd w:val="clear" w:color="auto" w:fill="FDFDFD"/>
        </w:rPr>
        <w:t>o attitudinal shift</w:t>
      </w:r>
      <w:r>
        <w:rPr>
          <w:rFonts w:ascii="Cambria" w:hAnsi="Cambria" w:cstheme="minorHAnsi"/>
          <w:sz w:val="20"/>
          <w:szCs w:val="20"/>
          <w:shd w:val="clear" w:color="auto" w:fill="FDFDFD"/>
        </w:rPr>
        <w:t>s with</w:t>
      </w:r>
      <w:r w:rsidR="000D02B3">
        <w:rPr>
          <w:rFonts w:ascii="Cambria" w:hAnsi="Cambria" w:cstheme="minorHAnsi"/>
          <w:sz w:val="20"/>
          <w:szCs w:val="20"/>
          <w:shd w:val="clear" w:color="auto" w:fill="FDFDFD"/>
        </w:rPr>
        <w:t>in</w:t>
      </w:r>
      <w:r>
        <w:rPr>
          <w:rFonts w:ascii="Cambria" w:hAnsi="Cambria" w:cstheme="minorHAnsi"/>
          <w:sz w:val="20"/>
          <w:szCs w:val="20"/>
          <w:shd w:val="clear" w:color="auto" w:fill="FDFDFD"/>
        </w:rPr>
        <w:t xml:space="preserve"> the PS. </w:t>
      </w:r>
      <w:r w:rsidRPr="00AC1452">
        <w:rPr>
          <w:rFonts w:ascii="Cambria" w:hAnsi="Cambria" w:cstheme="minorHAnsi"/>
          <w:sz w:val="20"/>
          <w:szCs w:val="20"/>
          <w:shd w:val="clear" w:color="auto" w:fill="FDFDFD"/>
        </w:rPr>
        <w:t xml:space="preserve"> </w:t>
      </w:r>
    </w:p>
    <w:p w14:paraId="2A75FCC3" w14:textId="3229582E" w:rsidR="00CB6D02" w:rsidRPr="00223CBF" w:rsidRDefault="004F5AE4" w:rsidP="004F5AE4">
      <w:pPr>
        <w:pStyle w:val="BodyText"/>
        <w:spacing w:line="360" w:lineRule="auto"/>
        <w:jc w:val="both"/>
        <w:rPr>
          <w:rFonts w:ascii="Cambria" w:hAnsi="Cambria" w:cstheme="minorHAnsi"/>
          <w:sz w:val="20"/>
          <w:szCs w:val="20"/>
          <w:shd w:val="clear" w:color="auto" w:fill="FDFDFD"/>
        </w:rPr>
      </w:pPr>
      <w:r w:rsidRPr="00AC1452">
        <w:rPr>
          <w:rFonts w:ascii="Cambria" w:hAnsi="Cambria" w:cstheme="minorHAnsi"/>
          <w:sz w:val="20"/>
          <w:szCs w:val="20"/>
          <w:shd w:val="clear" w:color="auto" w:fill="FDFDFD"/>
        </w:rPr>
        <w:t>However, it is clear that</w:t>
      </w:r>
      <w:r w:rsidR="000D02B3">
        <w:rPr>
          <w:rFonts w:ascii="Cambria" w:hAnsi="Cambria" w:cstheme="minorHAnsi"/>
          <w:sz w:val="20"/>
          <w:szCs w:val="20"/>
          <w:shd w:val="clear" w:color="auto" w:fill="FDFDFD"/>
        </w:rPr>
        <w:t>,</w:t>
      </w:r>
      <w:r w:rsidRPr="00AC1452">
        <w:rPr>
          <w:rFonts w:ascii="Cambria" w:hAnsi="Cambria" w:cstheme="minorHAnsi"/>
          <w:sz w:val="20"/>
          <w:szCs w:val="20"/>
          <w:shd w:val="clear" w:color="auto" w:fill="FDFDFD"/>
        </w:rPr>
        <w:t xml:space="preserve"> the Output require allocation of more resources and planning to develop a curriculum and road map for the ‘Orientation </w:t>
      </w:r>
      <w:r>
        <w:rPr>
          <w:rFonts w:ascii="Cambria" w:hAnsi="Cambria" w:cstheme="minorHAnsi"/>
          <w:sz w:val="20"/>
          <w:szCs w:val="20"/>
          <w:shd w:val="clear" w:color="auto" w:fill="FDFDFD"/>
        </w:rPr>
        <w:t>P</w:t>
      </w:r>
      <w:r w:rsidRPr="00AC1452">
        <w:rPr>
          <w:rFonts w:ascii="Cambria" w:hAnsi="Cambria" w:cstheme="minorHAnsi"/>
          <w:sz w:val="20"/>
          <w:szCs w:val="20"/>
          <w:shd w:val="clear" w:color="auto" w:fill="FDFDFD"/>
        </w:rPr>
        <w:t xml:space="preserve">rogramme for </w:t>
      </w:r>
      <w:r>
        <w:rPr>
          <w:rFonts w:ascii="Cambria" w:hAnsi="Cambria" w:cstheme="minorHAnsi"/>
          <w:sz w:val="20"/>
          <w:szCs w:val="20"/>
          <w:shd w:val="clear" w:color="auto" w:fill="FDFDFD"/>
        </w:rPr>
        <w:t>N</w:t>
      </w:r>
      <w:r w:rsidRPr="00AC1452">
        <w:rPr>
          <w:rFonts w:ascii="Cambria" w:hAnsi="Cambria" w:cstheme="minorHAnsi"/>
          <w:sz w:val="20"/>
          <w:szCs w:val="20"/>
          <w:shd w:val="clear" w:color="auto" w:fill="FDFDFD"/>
        </w:rPr>
        <w:t xml:space="preserve">ew </w:t>
      </w:r>
      <w:r>
        <w:rPr>
          <w:rFonts w:ascii="Cambria" w:hAnsi="Cambria" w:cstheme="minorHAnsi"/>
          <w:sz w:val="20"/>
          <w:szCs w:val="20"/>
          <w:shd w:val="clear" w:color="auto" w:fill="FDFDFD"/>
        </w:rPr>
        <w:t>P</w:t>
      </w:r>
      <w:r w:rsidRPr="00AC1452">
        <w:rPr>
          <w:rFonts w:ascii="Cambria" w:hAnsi="Cambria" w:cstheme="minorHAnsi"/>
          <w:sz w:val="20"/>
          <w:szCs w:val="20"/>
          <w:shd w:val="clear" w:color="auto" w:fill="FDFDFD"/>
        </w:rPr>
        <w:t>arliamentarians’, which is a strategic entry point to reali</w:t>
      </w:r>
      <w:r>
        <w:rPr>
          <w:rFonts w:ascii="Cambria" w:hAnsi="Cambria" w:cstheme="minorHAnsi"/>
          <w:sz w:val="20"/>
          <w:szCs w:val="20"/>
          <w:shd w:val="clear" w:color="auto" w:fill="FDFDFD"/>
        </w:rPr>
        <w:t>s</w:t>
      </w:r>
      <w:r w:rsidRPr="00AC1452">
        <w:rPr>
          <w:rFonts w:ascii="Cambria" w:hAnsi="Cambria" w:cstheme="minorHAnsi"/>
          <w:sz w:val="20"/>
          <w:szCs w:val="20"/>
          <w:shd w:val="clear" w:color="auto" w:fill="FDFDFD"/>
        </w:rPr>
        <w:t xml:space="preserve">e the </w:t>
      </w:r>
      <w:r>
        <w:rPr>
          <w:rFonts w:ascii="Cambria" w:hAnsi="Cambria" w:cstheme="minorHAnsi"/>
          <w:sz w:val="20"/>
          <w:szCs w:val="20"/>
          <w:shd w:val="clear" w:color="auto" w:fill="FDFDFD"/>
        </w:rPr>
        <w:t>O</w:t>
      </w:r>
      <w:r w:rsidRPr="00AC1452">
        <w:rPr>
          <w:rFonts w:ascii="Cambria" w:hAnsi="Cambria" w:cstheme="minorHAnsi"/>
          <w:sz w:val="20"/>
          <w:szCs w:val="20"/>
          <w:shd w:val="clear" w:color="auto" w:fill="FDFDFD"/>
        </w:rPr>
        <w:t>utputs identified</w:t>
      </w:r>
      <w:r>
        <w:rPr>
          <w:rFonts w:ascii="Cambria" w:hAnsi="Cambria" w:cstheme="minorHAnsi"/>
          <w:sz w:val="20"/>
          <w:szCs w:val="20"/>
          <w:shd w:val="clear" w:color="auto" w:fill="FDFDFD"/>
        </w:rPr>
        <w:t>.</w:t>
      </w:r>
    </w:p>
    <w:p w14:paraId="3681965C" w14:textId="1A0BD44B" w:rsidR="00331FB6" w:rsidRPr="00223CBF" w:rsidRDefault="00331FB6" w:rsidP="007C766E">
      <w:pPr>
        <w:pStyle w:val="BodyText"/>
        <w:numPr>
          <w:ilvl w:val="0"/>
          <w:numId w:val="3"/>
        </w:numPr>
        <w:spacing w:line="360" w:lineRule="auto"/>
        <w:jc w:val="both"/>
        <w:rPr>
          <w:rFonts w:ascii="Cambria" w:hAnsi="Cambria" w:cstheme="minorHAnsi"/>
          <w:b/>
          <w:color w:val="0070C0"/>
          <w:sz w:val="20"/>
          <w:szCs w:val="20"/>
          <w:lang w:val="en-GB"/>
        </w:rPr>
      </w:pPr>
      <w:r w:rsidRPr="00223CBF">
        <w:rPr>
          <w:rFonts w:ascii="Cambria" w:hAnsi="Cambria" w:cstheme="minorHAnsi"/>
          <w:b/>
          <w:color w:val="0070C0"/>
          <w:sz w:val="20"/>
          <w:szCs w:val="20"/>
          <w:lang w:val="en-GB"/>
        </w:rPr>
        <w:t xml:space="preserve">The adequacy of Structures and Modalities to maximise efficiency </w:t>
      </w:r>
      <w:bookmarkEnd w:id="29"/>
    </w:p>
    <w:bookmarkEnd w:id="30"/>
    <w:p w14:paraId="49023437" w14:textId="5C7B517F" w:rsidR="00997030" w:rsidRDefault="0046122B" w:rsidP="008B166E">
      <w:pPr>
        <w:pStyle w:val="BodyText"/>
        <w:spacing w:line="360" w:lineRule="auto"/>
        <w:jc w:val="both"/>
        <w:rPr>
          <w:rFonts w:ascii="Cambria" w:hAnsi="Cambria" w:cstheme="minorHAnsi"/>
          <w:bCs/>
          <w:sz w:val="20"/>
          <w:szCs w:val="20"/>
          <w:lang w:val="en-GB"/>
        </w:rPr>
      </w:pPr>
      <w:r w:rsidRPr="00223CBF">
        <w:rPr>
          <w:rFonts w:ascii="Cambria" w:hAnsi="Cambria" w:cstheme="minorHAnsi"/>
          <w:bCs/>
          <w:sz w:val="20"/>
          <w:szCs w:val="20"/>
          <w:lang w:val="en-GB"/>
        </w:rPr>
        <w:t xml:space="preserve">The </w:t>
      </w:r>
      <w:r w:rsidR="00331FB6" w:rsidRPr="00223CBF">
        <w:rPr>
          <w:rFonts w:ascii="Cambria" w:hAnsi="Cambria" w:cstheme="minorHAnsi"/>
          <w:bCs/>
          <w:sz w:val="20"/>
          <w:szCs w:val="20"/>
          <w:lang w:val="en-GB"/>
        </w:rPr>
        <w:t xml:space="preserve">strategic approach taken at the inception of the Portfolio, working with </w:t>
      </w:r>
      <w:r w:rsidR="00F74CDE" w:rsidRPr="00223CBF">
        <w:rPr>
          <w:rFonts w:ascii="Cambria" w:hAnsi="Cambria" w:cstheme="minorHAnsi"/>
          <w:bCs/>
          <w:sz w:val="20"/>
          <w:szCs w:val="20"/>
          <w:lang w:val="en-GB"/>
        </w:rPr>
        <w:t xml:space="preserve">multiple </w:t>
      </w:r>
      <w:r w:rsidR="00331FB6" w:rsidRPr="00223CBF">
        <w:rPr>
          <w:rFonts w:ascii="Cambria" w:hAnsi="Cambria" w:cstheme="minorHAnsi"/>
          <w:bCs/>
          <w:sz w:val="20"/>
          <w:szCs w:val="20"/>
          <w:lang w:val="en-GB"/>
        </w:rPr>
        <w:t>partners have positively </w:t>
      </w:r>
      <w:r w:rsidR="003B2549">
        <w:rPr>
          <w:rFonts w:ascii="Cambria" w:hAnsi="Cambria" w:cstheme="minorHAnsi"/>
          <w:bCs/>
          <w:sz w:val="20"/>
          <w:szCs w:val="20"/>
          <w:lang w:val="en-GB"/>
        </w:rPr>
        <w:t xml:space="preserve">affected </w:t>
      </w:r>
      <w:r w:rsidR="00331FB6" w:rsidRPr="00223CBF">
        <w:rPr>
          <w:rFonts w:ascii="Cambria" w:hAnsi="Cambria" w:cstheme="minorHAnsi"/>
          <w:bCs/>
          <w:sz w:val="20"/>
          <w:szCs w:val="20"/>
          <w:lang w:val="en-GB"/>
        </w:rPr>
        <w:t xml:space="preserve">the efficiency of the Output. </w:t>
      </w:r>
    </w:p>
    <w:p w14:paraId="01F26682" w14:textId="5D6AC267" w:rsidR="00695CB5" w:rsidRDefault="00695CB5" w:rsidP="00285655">
      <w:pPr>
        <w:pStyle w:val="BodyText"/>
        <w:shd w:val="clear" w:color="auto" w:fill="FFC000"/>
        <w:spacing w:line="360" w:lineRule="auto"/>
        <w:jc w:val="both"/>
        <w:rPr>
          <w:rFonts w:ascii="Cambria" w:hAnsi="Cambria" w:cstheme="minorHAnsi"/>
          <w:bCs/>
          <w:sz w:val="20"/>
          <w:szCs w:val="20"/>
          <w:lang w:val="en-GB"/>
        </w:rPr>
      </w:pPr>
      <w:r>
        <w:rPr>
          <w:rFonts w:ascii="Cambria" w:hAnsi="Cambria" w:cstheme="minorHAnsi"/>
          <w:bCs/>
          <w:sz w:val="20"/>
          <w:szCs w:val="20"/>
          <w:lang w:val="en-GB"/>
        </w:rPr>
        <w:t>The existence of a sustainable platform and modality to channel support by all DPs under one common framework, efficient use of financial resources and technical expertise/knowledge base and joint discussions/decision making involving the political leadership, SG and D</w:t>
      </w:r>
      <w:r w:rsidR="00285655">
        <w:rPr>
          <w:rFonts w:ascii="Cambria" w:hAnsi="Cambria" w:cstheme="minorHAnsi"/>
          <w:bCs/>
          <w:sz w:val="20"/>
          <w:szCs w:val="20"/>
          <w:lang w:val="en-GB"/>
        </w:rPr>
        <w:t>P</w:t>
      </w:r>
      <w:r>
        <w:rPr>
          <w:rFonts w:ascii="Cambria" w:hAnsi="Cambria" w:cstheme="minorHAnsi"/>
          <w:bCs/>
          <w:sz w:val="20"/>
          <w:szCs w:val="20"/>
          <w:lang w:val="en-GB"/>
        </w:rPr>
        <w:t>s increased accountability, inclusivity, collaboration, sustainability and ownership, offers as example</w:t>
      </w:r>
      <w:r w:rsidR="001B5FD2">
        <w:rPr>
          <w:rFonts w:ascii="Cambria" w:hAnsi="Cambria" w:cstheme="minorHAnsi"/>
          <w:bCs/>
          <w:sz w:val="20"/>
          <w:szCs w:val="20"/>
          <w:lang w:val="en-GB"/>
        </w:rPr>
        <w:t>s</w:t>
      </w:r>
      <w:r>
        <w:rPr>
          <w:rFonts w:ascii="Cambria" w:hAnsi="Cambria" w:cstheme="minorHAnsi"/>
          <w:bCs/>
          <w:sz w:val="20"/>
          <w:szCs w:val="20"/>
          <w:lang w:val="en-GB"/>
        </w:rPr>
        <w:t xml:space="preserve"> of ‘best practice’ in the sector.   </w:t>
      </w:r>
    </w:p>
    <w:p w14:paraId="49339BDB" w14:textId="10371E3D" w:rsidR="00331FB6" w:rsidRPr="00C73B2B" w:rsidRDefault="00331FB6" w:rsidP="000507CA">
      <w:pPr>
        <w:pStyle w:val="BodyText"/>
        <w:spacing w:line="360" w:lineRule="auto"/>
        <w:jc w:val="both"/>
        <w:rPr>
          <w:rFonts w:ascii="Cambria" w:hAnsi="Cambria" w:cstheme="minorHAnsi"/>
          <w:bCs/>
          <w:sz w:val="20"/>
          <w:szCs w:val="20"/>
          <w:lang w:val="en-GB"/>
        </w:rPr>
      </w:pPr>
      <w:r w:rsidRPr="00C73B2B">
        <w:rPr>
          <w:rFonts w:ascii="Cambria" w:hAnsi="Cambria" w:cstheme="minorHAnsi"/>
          <w:bCs/>
          <w:sz w:val="20"/>
          <w:szCs w:val="20"/>
          <w:lang w:val="en-GB"/>
        </w:rPr>
        <w:t>There is, however, an opportunity in the future to more efficiently plan for and develop such links in a more strategic and structured manner with the Media, CSOs and C</w:t>
      </w:r>
      <w:r w:rsidR="000315E5" w:rsidRPr="00C73B2B">
        <w:rPr>
          <w:rFonts w:ascii="Cambria" w:hAnsi="Cambria" w:cstheme="minorHAnsi"/>
          <w:bCs/>
          <w:sz w:val="20"/>
          <w:szCs w:val="20"/>
          <w:lang w:val="en-GB"/>
        </w:rPr>
        <w:t xml:space="preserve">ommunity </w:t>
      </w:r>
      <w:r w:rsidRPr="00C73B2B">
        <w:rPr>
          <w:rFonts w:ascii="Cambria" w:hAnsi="Cambria" w:cstheme="minorHAnsi"/>
          <w:bCs/>
          <w:sz w:val="20"/>
          <w:szCs w:val="20"/>
          <w:lang w:val="en-GB"/>
        </w:rPr>
        <w:t>B</w:t>
      </w:r>
      <w:r w:rsidR="000315E5" w:rsidRPr="00C73B2B">
        <w:rPr>
          <w:rFonts w:ascii="Cambria" w:hAnsi="Cambria" w:cstheme="minorHAnsi"/>
          <w:bCs/>
          <w:sz w:val="20"/>
          <w:szCs w:val="20"/>
          <w:lang w:val="en-GB"/>
        </w:rPr>
        <w:t xml:space="preserve">ased </w:t>
      </w:r>
      <w:r w:rsidRPr="00C73B2B">
        <w:rPr>
          <w:rFonts w:ascii="Cambria" w:hAnsi="Cambria" w:cstheme="minorHAnsi"/>
          <w:bCs/>
          <w:sz w:val="20"/>
          <w:szCs w:val="20"/>
          <w:lang w:val="en-GB"/>
        </w:rPr>
        <w:t>O</w:t>
      </w:r>
      <w:r w:rsidR="000315E5" w:rsidRPr="00C73B2B">
        <w:rPr>
          <w:rFonts w:ascii="Cambria" w:hAnsi="Cambria" w:cstheme="minorHAnsi"/>
          <w:bCs/>
          <w:sz w:val="20"/>
          <w:szCs w:val="20"/>
          <w:lang w:val="en-GB"/>
        </w:rPr>
        <w:t>rganisation</w:t>
      </w:r>
      <w:r w:rsidRPr="00C73B2B">
        <w:rPr>
          <w:rFonts w:ascii="Cambria" w:hAnsi="Cambria" w:cstheme="minorHAnsi"/>
          <w:bCs/>
          <w:sz w:val="20"/>
          <w:szCs w:val="20"/>
          <w:lang w:val="en-GB"/>
        </w:rPr>
        <w:t>s</w:t>
      </w:r>
      <w:r w:rsidR="000315E5" w:rsidRPr="00C73B2B">
        <w:rPr>
          <w:rFonts w:ascii="Cambria" w:hAnsi="Cambria" w:cstheme="minorHAnsi"/>
          <w:bCs/>
          <w:sz w:val="20"/>
          <w:szCs w:val="20"/>
          <w:lang w:val="en-GB"/>
        </w:rPr>
        <w:t xml:space="preserve"> (CBOs)</w:t>
      </w:r>
      <w:r w:rsidRPr="00C73B2B">
        <w:rPr>
          <w:rFonts w:ascii="Cambria" w:hAnsi="Cambria" w:cstheme="minorHAnsi"/>
          <w:bCs/>
          <w:sz w:val="20"/>
          <w:szCs w:val="20"/>
          <w:lang w:val="en-GB"/>
        </w:rPr>
        <w:t xml:space="preserve">. </w:t>
      </w:r>
    </w:p>
    <w:p w14:paraId="53309994" w14:textId="050AFA48" w:rsidR="00CF4FAC" w:rsidRPr="00223CBF" w:rsidRDefault="00331FB6" w:rsidP="000507CA">
      <w:pPr>
        <w:spacing w:line="360" w:lineRule="auto"/>
        <w:jc w:val="both"/>
        <w:rPr>
          <w:rFonts w:ascii="Cambria" w:hAnsi="Cambria" w:cstheme="minorHAnsi"/>
          <w:b/>
          <w:bCs/>
          <w:sz w:val="20"/>
          <w:szCs w:val="20"/>
        </w:rPr>
      </w:pPr>
      <w:r w:rsidRPr="00C73B2B">
        <w:rPr>
          <w:rFonts w:ascii="Cambria" w:hAnsi="Cambria" w:cstheme="minorHAnsi"/>
          <w:bCs/>
          <w:sz w:val="20"/>
          <w:szCs w:val="20"/>
          <w:lang w:val="en-GB"/>
        </w:rPr>
        <w:t>The Role of the UNDP is efficiently projected through the Outputs as a significant player</w:t>
      </w:r>
      <w:r w:rsidR="00BF72E1">
        <w:rPr>
          <w:rFonts w:ascii="Cambria" w:hAnsi="Cambria" w:cstheme="minorHAnsi"/>
          <w:bCs/>
          <w:sz w:val="20"/>
          <w:szCs w:val="20"/>
          <w:lang w:val="en-GB"/>
        </w:rPr>
        <w:t>,</w:t>
      </w:r>
      <w:r w:rsidRPr="00C73B2B">
        <w:rPr>
          <w:rFonts w:ascii="Cambria" w:hAnsi="Cambria" w:cstheme="minorHAnsi"/>
          <w:bCs/>
          <w:sz w:val="20"/>
          <w:szCs w:val="20"/>
          <w:lang w:val="en-GB"/>
        </w:rPr>
        <w:t xml:space="preserve"> not only as facilitator for donor support but also as a connector, linking </w:t>
      </w:r>
      <w:r w:rsidR="003B2549" w:rsidRPr="00C73B2B">
        <w:rPr>
          <w:rFonts w:ascii="Cambria" w:hAnsi="Cambria" w:cstheme="minorHAnsi"/>
          <w:bCs/>
          <w:sz w:val="20"/>
          <w:szCs w:val="20"/>
          <w:lang w:val="en-GB"/>
        </w:rPr>
        <w:t>p</w:t>
      </w:r>
      <w:r w:rsidRPr="00C73B2B">
        <w:rPr>
          <w:rFonts w:ascii="Cambria" w:hAnsi="Cambria" w:cstheme="minorHAnsi"/>
          <w:bCs/>
          <w:sz w:val="20"/>
          <w:szCs w:val="20"/>
          <w:lang w:val="en-GB"/>
        </w:rPr>
        <w:t>arliament and the community</w:t>
      </w:r>
      <w:r w:rsidR="00BF72E1">
        <w:rPr>
          <w:rFonts w:ascii="Cambria" w:hAnsi="Cambria" w:cstheme="minorHAnsi"/>
          <w:bCs/>
          <w:sz w:val="20"/>
          <w:szCs w:val="20"/>
          <w:lang w:val="en-GB"/>
        </w:rPr>
        <w:t>. (eg. S</w:t>
      </w:r>
      <w:r w:rsidRPr="00C73B2B">
        <w:rPr>
          <w:rFonts w:ascii="Cambria" w:hAnsi="Cambria" w:cstheme="minorHAnsi"/>
          <w:bCs/>
          <w:sz w:val="20"/>
          <w:szCs w:val="20"/>
          <w:lang w:val="en-GB"/>
        </w:rPr>
        <w:t>upport for media and outreach activities and support for public consultations through the WPS project</w:t>
      </w:r>
      <w:r w:rsidR="00BF72E1">
        <w:rPr>
          <w:rFonts w:ascii="Cambria" w:hAnsi="Cambria" w:cstheme="minorHAnsi"/>
          <w:bCs/>
          <w:sz w:val="20"/>
          <w:szCs w:val="20"/>
          <w:lang w:val="en-GB"/>
        </w:rPr>
        <w:t>)</w:t>
      </w:r>
      <w:r w:rsidRPr="00C73B2B">
        <w:rPr>
          <w:rFonts w:ascii="Cambria" w:hAnsi="Cambria" w:cstheme="minorHAnsi"/>
          <w:bCs/>
          <w:sz w:val="20"/>
          <w:szCs w:val="20"/>
          <w:lang w:val="en-GB"/>
        </w:rPr>
        <w:t xml:space="preserve"> However, lack of support and initiatives to broaden the civil society base</w:t>
      </w:r>
      <w:r w:rsidR="00BF72E1">
        <w:rPr>
          <w:rFonts w:ascii="Cambria" w:hAnsi="Cambria" w:cstheme="minorHAnsi"/>
          <w:bCs/>
          <w:sz w:val="20"/>
          <w:szCs w:val="20"/>
          <w:lang w:val="en-GB"/>
        </w:rPr>
        <w:t>,</w:t>
      </w:r>
      <w:r w:rsidRPr="00C73B2B">
        <w:rPr>
          <w:rFonts w:ascii="Cambria" w:hAnsi="Cambria" w:cstheme="minorHAnsi"/>
          <w:bCs/>
          <w:sz w:val="20"/>
          <w:szCs w:val="20"/>
          <w:lang w:val="en-GB"/>
        </w:rPr>
        <w:t xml:space="preserve"> </w:t>
      </w:r>
      <w:r w:rsidR="00CF4FAC" w:rsidRPr="00C73B2B">
        <w:rPr>
          <w:rFonts w:ascii="Cambria" w:hAnsi="Cambria" w:cstheme="minorHAnsi"/>
          <w:bCs/>
          <w:sz w:val="20"/>
          <w:szCs w:val="20"/>
          <w:lang w:val="en-GB"/>
        </w:rPr>
        <w:t>may</w:t>
      </w:r>
      <w:r w:rsidRPr="00C73B2B">
        <w:rPr>
          <w:rFonts w:ascii="Cambria" w:hAnsi="Cambria" w:cstheme="minorHAnsi"/>
          <w:bCs/>
          <w:sz w:val="20"/>
          <w:szCs w:val="20"/>
          <w:lang w:val="en-GB"/>
        </w:rPr>
        <w:t xml:space="preserve"> </w:t>
      </w:r>
      <w:r w:rsidR="00CF4FAC" w:rsidRPr="00C73B2B">
        <w:rPr>
          <w:rFonts w:ascii="Cambria" w:hAnsi="Cambria" w:cstheme="minorHAnsi"/>
          <w:bCs/>
          <w:sz w:val="20"/>
          <w:szCs w:val="20"/>
          <w:lang w:val="en-GB"/>
        </w:rPr>
        <w:t>affect</w:t>
      </w:r>
      <w:r w:rsidRPr="00C73B2B">
        <w:rPr>
          <w:rFonts w:ascii="Cambria" w:hAnsi="Cambria" w:cstheme="minorHAnsi"/>
          <w:bCs/>
          <w:sz w:val="20"/>
          <w:szCs w:val="20"/>
          <w:lang w:val="en-GB"/>
        </w:rPr>
        <w:t xml:space="preserve"> efficiency in the second phase unless more resources are allocated to raising </w:t>
      </w:r>
      <w:bookmarkStart w:id="32" w:name="_Hlk56099777"/>
      <w:r w:rsidR="00CF4FAC" w:rsidRPr="00C73B2B">
        <w:rPr>
          <w:rFonts w:ascii="Cambria" w:hAnsi="Cambria" w:cstheme="minorHAnsi"/>
          <w:bCs/>
          <w:sz w:val="20"/>
          <w:szCs w:val="20"/>
          <w:lang w:val="en-GB"/>
        </w:rPr>
        <w:t>the voices of the people on the ground.</w:t>
      </w:r>
      <w:r w:rsidR="00CF4FAC" w:rsidRPr="00223CBF">
        <w:rPr>
          <w:rFonts w:ascii="Cambria" w:hAnsi="Cambria" w:cstheme="minorHAnsi"/>
          <w:bCs/>
          <w:sz w:val="20"/>
          <w:szCs w:val="20"/>
          <w:lang w:val="en-GB"/>
        </w:rPr>
        <w:t xml:space="preserve"> </w:t>
      </w:r>
    </w:p>
    <w:p w14:paraId="7F4161F1" w14:textId="77777777" w:rsidR="005B3C3A" w:rsidRPr="00223CBF" w:rsidRDefault="005B3C3A" w:rsidP="000507CA">
      <w:pPr>
        <w:spacing w:line="360" w:lineRule="auto"/>
        <w:jc w:val="both"/>
        <w:rPr>
          <w:rFonts w:ascii="Cambria" w:hAnsi="Cambria" w:cstheme="minorHAnsi"/>
          <w:b/>
          <w:bCs/>
          <w:sz w:val="20"/>
          <w:szCs w:val="20"/>
        </w:rPr>
      </w:pPr>
    </w:p>
    <w:p w14:paraId="7C0E5572" w14:textId="0EE3BBCA" w:rsidR="00331FB6" w:rsidRPr="00223CBF" w:rsidRDefault="00331FB6" w:rsidP="000507CA">
      <w:pPr>
        <w:spacing w:line="360" w:lineRule="auto"/>
        <w:jc w:val="both"/>
        <w:rPr>
          <w:rFonts w:ascii="Cambria" w:hAnsi="Cambria" w:cstheme="minorHAnsi"/>
          <w:b/>
          <w:bCs/>
          <w:sz w:val="20"/>
          <w:szCs w:val="20"/>
        </w:rPr>
      </w:pPr>
      <w:r w:rsidRPr="00223CBF">
        <w:rPr>
          <w:rFonts w:ascii="Cambria" w:hAnsi="Cambria" w:cstheme="minorHAnsi"/>
          <w:b/>
          <w:bCs/>
          <w:sz w:val="20"/>
          <w:szCs w:val="20"/>
        </w:rPr>
        <w:t xml:space="preserve">EQ4. Impact </w:t>
      </w:r>
    </w:p>
    <w:p w14:paraId="4CF0E947" w14:textId="77777777" w:rsidR="00331FB6" w:rsidRPr="00223CBF" w:rsidRDefault="00331FB6" w:rsidP="000507CA">
      <w:pPr>
        <w:shd w:val="clear" w:color="auto" w:fill="92D050"/>
        <w:spacing w:line="360" w:lineRule="auto"/>
        <w:jc w:val="both"/>
        <w:rPr>
          <w:rFonts w:ascii="Cambria" w:hAnsi="Cambria" w:cstheme="minorHAnsi"/>
          <w:sz w:val="20"/>
          <w:szCs w:val="20"/>
        </w:rPr>
      </w:pPr>
    </w:p>
    <w:p w14:paraId="6E5D0FC6" w14:textId="2D7C15C5" w:rsidR="00876EB2" w:rsidRPr="00223CBF" w:rsidRDefault="00331FB6" w:rsidP="0055598A">
      <w:pPr>
        <w:shd w:val="clear" w:color="auto" w:fill="92D050"/>
        <w:spacing w:line="360" w:lineRule="auto"/>
        <w:jc w:val="center"/>
        <w:rPr>
          <w:rFonts w:ascii="Cambria" w:hAnsi="Cambria" w:cstheme="minorHAnsi"/>
          <w:sz w:val="20"/>
          <w:szCs w:val="20"/>
        </w:rPr>
      </w:pPr>
      <w:r w:rsidRPr="00223CBF">
        <w:rPr>
          <w:rFonts w:ascii="Cambria" w:hAnsi="Cambria" w:cstheme="minorHAnsi"/>
          <w:sz w:val="20"/>
          <w:szCs w:val="20"/>
        </w:rPr>
        <w:t>Impact refers to the</w:t>
      </w:r>
      <w:r w:rsidRPr="00C77E19">
        <w:rPr>
          <w:rFonts w:ascii="Cambria" w:hAnsi="Cambria" w:cstheme="minorHAnsi"/>
          <w:b/>
          <w:bCs/>
          <w:sz w:val="20"/>
          <w:szCs w:val="20"/>
        </w:rPr>
        <w:t xml:space="preserve"> c</w:t>
      </w:r>
      <w:r w:rsidRPr="00223CBF">
        <w:rPr>
          <w:rFonts w:ascii="Cambria" w:hAnsi="Cambria" w:cstheme="minorHAnsi"/>
          <w:b/>
          <w:bCs/>
          <w:sz w:val="20"/>
          <w:szCs w:val="20"/>
        </w:rPr>
        <w:t>hange/results o</w:t>
      </w:r>
      <w:r w:rsidRPr="00223CBF">
        <w:rPr>
          <w:rFonts w:ascii="Cambria" w:hAnsi="Cambria" w:cstheme="minorHAnsi"/>
          <w:sz w:val="20"/>
          <w:szCs w:val="20"/>
        </w:rPr>
        <w:t xml:space="preserve">f the output level achievements so far in line with the outcome level results. It refers to the </w:t>
      </w:r>
      <w:r w:rsidRPr="00223CBF">
        <w:rPr>
          <w:rFonts w:ascii="Cambria" w:hAnsi="Cambria" w:cstheme="minorHAnsi"/>
          <w:b/>
          <w:bCs/>
          <w:sz w:val="20"/>
          <w:szCs w:val="20"/>
        </w:rPr>
        <w:t>positive or negative changes in the short/medium or long term</w:t>
      </w:r>
      <w:r w:rsidRPr="00223CBF">
        <w:rPr>
          <w:rFonts w:ascii="Cambria" w:hAnsi="Cambria" w:cstheme="minorHAnsi"/>
          <w:sz w:val="20"/>
          <w:szCs w:val="20"/>
        </w:rPr>
        <w:t xml:space="preserve"> and to what extent </w:t>
      </w:r>
      <w:r w:rsidRPr="00223CBF">
        <w:rPr>
          <w:rFonts w:ascii="Cambria" w:hAnsi="Cambria" w:cstheme="minorHAnsi"/>
          <w:sz w:val="20"/>
          <w:szCs w:val="20"/>
        </w:rPr>
        <w:lastRenderedPageBreak/>
        <w:t xml:space="preserve">the </w:t>
      </w:r>
      <w:r w:rsidRPr="00223CBF">
        <w:rPr>
          <w:rFonts w:ascii="Cambria" w:hAnsi="Cambria" w:cstheme="minorHAnsi"/>
          <w:b/>
          <w:bCs/>
          <w:sz w:val="20"/>
          <w:szCs w:val="20"/>
        </w:rPr>
        <w:t>targeted beneficiaries have experienced this change</w:t>
      </w:r>
      <w:r w:rsidRPr="00223CBF">
        <w:rPr>
          <w:rFonts w:ascii="Cambria" w:hAnsi="Cambria" w:cstheme="minorHAnsi"/>
          <w:sz w:val="20"/>
          <w:szCs w:val="20"/>
        </w:rPr>
        <w:t>. Impact assess</w:t>
      </w:r>
      <w:r w:rsidR="00C77E19">
        <w:rPr>
          <w:rFonts w:ascii="Cambria" w:hAnsi="Cambria" w:cstheme="minorHAnsi"/>
          <w:sz w:val="20"/>
          <w:szCs w:val="20"/>
        </w:rPr>
        <w:t>es</w:t>
      </w:r>
      <w:r w:rsidRPr="00223CBF">
        <w:rPr>
          <w:rFonts w:ascii="Cambria" w:hAnsi="Cambria" w:cstheme="minorHAnsi"/>
          <w:sz w:val="20"/>
          <w:szCs w:val="20"/>
        </w:rPr>
        <w:t xml:space="preserve"> the contribution of the interventions and external factors </w:t>
      </w:r>
      <w:r w:rsidR="00C77E19">
        <w:rPr>
          <w:rFonts w:ascii="Cambria" w:hAnsi="Cambria" w:cstheme="minorHAnsi"/>
          <w:sz w:val="20"/>
          <w:szCs w:val="20"/>
        </w:rPr>
        <w:t xml:space="preserve">that are </w:t>
      </w:r>
      <w:r w:rsidRPr="00223CBF">
        <w:rPr>
          <w:rFonts w:ascii="Cambria" w:hAnsi="Cambria" w:cstheme="minorHAnsi"/>
          <w:sz w:val="20"/>
          <w:szCs w:val="20"/>
        </w:rPr>
        <w:t>require</w:t>
      </w:r>
      <w:r w:rsidR="00C77E19">
        <w:rPr>
          <w:rFonts w:ascii="Cambria" w:hAnsi="Cambria" w:cstheme="minorHAnsi"/>
          <w:sz w:val="20"/>
          <w:szCs w:val="20"/>
        </w:rPr>
        <w:t xml:space="preserve">d </w:t>
      </w:r>
      <w:r w:rsidRPr="00223CBF">
        <w:rPr>
          <w:rFonts w:ascii="Cambria" w:hAnsi="Cambria" w:cstheme="minorHAnsi"/>
          <w:sz w:val="20"/>
          <w:szCs w:val="20"/>
        </w:rPr>
        <w:t>to sustain it.</w:t>
      </w:r>
    </w:p>
    <w:p w14:paraId="0E081444" w14:textId="77777777" w:rsidR="00331FB6" w:rsidRPr="00223CBF" w:rsidRDefault="00331FB6" w:rsidP="000507CA">
      <w:pPr>
        <w:spacing w:line="360" w:lineRule="auto"/>
        <w:jc w:val="both"/>
        <w:rPr>
          <w:rFonts w:ascii="Cambria" w:hAnsi="Cambria" w:cstheme="minorHAnsi"/>
          <w:sz w:val="20"/>
          <w:szCs w:val="20"/>
        </w:rPr>
      </w:pPr>
    </w:p>
    <w:p w14:paraId="417C006C" w14:textId="77777777" w:rsidR="00286237" w:rsidRPr="00223CBF" w:rsidRDefault="00286237" w:rsidP="00286237">
      <w:pPr>
        <w:pStyle w:val="ListParagraph"/>
        <w:numPr>
          <w:ilvl w:val="0"/>
          <w:numId w:val="8"/>
        </w:numPr>
        <w:spacing w:line="360" w:lineRule="auto"/>
        <w:jc w:val="both"/>
        <w:rPr>
          <w:rFonts w:ascii="Cambria" w:hAnsi="Cambria" w:cstheme="minorHAnsi"/>
          <w:b/>
          <w:bCs/>
          <w:color w:val="0070C0"/>
          <w:sz w:val="20"/>
          <w:szCs w:val="20"/>
        </w:rPr>
      </w:pPr>
      <w:bookmarkStart w:id="33" w:name="_Hlk56099816"/>
      <w:bookmarkEnd w:id="32"/>
      <w:r w:rsidRPr="00223CBF">
        <w:rPr>
          <w:rFonts w:ascii="Cambria" w:hAnsi="Cambria" w:cstheme="minorHAnsi"/>
          <w:b/>
          <w:bCs/>
          <w:color w:val="0070C0"/>
          <w:sz w:val="20"/>
          <w:szCs w:val="20"/>
        </w:rPr>
        <w:t xml:space="preserve">The extent to which output level achievements are </w:t>
      </w:r>
      <w:r>
        <w:rPr>
          <w:rFonts w:ascii="Cambria" w:hAnsi="Cambria" w:cstheme="minorHAnsi"/>
          <w:b/>
          <w:bCs/>
          <w:color w:val="0070C0"/>
          <w:sz w:val="20"/>
          <w:szCs w:val="20"/>
        </w:rPr>
        <w:t xml:space="preserve">contributing to </w:t>
      </w:r>
      <w:r w:rsidRPr="00223CBF">
        <w:rPr>
          <w:rFonts w:ascii="Cambria" w:hAnsi="Cambria" w:cstheme="minorHAnsi"/>
          <w:b/>
          <w:bCs/>
          <w:color w:val="0070C0"/>
          <w:sz w:val="20"/>
          <w:szCs w:val="20"/>
        </w:rPr>
        <w:t>outcome results</w:t>
      </w:r>
    </w:p>
    <w:p w14:paraId="2692F7C7" w14:textId="155E8AEA" w:rsidR="004F5AE4" w:rsidRPr="004F5AE4" w:rsidRDefault="004F5AE4" w:rsidP="004F5AE4">
      <w:pPr>
        <w:spacing w:line="360" w:lineRule="auto"/>
        <w:jc w:val="both"/>
        <w:rPr>
          <w:rFonts w:ascii="Cambria" w:eastAsia="Times New Roman" w:hAnsi="Cambria" w:cstheme="minorHAnsi"/>
          <w:sz w:val="20"/>
          <w:szCs w:val="20"/>
        </w:rPr>
      </w:pPr>
      <w:r w:rsidRPr="004F5AE4">
        <w:rPr>
          <w:rFonts w:ascii="Cambria" w:eastAsia="Times New Roman" w:hAnsi="Cambria" w:cstheme="minorHAnsi"/>
          <w:sz w:val="20"/>
          <w:szCs w:val="20"/>
        </w:rPr>
        <w:t>The continued support towards communications over time</w:t>
      </w:r>
      <w:r w:rsidR="00DC17FC">
        <w:rPr>
          <w:rFonts w:ascii="Cambria" w:eastAsia="Times New Roman" w:hAnsi="Cambria" w:cstheme="minorHAnsi"/>
          <w:sz w:val="20"/>
          <w:szCs w:val="20"/>
        </w:rPr>
        <w:t>,</w:t>
      </w:r>
      <w:r w:rsidRPr="004F5AE4">
        <w:rPr>
          <w:rFonts w:ascii="Cambria" w:eastAsia="Times New Roman" w:hAnsi="Cambria" w:cstheme="minorHAnsi"/>
          <w:sz w:val="20"/>
          <w:szCs w:val="20"/>
        </w:rPr>
        <w:t xml:space="preserve"> has ensured a focus on developing strategic plans that have been accompanied by plans for implementation. This is a clear recognition that</w:t>
      </w:r>
      <w:r w:rsidR="00DC17FC">
        <w:rPr>
          <w:rFonts w:ascii="Cambria" w:eastAsia="Times New Roman" w:hAnsi="Cambria" w:cstheme="minorHAnsi"/>
          <w:sz w:val="20"/>
          <w:szCs w:val="20"/>
        </w:rPr>
        <w:t>,</w:t>
      </w:r>
      <w:r w:rsidRPr="004F5AE4">
        <w:rPr>
          <w:rFonts w:ascii="Cambria" w:eastAsia="Times New Roman" w:hAnsi="Cambria" w:cstheme="minorHAnsi"/>
          <w:sz w:val="20"/>
          <w:szCs w:val="20"/>
        </w:rPr>
        <w:t xml:space="preserve"> designing plans without planning for implementation</w:t>
      </w:r>
      <w:r w:rsidR="00DC17FC">
        <w:rPr>
          <w:rFonts w:ascii="Cambria" w:eastAsia="Times New Roman" w:hAnsi="Cambria" w:cstheme="minorHAnsi"/>
          <w:sz w:val="20"/>
          <w:szCs w:val="20"/>
        </w:rPr>
        <w:t>,</w:t>
      </w:r>
      <w:r w:rsidRPr="004F5AE4">
        <w:rPr>
          <w:rFonts w:ascii="Cambria" w:eastAsia="Times New Roman" w:hAnsi="Cambria" w:cstheme="minorHAnsi"/>
          <w:sz w:val="20"/>
          <w:szCs w:val="20"/>
        </w:rPr>
        <w:t xml:space="preserve"> will fall short of achieving identified Outcomes. Future effectiveness of plans would have to factor in the current pandemic context and how engagement with the public can be still done in a safe and effective manner</w:t>
      </w:r>
      <w:r w:rsidR="00DC17FC">
        <w:rPr>
          <w:rFonts w:ascii="Cambria" w:eastAsia="Times New Roman" w:hAnsi="Cambria" w:cstheme="minorHAnsi"/>
          <w:sz w:val="20"/>
          <w:szCs w:val="20"/>
        </w:rPr>
        <w:t>,</w:t>
      </w:r>
      <w:r w:rsidRPr="004F5AE4">
        <w:rPr>
          <w:rFonts w:ascii="Cambria" w:eastAsia="Times New Roman" w:hAnsi="Cambria" w:cstheme="minorHAnsi"/>
          <w:sz w:val="20"/>
          <w:szCs w:val="20"/>
        </w:rPr>
        <w:t xml:space="preserve"> keeping the objectives and expected Outcomes in mind. For example, utilsiing the broadcasting equipment provided by UNDP, the PS conducted a </w:t>
      </w:r>
      <w:r w:rsidR="00DC17FC">
        <w:rPr>
          <w:rFonts w:ascii="Cambria" w:eastAsia="Times New Roman" w:hAnsi="Cambria" w:cstheme="minorHAnsi"/>
          <w:sz w:val="20"/>
          <w:szCs w:val="20"/>
        </w:rPr>
        <w:t xml:space="preserve">trial </w:t>
      </w:r>
      <w:r w:rsidRPr="004F5AE4">
        <w:rPr>
          <w:rFonts w:ascii="Cambria" w:eastAsia="Times New Roman" w:hAnsi="Cambria" w:cstheme="minorHAnsi"/>
          <w:sz w:val="20"/>
          <w:szCs w:val="20"/>
        </w:rPr>
        <w:t>virtual committee proceeding</w:t>
      </w:r>
      <w:r w:rsidR="00DC17FC">
        <w:rPr>
          <w:rFonts w:ascii="Cambria" w:eastAsia="Times New Roman" w:hAnsi="Cambria" w:cstheme="minorHAnsi"/>
          <w:sz w:val="20"/>
          <w:szCs w:val="20"/>
        </w:rPr>
        <w:t xml:space="preserve">. Since then, </w:t>
      </w:r>
      <w:r w:rsidRPr="004F5AE4">
        <w:rPr>
          <w:rFonts w:ascii="Cambria" w:eastAsia="Times New Roman" w:hAnsi="Cambria" w:cstheme="minorHAnsi"/>
          <w:sz w:val="20"/>
          <w:szCs w:val="20"/>
        </w:rPr>
        <w:t>more than 24 committee meetings through this system. Virtual committee meetings were also used to help ensure greater participation of MPs in sessions, which was recognised as a shortcoming in the system. Therefore, this system may be elaborated during the second phase to minimi</w:t>
      </w:r>
      <w:r w:rsidR="00DC17FC">
        <w:rPr>
          <w:rFonts w:ascii="Cambria" w:eastAsia="Times New Roman" w:hAnsi="Cambria" w:cstheme="minorHAnsi"/>
          <w:sz w:val="20"/>
          <w:szCs w:val="20"/>
        </w:rPr>
        <w:t>s</w:t>
      </w:r>
      <w:r w:rsidRPr="004F5AE4">
        <w:rPr>
          <w:rFonts w:ascii="Cambria" w:eastAsia="Times New Roman" w:hAnsi="Cambria" w:cstheme="minorHAnsi"/>
          <w:sz w:val="20"/>
          <w:szCs w:val="20"/>
        </w:rPr>
        <w:t>e disruptions in parliamentary proceedings</w:t>
      </w:r>
      <w:r w:rsidR="00DC17FC">
        <w:rPr>
          <w:rFonts w:ascii="Cambria" w:eastAsia="Times New Roman" w:hAnsi="Cambria" w:cstheme="minorHAnsi"/>
          <w:sz w:val="20"/>
          <w:szCs w:val="20"/>
        </w:rPr>
        <w:t>,</w:t>
      </w:r>
      <w:r w:rsidRPr="004F5AE4">
        <w:rPr>
          <w:rFonts w:ascii="Cambria" w:eastAsia="Times New Roman" w:hAnsi="Cambria" w:cstheme="minorHAnsi"/>
          <w:sz w:val="20"/>
          <w:szCs w:val="20"/>
        </w:rPr>
        <w:t xml:space="preserve"> whilst complying with health and safety standards of the government. </w:t>
      </w:r>
    </w:p>
    <w:p w14:paraId="6F385E70" w14:textId="0B298C9D" w:rsidR="004F5AE4" w:rsidRDefault="004F5AE4" w:rsidP="004F5AE4">
      <w:pPr>
        <w:spacing w:line="360" w:lineRule="auto"/>
        <w:jc w:val="both"/>
        <w:rPr>
          <w:rFonts w:ascii="Cambria" w:eastAsia="Times New Roman" w:hAnsi="Cambria" w:cstheme="minorHAnsi"/>
          <w:sz w:val="20"/>
          <w:szCs w:val="20"/>
        </w:rPr>
      </w:pPr>
      <w:r w:rsidRPr="004F5AE4">
        <w:rPr>
          <w:rFonts w:ascii="Cambria" w:eastAsia="Times New Roman" w:hAnsi="Cambria" w:cstheme="minorHAnsi"/>
          <w:sz w:val="20"/>
          <w:szCs w:val="20"/>
        </w:rPr>
        <w:t>However, whether the selected actions, that seem to largely focus on communications and building capacity towards more effective communications, may not be the only actions required to fulfill the</w:t>
      </w:r>
      <w:r w:rsidR="00831EB7">
        <w:rPr>
          <w:rFonts w:ascii="Cambria" w:eastAsia="Times New Roman" w:hAnsi="Cambria" w:cstheme="minorHAnsi"/>
          <w:sz w:val="20"/>
          <w:szCs w:val="20"/>
        </w:rPr>
        <w:t xml:space="preserve"> public engagement aspect of the</w:t>
      </w:r>
      <w:r w:rsidRPr="004F5AE4">
        <w:rPr>
          <w:rFonts w:ascii="Cambria" w:eastAsia="Times New Roman" w:hAnsi="Cambria" w:cstheme="minorHAnsi"/>
          <w:sz w:val="20"/>
          <w:szCs w:val="20"/>
        </w:rPr>
        <w:t xml:space="preserve"> Outcome. There may need to be a reflection on the effectiveness of the actions towards meeting the Outcome</w:t>
      </w:r>
      <w:r w:rsidR="00831EB7">
        <w:rPr>
          <w:rFonts w:ascii="Cambria" w:eastAsia="Times New Roman" w:hAnsi="Cambria" w:cstheme="minorHAnsi"/>
          <w:sz w:val="20"/>
          <w:szCs w:val="20"/>
        </w:rPr>
        <w:t>. D</w:t>
      </w:r>
      <w:r w:rsidRPr="004F5AE4">
        <w:rPr>
          <w:rFonts w:ascii="Cambria" w:eastAsia="Times New Roman" w:hAnsi="Cambria" w:cstheme="minorHAnsi"/>
          <w:sz w:val="20"/>
          <w:szCs w:val="20"/>
        </w:rPr>
        <w:t>eveloping these actions further</w:t>
      </w:r>
      <w:r w:rsidR="00831EB7">
        <w:rPr>
          <w:rFonts w:ascii="Cambria" w:eastAsia="Times New Roman" w:hAnsi="Cambria" w:cstheme="minorHAnsi"/>
          <w:sz w:val="20"/>
          <w:szCs w:val="20"/>
        </w:rPr>
        <w:t xml:space="preserve"> </w:t>
      </w:r>
      <w:r w:rsidRPr="004F5AE4">
        <w:rPr>
          <w:rFonts w:ascii="Cambria" w:eastAsia="Times New Roman" w:hAnsi="Cambria" w:cstheme="minorHAnsi"/>
          <w:sz w:val="20"/>
          <w:szCs w:val="20"/>
        </w:rPr>
        <w:t>to ensure greater impact can be achieved in line with the outcome</w:t>
      </w:r>
      <w:r w:rsidR="00831EB7">
        <w:rPr>
          <w:rFonts w:ascii="Cambria" w:eastAsia="Times New Roman" w:hAnsi="Cambria" w:cstheme="minorHAnsi"/>
          <w:sz w:val="20"/>
          <w:szCs w:val="20"/>
        </w:rPr>
        <w:t>,</w:t>
      </w:r>
      <w:r w:rsidRPr="004F5AE4">
        <w:rPr>
          <w:rFonts w:ascii="Cambria" w:eastAsia="Times New Roman" w:hAnsi="Cambria" w:cstheme="minorHAnsi"/>
          <w:sz w:val="20"/>
          <w:szCs w:val="20"/>
        </w:rPr>
        <w:t xml:space="preserve"> and meeting it more effectively</w:t>
      </w:r>
      <w:r w:rsidR="00831EB7">
        <w:rPr>
          <w:rFonts w:ascii="Cambria" w:eastAsia="Times New Roman" w:hAnsi="Cambria" w:cstheme="minorHAnsi"/>
          <w:sz w:val="20"/>
          <w:szCs w:val="20"/>
        </w:rPr>
        <w:t>,</w:t>
      </w:r>
      <w:r w:rsidRPr="004F5AE4">
        <w:rPr>
          <w:rFonts w:ascii="Cambria" w:eastAsia="Times New Roman" w:hAnsi="Cambria" w:cstheme="minorHAnsi"/>
          <w:sz w:val="20"/>
          <w:szCs w:val="20"/>
        </w:rPr>
        <w:t xml:space="preserve"> in the remaining lifetime of the project. </w:t>
      </w:r>
    </w:p>
    <w:p w14:paraId="3FE76EB2" w14:textId="77777777" w:rsidR="0055598A" w:rsidRPr="004F5AE4" w:rsidRDefault="0055598A" w:rsidP="004F5AE4">
      <w:pPr>
        <w:spacing w:line="360" w:lineRule="auto"/>
        <w:jc w:val="both"/>
        <w:rPr>
          <w:rFonts w:ascii="Cambria" w:eastAsia="Times New Roman" w:hAnsi="Cambria" w:cstheme="minorHAnsi"/>
          <w:sz w:val="20"/>
          <w:szCs w:val="20"/>
        </w:rPr>
      </w:pPr>
    </w:p>
    <w:p w14:paraId="6CFDAE35" w14:textId="77777777" w:rsidR="00331FB6" w:rsidRPr="00223CBF" w:rsidRDefault="00331FB6" w:rsidP="007C766E">
      <w:pPr>
        <w:pStyle w:val="ListParagraph"/>
        <w:numPr>
          <w:ilvl w:val="0"/>
          <w:numId w:val="4"/>
        </w:numPr>
        <w:spacing w:line="360" w:lineRule="auto"/>
        <w:jc w:val="both"/>
        <w:rPr>
          <w:rFonts w:ascii="Cambria" w:hAnsi="Cambria" w:cstheme="minorHAnsi"/>
          <w:b/>
          <w:bCs/>
          <w:color w:val="0070C0"/>
          <w:sz w:val="20"/>
          <w:szCs w:val="20"/>
        </w:rPr>
      </w:pPr>
      <w:r w:rsidRPr="00223CBF">
        <w:rPr>
          <w:rFonts w:ascii="Cambria" w:hAnsi="Cambria" w:cstheme="minorHAnsi"/>
          <w:b/>
          <w:bCs/>
          <w:color w:val="0070C0"/>
          <w:sz w:val="20"/>
          <w:szCs w:val="20"/>
        </w:rPr>
        <w:t xml:space="preserve">The positive and negative impacts observed  </w:t>
      </w:r>
    </w:p>
    <w:bookmarkEnd w:id="33"/>
    <w:p w14:paraId="39074926" w14:textId="7499FE70" w:rsidR="00331FB6" w:rsidRPr="00223CBF" w:rsidRDefault="00331FB6" w:rsidP="0069189B">
      <w:pPr>
        <w:pStyle w:val="BodyText"/>
        <w:shd w:val="clear" w:color="auto" w:fill="FFC000"/>
        <w:spacing w:line="360" w:lineRule="auto"/>
        <w:contextualSpacing/>
        <w:jc w:val="both"/>
        <w:rPr>
          <w:rFonts w:ascii="Cambria" w:hAnsi="Cambria" w:cstheme="minorHAnsi"/>
          <w:bCs/>
          <w:sz w:val="20"/>
          <w:szCs w:val="20"/>
          <w:lang w:val="en-GB"/>
        </w:rPr>
      </w:pPr>
      <w:r w:rsidRPr="00223CBF">
        <w:rPr>
          <w:rFonts w:ascii="Cambria" w:hAnsi="Cambria" w:cstheme="minorHAnsi"/>
          <w:bCs/>
          <w:sz w:val="20"/>
          <w:szCs w:val="20"/>
          <w:lang w:val="en-GB"/>
        </w:rPr>
        <w:t xml:space="preserve">The newly established Communications department itself is a tangle outcome of the Portfolio and initial technical support for recruitment, infrastructure and systems development, capacity building and training on communication strategy was sustained by receiving cabinet approval and permanent cadre allocations in the 2019 national budget. </w:t>
      </w:r>
    </w:p>
    <w:p w14:paraId="0D1F5433" w14:textId="77777777" w:rsidR="004F5AE4" w:rsidRDefault="004F5AE4" w:rsidP="000507CA">
      <w:pPr>
        <w:pStyle w:val="BodyText"/>
        <w:spacing w:line="360" w:lineRule="auto"/>
        <w:contextualSpacing/>
        <w:jc w:val="both"/>
        <w:rPr>
          <w:rFonts w:ascii="Cambria" w:hAnsi="Cambria" w:cstheme="minorHAnsi"/>
          <w:bCs/>
          <w:sz w:val="20"/>
          <w:szCs w:val="20"/>
          <w:lang w:val="en-GB"/>
        </w:rPr>
      </w:pPr>
    </w:p>
    <w:p w14:paraId="0F7BA6DB" w14:textId="30862AD3" w:rsidR="004F5AE4" w:rsidRPr="00223CBF" w:rsidRDefault="004F5AE4" w:rsidP="004F5AE4">
      <w:pPr>
        <w:pStyle w:val="BodyText"/>
        <w:spacing w:line="360" w:lineRule="auto"/>
        <w:contextualSpacing/>
        <w:jc w:val="both"/>
        <w:rPr>
          <w:rFonts w:ascii="Cambria" w:hAnsi="Cambria" w:cstheme="minorHAnsi"/>
          <w:bCs/>
          <w:sz w:val="20"/>
          <w:szCs w:val="20"/>
          <w:lang w:val="en-GB"/>
        </w:rPr>
      </w:pPr>
      <w:r w:rsidRPr="00223CBF">
        <w:rPr>
          <w:rFonts w:ascii="Cambria" w:hAnsi="Cambria" w:cstheme="minorHAnsi"/>
          <w:bCs/>
          <w:sz w:val="20"/>
          <w:szCs w:val="20"/>
          <w:lang w:val="en-GB"/>
        </w:rPr>
        <w:t xml:space="preserve">The new communications strategy </w:t>
      </w:r>
      <w:bookmarkStart w:id="34" w:name="_Hlk59122131"/>
      <w:r w:rsidRPr="00223CBF">
        <w:rPr>
          <w:rFonts w:ascii="Cambria" w:hAnsi="Cambria" w:cstheme="minorHAnsi"/>
          <w:bCs/>
          <w:sz w:val="20"/>
          <w:szCs w:val="20"/>
          <w:lang w:val="en-GB"/>
        </w:rPr>
        <w:t>adopted</w:t>
      </w:r>
      <w:r w:rsidR="004E6BBE">
        <w:rPr>
          <w:rFonts w:ascii="Cambria" w:hAnsi="Cambria" w:cstheme="minorHAnsi"/>
          <w:bCs/>
          <w:sz w:val="20"/>
          <w:szCs w:val="20"/>
          <w:lang w:val="en-GB"/>
        </w:rPr>
        <w:t>,</w:t>
      </w:r>
      <w:r w:rsidRPr="00223CBF">
        <w:rPr>
          <w:rFonts w:ascii="Cambria" w:hAnsi="Cambria" w:cstheme="minorHAnsi"/>
          <w:bCs/>
          <w:sz w:val="20"/>
          <w:szCs w:val="20"/>
          <w:lang w:val="en-GB"/>
        </w:rPr>
        <w:t xml:space="preserve"> has </w:t>
      </w:r>
      <w:r>
        <w:rPr>
          <w:rFonts w:ascii="Cambria" w:hAnsi="Cambria" w:cstheme="minorHAnsi"/>
          <w:bCs/>
          <w:sz w:val="20"/>
          <w:szCs w:val="20"/>
          <w:lang w:val="en-GB"/>
        </w:rPr>
        <w:t xml:space="preserve">increased the possibilities of enhancing </w:t>
      </w:r>
      <w:bookmarkEnd w:id="34"/>
      <w:r w:rsidRPr="00223CBF">
        <w:rPr>
          <w:rFonts w:ascii="Cambria" w:hAnsi="Cambria" w:cstheme="minorHAnsi"/>
          <w:bCs/>
          <w:sz w:val="20"/>
          <w:szCs w:val="20"/>
          <w:lang w:val="en-GB"/>
        </w:rPr>
        <w:t>the quality and quantity of civic engagement</w:t>
      </w:r>
      <w:r w:rsidR="004E6BBE">
        <w:rPr>
          <w:rFonts w:ascii="Cambria" w:hAnsi="Cambria" w:cstheme="minorHAnsi"/>
          <w:bCs/>
          <w:sz w:val="20"/>
          <w:szCs w:val="20"/>
          <w:lang w:val="en-GB"/>
        </w:rPr>
        <w:t>,</w:t>
      </w:r>
      <w:r w:rsidRPr="00223CBF">
        <w:rPr>
          <w:rFonts w:ascii="Cambria" w:hAnsi="Cambria" w:cstheme="minorHAnsi"/>
          <w:bCs/>
          <w:sz w:val="20"/>
          <w:szCs w:val="20"/>
          <w:lang w:val="en-GB"/>
        </w:rPr>
        <w:t xml:space="preserve"> to ensure openness of parliamentary proceedings. </w:t>
      </w:r>
      <w:r w:rsidRPr="00223CBF">
        <w:rPr>
          <w:rFonts w:ascii="Cambria" w:hAnsi="Cambria" w:cstheme="minorHAnsi"/>
          <w:sz w:val="20"/>
          <w:szCs w:val="20"/>
        </w:rPr>
        <w:t>Formerly communications relating to the parliament was mostly handled by the Department of Serjeant-at-Arms and Information Systems and Management</w:t>
      </w:r>
      <w:r w:rsidRPr="00223CBF">
        <w:rPr>
          <w:rFonts w:ascii="Cambria" w:hAnsi="Cambria" w:cstheme="minorHAnsi"/>
          <w:bCs/>
          <w:sz w:val="20"/>
          <w:szCs w:val="20"/>
          <w:lang w:val="en-GB"/>
        </w:rPr>
        <w:t xml:space="preserve">. KPIs indicate a change in attitude of the PS in their role to assist parliament and parliamentarians to fulfil their obligations and in their role as a communicator and intermediate between the media/public and parliament.  </w:t>
      </w:r>
    </w:p>
    <w:p w14:paraId="7D730FFB" w14:textId="09FEE03E" w:rsidR="004F5AE4" w:rsidRDefault="004F5AE4" w:rsidP="004F5AE4">
      <w:pPr>
        <w:spacing w:line="360" w:lineRule="auto"/>
        <w:jc w:val="both"/>
        <w:rPr>
          <w:rFonts w:ascii="Cambria" w:hAnsi="Cambria" w:cstheme="minorHAnsi"/>
          <w:sz w:val="20"/>
          <w:szCs w:val="20"/>
        </w:rPr>
      </w:pPr>
      <w:bookmarkStart w:id="35" w:name="_Hlk56099847"/>
      <w:r w:rsidRPr="00223CBF">
        <w:rPr>
          <w:rFonts w:ascii="Cambria" w:hAnsi="Cambria" w:cstheme="minorHAnsi"/>
          <w:sz w:val="20"/>
          <w:szCs w:val="20"/>
        </w:rPr>
        <w:lastRenderedPageBreak/>
        <w:t>Skills development</w:t>
      </w:r>
      <w:r w:rsidR="00D01B47">
        <w:rPr>
          <w:rFonts w:ascii="Cambria" w:hAnsi="Cambria" w:cstheme="minorHAnsi"/>
          <w:sz w:val="20"/>
          <w:szCs w:val="20"/>
        </w:rPr>
        <w:t>,</w:t>
      </w:r>
      <w:r w:rsidRPr="00223CBF">
        <w:rPr>
          <w:rFonts w:ascii="Cambria" w:hAnsi="Cambria" w:cstheme="minorHAnsi"/>
          <w:sz w:val="20"/>
          <w:szCs w:val="20"/>
        </w:rPr>
        <w:t xml:space="preserve"> for the newly recruited staff of the media and outreach units of the department maximi</w:t>
      </w:r>
      <w:r>
        <w:rPr>
          <w:rFonts w:ascii="Cambria" w:hAnsi="Cambria" w:cstheme="minorHAnsi"/>
          <w:sz w:val="20"/>
          <w:szCs w:val="20"/>
        </w:rPr>
        <w:t>s</w:t>
      </w:r>
      <w:r w:rsidRPr="00223CBF">
        <w:rPr>
          <w:rFonts w:ascii="Cambria" w:hAnsi="Cambria" w:cstheme="minorHAnsi"/>
          <w:sz w:val="20"/>
          <w:szCs w:val="20"/>
        </w:rPr>
        <w:t>ing on UNDP expertise and comparative knowledge</w:t>
      </w:r>
      <w:r>
        <w:rPr>
          <w:rFonts w:ascii="Cambria" w:hAnsi="Cambria" w:cstheme="minorHAnsi"/>
          <w:sz w:val="20"/>
          <w:szCs w:val="20"/>
        </w:rPr>
        <w:t>,</w:t>
      </w:r>
      <w:r w:rsidRPr="00223CBF">
        <w:rPr>
          <w:rFonts w:ascii="Cambria" w:hAnsi="Cambria" w:cstheme="minorHAnsi"/>
          <w:sz w:val="20"/>
          <w:szCs w:val="20"/>
        </w:rPr>
        <w:t xml:space="preserve"> resulted in the revamping of social media platforms</w:t>
      </w:r>
      <w:r>
        <w:rPr>
          <w:rFonts w:ascii="Cambria" w:hAnsi="Cambria" w:cstheme="minorHAnsi"/>
          <w:sz w:val="20"/>
          <w:szCs w:val="20"/>
        </w:rPr>
        <w:t xml:space="preserve"> to be </w:t>
      </w:r>
      <w:r w:rsidRPr="00223CBF">
        <w:rPr>
          <w:rFonts w:ascii="Cambria" w:hAnsi="Cambria" w:cstheme="minorHAnsi"/>
          <w:sz w:val="20"/>
          <w:szCs w:val="20"/>
        </w:rPr>
        <w:t>more user-friendly and attractive</w:t>
      </w:r>
      <w:r>
        <w:rPr>
          <w:rFonts w:ascii="Cambria" w:hAnsi="Cambria" w:cstheme="minorHAnsi"/>
          <w:sz w:val="20"/>
          <w:szCs w:val="20"/>
        </w:rPr>
        <w:t xml:space="preserve">. This </w:t>
      </w:r>
      <w:r w:rsidRPr="00223CBF">
        <w:rPr>
          <w:rFonts w:ascii="Cambria" w:hAnsi="Cambria" w:cstheme="minorHAnsi"/>
          <w:sz w:val="20"/>
          <w:szCs w:val="20"/>
        </w:rPr>
        <w:t>reinforc</w:t>
      </w:r>
      <w:r>
        <w:rPr>
          <w:rFonts w:ascii="Cambria" w:hAnsi="Cambria" w:cstheme="minorHAnsi"/>
          <w:sz w:val="20"/>
          <w:szCs w:val="20"/>
        </w:rPr>
        <w:t xml:space="preserve">es the </w:t>
      </w:r>
      <w:r w:rsidRPr="00223CBF">
        <w:rPr>
          <w:rFonts w:ascii="Cambria" w:hAnsi="Cambria" w:cstheme="minorHAnsi"/>
          <w:sz w:val="20"/>
          <w:szCs w:val="20"/>
        </w:rPr>
        <w:t xml:space="preserve">credibility of information shared on such platforms and other platforms </w:t>
      </w:r>
      <w:r w:rsidR="00D01B47">
        <w:rPr>
          <w:rFonts w:ascii="Cambria" w:hAnsi="Cambria" w:cstheme="minorHAnsi"/>
          <w:sz w:val="20"/>
          <w:szCs w:val="20"/>
        </w:rPr>
        <w:t xml:space="preserve">that </w:t>
      </w:r>
      <w:r w:rsidRPr="00223CBF">
        <w:rPr>
          <w:rFonts w:ascii="Cambria" w:hAnsi="Cambria" w:cstheme="minorHAnsi"/>
          <w:sz w:val="20"/>
          <w:szCs w:val="20"/>
        </w:rPr>
        <w:t>were generated within a short period of time</w:t>
      </w:r>
      <w:r>
        <w:rPr>
          <w:rFonts w:ascii="Cambria" w:hAnsi="Cambria" w:cstheme="minorHAnsi"/>
          <w:sz w:val="20"/>
          <w:szCs w:val="20"/>
        </w:rPr>
        <w:t xml:space="preserve">. </w:t>
      </w:r>
    </w:p>
    <w:p w14:paraId="4238FC4E" w14:textId="11ED6CFD" w:rsidR="004F5AE4" w:rsidRPr="005B3C3A" w:rsidRDefault="004F5AE4" w:rsidP="004F5AE4">
      <w:pPr>
        <w:spacing w:line="360" w:lineRule="auto"/>
        <w:jc w:val="both"/>
        <w:rPr>
          <w:rFonts w:ascii="Cambria" w:hAnsi="Cambria" w:cstheme="minorHAnsi"/>
          <w:sz w:val="20"/>
          <w:szCs w:val="20"/>
        </w:rPr>
      </w:pPr>
      <w:r w:rsidRPr="005D5F81">
        <w:rPr>
          <w:rFonts w:ascii="Cambria" w:hAnsi="Cambria" w:cstheme="minorHAnsi"/>
          <w:sz w:val="20"/>
          <w:szCs w:val="20"/>
        </w:rPr>
        <w:t>During the period 2019-2020</w:t>
      </w:r>
      <w:r w:rsidR="00D01B47">
        <w:rPr>
          <w:rFonts w:ascii="Cambria" w:hAnsi="Cambria" w:cstheme="minorHAnsi"/>
          <w:sz w:val="20"/>
          <w:szCs w:val="20"/>
        </w:rPr>
        <w:t>,</w:t>
      </w:r>
      <w:r w:rsidRPr="005D5F81">
        <w:rPr>
          <w:rFonts w:ascii="Cambria" w:hAnsi="Cambria" w:cstheme="minorHAnsi"/>
          <w:sz w:val="20"/>
          <w:szCs w:val="20"/>
        </w:rPr>
        <w:t xml:space="preserve"> the Communications Department conducted several activities namely; workshops and awareness programmes on parliament for 30 journalists, 30 members from NGOs, 185 university students from  Department of Political Science, University of Ruhuna and University of Sri Jayawardenapura, Sri Lanka College of Journalism, Faculty of Social Sciences, Kotalawala Defence Academic, 21 webinars, 18 E Posters and 15 instructional video/audio clips for MPs and PS on business continuity despite the pandemic and health and safety guidelines</w:t>
      </w:r>
      <w:r>
        <w:rPr>
          <w:rFonts w:ascii="Cambria" w:hAnsi="Cambria" w:cstheme="minorHAnsi"/>
          <w:sz w:val="20"/>
          <w:szCs w:val="20"/>
        </w:rPr>
        <w:t xml:space="preserve">. The Department </w:t>
      </w:r>
      <w:r w:rsidRPr="005D5F81">
        <w:rPr>
          <w:rFonts w:ascii="Cambria" w:hAnsi="Cambria" w:cstheme="minorHAnsi"/>
          <w:sz w:val="20"/>
          <w:szCs w:val="20"/>
        </w:rPr>
        <w:t>issu</w:t>
      </w:r>
      <w:r>
        <w:rPr>
          <w:rFonts w:ascii="Cambria" w:hAnsi="Cambria" w:cstheme="minorHAnsi"/>
          <w:sz w:val="20"/>
          <w:szCs w:val="20"/>
        </w:rPr>
        <w:t xml:space="preserve">ed </w:t>
      </w:r>
      <w:r w:rsidRPr="005D5F81">
        <w:rPr>
          <w:rFonts w:ascii="Cambria" w:hAnsi="Cambria" w:cstheme="minorHAnsi"/>
          <w:sz w:val="20"/>
          <w:szCs w:val="20"/>
        </w:rPr>
        <w:t>approximately 400 tri lingual press releases, media coverage of 30 events, 26 video and feature clips, 23 video documentaries on parliament, 21 interviews with MPs, creat</w:t>
      </w:r>
      <w:r>
        <w:rPr>
          <w:rFonts w:ascii="Cambria" w:hAnsi="Cambria" w:cstheme="minorHAnsi"/>
          <w:sz w:val="20"/>
          <w:szCs w:val="20"/>
        </w:rPr>
        <w:t xml:space="preserve">ed and </w:t>
      </w:r>
      <w:r w:rsidRPr="005D5F81">
        <w:rPr>
          <w:rFonts w:ascii="Cambria" w:hAnsi="Cambria" w:cstheme="minorHAnsi"/>
          <w:sz w:val="20"/>
          <w:szCs w:val="20"/>
        </w:rPr>
        <w:t>disseminat</w:t>
      </w:r>
      <w:r>
        <w:rPr>
          <w:rFonts w:ascii="Cambria" w:hAnsi="Cambria" w:cstheme="minorHAnsi"/>
          <w:sz w:val="20"/>
          <w:szCs w:val="20"/>
        </w:rPr>
        <w:t xml:space="preserve">ed </w:t>
      </w:r>
      <w:r w:rsidRPr="005D5F81">
        <w:rPr>
          <w:rFonts w:ascii="Cambria" w:hAnsi="Cambria" w:cstheme="minorHAnsi"/>
          <w:sz w:val="20"/>
          <w:szCs w:val="20"/>
        </w:rPr>
        <w:t xml:space="preserve">information through several social media platforms such as 115 uploads on the official you tube channel, approximately 750 uploads on Facebook, Instagram and twitter accounts and publishing of parliament official newsletter and journal. </w:t>
      </w:r>
    </w:p>
    <w:p w14:paraId="1F341A60" w14:textId="226B62BC" w:rsidR="004F5AE4" w:rsidRPr="005B3C3A" w:rsidRDefault="004F5AE4" w:rsidP="004F5AE4">
      <w:pPr>
        <w:pStyle w:val="BodyText"/>
        <w:spacing w:line="360" w:lineRule="auto"/>
        <w:jc w:val="both"/>
        <w:rPr>
          <w:rFonts w:ascii="Cambria" w:hAnsi="Cambria" w:cstheme="minorHAnsi"/>
          <w:bCs/>
          <w:sz w:val="20"/>
          <w:szCs w:val="20"/>
          <w:lang w:val="en-GB"/>
        </w:rPr>
      </w:pPr>
      <w:r w:rsidRPr="00223CBF">
        <w:rPr>
          <w:rFonts w:ascii="Cambria" w:hAnsi="Cambria" w:cstheme="minorHAnsi"/>
          <w:bCs/>
          <w:sz w:val="20"/>
          <w:szCs w:val="20"/>
          <w:lang w:val="en-GB"/>
        </w:rPr>
        <w:t>There are challenges to monitoring and evaluating the qualitative value of information sharing.</w:t>
      </w:r>
      <w:r w:rsidRPr="00223CBF">
        <w:rPr>
          <w:rFonts w:ascii="Cambria" w:hAnsi="Cambria" w:cstheme="minorHAnsi"/>
          <w:b/>
          <w:sz w:val="20"/>
          <w:szCs w:val="20"/>
          <w:lang w:val="en-GB"/>
        </w:rPr>
        <w:t xml:space="preserve"> </w:t>
      </w:r>
      <w:r w:rsidRPr="00223CBF">
        <w:rPr>
          <w:rFonts w:ascii="Cambria" w:hAnsi="Cambria" w:cstheme="minorHAnsi"/>
          <w:bCs/>
          <w:sz w:val="20"/>
          <w:szCs w:val="20"/>
          <w:lang w:val="en-GB"/>
        </w:rPr>
        <w:t>Information is predominantly one way. The counter component of not adequately engaging with CSOs and Media to act as ‘watchdog institutions’</w:t>
      </w:r>
      <w:r w:rsidR="00D01B47">
        <w:rPr>
          <w:rFonts w:ascii="Cambria" w:hAnsi="Cambria" w:cstheme="minorHAnsi"/>
          <w:bCs/>
          <w:sz w:val="20"/>
          <w:szCs w:val="20"/>
          <w:lang w:val="en-GB"/>
        </w:rPr>
        <w:t xml:space="preserve"> has posed a problem for monitoring. B</w:t>
      </w:r>
      <w:r w:rsidRPr="00223CBF">
        <w:rPr>
          <w:rFonts w:ascii="Cambria" w:hAnsi="Cambria" w:cstheme="minorHAnsi"/>
          <w:bCs/>
          <w:sz w:val="20"/>
          <w:szCs w:val="20"/>
          <w:lang w:val="en-GB"/>
        </w:rPr>
        <w:t xml:space="preserve">uilding capacity of </w:t>
      </w:r>
      <w:r w:rsidR="00D01B47">
        <w:rPr>
          <w:rFonts w:ascii="Cambria" w:hAnsi="Cambria" w:cstheme="minorHAnsi"/>
          <w:bCs/>
          <w:sz w:val="20"/>
          <w:szCs w:val="20"/>
          <w:lang w:val="en-GB"/>
        </w:rPr>
        <w:t xml:space="preserve">independent and professional </w:t>
      </w:r>
      <w:r w:rsidRPr="00223CBF">
        <w:rPr>
          <w:rFonts w:ascii="Cambria" w:hAnsi="Cambria" w:cstheme="minorHAnsi"/>
          <w:bCs/>
          <w:sz w:val="20"/>
          <w:szCs w:val="20"/>
          <w:lang w:val="en-GB"/>
        </w:rPr>
        <w:t>institutions such as</w:t>
      </w:r>
      <w:r w:rsidR="00D01B47">
        <w:rPr>
          <w:rFonts w:ascii="Cambria" w:hAnsi="Cambria" w:cstheme="minorHAnsi"/>
          <w:bCs/>
          <w:sz w:val="20"/>
          <w:szCs w:val="20"/>
          <w:lang w:val="en-GB"/>
        </w:rPr>
        <w:t>,</w:t>
      </w:r>
      <w:r w:rsidRPr="00223CBF">
        <w:rPr>
          <w:rFonts w:ascii="Cambria" w:hAnsi="Cambria" w:cstheme="minorHAnsi"/>
          <w:bCs/>
          <w:sz w:val="20"/>
          <w:szCs w:val="20"/>
          <w:lang w:val="en-GB"/>
        </w:rPr>
        <w:t xml:space="preserve"> research institutions, universities, law schools, professional bodies such as BASL, etc.</w:t>
      </w:r>
      <w:r w:rsidR="00D01B47">
        <w:rPr>
          <w:rFonts w:ascii="Cambria" w:hAnsi="Cambria" w:cstheme="minorHAnsi"/>
          <w:bCs/>
          <w:sz w:val="20"/>
          <w:szCs w:val="20"/>
          <w:lang w:val="en-GB"/>
        </w:rPr>
        <w:t xml:space="preserve"> will positively </w:t>
      </w:r>
      <w:r w:rsidRPr="00223CBF">
        <w:rPr>
          <w:rFonts w:ascii="Cambria" w:hAnsi="Cambria" w:cstheme="minorHAnsi"/>
          <w:bCs/>
          <w:sz w:val="20"/>
          <w:szCs w:val="20"/>
          <w:lang w:val="en-GB"/>
        </w:rPr>
        <w:t>impact on the results of the outreach programme</w:t>
      </w:r>
      <w:r w:rsidR="00D01B47">
        <w:rPr>
          <w:rFonts w:ascii="Cambria" w:hAnsi="Cambria" w:cstheme="minorHAnsi"/>
          <w:bCs/>
          <w:sz w:val="20"/>
          <w:szCs w:val="20"/>
          <w:lang w:val="en-GB"/>
        </w:rPr>
        <w:t>s in the second phase.</w:t>
      </w:r>
      <w:r w:rsidRPr="00223CBF">
        <w:rPr>
          <w:rFonts w:ascii="Cambria" w:hAnsi="Cambria" w:cstheme="minorHAnsi"/>
          <w:bCs/>
          <w:sz w:val="20"/>
          <w:szCs w:val="20"/>
          <w:lang w:val="en-GB"/>
        </w:rPr>
        <w:t xml:space="preserve"> </w:t>
      </w:r>
    </w:p>
    <w:p w14:paraId="1FB08DB4" w14:textId="20F3C902" w:rsidR="00331FB6" w:rsidRPr="00997030" w:rsidRDefault="00331FB6" w:rsidP="00997030">
      <w:pPr>
        <w:pStyle w:val="BodyText"/>
        <w:spacing w:line="360" w:lineRule="auto"/>
        <w:jc w:val="both"/>
        <w:rPr>
          <w:rFonts w:ascii="Cambria" w:hAnsi="Cambria" w:cstheme="minorHAnsi"/>
          <w:bCs/>
          <w:sz w:val="20"/>
          <w:szCs w:val="20"/>
          <w:lang w:val="en-GB"/>
        </w:rPr>
      </w:pPr>
      <w:r w:rsidRPr="00223CBF">
        <w:rPr>
          <w:rFonts w:ascii="Cambria" w:hAnsi="Cambria" w:cstheme="minorHAnsi"/>
          <w:b/>
          <w:bCs/>
          <w:sz w:val="20"/>
          <w:szCs w:val="20"/>
        </w:rPr>
        <w:t>EQ5. Sustainability and Ownership</w:t>
      </w:r>
    </w:p>
    <w:p w14:paraId="5338E99D" w14:textId="77777777" w:rsidR="00331FB6" w:rsidRPr="00223CBF" w:rsidRDefault="00331FB6" w:rsidP="000507CA">
      <w:pPr>
        <w:shd w:val="clear" w:color="auto" w:fill="92D050"/>
        <w:spacing w:line="360" w:lineRule="auto"/>
        <w:jc w:val="center"/>
        <w:rPr>
          <w:rFonts w:ascii="Cambria" w:hAnsi="Cambria" w:cstheme="minorHAnsi"/>
          <w:sz w:val="20"/>
          <w:szCs w:val="20"/>
        </w:rPr>
      </w:pPr>
    </w:p>
    <w:p w14:paraId="496717DB" w14:textId="7C7207BE" w:rsidR="00331FB6" w:rsidRPr="00223CBF" w:rsidRDefault="00331FB6" w:rsidP="000507CA">
      <w:pPr>
        <w:shd w:val="clear" w:color="auto" w:fill="92D050"/>
        <w:spacing w:line="360" w:lineRule="auto"/>
        <w:jc w:val="center"/>
        <w:rPr>
          <w:rFonts w:ascii="Cambria" w:hAnsi="Cambria" w:cstheme="minorHAnsi"/>
          <w:sz w:val="20"/>
          <w:szCs w:val="20"/>
        </w:rPr>
      </w:pPr>
      <w:r w:rsidRPr="00223CBF">
        <w:rPr>
          <w:rFonts w:ascii="Cambria" w:hAnsi="Cambria" w:cstheme="minorHAnsi"/>
          <w:sz w:val="20"/>
          <w:szCs w:val="20"/>
        </w:rPr>
        <w:t xml:space="preserve">Sustainability considers the extent to which the outcomes or the progress achieved is </w:t>
      </w:r>
      <w:r w:rsidRPr="00223CBF">
        <w:rPr>
          <w:rFonts w:ascii="Cambria" w:hAnsi="Cambria" w:cstheme="minorHAnsi"/>
          <w:b/>
          <w:bCs/>
          <w:sz w:val="20"/>
          <w:szCs w:val="20"/>
        </w:rPr>
        <w:t>likely to endure beyond the duration of the project</w:t>
      </w:r>
      <w:r w:rsidRPr="00223CBF">
        <w:rPr>
          <w:rFonts w:ascii="Cambria" w:hAnsi="Cambria" w:cstheme="minorHAnsi"/>
          <w:sz w:val="20"/>
          <w:szCs w:val="20"/>
        </w:rPr>
        <w:t xml:space="preserve">. It looks at whether the project design considered the </w:t>
      </w:r>
      <w:r w:rsidRPr="00223CBF">
        <w:rPr>
          <w:rFonts w:ascii="Cambria" w:hAnsi="Cambria" w:cstheme="minorHAnsi"/>
          <w:b/>
          <w:bCs/>
          <w:sz w:val="20"/>
          <w:szCs w:val="20"/>
        </w:rPr>
        <w:t>handing-over of responsibilities to government and non-government stakeholders</w:t>
      </w:r>
      <w:r w:rsidRPr="00223CBF">
        <w:rPr>
          <w:rFonts w:ascii="Cambria" w:hAnsi="Cambria" w:cstheme="minorHAnsi"/>
          <w:sz w:val="20"/>
          <w:szCs w:val="20"/>
        </w:rPr>
        <w:t xml:space="preserve"> and the capacity of national partners institutionali</w:t>
      </w:r>
      <w:r w:rsidR="00855250">
        <w:rPr>
          <w:rFonts w:ascii="Cambria" w:hAnsi="Cambria" w:cstheme="minorHAnsi"/>
          <w:sz w:val="20"/>
          <w:szCs w:val="20"/>
        </w:rPr>
        <w:t>s</w:t>
      </w:r>
      <w:r w:rsidRPr="00223CBF">
        <w:rPr>
          <w:rFonts w:ascii="Cambria" w:hAnsi="Cambria" w:cstheme="minorHAnsi"/>
          <w:sz w:val="20"/>
          <w:szCs w:val="20"/>
        </w:rPr>
        <w:t xml:space="preserve">ing efforts through internal processes and budgeting for continuity and ownership. It also considers the </w:t>
      </w:r>
      <w:r w:rsidRPr="00223CBF">
        <w:rPr>
          <w:rFonts w:ascii="Cambria" w:hAnsi="Cambria" w:cstheme="minorHAnsi"/>
          <w:b/>
          <w:bCs/>
          <w:sz w:val="20"/>
          <w:szCs w:val="20"/>
        </w:rPr>
        <w:t>networks and partnerships built</w:t>
      </w:r>
      <w:r w:rsidRPr="00223CBF">
        <w:rPr>
          <w:rFonts w:ascii="Cambria" w:hAnsi="Cambria" w:cstheme="minorHAnsi"/>
          <w:sz w:val="20"/>
          <w:szCs w:val="20"/>
        </w:rPr>
        <w:t xml:space="preserve"> and strengthened and immediate and long-term risks that may impact sustainability.</w:t>
      </w:r>
    </w:p>
    <w:p w14:paraId="20EF5C61" w14:textId="77777777" w:rsidR="00876EB2" w:rsidRPr="00223CBF" w:rsidRDefault="00876EB2" w:rsidP="000507CA">
      <w:pPr>
        <w:shd w:val="clear" w:color="auto" w:fill="92D050"/>
        <w:spacing w:line="360" w:lineRule="auto"/>
        <w:jc w:val="both"/>
        <w:rPr>
          <w:rFonts w:ascii="Cambria" w:hAnsi="Cambria" w:cstheme="minorHAnsi"/>
          <w:sz w:val="20"/>
          <w:szCs w:val="20"/>
        </w:rPr>
      </w:pPr>
    </w:p>
    <w:p w14:paraId="30F289A4" w14:textId="004F332A" w:rsidR="00331FB6" w:rsidRPr="005E3ABF" w:rsidRDefault="00331FB6" w:rsidP="000507CA">
      <w:pPr>
        <w:pStyle w:val="ListParagraph"/>
        <w:numPr>
          <w:ilvl w:val="0"/>
          <w:numId w:val="5"/>
        </w:numPr>
        <w:spacing w:line="360" w:lineRule="auto"/>
        <w:jc w:val="both"/>
        <w:rPr>
          <w:rFonts w:ascii="Cambria" w:hAnsi="Cambria" w:cstheme="minorHAnsi"/>
          <w:b/>
          <w:bCs/>
          <w:color w:val="0070C0"/>
          <w:sz w:val="20"/>
          <w:szCs w:val="20"/>
        </w:rPr>
      </w:pPr>
      <w:r w:rsidRPr="00223CBF">
        <w:rPr>
          <w:rFonts w:ascii="Cambria" w:hAnsi="Cambria" w:cstheme="minorHAnsi"/>
          <w:b/>
          <w:bCs/>
          <w:color w:val="0070C0"/>
          <w:sz w:val="20"/>
          <w:szCs w:val="20"/>
        </w:rPr>
        <w:t>The extent to which the strategies adopted are likely to ensure beyond the duration of the Portfolio and the extent to which national ownership was encouraged</w:t>
      </w:r>
      <w:bookmarkEnd w:id="35"/>
      <w:r w:rsidRPr="005E3ABF">
        <w:rPr>
          <w:rFonts w:ascii="Cambria" w:hAnsi="Cambria" w:cstheme="minorHAnsi"/>
          <w:sz w:val="20"/>
          <w:szCs w:val="20"/>
        </w:rPr>
        <w:t xml:space="preserve">. </w:t>
      </w:r>
    </w:p>
    <w:p w14:paraId="2E759BC7" w14:textId="77777777" w:rsidR="00997030" w:rsidRDefault="00331FB6" w:rsidP="000507CA">
      <w:pPr>
        <w:spacing w:line="360" w:lineRule="auto"/>
        <w:jc w:val="both"/>
        <w:rPr>
          <w:rFonts w:ascii="Cambria" w:hAnsi="Cambria" w:cstheme="minorHAnsi"/>
          <w:sz w:val="20"/>
          <w:szCs w:val="20"/>
        </w:rPr>
      </w:pPr>
      <w:r w:rsidRPr="00C73B2B">
        <w:rPr>
          <w:rFonts w:ascii="Cambria" w:hAnsi="Cambria" w:cstheme="minorHAnsi"/>
          <w:sz w:val="20"/>
          <w:szCs w:val="20"/>
        </w:rPr>
        <w:t xml:space="preserve">There are a number of strategic interventions that has an increased likelihood of </w:t>
      </w:r>
      <w:r w:rsidR="00CF4FAC" w:rsidRPr="00C73B2B">
        <w:rPr>
          <w:rFonts w:ascii="Cambria" w:hAnsi="Cambria" w:cstheme="minorHAnsi"/>
          <w:sz w:val="20"/>
          <w:szCs w:val="20"/>
        </w:rPr>
        <w:t>self</w:t>
      </w:r>
      <w:r w:rsidR="0036418D" w:rsidRPr="00C73B2B">
        <w:rPr>
          <w:rFonts w:ascii="Cambria" w:hAnsi="Cambria" w:cstheme="minorHAnsi"/>
          <w:sz w:val="20"/>
          <w:szCs w:val="20"/>
        </w:rPr>
        <w:t>-</w:t>
      </w:r>
      <w:r w:rsidR="00CF4FAC" w:rsidRPr="00C73B2B">
        <w:rPr>
          <w:rFonts w:ascii="Cambria" w:hAnsi="Cambria" w:cstheme="minorHAnsi"/>
          <w:sz w:val="20"/>
          <w:szCs w:val="20"/>
        </w:rPr>
        <w:t xml:space="preserve">sustaining </w:t>
      </w:r>
      <w:r w:rsidRPr="00C73B2B">
        <w:rPr>
          <w:rFonts w:ascii="Cambria" w:hAnsi="Cambria" w:cstheme="minorHAnsi"/>
          <w:sz w:val="20"/>
          <w:szCs w:val="20"/>
        </w:rPr>
        <w:t>during and beyond the lifetime of the Portfolio.</w:t>
      </w:r>
    </w:p>
    <w:p w14:paraId="4D2CD4B8" w14:textId="152DD6A1" w:rsidR="00997030" w:rsidRDefault="00331FB6" w:rsidP="0069189B">
      <w:pPr>
        <w:shd w:val="clear" w:color="auto" w:fill="FFC000"/>
        <w:spacing w:line="360" w:lineRule="auto"/>
        <w:jc w:val="both"/>
        <w:rPr>
          <w:rFonts w:ascii="Cambria" w:hAnsi="Cambria" w:cstheme="minorHAnsi"/>
          <w:sz w:val="20"/>
          <w:szCs w:val="20"/>
        </w:rPr>
      </w:pPr>
      <w:r w:rsidRPr="00223CBF">
        <w:rPr>
          <w:rFonts w:ascii="Cambria" w:hAnsi="Cambria" w:cstheme="minorHAnsi"/>
          <w:sz w:val="20"/>
          <w:szCs w:val="20"/>
        </w:rPr>
        <w:lastRenderedPageBreak/>
        <w:t xml:space="preserve">For example, the investment in high level policy engagement and support for the development of the PDAP for the current parliament through a consultative process, was able to rein the buy in of the current leadership and bureaucracy. </w:t>
      </w:r>
      <w:r w:rsidR="005B3C3A" w:rsidRPr="00AC1452">
        <w:rPr>
          <w:rFonts w:ascii="Cambria" w:hAnsi="Cambria" w:cstheme="minorHAnsi"/>
          <w:sz w:val="20"/>
          <w:szCs w:val="20"/>
        </w:rPr>
        <w:t xml:space="preserve">Further the endorsement of the modality developed in the first phase to implement the PDAP is proof of strong institutional ownership. </w:t>
      </w:r>
    </w:p>
    <w:p w14:paraId="22350550" w14:textId="79FF1D3A" w:rsidR="005B3C3A" w:rsidRPr="00AC1452" w:rsidRDefault="005B3C3A" w:rsidP="005B3C3A">
      <w:pPr>
        <w:spacing w:line="360" w:lineRule="auto"/>
        <w:jc w:val="both"/>
        <w:rPr>
          <w:rFonts w:ascii="Cambria" w:hAnsi="Cambria" w:cstheme="minorHAnsi"/>
          <w:sz w:val="20"/>
          <w:szCs w:val="20"/>
        </w:rPr>
      </w:pPr>
      <w:r w:rsidRPr="00AC1452">
        <w:rPr>
          <w:rFonts w:ascii="Cambria" w:hAnsi="Cambria" w:cstheme="minorHAnsi"/>
          <w:sz w:val="20"/>
          <w:szCs w:val="20"/>
        </w:rPr>
        <w:t>Development counterparts acknowledge </w:t>
      </w:r>
      <w:r w:rsidR="00E15E72">
        <w:rPr>
          <w:rFonts w:ascii="Cambria" w:hAnsi="Cambria" w:cstheme="minorHAnsi"/>
          <w:sz w:val="20"/>
          <w:szCs w:val="20"/>
        </w:rPr>
        <w:t xml:space="preserve">the </w:t>
      </w:r>
      <w:r w:rsidRPr="00AC1452">
        <w:rPr>
          <w:rFonts w:ascii="Cambria" w:hAnsi="Cambria" w:cstheme="minorHAnsi"/>
          <w:sz w:val="20"/>
          <w:szCs w:val="20"/>
        </w:rPr>
        <w:t>value of UNDP</w:t>
      </w:r>
      <w:r>
        <w:rPr>
          <w:rFonts w:ascii="Cambria" w:hAnsi="Cambria" w:cstheme="minorHAnsi"/>
          <w:sz w:val="20"/>
          <w:szCs w:val="20"/>
        </w:rPr>
        <w:t>’s</w:t>
      </w:r>
      <w:r w:rsidRPr="00AC1452">
        <w:rPr>
          <w:rFonts w:ascii="Cambria" w:hAnsi="Cambria" w:cstheme="minorHAnsi"/>
          <w:sz w:val="20"/>
          <w:szCs w:val="20"/>
        </w:rPr>
        <w:t xml:space="preserve"> role and modality for implementation going forward. Ongoing support through the work of the Advisory and Project Boards and </w:t>
      </w:r>
      <w:r w:rsidR="004A29E4">
        <w:rPr>
          <w:rFonts w:ascii="Cambria" w:hAnsi="Cambria" w:cstheme="minorHAnsi"/>
          <w:sz w:val="20"/>
          <w:szCs w:val="20"/>
        </w:rPr>
        <w:t xml:space="preserve">UNDP </w:t>
      </w:r>
      <w:r w:rsidRPr="00AC1452">
        <w:rPr>
          <w:rFonts w:ascii="Cambria" w:hAnsi="Cambria" w:cstheme="minorHAnsi"/>
          <w:sz w:val="20"/>
          <w:szCs w:val="20"/>
        </w:rPr>
        <w:t>technical specialist</w:t>
      </w:r>
      <w:r w:rsidR="00E15E72">
        <w:rPr>
          <w:rFonts w:ascii="Cambria" w:hAnsi="Cambria" w:cstheme="minorHAnsi"/>
          <w:sz w:val="20"/>
          <w:szCs w:val="20"/>
        </w:rPr>
        <w:t>s,</w:t>
      </w:r>
      <w:r w:rsidRPr="00AC1452">
        <w:rPr>
          <w:rFonts w:ascii="Cambria" w:hAnsi="Cambria" w:cstheme="minorHAnsi"/>
          <w:sz w:val="20"/>
          <w:szCs w:val="20"/>
        </w:rPr>
        <w:t xml:space="preserve"> will be crucial moving forward to institutionali</w:t>
      </w:r>
      <w:r>
        <w:rPr>
          <w:rFonts w:ascii="Cambria" w:hAnsi="Cambria" w:cstheme="minorHAnsi"/>
          <w:sz w:val="20"/>
          <w:szCs w:val="20"/>
        </w:rPr>
        <w:t>s</w:t>
      </w:r>
      <w:r w:rsidRPr="00AC1452">
        <w:rPr>
          <w:rFonts w:ascii="Cambria" w:hAnsi="Cambria" w:cstheme="minorHAnsi"/>
          <w:sz w:val="20"/>
          <w:szCs w:val="20"/>
        </w:rPr>
        <w:t>e the reform agenda.</w:t>
      </w:r>
    </w:p>
    <w:p w14:paraId="19E95425" w14:textId="6C5A7F2D" w:rsidR="005B3C3A" w:rsidRPr="00AC1452" w:rsidRDefault="005B3C3A" w:rsidP="005B3C3A">
      <w:pPr>
        <w:shd w:val="clear" w:color="auto" w:fill="FFFFFF"/>
        <w:spacing w:line="360" w:lineRule="auto"/>
        <w:jc w:val="both"/>
        <w:rPr>
          <w:rFonts w:ascii="Cambria" w:hAnsi="Cambria" w:cstheme="minorHAnsi"/>
          <w:sz w:val="20"/>
          <w:szCs w:val="20"/>
        </w:rPr>
      </w:pPr>
      <w:r w:rsidRPr="00AC1452">
        <w:rPr>
          <w:rFonts w:ascii="Cambria" w:eastAsia="Times New Roman" w:hAnsi="Cambria" w:cstheme="minorHAnsi"/>
          <w:sz w:val="20"/>
          <w:szCs w:val="20"/>
        </w:rPr>
        <w:t>Focus on digiti</w:t>
      </w:r>
      <w:r>
        <w:rPr>
          <w:rFonts w:ascii="Cambria" w:eastAsia="Times New Roman" w:hAnsi="Cambria" w:cstheme="minorHAnsi"/>
          <w:sz w:val="20"/>
          <w:szCs w:val="20"/>
        </w:rPr>
        <w:t>s</w:t>
      </w:r>
      <w:r w:rsidRPr="00AC1452">
        <w:rPr>
          <w:rFonts w:ascii="Cambria" w:eastAsia="Times New Roman" w:hAnsi="Cambria" w:cstheme="minorHAnsi"/>
          <w:sz w:val="20"/>
          <w:szCs w:val="20"/>
        </w:rPr>
        <w:t>ation of communications enabled the PS to continue capacity building programmes to overcome challenges of remote working and conduct webinar series for parliamentarians</w:t>
      </w:r>
      <w:r w:rsidR="00E15E72">
        <w:rPr>
          <w:rFonts w:ascii="Cambria" w:eastAsia="Times New Roman" w:hAnsi="Cambria" w:cstheme="minorHAnsi"/>
          <w:sz w:val="20"/>
          <w:szCs w:val="20"/>
        </w:rPr>
        <w:t>,</w:t>
      </w:r>
      <w:r w:rsidRPr="00AC1452">
        <w:rPr>
          <w:rFonts w:ascii="Cambria" w:eastAsia="Times New Roman" w:hAnsi="Cambria" w:cstheme="minorHAnsi"/>
          <w:sz w:val="20"/>
          <w:szCs w:val="20"/>
        </w:rPr>
        <w:t xml:space="preserve"> to respond to contextual challenges</w:t>
      </w:r>
      <w:r w:rsidR="00E15E72">
        <w:rPr>
          <w:rFonts w:ascii="Cambria" w:eastAsia="Times New Roman" w:hAnsi="Cambria" w:cstheme="minorHAnsi"/>
          <w:sz w:val="20"/>
          <w:szCs w:val="20"/>
        </w:rPr>
        <w:t>,</w:t>
      </w:r>
      <w:r w:rsidRPr="00AC1452">
        <w:rPr>
          <w:rFonts w:ascii="Cambria" w:eastAsia="Times New Roman" w:hAnsi="Cambria" w:cstheme="minorHAnsi"/>
          <w:sz w:val="20"/>
          <w:szCs w:val="20"/>
        </w:rPr>
        <w:t xml:space="preserve"> posed by Covid-19. Support during the second phase is vital for long term impact and sustainability of the intervention. </w:t>
      </w:r>
    </w:p>
    <w:p w14:paraId="7C7CC030" w14:textId="14CC2437" w:rsidR="00331FB6" w:rsidRPr="00223CBF" w:rsidRDefault="00331FB6" w:rsidP="0069189B">
      <w:pPr>
        <w:shd w:val="clear" w:color="auto" w:fill="FFC000"/>
        <w:spacing w:line="360" w:lineRule="auto"/>
        <w:jc w:val="both"/>
        <w:rPr>
          <w:rFonts w:ascii="Cambria" w:hAnsi="Cambria" w:cstheme="minorHAnsi"/>
          <w:sz w:val="20"/>
          <w:szCs w:val="20"/>
        </w:rPr>
      </w:pPr>
      <w:r w:rsidRPr="00223CBF">
        <w:rPr>
          <w:rFonts w:ascii="Cambria" w:hAnsi="Cambria" w:cstheme="minorHAnsi"/>
          <w:sz w:val="20"/>
          <w:szCs w:val="20"/>
        </w:rPr>
        <w:t xml:space="preserve">Lack of ownership and political commitment and mindset is a serious impediment to improving transparency and accountability not only of the institution but also </w:t>
      </w:r>
      <w:r w:rsidR="004A29E4">
        <w:rPr>
          <w:rFonts w:ascii="Cambria" w:hAnsi="Cambria" w:cstheme="minorHAnsi"/>
          <w:sz w:val="20"/>
          <w:szCs w:val="20"/>
        </w:rPr>
        <w:t xml:space="preserve">for </w:t>
      </w:r>
      <w:r w:rsidRPr="00223CBF">
        <w:rPr>
          <w:rFonts w:ascii="Cambria" w:hAnsi="Cambria" w:cstheme="minorHAnsi"/>
          <w:sz w:val="20"/>
          <w:szCs w:val="20"/>
        </w:rPr>
        <w:t>its residents.</w:t>
      </w:r>
      <w:r w:rsidR="00CF4FAC" w:rsidRPr="00223CBF">
        <w:rPr>
          <w:rFonts w:ascii="Cambria" w:hAnsi="Cambria" w:cstheme="minorHAnsi"/>
          <w:sz w:val="20"/>
          <w:szCs w:val="20"/>
        </w:rPr>
        <w:t xml:space="preserve"> This was evident when, a</w:t>
      </w:r>
      <w:r w:rsidRPr="00223CBF">
        <w:rPr>
          <w:rFonts w:ascii="Cambria" w:hAnsi="Cambria" w:cstheme="minorHAnsi"/>
          <w:sz w:val="20"/>
          <w:szCs w:val="20"/>
        </w:rPr>
        <w:t xml:space="preserve"> Code of Ethics for parliamentarians was introduced as priority under the 100</w:t>
      </w:r>
      <w:r w:rsidR="0036418D" w:rsidRPr="00223CBF">
        <w:rPr>
          <w:rFonts w:ascii="Cambria" w:hAnsi="Cambria" w:cstheme="minorHAnsi"/>
          <w:sz w:val="20"/>
          <w:szCs w:val="20"/>
        </w:rPr>
        <w:t>-</w:t>
      </w:r>
      <w:r w:rsidRPr="00223CBF">
        <w:rPr>
          <w:rFonts w:ascii="Cambria" w:hAnsi="Cambria" w:cstheme="minorHAnsi"/>
          <w:sz w:val="20"/>
          <w:szCs w:val="20"/>
        </w:rPr>
        <w:t xml:space="preserve">day work programme of the National Unity government, which demanded a system of declaration of assets of MPs, failed due to lack of ownership and will. </w:t>
      </w:r>
    </w:p>
    <w:p w14:paraId="06C1E5C8" w14:textId="77777777" w:rsidR="00331FB6" w:rsidRPr="00223CBF" w:rsidRDefault="00331FB6" w:rsidP="000507CA">
      <w:pPr>
        <w:pStyle w:val="ListParagraph"/>
        <w:spacing w:line="360" w:lineRule="auto"/>
        <w:ind w:left="360"/>
        <w:jc w:val="both"/>
        <w:rPr>
          <w:rFonts w:ascii="Cambria" w:hAnsi="Cambria" w:cstheme="minorHAnsi"/>
          <w:b/>
          <w:bCs/>
          <w:color w:val="4A66AC" w:themeColor="accent1"/>
          <w:sz w:val="20"/>
          <w:szCs w:val="20"/>
        </w:rPr>
      </w:pPr>
    </w:p>
    <w:p w14:paraId="5798E526" w14:textId="101272BC" w:rsidR="00331FB6" w:rsidRPr="00223CBF" w:rsidRDefault="00331FB6" w:rsidP="007C766E">
      <w:pPr>
        <w:pStyle w:val="ListParagraph"/>
        <w:numPr>
          <w:ilvl w:val="0"/>
          <w:numId w:val="5"/>
        </w:numPr>
        <w:spacing w:line="360" w:lineRule="auto"/>
        <w:jc w:val="both"/>
        <w:rPr>
          <w:rFonts w:ascii="Cambria" w:hAnsi="Cambria" w:cstheme="minorHAnsi"/>
          <w:b/>
          <w:bCs/>
          <w:color w:val="0070C0"/>
          <w:sz w:val="20"/>
          <w:szCs w:val="20"/>
        </w:rPr>
      </w:pPr>
      <w:bookmarkStart w:id="36" w:name="_Hlk56099870"/>
      <w:r w:rsidRPr="00223CBF">
        <w:rPr>
          <w:rFonts w:ascii="Cambria" w:hAnsi="Cambria" w:cstheme="minorHAnsi"/>
          <w:b/>
          <w:bCs/>
          <w:color w:val="0070C0"/>
          <w:sz w:val="20"/>
          <w:szCs w:val="20"/>
        </w:rPr>
        <w:t xml:space="preserve">The immediate and long-term risks that may prevent sustainability of strategic interventions </w:t>
      </w:r>
      <w:bookmarkEnd w:id="36"/>
    </w:p>
    <w:p w14:paraId="435316EC" w14:textId="5525EE2F" w:rsidR="004F5AE4" w:rsidRPr="00223CBF" w:rsidRDefault="004F5AE4" w:rsidP="004F5AE4">
      <w:pPr>
        <w:pStyle w:val="BodyText"/>
        <w:spacing w:line="360" w:lineRule="auto"/>
        <w:jc w:val="both"/>
        <w:rPr>
          <w:rFonts w:ascii="Cambria" w:hAnsi="Cambria" w:cstheme="minorHAnsi"/>
          <w:bCs/>
          <w:sz w:val="20"/>
          <w:szCs w:val="20"/>
          <w:lang w:val="en-GB"/>
        </w:rPr>
      </w:pPr>
      <w:r w:rsidRPr="00223CBF">
        <w:rPr>
          <w:rFonts w:ascii="Cambria" w:hAnsi="Cambria" w:cstheme="minorHAnsi"/>
          <w:bCs/>
          <w:sz w:val="20"/>
          <w:szCs w:val="20"/>
          <w:lang w:val="en-GB"/>
        </w:rPr>
        <w:t>Although</w:t>
      </w:r>
      <w:r w:rsidRPr="00223CBF">
        <w:rPr>
          <w:rFonts w:ascii="Cambria" w:hAnsi="Cambria" w:cstheme="minorHAnsi"/>
          <w:b/>
          <w:sz w:val="20"/>
          <w:szCs w:val="20"/>
          <w:lang w:val="en-GB"/>
        </w:rPr>
        <w:t xml:space="preserve"> </w:t>
      </w:r>
      <w:r w:rsidRPr="00223CBF">
        <w:rPr>
          <w:rFonts w:ascii="Cambria" w:hAnsi="Cambria" w:cstheme="minorHAnsi"/>
          <w:bCs/>
          <w:sz w:val="20"/>
          <w:szCs w:val="20"/>
          <w:lang w:val="en-GB"/>
        </w:rPr>
        <w:t>support to develop a comprehensive Communications Strategy for Parliament for the next five years in line with the PDAP was also approved, in order to implement the 5 year strategic plan, which includes</w:t>
      </w:r>
      <w:r>
        <w:rPr>
          <w:rFonts w:ascii="Cambria" w:hAnsi="Cambria" w:cstheme="minorHAnsi"/>
          <w:bCs/>
          <w:sz w:val="20"/>
          <w:szCs w:val="20"/>
          <w:lang w:val="en-GB"/>
        </w:rPr>
        <w:t>;</w:t>
      </w:r>
      <w:r w:rsidRPr="00223CBF">
        <w:rPr>
          <w:rFonts w:ascii="Cambria" w:hAnsi="Cambria" w:cstheme="minorHAnsi"/>
          <w:bCs/>
          <w:sz w:val="20"/>
          <w:szCs w:val="20"/>
          <w:lang w:val="en-GB"/>
        </w:rPr>
        <w:t xml:space="preserve"> revamping the education tour system to include virtual tours to address health and safety guidelines, introduce and launch an interactive platform for civil society engagement and feedback through the development of websites for </w:t>
      </w:r>
      <w:r>
        <w:rPr>
          <w:rFonts w:ascii="Cambria" w:hAnsi="Cambria" w:cstheme="minorHAnsi"/>
          <w:bCs/>
          <w:sz w:val="20"/>
          <w:szCs w:val="20"/>
          <w:lang w:val="en-GB"/>
        </w:rPr>
        <w:t>proposed committee system</w:t>
      </w:r>
      <w:r w:rsidRPr="00223CBF">
        <w:rPr>
          <w:rFonts w:ascii="Cambria" w:hAnsi="Cambria" w:cstheme="minorHAnsi"/>
          <w:bCs/>
          <w:sz w:val="20"/>
          <w:szCs w:val="20"/>
          <w:lang w:val="en-GB"/>
        </w:rPr>
        <w:t>,</w:t>
      </w:r>
      <w:r>
        <w:rPr>
          <w:rFonts w:ascii="Cambria" w:hAnsi="Cambria" w:cstheme="minorHAnsi"/>
          <w:bCs/>
          <w:sz w:val="20"/>
          <w:szCs w:val="20"/>
          <w:lang w:val="en-GB"/>
        </w:rPr>
        <w:t xml:space="preserve"> and</w:t>
      </w:r>
      <w:r w:rsidRPr="00223CBF">
        <w:rPr>
          <w:rFonts w:ascii="Cambria" w:hAnsi="Cambria" w:cstheme="minorHAnsi"/>
          <w:bCs/>
          <w:sz w:val="20"/>
          <w:szCs w:val="20"/>
          <w:lang w:val="en-GB"/>
        </w:rPr>
        <w:t xml:space="preserve"> </w:t>
      </w:r>
      <w:r>
        <w:rPr>
          <w:rFonts w:ascii="Cambria" w:hAnsi="Cambria" w:cstheme="minorHAnsi"/>
          <w:bCs/>
          <w:sz w:val="20"/>
          <w:szCs w:val="20"/>
          <w:lang w:val="en-GB"/>
        </w:rPr>
        <w:t>p</w:t>
      </w:r>
      <w:r w:rsidRPr="00223CBF">
        <w:rPr>
          <w:rFonts w:ascii="Cambria" w:hAnsi="Cambria" w:cstheme="minorHAnsi"/>
          <w:bCs/>
          <w:sz w:val="20"/>
          <w:szCs w:val="20"/>
          <w:lang w:val="en-GB"/>
        </w:rPr>
        <w:t xml:space="preserve">ublic </w:t>
      </w:r>
      <w:r>
        <w:rPr>
          <w:rFonts w:ascii="Cambria" w:hAnsi="Cambria" w:cstheme="minorHAnsi"/>
          <w:bCs/>
          <w:sz w:val="20"/>
          <w:szCs w:val="20"/>
          <w:lang w:val="en-GB"/>
        </w:rPr>
        <w:t>c</w:t>
      </w:r>
      <w:r w:rsidRPr="00223CBF">
        <w:rPr>
          <w:rFonts w:ascii="Cambria" w:hAnsi="Cambria" w:cstheme="minorHAnsi"/>
          <w:bCs/>
          <w:sz w:val="20"/>
          <w:szCs w:val="20"/>
          <w:lang w:val="en-GB"/>
        </w:rPr>
        <w:t xml:space="preserve">onsultations with cross bench MPs, webinars and TV </w:t>
      </w:r>
      <w:bookmarkStart w:id="37" w:name="_Hlk59038336"/>
      <w:r w:rsidRPr="00223CBF">
        <w:rPr>
          <w:rFonts w:ascii="Cambria" w:hAnsi="Cambria" w:cstheme="minorHAnsi"/>
          <w:bCs/>
          <w:sz w:val="20"/>
          <w:szCs w:val="20"/>
          <w:lang w:val="en-GB"/>
        </w:rPr>
        <w:t>programmes</w:t>
      </w:r>
      <w:r w:rsidR="00E15E72">
        <w:rPr>
          <w:rFonts w:ascii="Cambria" w:hAnsi="Cambria" w:cstheme="minorHAnsi"/>
          <w:bCs/>
          <w:sz w:val="20"/>
          <w:szCs w:val="20"/>
          <w:lang w:val="en-GB"/>
        </w:rPr>
        <w:t>,</w:t>
      </w:r>
      <w:r w:rsidRPr="00223CBF">
        <w:rPr>
          <w:rFonts w:ascii="Cambria" w:hAnsi="Cambria" w:cstheme="minorHAnsi"/>
          <w:bCs/>
          <w:sz w:val="20"/>
          <w:szCs w:val="20"/>
          <w:lang w:val="en-GB"/>
        </w:rPr>
        <w:t xml:space="preserve"> would require further investment from the Portfolio and continued buy in from the leadership.  The Portfolio should continue to aggressively engage and contribute towards strategic direction of the communications strategy</w:t>
      </w:r>
      <w:r w:rsidR="00E15E72">
        <w:rPr>
          <w:rFonts w:ascii="Cambria" w:hAnsi="Cambria" w:cstheme="minorHAnsi"/>
          <w:bCs/>
          <w:sz w:val="20"/>
          <w:szCs w:val="20"/>
          <w:lang w:val="en-GB"/>
        </w:rPr>
        <w:t>,</w:t>
      </w:r>
      <w:r w:rsidRPr="00223CBF">
        <w:rPr>
          <w:rFonts w:ascii="Cambria" w:hAnsi="Cambria" w:cstheme="minorHAnsi"/>
          <w:bCs/>
          <w:sz w:val="20"/>
          <w:szCs w:val="20"/>
          <w:lang w:val="en-GB"/>
        </w:rPr>
        <w:t xml:space="preserve"> to minimise abuse of information platforms such as</w:t>
      </w:r>
      <w:r w:rsidR="00E15E72">
        <w:rPr>
          <w:rFonts w:ascii="Cambria" w:hAnsi="Cambria" w:cstheme="minorHAnsi"/>
          <w:bCs/>
          <w:sz w:val="20"/>
          <w:szCs w:val="20"/>
          <w:lang w:val="en-GB"/>
        </w:rPr>
        <w:t>,</w:t>
      </w:r>
      <w:r w:rsidRPr="00223CBF">
        <w:rPr>
          <w:rFonts w:ascii="Cambria" w:hAnsi="Cambria" w:cstheme="minorHAnsi"/>
          <w:bCs/>
          <w:sz w:val="20"/>
          <w:szCs w:val="20"/>
          <w:lang w:val="en-GB"/>
        </w:rPr>
        <w:t xml:space="preserve"> using data to politically victimise media institutions, CSOs or communities or legitimise compromising positions of the government contrary to international standards and norms. </w:t>
      </w:r>
    </w:p>
    <w:bookmarkEnd w:id="37"/>
    <w:p w14:paraId="65A33C2A" w14:textId="5269588F" w:rsidR="004F5AE4" w:rsidRPr="00223CBF" w:rsidRDefault="004F5AE4" w:rsidP="004F5AE4">
      <w:pPr>
        <w:pStyle w:val="BodyText"/>
        <w:spacing w:line="360" w:lineRule="auto"/>
        <w:jc w:val="both"/>
        <w:rPr>
          <w:rFonts w:ascii="Cambria" w:hAnsi="Cambria" w:cstheme="minorHAnsi"/>
          <w:sz w:val="20"/>
          <w:szCs w:val="20"/>
        </w:rPr>
      </w:pPr>
      <w:r w:rsidRPr="00223CBF">
        <w:rPr>
          <w:rFonts w:ascii="Cambria" w:hAnsi="Cambria" w:cstheme="minorHAnsi"/>
          <w:sz w:val="20"/>
          <w:szCs w:val="20"/>
        </w:rPr>
        <w:t>The impact of SOCs is now threatened</w:t>
      </w:r>
      <w:r w:rsidR="00E15E72">
        <w:rPr>
          <w:rFonts w:ascii="Cambria" w:hAnsi="Cambria" w:cstheme="minorHAnsi"/>
          <w:sz w:val="20"/>
          <w:szCs w:val="20"/>
        </w:rPr>
        <w:t>,</w:t>
      </w:r>
      <w:r w:rsidRPr="00223CBF">
        <w:rPr>
          <w:rFonts w:ascii="Cambria" w:hAnsi="Cambria" w:cstheme="minorHAnsi"/>
          <w:sz w:val="20"/>
          <w:szCs w:val="20"/>
        </w:rPr>
        <w:t xml:space="preserve"> due to its immediate suspension following the presidential election in 2019. </w:t>
      </w:r>
      <w:r>
        <w:rPr>
          <w:rFonts w:ascii="Cambria" w:hAnsi="Cambria" w:cstheme="minorHAnsi"/>
          <w:sz w:val="20"/>
          <w:szCs w:val="20"/>
        </w:rPr>
        <w:t>IP interviews noted that</w:t>
      </w:r>
      <w:r w:rsidR="00E15E72">
        <w:rPr>
          <w:rFonts w:ascii="Cambria" w:hAnsi="Cambria" w:cstheme="minorHAnsi"/>
          <w:sz w:val="20"/>
          <w:szCs w:val="20"/>
        </w:rPr>
        <w:t>,</w:t>
      </w:r>
      <w:r>
        <w:rPr>
          <w:rFonts w:ascii="Cambria" w:hAnsi="Cambria" w:cstheme="minorHAnsi"/>
          <w:sz w:val="20"/>
          <w:szCs w:val="20"/>
        </w:rPr>
        <w:t xml:space="preserve"> currently the </w:t>
      </w:r>
      <w:r w:rsidRPr="00223CBF">
        <w:rPr>
          <w:rFonts w:ascii="Cambria" w:hAnsi="Cambria" w:cstheme="minorHAnsi"/>
          <w:sz w:val="20"/>
          <w:szCs w:val="20"/>
        </w:rPr>
        <w:t xml:space="preserve">parliament </w:t>
      </w:r>
      <w:r>
        <w:rPr>
          <w:rFonts w:ascii="Cambria" w:hAnsi="Cambria" w:cstheme="minorHAnsi"/>
          <w:sz w:val="20"/>
          <w:szCs w:val="20"/>
        </w:rPr>
        <w:t xml:space="preserve">is </w:t>
      </w:r>
      <w:r w:rsidRPr="00223CBF">
        <w:rPr>
          <w:rFonts w:ascii="Cambria" w:hAnsi="Cambria" w:cstheme="minorHAnsi"/>
          <w:sz w:val="20"/>
          <w:szCs w:val="20"/>
        </w:rPr>
        <w:t>planning to streamline the committee system and introduce limited SOC on thematic issues. Due to strong partnerships</w:t>
      </w:r>
      <w:r>
        <w:rPr>
          <w:rFonts w:ascii="Cambria" w:hAnsi="Cambria" w:cstheme="minorHAnsi"/>
          <w:sz w:val="20"/>
          <w:szCs w:val="20"/>
        </w:rPr>
        <w:t>,</w:t>
      </w:r>
      <w:r w:rsidRPr="00223CBF">
        <w:rPr>
          <w:rFonts w:ascii="Cambria" w:hAnsi="Cambria" w:cstheme="minorHAnsi"/>
          <w:sz w:val="20"/>
          <w:szCs w:val="20"/>
        </w:rPr>
        <w:t xml:space="preserve"> UNDP has been invited to provide technical support to streamline SOCs, which is imperative to guarantee the incorporation of international best practices. </w:t>
      </w:r>
    </w:p>
    <w:p w14:paraId="31F1610B" w14:textId="6AF870AA" w:rsidR="004F5AE4" w:rsidRDefault="004F5AE4" w:rsidP="004F5AE4">
      <w:pPr>
        <w:pStyle w:val="BodyText"/>
        <w:spacing w:line="360" w:lineRule="auto"/>
        <w:jc w:val="both"/>
        <w:rPr>
          <w:rFonts w:ascii="Cambria" w:hAnsi="Cambria" w:cstheme="minorHAnsi"/>
          <w:bCs/>
          <w:sz w:val="20"/>
          <w:szCs w:val="20"/>
          <w:lang w:val="en-GB"/>
        </w:rPr>
      </w:pPr>
      <w:r>
        <w:rPr>
          <w:rFonts w:ascii="Cambria" w:hAnsi="Cambria" w:cstheme="minorHAnsi"/>
          <w:bCs/>
          <w:sz w:val="20"/>
          <w:szCs w:val="20"/>
          <w:lang w:val="en-GB"/>
        </w:rPr>
        <w:lastRenderedPageBreak/>
        <w:t>Further, t</w:t>
      </w:r>
      <w:r w:rsidRPr="00223CBF">
        <w:rPr>
          <w:rFonts w:ascii="Cambria" w:hAnsi="Cambria" w:cstheme="minorHAnsi"/>
          <w:bCs/>
          <w:sz w:val="20"/>
          <w:szCs w:val="20"/>
          <w:lang w:val="en-GB"/>
        </w:rPr>
        <w:t>he impact of strategic interventions such as the support to bills</w:t>
      </w:r>
      <w:r w:rsidR="00E15E72">
        <w:rPr>
          <w:rFonts w:ascii="Cambria" w:hAnsi="Cambria" w:cstheme="minorHAnsi"/>
          <w:bCs/>
          <w:sz w:val="20"/>
          <w:szCs w:val="20"/>
          <w:lang w:val="en-GB"/>
        </w:rPr>
        <w:t>,</w:t>
      </w:r>
      <w:r w:rsidRPr="00223CBF">
        <w:rPr>
          <w:rFonts w:ascii="Cambria" w:hAnsi="Cambria" w:cstheme="minorHAnsi"/>
          <w:bCs/>
          <w:sz w:val="20"/>
          <w:szCs w:val="20"/>
          <w:lang w:val="en-GB"/>
        </w:rPr>
        <w:t xml:space="preserve"> to repeal discriminatory provisions in the law that</w:t>
      </w:r>
      <w:r w:rsidR="00E15E72">
        <w:rPr>
          <w:rFonts w:ascii="Cambria" w:hAnsi="Cambria" w:cstheme="minorHAnsi"/>
          <w:bCs/>
          <w:sz w:val="20"/>
          <w:szCs w:val="20"/>
          <w:lang w:val="en-GB"/>
        </w:rPr>
        <w:t>,</w:t>
      </w:r>
      <w:r w:rsidRPr="00223CBF">
        <w:rPr>
          <w:rFonts w:ascii="Cambria" w:hAnsi="Cambria" w:cstheme="minorHAnsi"/>
          <w:bCs/>
          <w:sz w:val="20"/>
          <w:szCs w:val="20"/>
          <w:lang w:val="en-GB"/>
        </w:rPr>
        <w:t xml:space="preserve"> acts as a barrier to access to justice and overall empowerment of women</w:t>
      </w:r>
      <w:r w:rsidR="00E15E72">
        <w:rPr>
          <w:rFonts w:ascii="Cambria" w:hAnsi="Cambria" w:cstheme="minorHAnsi"/>
          <w:bCs/>
          <w:sz w:val="20"/>
          <w:szCs w:val="20"/>
          <w:lang w:val="en-GB"/>
        </w:rPr>
        <w:t>,</w:t>
      </w:r>
      <w:r w:rsidRPr="00223CBF">
        <w:rPr>
          <w:rFonts w:ascii="Cambria" w:hAnsi="Cambria" w:cstheme="minorHAnsi"/>
          <w:bCs/>
          <w:sz w:val="20"/>
          <w:szCs w:val="20"/>
          <w:lang w:val="en-GB"/>
        </w:rPr>
        <w:t xml:space="preserve"> i</w:t>
      </w:r>
      <w:r>
        <w:rPr>
          <w:rFonts w:ascii="Cambria" w:hAnsi="Cambria" w:cstheme="minorHAnsi"/>
          <w:bCs/>
          <w:sz w:val="20"/>
          <w:szCs w:val="20"/>
          <w:lang w:val="en-GB"/>
        </w:rPr>
        <w:t>s</w:t>
      </w:r>
      <w:r w:rsidRPr="00223CBF">
        <w:rPr>
          <w:rFonts w:ascii="Cambria" w:hAnsi="Cambria" w:cstheme="minorHAnsi"/>
          <w:bCs/>
          <w:sz w:val="20"/>
          <w:szCs w:val="20"/>
          <w:lang w:val="en-GB"/>
        </w:rPr>
        <w:t xml:space="preserve"> reliant on a vibrant system of public engagement to eliminate systematic and political barriers that</w:t>
      </w:r>
      <w:r>
        <w:rPr>
          <w:rFonts w:ascii="Cambria" w:hAnsi="Cambria" w:cstheme="minorHAnsi"/>
          <w:bCs/>
          <w:sz w:val="20"/>
          <w:szCs w:val="20"/>
          <w:lang w:val="en-GB"/>
        </w:rPr>
        <w:t xml:space="preserve">, as </w:t>
      </w:r>
      <w:r w:rsidRPr="00223CBF">
        <w:rPr>
          <w:rFonts w:ascii="Cambria" w:hAnsi="Cambria" w:cstheme="minorHAnsi"/>
          <w:bCs/>
          <w:sz w:val="20"/>
          <w:szCs w:val="20"/>
          <w:lang w:val="en-GB"/>
        </w:rPr>
        <w:t xml:space="preserve">history </w:t>
      </w:r>
      <w:r>
        <w:rPr>
          <w:rFonts w:ascii="Cambria" w:hAnsi="Cambria" w:cstheme="minorHAnsi"/>
          <w:bCs/>
          <w:sz w:val="20"/>
          <w:szCs w:val="20"/>
          <w:lang w:val="en-GB"/>
        </w:rPr>
        <w:t xml:space="preserve">dictates has </w:t>
      </w:r>
      <w:r w:rsidRPr="00223CBF">
        <w:rPr>
          <w:rFonts w:ascii="Cambria" w:hAnsi="Cambria" w:cstheme="minorHAnsi"/>
          <w:bCs/>
          <w:sz w:val="20"/>
          <w:szCs w:val="20"/>
          <w:lang w:val="en-GB"/>
        </w:rPr>
        <w:t>pushed back similar reform initiatives</w:t>
      </w:r>
      <w:r>
        <w:rPr>
          <w:rFonts w:ascii="Cambria" w:hAnsi="Cambria" w:cstheme="minorHAnsi"/>
          <w:bCs/>
          <w:sz w:val="20"/>
          <w:szCs w:val="20"/>
          <w:lang w:val="en-GB"/>
        </w:rPr>
        <w:t xml:space="preserve"> in the past</w:t>
      </w:r>
      <w:r w:rsidRPr="00223CBF">
        <w:rPr>
          <w:rFonts w:ascii="Cambria" w:hAnsi="Cambria" w:cstheme="minorHAnsi"/>
          <w:bCs/>
          <w:sz w:val="20"/>
          <w:szCs w:val="20"/>
          <w:lang w:val="en-GB"/>
        </w:rPr>
        <w:t>.</w:t>
      </w:r>
      <w:r>
        <w:rPr>
          <w:rFonts w:ascii="Cambria" w:hAnsi="Cambria" w:cstheme="minorHAnsi"/>
          <w:bCs/>
          <w:sz w:val="20"/>
          <w:szCs w:val="20"/>
          <w:lang w:val="en-GB"/>
        </w:rPr>
        <w:t xml:space="preserve"> </w:t>
      </w:r>
      <w:r w:rsidRPr="00223CBF">
        <w:rPr>
          <w:rFonts w:ascii="Cambria" w:hAnsi="Cambria" w:cstheme="minorHAnsi"/>
          <w:bCs/>
          <w:sz w:val="20"/>
          <w:szCs w:val="20"/>
          <w:lang w:val="en-GB"/>
        </w:rPr>
        <w:t>Further</w:t>
      </w:r>
      <w:r>
        <w:rPr>
          <w:rFonts w:ascii="Cambria" w:hAnsi="Cambria" w:cstheme="minorHAnsi"/>
          <w:bCs/>
          <w:sz w:val="20"/>
          <w:szCs w:val="20"/>
          <w:lang w:val="en-GB"/>
        </w:rPr>
        <w:t>more,</w:t>
      </w:r>
      <w:r w:rsidRPr="00223CBF">
        <w:rPr>
          <w:rFonts w:ascii="Cambria" w:hAnsi="Cambria" w:cstheme="minorHAnsi"/>
          <w:bCs/>
          <w:sz w:val="20"/>
          <w:szCs w:val="20"/>
          <w:lang w:val="en-GB"/>
        </w:rPr>
        <w:t xml:space="preserve"> </w:t>
      </w:r>
      <w:r>
        <w:rPr>
          <w:rFonts w:ascii="Cambria" w:hAnsi="Cambria" w:cstheme="minorHAnsi"/>
          <w:bCs/>
          <w:sz w:val="20"/>
          <w:szCs w:val="20"/>
          <w:lang w:val="en-GB"/>
        </w:rPr>
        <w:t>du</w:t>
      </w:r>
      <w:r w:rsidRPr="00223CBF">
        <w:rPr>
          <w:rFonts w:ascii="Cambria" w:hAnsi="Cambria" w:cstheme="minorHAnsi"/>
          <w:bCs/>
          <w:sz w:val="20"/>
          <w:szCs w:val="20"/>
          <w:lang w:val="en-GB"/>
        </w:rPr>
        <w:t>e to the constitutional crisis</w:t>
      </w:r>
      <w:r>
        <w:rPr>
          <w:rFonts w:ascii="Cambria" w:hAnsi="Cambria" w:cstheme="minorHAnsi"/>
          <w:bCs/>
          <w:sz w:val="20"/>
          <w:szCs w:val="20"/>
          <w:lang w:val="en-GB"/>
        </w:rPr>
        <w:t xml:space="preserve"> in 2018</w:t>
      </w:r>
      <w:r w:rsidRPr="00223CBF">
        <w:rPr>
          <w:rFonts w:ascii="Cambria" w:hAnsi="Cambria" w:cstheme="minorHAnsi"/>
          <w:bCs/>
          <w:sz w:val="20"/>
          <w:szCs w:val="20"/>
          <w:lang w:val="en-GB"/>
        </w:rPr>
        <w:t xml:space="preserve">, the </w:t>
      </w:r>
      <w:r>
        <w:rPr>
          <w:rFonts w:ascii="Cambria" w:hAnsi="Cambria" w:cstheme="minorHAnsi"/>
          <w:bCs/>
          <w:sz w:val="20"/>
          <w:szCs w:val="20"/>
          <w:lang w:val="en-GB"/>
        </w:rPr>
        <w:t>E</w:t>
      </w:r>
      <w:r w:rsidRPr="00223CBF">
        <w:rPr>
          <w:rFonts w:ascii="Cambria" w:hAnsi="Cambria" w:cstheme="minorHAnsi"/>
          <w:bCs/>
          <w:sz w:val="20"/>
          <w:szCs w:val="20"/>
          <w:lang w:val="en-GB"/>
        </w:rPr>
        <w:t xml:space="preserve">aster attacks and election campaigning in 2019 and currently the pandemic has posed additional challenges for gender reforms, which can </w:t>
      </w:r>
      <w:r>
        <w:rPr>
          <w:rFonts w:ascii="Cambria" w:hAnsi="Cambria" w:cstheme="minorHAnsi"/>
          <w:bCs/>
          <w:sz w:val="20"/>
          <w:szCs w:val="20"/>
          <w:lang w:val="en-GB"/>
        </w:rPr>
        <w:t xml:space="preserve">be </w:t>
      </w:r>
      <w:r w:rsidRPr="00223CBF">
        <w:rPr>
          <w:rFonts w:ascii="Cambria" w:hAnsi="Cambria" w:cstheme="minorHAnsi"/>
          <w:bCs/>
          <w:sz w:val="20"/>
          <w:szCs w:val="20"/>
          <w:lang w:val="en-GB"/>
        </w:rPr>
        <w:t>delay</w:t>
      </w:r>
      <w:r>
        <w:rPr>
          <w:rFonts w:ascii="Cambria" w:hAnsi="Cambria" w:cstheme="minorHAnsi"/>
          <w:bCs/>
          <w:sz w:val="20"/>
          <w:szCs w:val="20"/>
          <w:lang w:val="en-GB"/>
        </w:rPr>
        <w:t>ed</w:t>
      </w:r>
      <w:r w:rsidRPr="00223CBF">
        <w:rPr>
          <w:rFonts w:ascii="Cambria" w:hAnsi="Cambria" w:cstheme="minorHAnsi"/>
          <w:bCs/>
          <w:sz w:val="20"/>
          <w:szCs w:val="20"/>
          <w:lang w:val="en-GB"/>
        </w:rPr>
        <w:t xml:space="preserve"> owing to </w:t>
      </w:r>
      <w:r>
        <w:rPr>
          <w:rFonts w:ascii="Cambria" w:hAnsi="Cambria" w:cstheme="minorHAnsi"/>
          <w:bCs/>
          <w:sz w:val="20"/>
          <w:szCs w:val="20"/>
          <w:lang w:val="en-GB"/>
        </w:rPr>
        <w:t xml:space="preserve">its </w:t>
      </w:r>
      <w:r w:rsidRPr="00223CBF">
        <w:rPr>
          <w:rFonts w:ascii="Cambria" w:hAnsi="Cambria" w:cstheme="minorHAnsi"/>
          <w:bCs/>
          <w:sz w:val="20"/>
          <w:szCs w:val="20"/>
          <w:lang w:val="en-GB"/>
        </w:rPr>
        <w:t>low priority. For example</w:t>
      </w:r>
      <w:r>
        <w:rPr>
          <w:rFonts w:ascii="Cambria" w:hAnsi="Cambria" w:cstheme="minorHAnsi"/>
          <w:bCs/>
          <w:sz w:val="20"/>
          <w:szCs w:val="20"/>
          <w:lang w:val="en-GB"/>
        </w:rPr>
        <w:t>, KPI discussions revealed that r</w:t>
      </w:r>
      <w:r w:rsidRPr="00223CBF">
        <w:rPr>
          <w:rFonts w:ascii="Cambria" w:hAnsi="Cambria" w:cstheme="minorHAnsi"/>
          <w:bCs/>
          <w:sz w:val="20"/>
          <w:szCs w:val="20"/>
          <w:lang w:val="en-GB"/>
        </w:rPr>
        <w:t xml:space="preserve">egrettably, there are several uncontentious bills relating to women and children such as the amendments to Domestic Violence Act, </w:t>
      </w:r>
      <w:r>
        <w:rPr>
          <w:rFonts w:ascii="Cambria" w:hAnsi="Cambria" w:cstheme="minorHAnsi"/>
          <w:bCs/>
          <w:sz w:val="20"/>
          <w:szCs w:val="20"/>
          <w:lang w:val="en-GB"/>
        </w:rPr>
        <w:t>J</w:t>
      </w:r>
      <w:r w:rsidRPr="00223CBF">
        <w:rPr>
          <w:rFonts w:ascii="Cambria" w:hAnsi="Cambria" w:cstheme="minorHAnsi"/>
          <w:bCs/>
          <w:sz w:val="20"/>
          <w:szCs w:val="20"/>
          <w:lang w:val="en-GB"/>
        </w:rPr>
        <w:t xml:space="preserve">uvenile </w:t>
      </w:r>
      <w:r>
        <w:rPr>
          <w:rFonts w:ascii="Cambria" w:hAnsi="Cambria" w:cstheme="minorHAnsi"/>
          <w:bCs/>
          <w:sz w:val="20"/>
          <w:szCs w:val="20"/>
          <w:lang w:val="en-GB"/>
        </w:rPr>
        <w:t>J</w:t>
      </w:r>
      <w:r w:rsidRPr="00223CBF">
        <w:rPr>
          <w:rFonts w:ascii="Cambria" w:hAnsi="Cambria" w:cstheme="minorHAnsi"/>
          <w:bCs/>
          <w:sz w:val="20"/>
          <w:szCs w:val="20"/>
          <w:lang w:val="en-GB"/>
        </w:rPr>
        <w:t>ustice Act</w:t>
      </w:r>
      <w:r>
        <w:rPr>
          <w:rFonts w:ascii="Cambria" w:hAnsi="Cambria" w:cstheme="minorHAnsi"/>
          <w:bCs/>
          <w:sz w:val="20"/>
          <w:szCs w:val="20"/>
          <w:lang w:val="en-GB"/>
        </w:rPr>
        <w:t>, etc.</w:t>
      </w:r>
      <w:r w:rsidRPr="00223CBF">
        <w:rPr>
          <w:rFonts w:ascii="Cambria" w:hAnsi="Cambria" w:cstheme="minorHAnsi"/>
          <w:bCs/>
          <w:sz w:val="20"/>
          <w:szCs w:val="20"/>
          <w:lang w:val="en-GB"/>
        </w:rPr>
        <w:t xml:space="preserve"> that are pending.</w:t>
      </w:r>
    </w:p>
    <w:p w14:paraId="42480EB2" w14:textId="6739D671" w:rsidR="004F5AE4" w:rsidRPr="00223CBF" w:rsidRDefault="004F5AE4" w:rsidP="0069189B">
      <w:pPr>
        <w:pStyle w:val="BodyText"/>
        <w:shd w:val="clear" w:color="auto" w:fill="FFC000"/>
        <w:spacing w:line="360" w:lineRule="auto"/>
        <w:jc w:val="both"/>
        <w:rPr>
          <w:rFonts w:ascii="Cambria" w:hAnsi="Cambria" w:cstheme="minorHAnsi"/>
          <w:bCs/>
          <w:sz w:val="20"/>
          <w:szCs w:val="20"/>
          <w:lang w:val="en-GB"/>
        </w:rPr>
      </w:pPr>
      <w:r w:rsidRPr="00223CBF">
        <w:rPr>
          <w:rFonts w:ascii="Cambria" w:hAnsi="Cambria" w:cstheme="minorHAnsi"/>
          <w:bCs/>
          <w:sz w:val="20"/>
          <w:szCs w:val="20"/>
          <w:lang w:val="en-GB"/>
        </w:rPr>
        <w:t>Further</w:t>
      </w:r>
      <w:r w:rsidR="00E15E72">
        <w:rPr>
          <w:rFonts w:ascii="Cambria" w:hAnsi="Cambria" w:cstheme="minorHAnsi"/>
          <w:bCs/>
          <w:sz w:val="20"/>
          <w:szCs w:val="20"/>
          <w:lang w:val="en-GB"/>
        </w:rPr>
        <w:t>,</w:t>
      </w:r>
      <w:r w:rsidRPr="00223CBF">
        <w:rPr>
          <w:rFonts w:ascii="Cambria" w:hAnsi="Cambria" w:cstheme="minorHAnsi"/>
          <w:bCs/>
          <w:sz w:val="20"/>
          <w:szCs w:val="20"/>
          <w:lang w:val="en-GB"/>
        </w:rPr>
        <w:t xml:space="preserve"> participatory and an aggressive system of democracy is reliant on the constitutional, political, social and cultural space provided for freedom of speech and association for vulnerable groups and the ability of CSOs to reach vulnerable groups and their ability to generate a shared conscience and movement to push for reform. </w:t>
      </w:r>
      <w:r>
        <w:rPr>
          <w:rFonts w:ascii="Cambria" w:hAnsi="Cambria" w:cstheme="minorHAnsi"/>
          <w:bCs/>
          <w:sz w:val="20"/>
          <w:szCs w:val="20"/>
          <w:lang w:val="en-GB"/>
        </w:rPr>
        <w:t>Therefore, building stronger partnerships and networks with non-governmental organisations (NGOs) i</w:t>
      </w:r>
      <w:r w:rsidR="00E15E72">
        <w:rPr>
          <w:rFonts w:ascii="Cambria" w:hAnsi="Cambria" w:cstheme="minorHAnsi"/>
          <w:bCs/>
          <w:sz w:val="20"/>
          <w:szCs w:val="20"/>
          <w:lang w:val="en-GB"/>
        </w:rPr>
        <w:t>s</w:t>
      </w:r>
      <w:r>
        <w:rPr>
          <w:rFonts w:ascii="Cambria" w:hAnsi="Cambria" w:cstheme="minorHAnsi"/>
          <w:bCs/>
          <w:sz w:val="20"/>
          <w:szCs w:val="20"/>
          <w:lang w:val="en-GB"/>
        </w:rPr>
        <w:t xml:space="preserve"> crucial particularly </w:t>
      </w:r>
      <w:r w:rsidR="00E15E72">
        <w:rPr>
          <w:rFonts w:ascii="Cambria" w:hAnsi="Cambria" w:cstheme="minorHAnsi"/>
          <w:bCs/>
          <w:sz w:val="20"/>
          <w:szCs w:val="20"/>
          <w:lang w:val="en-GB"/>
        </w:rPr>
        <w:t xml:space="preserve">in </w:t>
      </w:r>
      <w:r>
        <w:rPr>
          <w:rFonts w:ascii="Cambria" w:hAnsi="Cambria" w:cstheme="minorHAnsi"/>
          <w:bCs/>
          <w:sz w:val="20"/>
          <w:szCs w:val="20"/>
          <w:lang w:val="en-GB"/>
        </w:rPr>
        <w:t xml:space="preserve">the current political context. </w:t>
      </w:r>
    </w:p>
    <w:p w14:paraId="61688AAB" w14:textId="6ADFDC2C" w:rsidR="004F5AE4" w:rsidRPr="004F5AE4" w:rsidRDefault="00522B41" w:rsidP="004F5AE4">
      <w:pPr>
        <w:spacing w:line="360" w:lineRule="auto"/>
        <w:jc w:val="both"/>
        <w:rPr>
          <w:rFonts w:ascii="Cambria" w:hAnsi="Cambria" w:cstheme="minorHAnsi"/>
          <w:sz w:val="20"/>
          <w:szCs w:val="20"/>
        </w:rPr>
      </w:pPr>
      <w:bookmarkStart w:id="38" w:name="_Hlk59038434"/>
      <w:r>
        <w:rPr>
          <w:rFonts w:ascii="Cambria" w:hAnsi="Cambria" w:cstheme="minorHAnsi"/>
          <w:sz w:val="20"/>
          <w:szCs w:val="20"/>
        </w:rPr>
        <w:t>However, w</w:t>
      </w:r>
      <w:r w:rsidR="004F5AE4" w:rsidRPr="004F5AE4">
        <w:rPr>
          <w:rFonts w:ascii="Cambria" w:hAnsi="Cambria" w:cstheme="minorHAnsi"/>
          <w:sz w:val="20"/>
          <w:szCs w:val="20"/>
        </w:rPr>
        <w:t>illingness of DPs to continue to engage with parliament and new leadership through an agreed framework is promising</w:t>
      </w:r>
      <w:r w:rsidR="00E15E72">
        <w:rPr>
          <w:rFonts w:ascii="Cambria" w:hAnsi="Cambria" w:cstheme="minorHAnsi"/>
          <w:sz w:val="20"/>
          <w:szCs w:val="20"/>
        </w:rPr>
        <w:t>,</w:t>
      </w:r>
      <w:r w:rsidR="004F5AE4" w:rsidRPr="004F5AE4">
        <w:rPr>
          <w:rFonts w:ascii="Cambria" w:hAnsi="Cambria" w:cstheme="minorHAnsi"/>
          <w:sz w:val="20"/>
          <w:szCs w:val="20"/>
        </w:rPr>
        <w:t xml:space="preserve">  and should consider; focusing on continued buy in of the PDAP</w:t>
      </w:r>
      <w:r w:rsidR="00E15E72">
        <w:rPr>
          <w:rFonts w:ascii="Cambria" w:hAnsi="Cambria" w:cstheme="minorHAnsi"/>
          <w:sz w:val="20"/>
          <w:szCs w:val="20"/>
        </w:rPr>
        <w:t>,</w:t>
      </w:r>
      <w:r w:rsidR="004F5AE4" w:rsidRPr="004F5AE4">
        <w:rPr>
          <w:rFonts w:ascii="Cambria" w:hAnsi="Cambria" w:cstheme="minorHAnsi"/>
          <w:sz w:val="20"/>
          <w:szCs w:val="20"/>
        </w:rPr>
        <w:t xml:space="preserve"> with allocation of resources to align with new national priorities</w:t>
      </w:r>
      <w:r w:rsidR="00E15E72">
        <w:rPr>
          <w:rFonts w:ascii="Cambria" w:hAnsi="Cambria" w:cstheme="minorHAnsi"/>
          <w:sz w:val="20"/>
          <w:szCs w:val="20"/>
        </w:rPr>
        <w:t>,</w:t>
      </w:r>
      <w:r w:rsidR="004F5AE4" w:rsidRPr="004F5AE4">
        <w:rPr>
          <w:rFonts w:ascii="Cambria" w:hAnsi="Cambria" w:cstheme="minorHAnsi"/>
          <w:sz w:val="20"/>
          <w:szCs w:val="20"/>
        </w:rPr>
        <w:t xml:space="preserve"> for greater investment and ownership</w:t>
      </w:r>
      <w:r w:rsidR="00E15E72">
        <w:rPr>
          <w:rFonts w:ascii="Cambria" w:hAnsi="Cambria" w:cstheme="minorHAnsi"/>
          <w:sz w:val="20"/>
          <w:szCs w:val="20"/>
        </w:rPr>
        <w:t>,</w:t>
      </w:r>
      <w:r w:rsidR="004F5AE4" w:rsidRPr="004F5AE4">
        <w:rPr>
          <w:rFonts w:ascii="Cambria" w:hAnsi="Cambria" w:cstheme="minorHAnsi"/>
          <w:sz w:val="20"/>
          <w:szCs w:val="20"/>
        </w:rPr>
        <w:t xml:space="preserve"> and to reduce donor dependency, inclusivity in planning and implementation stages; strategic alignment of resources based on development priorities of the partners and greater strengthening and monitoring of interventions and results. </w:t>
      </w:r>
    </w:p>
    <w:bookmarkEnd w:id="38"/>
    <w:p w14:paraId="029CB152" w14:textId="2ED4242C" w:rsidR="004F5AE4" w:rsidRDefault="004F5AE4" w:rsidP="004F5AE4">
      <w:pPr>
        <w:pStyle w:val="BodyText"/>
        <w:spacing w:line="360" w:lineRule="auto"/>
        <w:contextualSpacing/>
        <w:jc w:val="both"/>
        <w:rPr>
          <w:rFonts w:ascii="Cambria" w:hAnsi="Cambria" w:cstheme="minorHAnsi"/>
          <w:sz w:val="20"/>
          <w:szCs w:val="20"/>
        </w:rPr>
      </w:pPr>
      <w:r w:rsidRPr="00AC1452">
        <w:rPr>
          <w:rFonts w:ascii="Cambria" w:hAnsi="Cambria" w:cstheme="minorHAnsi"/>
          <w:sz w:val="20"/>
          <w:szCs w:val="20"/>
        </w:rPr>
        <w:t>The P</w:t>
      </w:r>
      <w:r>
        <w:rPr>
          <w:rFonts w:ascii="Cambria" w:hAnsi="Cambria" w:cstheme="minorHAnsi"/>
          <w:sz w:val="20"/>
          <w:szCs w:val="20"/>
        </w:rPr>
        <w:t xml:space="preserve">ortfolio </w:t>
      </w:r>
      <w:r w:rsidRPr="00AC1452">
        <w:rPr>
          <w:rFonts w:ascii="Cambria" w:hAnsi="Cambria" w:cstheme="minorHAnsi"/>
          <w:sz w:val="20"/>
          <w:szCs w:val="20"/>
        </w:rPr>
        <w:t xml:space="preserve">has already experienced significant challenges as a result of closure/non-functioning of </w:t>
      </w:r>
      <w:r>
        <w:rPr>
          <w:rFonts w:ascii="Cambria" w:hAnsi="Cambria" w:cstheme="minorHAnsi"/>
          <w:sz w:val="20"/>
          <w:szCs w:val="20"/>
        </w:rPr>
        <w:t>p</w:t>
      </w:r>
      <w:r w:rsidRPr="00AC1452">
        <w:rPr>
          <w:rFonts w:ascii="Cambria" w:hAnsi="Cambria" w:cstheme="minorHAnsi"/>
          <w:sz w:val="20"/>
          <w:szCs w:val="20"/>
        </w:rPr>
        <w:t>arliament due to the unprecedented constitutional crisis or due to unprecedented delays in elections and provisions of the 20</w:t>
      </w:r>
      <w:r w:rsidRPr="00AC1452">
        <w:rPr>
          <w:rFonts w:ascii="Cambria" w:hAnsi="Cambria" w:cstheme="minorHAnsi"/>
          <w:sz w:val="20"/>
          <w:szCs w:val="20"/>
          <w:vertAlign w:val="superscript"/>
        </w:rPr>
        <w:t>th</w:t>
      </w:r>
      <w:r w:rsidRPr="00AC1452">
        <w:rPr>
          <w:rFonts w:ascii="Cambria" w:hAnsi="Cambria" w:cstheme="minorHAnsi"/>
          <w:sz w:val="20"/>
          <w:szCs w:val="20"/>
        </w:rPr>
        <w:t xml:space="preserve"> Amendment</w:t>
      </w:r>
      <w:r>
        <w:rPr>
          <w:rFonts w:ascii="Cambria" w:hAnsi="Cambria" w:cstheme="minorHAnsi"/>
          <w:sz w:val="20"/>
          <w:szCs w:val="20"/>
        </w:rPr>
        <w:t>,</w:t>
      </w:r>
      <w:r w:rsidRPr="00AC1452">
        <w:rPr>
          <w:rFonts w:ascii="Cambria" w:hAnsi="Cambria" w:cstheme="minorHAnsi"/>
          <w:sz w:val="20"/>
          <w:szCs w:val="20"/>
        </w:rPr>
        <w:t xml:space="preserve"> add further fuel to </w:t>
      </w:r>
      <w:r>
        <w:rPr>
          <w:rFonts w:ascii="Cambria" w:hAnsi="Cambria" w:cstheme="minorHAnsi"/>
          <w:sz w:val="20"/>
          <w:szCs w:val="20"/>
        </w:rPr>
        <w:t xml:space="preserve">this </w:t>
      </w:r>
      <w:r w:rsidRPr="00AC1452">
        <w:rPr>
          <w:rFonts w:ascii="Cambria" w:hAnsi="Cambria" w:cstheme="minorHAnsi"/>
          <w:sz w:val="20"/>
          <w:szCs w:val="20"/>
        </w:rPr>
        <w:t>unforeseen crisis</w:t>
      </w:r>
      <w:r w:rsidRPr="00F5551D">
        <w:rPr>
          <w:rFonts w:ascii="Cambria" w:hAnsi="Cambria" w:cstheme="minorHAnsi"/>
          <w:sz w:val="20"/>
          <w:szCs w:val="20"/>
        </w:rPr>
        <w:t xml:space="preserve">. </w:t>
      </w:r>
    </w:p>
    <w:p w14:paraId="411704C5" w14:textId="42DD2185" w:rsidR="00FC2DC7" w:rsidRDefault="00FC2DC7" w:rsidP="000507CA">
      <w:pPr>
        <w:pStyle w:val="BodyText"/>
        <w:spacing w:line="360" w:lineRule="auto"/>
        <w:contextualSpacing/>
        <w:jc w:val="both"/>
        <w:rPr>
          <w:rFonts w:ascii="Cambria" w:hAnsi="Cambria" w:cstheme="minorHAnsi"/>
          <w:b/>
          <w:bCs/>
          <w:sz w:val="20"/>
          <w:szCs w:val="20"/>
        </w:rPr>
      </w:pPr>
    </w:p>
    <w:p w14:paraId="385BC934" w14:textId="1A8F9304" w:rsidR="004F5AE4" w:rsidRDefault="004F5AE4" w:rsidP="000507CA">
      <w:pPr>
        <w:pStyle w:val="BodyText"/>
        <w:spacing w:line="360" w:lineRule="auto"/>
        <w:contextualSpacing/>
        <w:jc w:val="both"/>
        <w:rPr>
          <w:rFonts w:ascii="Cambria" w:hAnsi="Cambria" w:cstheme="minorHAnsi"/>
          <w:b/>
          <w:bCs/>
          <w:sz w:val="20"/>
          <w:szCs w:val="20"/>
        </w:rPr>
      </w:pPr>
    </w:p>
    <w:p w14:paraId="1107C098" w14:textId="5270A1AA" w:rsidR="0069189B" w:rsidRDefault="0069189B" w:rsidP="000507CA">
      <w:pPr>
        <w:pStyle w:val="BodyText"/>
        <w:spacing w:line="360" w:lineRule="auto"/>
        <w:contextualSpacing/>
        <w:jc w:val="both"/>
        <w:rPr>
          <w:rFonts w:ascii="Cambria" w:hAnsi="Cambria" w:cstheme="minorHAnsi"/>
          <w:b/>
          <w:bCs/>
          <w:sz w:val="20"/>
          <w:szCs w:val="20"/>
        </w:rPr>
      </w:pPr>
    </w:p>
    <w:p w14:paraId="45F6E31B" w14:textId="3E500BD6" w:rsidR="0069189B" w:rsidRDefault="0069189B" w:rsidP="000507CA">
      <w:pPr>
        <w:pStyle w:val="BodyText"/>
        <w:spacing w:line="360" w:lineRule="auto"/>
        <w:contextualSpacing/>
        <w:jc w:val="both"/>
        <w:rPr>
          <w:rFonts w:ascii="Cambria" w:hAnsi="Cambria" w:cstheme="minorHAnsi"/>
          <w:b/>
          <w:bCs/>
          <w:sz w:val="20"/>
          <w:szCs w:val="20"/>
        </w:rPr>
      </w:pPr>
    </w:p>
    <w:p w14:paraId="1FE2F4D9" w14:textId="60D7F615" w:rsidR="004E6716" w:rsidRDefault="004E6716" w:rsidP="000507CA">
      <w:pPr>
        <w:pStyle w:val="BodyText"/>
        <w:spacing w:line="360" w:lineRule="auto"/>
        <w:contextualSpacing/>
        <w:jc w:val="both"/>
        <w:rPr>
          <w:rFonts w:ascii="Cambria" w:hAnsi="Cambria" w:cstheme="minorHAnsi"/>
          <w:b/>
          <w:bCs/>
          <w:sz w:val="20"/>
          <w:szCs w:val="20"/>
        </w:rPr>
      </w:pPr>
    </w:p>
    <w:p w14:paraId="580867E2" w14:textId="5586244A" w:rsidR="004E6716" w:rsidRDefault="004E6716" w:rsidP="000507CA">
      <w:pPr>
        <w:pStyle w:val="BodyText"/>
        <w:spacing w:line="360" w:lineRule="auto"/>
        <w:contextualSpacing/>
        <w:jc w:val="both"/>
        <w:rPr>
          <w:rFonts w:ascii="Cambria" w:hAnsi="Cambria" w:cstheme="minorHAnsi"/>
          <w:b/>
          <w:bCs/>
          <w:sz w:val="20"/>
          <w:szCs w:val="20"/>
        </w:rPr>
      </w:pPr>
    </w:p>
    <w:p w14:paraId="162B06E6" w14:textId="0BB45B22" w:rsidR="004E6716" w:rsidRDefault="004E6716" w:rsidP="000507CA">
      <w:pPr>
        <w:pStyle w:val="BodyText"/>
        <w:spacing w:line="360" w:lineRule="auto"/>
        <w:contextualSpacing/>
        <w:jc w:val="both"/>
        <w:rPr>
          <w:rFonts w:ascii="Cambria" w:hAnsi="Cambria" w:cstheme="minorHAnsi"/>
          <w:b/>
          <w:bCs/>
          <w:sz w:val="20"/>
          <w:szCs w:val="20"/>
        </w:rPr>
      </w:pPr>
    </w:p>
    <w:p w14:paraId="2118D5F6" w14:textId="50D4F118" w:rsidR="004E6716" w:rsidRDefault="004E6716" w:rsidP="000507CA">
      <w:pPr>
        <w:pStyle w:val="BodyText"/>
        <w:spacing w:line="360" w:lineRule="auto"/>
        <w:contextualSpacing/>
        <w:jc w:val="both"/>
        <w:rPr>
          <w:rFonts w:ascii="Cambria" w:hAnsi="Cambria" w:cstheme="minorHAnsi"/>
          <w:b/>
          <w:bCs/>
          <w:sz w:val="20"/>
          <w:szCs w:val="20"/>
        </w:rPr>
      </w:pPr>
    </w:p>
    <w:p w14:paraId="1431FE70" w14:textId="5CFAC48F" w:rsidR="004E6716" w:rsidRDefault="004E6716" w:rsidP="000507CA">
      <w:pPr>
        <w:pStyle w:val="BodyText"/>
        <w:spacing w:line="360" w:lineRule="auto"/>
        <w:contextualSpacing/>
        <w:jc w:val="both"/>
        <w:rPr>
          <w:rFonts w:ascii="Cambria" w:hAnsi="Cambria" w:cstheme="minorHAnsi"/>
          <w:b/>
          <w:bCs/>
          <w:sz w:val="20"/>
          <w:szCs w:val="20"/>
        </w:rPr>
      </w:pPr>
    </w:p>
    <w:p w14:paraId="1B5392CB" w14:textId="70333E59" w:rsidR="004E6716" w:rsidRDefault="004E6716" w:rsidP="000507CA">
      <w:pPr>
        <w:pStyle w:val="BodyText"/>
        <w:spacing w:line="360" w:lineRule="auto"/>
        <w:contextualSpacing/>
        <w:jc w:val="both"/>
        <w:rPr>
          <w:rFonts w:ascii="Cambria" w:hAnsi="Cambria" w:cstheme="minorHAnsi"/>
          <w:b/>
          <w:bCs/>
          <w:sz w:val="20"/>
          <w:szCs w:val="20"/>
        </w:rPr>
      </w:pPr>
    </w:p>
    <w:p w14:paraId="78EBDCE8" w14:textId="0B86A4CC" w:rsidR="004E6716" w:rsidRDefault="004E6716" w:rsidP="000507CA">
      <w:pPr>
        <w:pStyle w:val="BodyText"/>
        <w:spacing w:line="360" w:lineRule="auto"/>
        <w:contextualSpacing/>
        <w:jc w:val="both"/>
        <w:rPr>
          <w:rFonts w:ascii="Cambria" w:hAnsi="Cambria" w:cstheme="minorHAnsi"/>
          <w:b/>
          <w:bCs/>
          <w:sz w:val="20"/>
          <w:szCs w:val="20"/>
        </w:rPr>
      </w:pPr>
    </w:p>
    <w:p w14:paraId="476CEAF8" w14:textId="387F0329" w:rsidR="004E6716" w:rsidRDefault="004E6716" w:rsidP="000507CA">
      <w:pPr>
        <w:pStyle w:val="BodyText"/>
        <w:spacing w:line="360" w:lineRule="auto"/>
        <w:contextualSpacing/>
        <w:jc w:val="both"/>
        <w:rPr>
          <w:rFonts w:ascii="Cambria" w:hAnsi="Cambria" w:cstheme="minorHAnsi"/>
          <w:b/>
          <w:bCs/>
          <w:sz w:val="20"/>
          <w:szCs w:val="20"/>
        </w:rPr>
      </w:pPr>
    </w:p>
    <w:p w14:paraId="6A1F9C78" w14:textId="26B52878" w:rsidR="00331FB6" w:rsidRPr="004F5AE4" w:rsidRDefault="00331FB6" w:rsidP="000507CA">
      <w:pPr>
        <w:pStyle w:val="BodyText"/>
        <w:spacing w:line="360" w:lineRule="auto"/>
        <w:contextualSpacing/>
        <w:jc w:val="both"/>
        <w:rPr>
          <w:rFonts w:ascii="Cambria" w:hAnsi="Cambria" w:cstheme="minorHAnsi"/>
          <w:b/>
          <w:bCs/>
        </w:rPr>
      </w:pPr>
      <w:r w:rsidRPr="004F5AE4">
        <w:rPr>
          <w:rFonts w:ascii="Cambria" w:hAnsi="Cambria" w:cstheme="minorHAnsi"/>
          <w:b/>
          <w:bCs/>
        </w:rPr>
        <w:lastRenderedPageBreak/>
        <w:t>B. Independent Commissions</w:t>
      </w:r>
    </w:p>
    <w:p w14:paraId="59C29117" w14:textId="77777777" w:rsidR="00331FB6" w:rsidRPr="00223CBF" w:rsidRDefault="00331FB6" w:rsidP="000507CA">
      <w:pPr>
        <w:spacing w:line="360" w:lineRule="auto"/>
        <w:jc w:val="both"/>
        <w:rPr>
          <w:rFonts w:ascii="Cambria" w:hAnsi="Cambria" w:cstheme="minorHAnsi"/>
          <w:b/>
          <w:bCs/>
          <w:sz w:val="20"/>
          <w:szCs w:val="20"/>
        </w:rPr>
      </w:pPr>
      <w:r w:rsidRPr="00223CBF">
        <w:rPr>
          <w:rFonts w:ascii="Cambria" w:hAnsi="Cambria" w:cstheme="minorHAnsi"/>
          <w:b/>
          <w:bCs/>
          <w:sz w:val="20"/>
          <w:szCs w:val="20"/>
        </w:rPr>
        <w:t xml:space="preserve">EQ1. Relevance </w:t>
      </w:r>
    </w:p>
    <w:p w14:paraId="184515F8" w14:textId="77777777" w:rsidR="00331FB6" w:rsidRPr="00223CBF" w:rsidRDefault="00331FB6" w:rsidP="000507CA">
      <w:pPr>
        <w:shd w:val="clear" w:color="auto" w:fill="92D050"/>
        <w:spacing w:line="360" w:lineRule="auto"/>
        <w:jc w:val="center"/>
        <w:rPr>
          <w:rFonts w:ascii="Cambria" w:hAnsi="Cambria" w:cstheme="minorHAnsi"/>
          <w:sz w:val="20"/>
          <w:szCs w:val="20"/>
        </w:rPr>
      </w:pPr>
    </w:p>
    <w:p w14:paraId="2D68932D" w14:textId="18AA256C" w:rsidR="00331FB6" w:rsidRPr="00223CBF" w:rsidRDefault="00331FB6" w:rsidP="000507CA">
      <w:pPr>
        <w:shd w:val="clear" w:color="auto" w:fill="92D050"/>
        <w:spacing w:line="360" w:lineRule="auto"/>
        <w:jc w:val="center"/>
        <w:rPr>
          <w:rFonts w:ascii="Cambria" w:hAnsi="Cambria" w:cstheme="minorHAnsi"/>
          <w:sz w:val="20"/>
          <w:szCs w:val="20"/>
        </w:rPr>
      </w:pPr>
      <w:r w:rsidRPr="00223CBF">
        <w:rPr>
          <w:rFonts w:ascii="Cambria" w:hAnsi="Cambria" w:cstheme="minorHAnsi"/>
          <w:sz w:val="20"/>
          <w:szCs w:val="20"/>
        </w:rPr>
        <w:t xml:space="preserve">Relevance refers to the extent to which the interventions under the Portfolio </w:t>
      </w:r>
      <w:r w:rsidRPr="00223CBF">
        <w:rPr>
          <w:rFonts w:ascii="Cambria" w:hAnsi="Cambria" w:cstheme="minorHAnsi"/>
          <w:b/>
          <w:bCs/>
          <w:sz w:val="20"/>
          <w:szCs w:val="20"/>
        </w:rPr>
        <w:t>identified national priorities and adopted a policy and context sensitive approach.</w:t>
      </w:r>
      <w:r w:rsidRPr="00223CBF">
        <w:rPr>
          <w:rFonts w:ascii="Cambria" w:hAnsi="Cambria" w:cstheme="minorHAnsi"/>
          <w:sz w:val="20"/>
          <w:szCs w:val="20"/>
        </w:rPr>
        <w:t xml:space="preserve"> It refers to the </w:t>
      </w:r>
      <w:r w:rsidRPr="00B02905">
        <w:rPr>
          <w:rFonts w:ascii="Cambria" w:hAnsi="Cambria" w:cstheme="minorHAnsi"/>
          <w:b/>
          <w:bCs/>
          <w:sz w:val="20"/>
          <w:szCs w:val="20"/>
        </w:rPr>
        <w:t>re</w:t>
      </w:r>
      <w:r w:rsidRPr="00223CBF">
        <w:rPr>
          <w:rFonts w:ascii="Cambria" w:hAnsi="Cambria" w:cstheme="minorHAnsi"/>
          <w:b/>
          <w:bCs/>
          <w:sz w:val="20"/>
          <w:szCs w:val="20"/>
        </w:rPr>
        <w:t xml:space="preserve">sponsiveness </w:t>
      </w:r>
      <w:r w:rsidRPr="00223CBF">
        <w:rPr>
          <w:rFonts w:ascii="Cambria" w:hAnsi="Cambria" w:cstheme="minorHAnsi"/>
          <w:sz w:val="20"/>
          <w:szCs w:val="20"/>
        </w:rPr>
        <w:t xml:space="preserve">of the Portfolio to meet the needs of the beneficiaries (most vulnerable communities) identified including its </w:t>
      </w:r>
      <w:r w:rsidRPr="00223CBF">
        <w:rPr>
          <w:rFonts w:ascii="Cambria" w:hAnsi="Cambria" w:cstheme="minorHAnsi"/>
          <w:b/>
          <w:bCs/>
          <w:sz w:val="20"/>
          <w:szCs w:val="20"/>
        </w:rPr>
        <w:t>capacity to adapt and realign</w:t>
      </w:r>
      <w:r w:rsidRPr="00223CBF">
        <w:rPr>
          <w:rFonts w:ascii="Cambria" w:hAnsi="Cambria" w:cstheme="minorHAnsi"/>
          <w:sz w:val="20"/>
          <w:szCs w:val="20"/>
        </w:rPr>
        <w:t xml:space="preserve"> priorities to meet country and context specific socio-economic and political changes. Relevance will also consider the extent to which cross cutting themes informed strategies.</w:t>
      </w:r>
    </w:p>
    <w:p w14:paraId="367D1474" w14:textId="77777777" w:rsidR="00876EB2" w:rsidRPr="00223CBF" w:rsidRDefault="00876EB2" w:rsidP="000507CA">
      <w:pPr>
        <w:shd w:val="clear" w:color="auto" w:fill="92D050"/>
        <w:spacing w:line="360" w:lineRule="auto"/>
        <w:jc w:val="both"/>
        <w:rPr>
          <w:rFonts w:ascii="Cambria" w:hAnsi="Cambria" w:cstheme="minorHAnsi"/>
          <w:sz w:val="20"/>
          <w:szCs w:val="20"/>
        </w:rPr>
      </w:pPr>
    </w:p>
    <w:p w14:paraId="1FE2F526" w14:textId="77777777" w:rsidR="00331FB6" w:rsidRPr="00223CBF" w:rsidRDefault="00331FB6" w:rsidP="000507CA">
      <w:pPr>
        <w:pStyle w:val="Default"/>
        <w:spacing w:line="360" w:lineRule="auto"/>
        <w:ind w:left="360"/>
        <w:jc w:val="both"/>
        <w:rPr>
          <w:rFonts w:ascii="Cambria" w:hAnsi="Cambria" w:cstheme="minorHAnsi"/>
          <w:color w:val="auto"/>
          <w:sz w:val="20"/>
          <w:szCs w:val="20"/>
        </w:rPr>
      </w:pPr>
    </w:p>
    <w:p w14:paraId="60E37770" w14:textId="02A5FFF3" w:rsidR="00331FB6" w:rsidRPr="00223CBF" w:rsidRDefault="00331FB6" w:rsidP="007C766E">
      <w:pPr>
        <w:pStyle w:val="ListParagraph"/>
        <w:numPr>
          <w:ilvl w:val="0"/>
          <w:numId w:val="21"/>
        </w:numPr>
        <w:spacing w:line="360" w:lineRule="auto"/>
        <w:jc w:val="both"/>
        <w:rPr>
          <w:rFonts w:ascii="Cambria" w:hAnsi="Cambria"/>
          <w:color w:val="0070C0"/>
          <w:sz w:val="20"/>
          <w:szCs w:val="20"/>
        </w:rPr>
      </w:pPr>
      <w:r w:rsidRPr="00223CBF">
        <w:rPr>
          <w:rFonts w:ascii="Cambria" w:hAnsi="Cambria" w:cstheme="minorHAnsi"/>
          <w:b/>
          <w:bCs/>
          <w:color w:val="0070C0"/>
          <w:sz w:val="20"/>
          <w:szCs w:val="20"/>
          <w:lang w:val="en-GB"/>
        </w:rPr>
        <w:t xml:space="preserve">The extent to which strategies adopted reflected local contexts, needs and priorities </w:t>
      </w:r>
    </w:p>
    <w:p w14:paraId="2797BC5E" w14:textId="0859E84D" w:rsidR="00331FB6" w:rsidRPr="00223CBF" w:rsidRDefault="00331FB6" w:rsidP="0069189B">
      <w:pPr>
        <w:spacing w:after="200" w:line="360" w:lineRule="auto"/>
        <w:jc w:val="both"/>
        <w:rPr>
          <w:rFonts w:ascii="Cambria" w:hAnsi="Cambria" w:cs="Calibri"/>
          <w:sz w:val="20"/>
          <w:szCs w:val="20"/>
        </w:rPr>
      </w:pPr>
      <w:r w:rsidRPr="00223CBF">
        <w:rPr>
          <w:rFonts w:ascii="Cambria" w:hAnsi="Cambria" w:cs="Calibri"/>
          <w:b/>
          <w:sz w:val="20"/>
          <w:szCs w:val="20"/>
          <w:lang w:val="en-GB"/>
        </w:rPr>
        <w:t xml:space="preserve">Context specific Priorities: </w:t>
      </w:r>
      <w:r w:rsidR="005B3C3A" w:rsidRPr="00AC1452">
        <w:rPr>
          <w:rFonts w:ascii="Cambria" w:hAnsi="Cambria" w:cs="Calibri"/>
          <w:bCs/>
          <w:sz w:val="20"/>
          <w:szCs w:val="20"/>
          <w:lang w:val="en-GB"/>
        </w:rPr>
        <w:t>Interventions identified under the Outputs were context specific and relevant in the aftermath of the 19</w:t>
      </w:r>
      <w:r w:rsidR="005B3C3A" w:rsidRPr="00AC1452">
        <w:rPr>
          <w:rFonts w:ascii="Cambria" w:hAnsi="Cambria" w:cs="Calibri"/>
          <w:bCs/>
          <w:sz w:val="20"/>
          <w:szCs w:val="20"/>
          <w:vertAlign w:val="superscript"/>
          <w:lang w:val="en-GB"/>
        </w:rPr>
        <w:t>th</w:t>
      </w:r>
      <w:r w:rsidR="005B3C3A" w:rsidRPr="00AC1452">
        <w:rPr>
          <w:rFonts w:ascii="Cambria" w:hAnsi="Cambria" w:cs="Calibri"/>
          <w:bCs/>
          <w:sz w:val="20"/>
          <w:szCs w:val="20"/>
          <w:lang w:val="en-GB"/>
        </w:rPr>
        <w:t xml:space="preserve"> Amendment.</w:t>
      </w:r>
      <w:r w:rsidR="004E6716">
        <w:rPr>
          <w:rStyle w:val="FootnoteReference"/>
          <w:rFonts w:ascii="Cambria" w:hAnsi="Cambria" w:cs="Calibri"/>
          <w:bCs/>
          <w:sz w:val="20"/>
          <w:szCs w:val="20"/>
          <w:lang w:val="en-GB"/>
        </w:rPr>
        <w:footnoteReference w:id="48"/>
      </w:r>
      <w:r w:rsidR="005B3C3A" w:rsidRPr="00AC1452">
        <w:rPr>
          <w:rFonts w:ascii="Cambria" w:hAnsi="Cambria" w:cs="Calibri"/>
          <w:bCs/>
          <w:sz w:val="20"/>
          <w:szCs w:val="20"/>
          <w:lang w:val="en-GB"/>
        </w:rPr>
        <w:t xml:space="preserve">  </w:t>
      </w:r>
      <w:r w:rsidRPr="00223CBF">
        <w:rPr>
          <w:rFonts w:ascii="Cambria" w:hAnsi="Cambria" w:cs="Calibri"/>
          <w:bCs/>
          <w:sz w:val="20"/>
          <w:szCs w:val="20"/>
          <w:lang w:val="en-GB"/>
        </w:rPr>
        <w:t xml:space="preserve">In </w:t>
      </w:r>
      <w:r w:rsidR="0036418D" w:rsidRPr="00223CBF">
        <w:rPr>
          <w:rFonts w:ascii="Cambria" w:hAnsi="Cambria" w:cs="Calibri"/>
          <w:bCs/>
          <w:sz w:val="20"/>
          <w:szCs w:val="20"/>
          <w:lang w:val="en-GB"/>
        </w:rPr>
        <w:t>general,</w:t>
      </w:r>
      <w:r w:rsidRPr="00223CBF">
        <w:rPr>
          <w:rFonts w:ascii="Cambria" w:hAnsi="Cambria" w:cs="Calibri"/>
          <w:bCs/>
          <w:sz w:val="20"/>
          <w:szCs w:val="20"/>
          <w:lang w:val="en-GB"/>
        </w:rPr>
        <w:t xml:space="preserve"> KPIs agreed that</w:t>
      </w:r>
      <w:r w:rsidR="004E6716">
        <w:rPr>
          <w:rFonts w:ascii="Cambria" w:hAnsi="Cambria" w:cs="Calibri"/>
          <w:bCs/>
          <w:sz w:val="20"/>
          <w:szCs w:val="20"/>
          <w:lang w:val="en-GB"/>
        </w:rPr>
        <w:t>,</w:t>
      </w:r>
      <w:r w:rsidRPr="00223CBF">
        <w:rPr>
          <w:rFonts w:ascii="Cambria" w:hAnsi="Cambria" w:cs="Calibri"/>
          <w:bCs/>
          <w:sz w:val="20"/>
          <w:szCs w:val="20"/>
          <w:lang w:val="en-GB"/>
        </w:rPr>
        <w:t xml:space="preserve"> the Portfolio capitalised on this political ideology and change</w:t>
      </w:r>
      <w:r w:rsidR="00C44648">
        <w:rPr>
          <w:rFonts w:ascii="Cambria" w:hAnsi="Cambria" w:cs="Calibri"/>
          <w:bCs/>
          <w:sz w:val="20"/>
          <w:szCs w:val="20"/>
          <w:lang w:val="en-GB"/>
        </w:rPr>
        <w:t xml:space="preserve"> </w:t>
      </w:r>
      <w:r w:rsidRPr="00223CBF">
        <w:rPr>
          <w:rFonts w:ascii="Cambria" w:hAnsi="Cambria" w:cs="Calibri"/>
          <w:bCs/>
          <w:sz w:val="20"/>
          <w:szCs w:val="20"/>
          <w:lang w:val="en-GB"/>
        </w:rPr>
        <w:t xml:space="preserve">to </w:t>
      </w:r>
      <w:r w:rsidR="00DD0A48" w:rsidRPr="00223CBF">
        <w:rPr>
          <w:rFonts w:ascii="Cambria" w:hAnsi="Cambria" w:cs="Calibri"/>
          <w:bCs/>
          <w:sz w:val="20"/>
          <w:szCs w:val="20"/>
          <w:lang w:val="en-GB"/>
        </w:rPr>
        <w:t xml:space="preserve">direct </w:t>
      </w:r>
      <w:r w:rsidRPr="00223CBF">
        <w:rPr>
          <w:rFonts w:ascii="Cambria" w:hAnsi="Cambria" w:cs="Calibri"/>
          <w:bCs/>
          <w:sz w:val="20"/>
          <w:szCs w:val="20"/>
          <w:lang w:val="en-GB"/>
        </w:rPr>
        <w:t>support to three important commissions namely, the HRC</w:t>
      </w:r>
      <w:r w:rsidRPr="00223CBF">
        <w:rPr>
          <w:rStyle w:val="FootnoteReference"/>
          <w:rFonts w:ascii="Cambria" w:hAnsi="Cambria" w:cs="Calibri"/>
          <w:bCs/>
          <w:sz w:val="20"/>
          <w:szCs w:val="20"/>
          <w:lang w:val="en-GB"/>
        </w:rPr>
        <w:footnoteReference w:id="49"/>
      </w:r>
      <w:r w:rsidRPr="00223CBF">
        <w:rPr>
          <w:rFonts w:ascii="Cambria" w:hAnsi="Cambria" w:cs="Calibri"/>
          <w:bCs/>
          <w:sz w:val="20"/>
          <w:szCs w:val="20"/>
          <w:lang w:val="en-GB"/>
        </w:rPr>
        <w:t>, NPC and RTIC.</w:t>
      </w:r>
      <w:r w:rsidRPr="00223CBF">
        <w:rPr>
          <w:rStyle w:val="FootnoteReference"/>
          <w:rFonts w:ascii="Cambria" w:hAnsi="Cambria" w:cs="Calibri"/>
          <w:bCs/>
          <w:sz w:val="20"/>
          <w:szCs w:val="20"/>
          <w:lang w:val="en-GB"/>
        </w:rPr>
        <w:footnoteReference w:id="50"/>
      </w:r>
      <w:r w:rsidRPr="00223CBF">
        <w:rPr>
          <w:rFonts w:ascii="Cambria" w:hAnsi="Cambria" w:cs="Calibri"/>
          <w:bCs/>
          <w:sz w:val="20"/>
          <w:szCs w:val="20"/>
          <w:lang w:val="en-GB"/>
        </w:rPr>
        <w:t xml:space="preserve"> NPC was identified as a new IP, owing to its investigative and monitoring role over the police department</w:t>
      </w:r>
      <w:r w:rsidR="00E45488">
        <w:rPr>
          <w:rFonts w:ascii="Cambria" w:hAnsi="Cambria" w:cs="Calibri"/>
          <w:bCs/>
          <w:sz w:val="20"/>
          <w:szCs w:val="20"/>
          <w:lang w:val="en-GB"/>
        </w:rPr>
        <w:t xml:space="preserve"> and its role in </w:t>
      </w:r>
      <w:r w:rsidRPr="00223CBF">
        <w:rPr>
          <w:rFonts w:ascii="Cambria" w:hAnsi="Cambria" w:cs="Calibri"/>
          <w:bCs/>
          <w:sz w:val="20"/>
          <w:szCs w:val="20"/>
          <w:lang w:val="en-GB"/>
        </w:rPr>
        <w:t xml:space="preserve">the </w:t>
      </w:r>
      <w:r w:rsidR="005C7DD8">
        <w:rPr>
          <w:rFonts w:ascii="Cambria" w:hAnsi="Cambria" w:cs="Calibri"/>
          <w:bCs/>
          <w:sz w:val="20"/>
          <w:szCs w:val="20"/>
          <w:lang w:val="en-GB"/>
        </w:rPr>
        <w:t>VWP</w:t>
      </w:r>
      <w:r w:rsidRPr="00223CBF">
        <w:rPr>
          <w:rFonts w:ascii="Cambria" w:hAnsi="Cambria" w:cs="Calibri"/>
          <w:bCs/>
          <w:sz w:val="20"/>
          <w:szCs w:val="20"/>
          <w:lang w:val="en-GB"/>
        </w:rPr>
        <w:t xml:space="preserve"> Division</w:t>
      </w:r>
      <w:r w:rsidR="00E45488">
        <w:rPr>
          <w:rFonts w:ascii="Cambria" w:hAnsi="Cambria" w:cs="Calibri"/>
          <w:bCs/>
          <w:sz w:val="20"/>
          <w:szCs w:val="20"/>
          <w:lang w:val="en-GB"/>
        </w:rPr>
        <w:t>. A</w:t>
      </w:r>
      <w:r w:rsidRPr="00223CBF">
        <w:rPr>
          <w:rFonts w:ascii="Cambria" w:hAnsi="Cambria" w:cs="Calibri"/>
          <w:bCs/>
          <w:sz w:val="20"/>
          <w:szCs w:val="20"/>
          <w:lang w:val="en-GB"/>
        </w:rPr>
        <w:t xml:space="preserve"> needs assessment was conducted to identify</w:t>
      </w:r>
      <w:r w:rsidR="00DD0A48" w:rsidRPr="00223CBF">
        <w:rPr>
          <w:rFonts w:ascii="Cambria" w:hAnsi="Cambria" w:cs="Calibri"/>
          <w:bCs/>
          <w:sz w:val="20"/>
          <w:szCs w:val="20"/>
          <w:lang w:val="en-GB"/>
        </w:rPr>
        <w:t xml:space="preserve"> priorities o</w:t>
      </w:r>
      <w:r w:rsidRPr="00223CBF">
        <w:rPr>
          <w:rFonts w:ascii="Cambria" w:hAnsi="Cambria" w:cs="Calibri"/>
          <w:bCs/>
          <w:sz w:val="20"/>
          <w:szCs w:val="20"/>
          <w:lang w:val="en-GB"/>
        </w:rPr>
        <w:t>f the NPC, which not only was relevant</w:t>
      </w:r>
      <w:r w:rsidR="004E6716">
        <w:rPr>
          <w:rFonts w:ascii="Cambria" w:hAnsi="Cambria" w:cs="Calibri"/>
          <w:bCs/>
          <w:sz w:val="20"/>
          <w:szCs w:val="20"/>
          <w:lang w:val="en-GB"/>
        </w:rPr>
        <w:t>,</w:t>
      </w:r>
      <w:r w:rsidRPr="00223CBF">
        <w:rPr>
          <w:rFonts w:ascii="Cambria" w:hAnsi="Cambria" w:cs="Calibri"/>
          <w:bCs/>
          <w:sz w:val="20"/>
          <w:szCs w:val="20"/>
          <w:lang w:val="en-GB"/>
        </w:rPr>
        <w:t xml:space="preserve"> but also contributed to its effectiveness.</w:t>
      </w:r>
    </w:p>
    <w:p w14:paraId="4D9FF100" w14:textId="36160DDC" w:rsidR="00331FB6" w:rsidRPr="00223CBF" w:rsidRDefault="00331FB6" w:rsidP="0069189B">
      <w:pPr>
        <w:shd w:val="clear" w:color="auto" w:fill="FFC000"/>
        <w:spacing w:after="200" w:line="360" w:lineRule="auto"/>
        <w:jc w:val="both"/>
        <w:rPr>
          <w:rFonts w:ascii="Cambria" w:hAnsi="Cambria" w:cs="Calibri"/>
          <w:sz w:val="20"/>
          <w:szCs w:val="20"/>
        </w:rPr>
      </w:pPr>
      <w:r w:rsidRPr="00223CBF">
        <w:rPr>
          <w:rFonts w:ascii="Cambria" w:hAnsi="Cambria" w:cs="Calibri"/>
          <w:sz w:val="20"/>
          <w:szCs w:val="20"/>
        </w:rPr>
        <w:lastRenderedPageBreak/>
        <w:t>Perusal of annual and quarterly reports and work plans indicated a strong understanding of ground realities, institutional and system gaps, weak competenc</w:t>
      </w:r>
      <w:r w:rsidR="00DD0A48" w:rsidRPr="00223CBF">
        <w:rPr>
          <w:rFonts w:ascii="Cambria" w:hAnsi="Cambria" w:cs="Calibri"/>
          <w:sz w:val="20"/>
          <w:szCs w:val="20"/>
        </w:rPr>
        <w:t>ies</w:t>
      </w:r>
      <w:r w:rsidRPr="00223CBF">
        <w:rPr>
          <w:rFonts w:ascii="Cambria" w:hAnsi="Cambria" w:cs="Calibri"/>
          <w:sz w:val="20"/>
          <w:szCs w:val="20"/>
        </w:rPr>
        <w:t xml:space="preserve"> and </w:t>
      </w:r>
      <w:r w:rsidR="004E6716">
        <w:rPr>
          <w:rFonts w:ascii="Cambria" w:hAnsi="Cambria" w:cs="Calibri"/>
          <w:sz w:val="20"/>
          <w:szCs w:val="20"/>
        </w:rPr>
        <w:t xml:space="preserve">low </w:t>
      </w:r>
      <w:r w:rsidRPr="00223CBF">
        <w:rPr>
          <w:rFonts w:ascii="Cambria" w:hAnsi="Cambria" w:cs="Calibri"/>
          <w:sz w:val="20"/>
          <w:szCs w:val="20"/>
        </w:rPr>
        <w:t xml:space="preserve">skill levels and general distrust of commissions at the </w:t>
      </w:r>
      <w:r w:rsidR="00DD0A48" w:rsidRPr="00223CBF">
        <w:rPr>
          <w:rFonts w:ascii="Cambria" w:hAnsi="Cambria" w:cs="Calibri"/>
          <w:sz w:val="20"/>
          <w:szCs w:val="20"/>
        </w:rPr>
        <w:t>inception,</w:t>
      </w:r>
      <w:r w:rsidRPr="00223CBF">
        <w:rPr>
          <w:rFonts w:ascii="Cambria" w:hAnsi="Cambria" w:cs="Calibri"/>
          <w:sz w:val="20"/>
          <w:szCs w:val="20"/>
        </w:rPr>
        <w:t xml:space="preserve"> ground</w:t>
      </w:r>
      <w:r w:rsidR="00DD0A48" w:rsidRPr="00223CBF">
        <w:rPr>
          <w:rFonts w:ascii="Cambria" w:hAnsi="Cambria" w:cs="Calibri"/>
          <w:sz w:val="20"/>
          <w:szCs w:val="20"/>
        </w:rPr>
        <w:t xml:space="preserve">ing activities </w:t>
      </w:r>
      <w:r w:rsidRPr="00223CBF">
        <w:rPr>
          <w:rFonts w:ascii="Cambria" w:hAnsi="Cambria" w:cs="Calibri"/>
          <w:sz w:val="20"/>
          <w:szCs w:val="20"/>
        </w:rPr>
        <w:t xml:space="preserve">to specifically address those challenges and </w:t>
      </w:r>
      <w:r w:rsidR="00DD0A48" w:rsidRPr="00223CBF">
        <w:rPr>
          <w:rFonts w:ascii="Cambria" w:hAnsi="Cambria" w:cs="Calibri"/>
          <w:sz w:val="20"/>
          <w:szCs w:val="20"/>
        </w:rPr>
        <w:t xml:space="preserve">to </w:t>
      </w:r>
      <w:r w:rsidRPr="00223CBF">
        <w:rPr>
          <w:rFonts w:ascii="Cambria" w:hAnsi="Cambria" w:cs="Calibri"/>
          <w:sz w:val="20"/>
          <w:szCs w:val="20"/>
        </w:rPr>
        <w:t>respond to beneficiaries. For example, investment in strategic planning and policy interventions, communication strategies and skills development</w:t>
      </w:r>
      <w:r w:rsidR="004E6716">
        <w:rPr>
          <w:rFonts w:ascii="Cambria" w:hAnsi="Cambria" w:cs="Calibri"/>
          <w:sz w:val="20"/>
          <w:szCs w:val="20"/>
        </w:rPr>
        <w:t>,</w:t>
      </w:r>
      <w:r w:rsidRPr="00223CBF">
        <w:rPr>
          <w:rFonts w:ascii="Cambria" w:hAnsi="Cambria" w:cs="Calibri"/>
          <w:sz w:val="20"/>
          <w:szCs w:val="20"/>
        </w:rPr>
        <w:t xml:space="preserve"> were identified as key initiatives</w:t>
      </w:r>
      <w:r w:rsidR="004E6716">
        <w:rPr>
          <w:rFonts w:ascii="Cambria" w:hAnsi="Cambria" w:cs="Calibri"/>
          <w:sz w:val="20"/>
          <w:szCs w:val="20"/>
        </w:rPr>
        <w:t>,</w:t>
      </w:r>
      <w:r w:rsidRPr="00223CBF">
        <w:rPr>
          <w:rFonts w:ascii="Cambria" w:hAnsi="Cambria" w:cs="Calibri"/>
          <w:sz w:val="20"/>
          <w:szCs w:val="20"/>
        </w:rPr>
        <w:t xml:space="preserve"> to building the profile of the commissions. </w:t>
      </w:r>
    </w:p>
    <w:p w14:paraId="2D1C33F4" w14:textId="2E008AF2" w:rsidR="00331FB6" w:rsidRPr="00223CBF" w:rsidRDefault="00331FB6" w:rsidP="000507CA">
      <w:pPr>
        <w:spacing w:after="200" w:line="360" w:lineRule="auto"/>
        <w:jc w:val="both"/>
        <w:rPr>
          <w:rFonts w:ascii="Cambria" w:hAnsi="Cambria" w:cstheme="minorHAnsi"/>
          <w:sz w:val="20"/>
          <w:szCs w:val="20"/>
        </w:rPr>
      </w:pPr>
      <w:r w:rsidRPr="00223CBF">
        <w:rPr>
          <w:rFonts w:ascii="Cambria" w:hAnsi="Cambria" w:cs="Calibri"/>
          <w:sz w:val="20"/>
          <w:szCs w:val="20"/>
        </w:rPr>
        <w:t>Discussions with KPIs reveal</w:t>
      </w:r>
      <w:r w:rsidR="00DD0A48" w:rsidRPr="00223CBF">
        <w:rPr>
          <w:rFonts w:ascii="Cambria" w:hAnsi="Cambria" w:cs="Calibri"/>
          <w:sz w:val="20"/>
          <w:szCs w:val="20"/>
        </w:rPr>
        <w:t>ed</w:t>
      </w:r>
      <w:r w:rsidRPr="00223CBF">
        <w:rPr>
          <w:rFonts w:ascii="Cambria" w:hAnsi="Cambria" w:cs="Calibri"/>
          <w:sz w:val="20"/>
          <w:szCs w:val="20"/>
        </w:rPr>
        <w:t xml:space="preserve"> that, although the HRC was established in 1997</w:t>
      </w:r>
      <w:r w:rsidR="00F25E80">
        <w:rPr>
          <w:rStyle w:val="FootnoteReference"/>
          <w:rFonts w:ascii="Cambria" w:hAnsi="Cambria" w:cs="Calibri"/>
          <w:sz w:val="20"/>
          <w:szCs w:val="20"/>
        </w:rPr>
        <w:footnoteReference w:id="51"/>
      </w:r>
      <w:r w:rsidR="004E6716">
        <w:rPr>
          <w:rFonts w:ascii="Cambria" w:hAnsi="Cambria" w:cs="Calibri"/>
          <w:sz w:val="20"/>
          <w:szCs w:val="20"/>
        </w:rPr>
        <w:t xml:space="preserve"> </w:t>
      </w:r>
      <w:r w:rsidRPr="00223CBF">
        <w:rPr>
          <w:rFonts w:ascii="Cambria" w:hAnsi="Cambria" w:cs="Calibri"/>
          <w:sz w:val="20"/>
          <w:szCs w:val="20"/>
        </w:rPr>
        <w:t xml:space="preserve">there was </w:t>
      </w:r>
      <w:r w:rsidR="00DD0A48" w:rsidRPr="00223CBF">
        <w:rPr>
          <w:rFonts w:ascii="Cambria" w:hAnsi="Cambria" w:cs="Calibri"/>
          <w:sz w:val="20"/>
          <w:szCs w:val="20"/>
        </w:rPr>
        <w:t xml:space="preserve">a </w:t>
      </w:r>
      <w:r w:rsidRPr="00223CBF">
        <w:rPr>
          <w:rFonts w:ascii="Cambria" w:hAnsi="Cambria" w:cs="Calibri"/>
          <w:sz w:val="20"/>
          <w:szCs w:val="20"/>
        </w:rPr>
        <w:t>lack of awareness of commission</w:t>
      </w:r>
      <w:r w:rsidR="00DD0A48" w:rsidRPr="00223CBF">
        <w:rPr>
          <w:rFonts w:ascii="Cambria" w:hAnsi="Cambria" w:cs="Calibri"/>
          <w:sz w:val="20"/>
          <w:szCs w:val="20"/>
        </w:rPr>
        <w:t>’</w:t>
      </w:r>
      <w:r w:rsidRPr="00223CBF">
        <w:rPr>
          <w:rFonts w:ascii="Cambria" w:hAnsi="Cambria" w:cs="Calibri"/>
          <w:sz w:val="20"/>
          <w:szCs w:val="20"/>
        </w:rPr>
        <w:t>s core functions amongst the general public and poor reach of vulnerable groups that were most affected by human rights violations by state institutions. They also agree</w:t>
      </w:r>
      <w:r w:rsidR="00DD0A48" w:rsidRPr="00223CBF">
        <w:rPr>
          <w:rFonts w:ascii="Cambria" w:hAnsi="Cambria" w:cs="Calibri"/>
          <w:sz w:val="20"/>
          <w:szCs w:val="20"/>
        </w:rPr>
        <w:t>d</w:t>
      </w:r>
      <w:r w:rsidR="0036418D" w:rsidRPr="00223CBF">
        <w:rPr>
          <w:rFonts w:ascii="Cambria" w:hAnsi="Cambria" w:cs="Calibri"/>
          <w:sz w:val="20"/>
          <w:szCs w:val="20"/>
        </w:rPr>
        <w:t xml:space="preserve"> that</w:t>
      </w:r>
      <w:r w:rsidR="004E6716">
        <w:rPr>
          <w:rFonts w:ascii="Cambria" w:hAnsi="Cambria" w:cs="Calibri"/>
          <w:sz w:val="20"/>
          <w:szCs w:val="20"/>
        </w:rPr>
        <w:t>,</w:t>
      </w:r>
      <w:r w:rsidRPr="00223CBF">
        <w:rPr>
          <w:rFonts w:ascii="Cambria" w:hAnsi="Cambria" w:cs="Calibri"/>
          <w:sz w:val="20"/>
          <w:szCs w:val="20"/>
        </w:rPr>
        <w:t xml:space="preserve"> support to RTIC was judicious</w:t>
      </w:r>
      <w:r w:rsidR="004E6716">
        <w:rPr>
          <w:rFonts w:ascii="Cambria" w:hAnsi="Cambria" w:cs="Calibri"/>
          <w:sz w:val="20"/>
          <w:szCs w:val="20"/>
        </w:rPr>
        <w:t>,</w:t>
      </w:r>
      <w:r w:rsidRPr="00223CBF">
        <w:rPr>
          <w:rFonts w:ascii="Cambria" w:hAnsi="Cambria" w:cs="Calibri"/>
          <w:sz w:val="20"/>
          <w:szCs w:val="20"/>
        </w:rPr>
        <w:t xml:space="preserve"> given that it provided UNDP an opportunity to further its</w:t>
      </w:r>
      <w:r w:rsidR="006E0DE6" w:rsidRPr="00223CBF">
        <w:rPr>
          <w:rFonts w:ascii="Cambria" w:hAnsi="Cambria" w:cs="Calibri"/>
          <w:sz w:val="20"/>
          <w:szCs w:val="20"/>
        </w:rPr>
        <w:t xml:space="preserve"> </w:t>
      </w:r>
      <w:r w:rsidRPr="00223CBF">
        <w:rPr>
          <w:rFonts w:ascii="Cambria" w:hAnsi="Cambria" w:cs="Calibri"/>
          <w:sz w:val="20"/>
          <w:szCs w:val="20"/>
        </w:rPr>
        <w:t>work</w:t>
      </w:r>
      <w:r w:rsidRPr="00223CBF">
        <w:rPr>
          <w:rStyle w:val="FootnoteReference"/>
          <w:rFonts w:ascii="Cambria" w:hAnsi="Cambria" w:cs="Calibri"/>
          <w:sz w:val="20"/>
          <w:szCs w:val="20"/>
        </w:rPr>
        <w:footnoteReference w:id="52"/>
      </w:r>
      <w:r w:rsidRPr="00223CBF">
        <w:rPr>
          <w:rFonts w:ascii="Cambria" w:hAnsi="Cambria" w:cs="Calibri"/>
          <w:sz w:val="20"/>
          <w:szCs w:val="20"/>
        </w:rPr>
        <w:t xml:space="preserve"> and systematically cement the outcome of the work championed by CSO campaigning.</w:t>
      </w:r>
      <w:r w:rsidR="00C45939">
        <w:rPr>
          <w:rStyle w:val="FootnoteReference"/>
          <w:rFonts w:ascii="Cambria" w:hAnsi="Cambria" w:cs="Calibri"/>
          <w:sz w:val="20"/>
          <w:szCs w:val="20"/>
        </w:rPr>
        <w:footnoteReference w:id="53"/>
      </w:r>
      <w:r w:rsidRPr="00223CBF">
        <w:rPr>
          <w:rFonts w:ascii="Cambria" w:hAnsi="Cambria" w:cs="Calibri"/>
          <w:sz w:val="20"/>
          <w:szCs w:val="20"/>
        </w:rPr>
        <w:t xml:space="preserve"> </w:t>
      </w:r>
    </w:p>
    <w:p w14:paraId="2E01F35B" w14:textId="415E381F" w:rsidR="00331FB6" w:rsidRPr="00223CBF" w:rsidRDefault="00331FB6" w:rsidP="000507CA">
      <w:pPr>
        <w:spacing w:after="200" w:line="360" w:lineRule="auto"/>
        <w:jc w:val="both"/>
        <w:rPr>
          <w:rFonts w:ascii="Cambria" w:hAnsi="Cambria" w:cs="Calibri"/>
          <w:bCs/>
          <w:sz w:val="20"/>
          <w:szCs w:val="20"/>
          <w:lang w:val="en-GB"/>
        </w:rPr>
      </w:pPr>
      <w:r w:rsidRPr="00223CBF">
        <w:rPr>
          <w:rFonts w:ascii="Cambria" w:hAnsi="Cambria" w:cs="Calibri"/>
          <w:bCs/>
          <w:sz w:val="20"/>
          <w:szCs w:val="20"/>
          <w:lang w:val="en-GB"/>
        </w:rPr>
        <w:t>It was generally accepted that</w:t>
      </w:r>
      <w:r w:rsidR="004E6716">
        <w:rPr>
          <w:rFonts w:ascii="Cambria" w:hAnsi="Cambria" w:cs="Calibri"/>
          <w:bCs/>
          <w:sz w:val="20"/>
          <w:szCs w:val="20"/>
          <w:lang w:val="en-GB"/>
        </w:rPr>
        <w:t>,</w:t>
      </w:r>
      <w:r w:rsidRPr="00223CBF">
        <w:rPr>
          <w:rFonts w:ascii="Cambria" w:hAnsi="Cambria" w:cs="Calibri"/>
          <w:bCs/>
          <w:sz w:val="20"/>
          <w:szCs w:val="20"/>
          <w:lang w:val="en-GB"/>
        </w:rPr>
        <w:t xml:space="preserve"> the importance of building the capacity of the Commissions to contribute to critical human rights concerns in general and in particular in the aftermath of the war</w:t>
      </w:r>
      <w:r w:rsidR="004E6716">
        <w:rPr>
          <w:rFonts w:ascii="Cambria" w:hAnsi="Cambria" w:cs="Calibri"/>
          <w:bCs/>
          <w:sz w:val="20"/>
          <w:szCs w:val="20"/>
          <w:lang w:val="en-GB"/>
        </w:rPr>
        <w:t>,</w:t>
      </w:r>
      <w:r w:rsidRPr="00223CBF">
        <w:rPr>
          <w:rFonts w:ascii="Cambria" w:hAnsi="Cambria" w:cs="Calibri"/>
          <w:bCs/>
          <w:sz w:val="20"/>
          <w:szCs w:val="20"/>
          <w:lang w:val="en-GB"/>
        </w:rPr>
        <w:t xml:space="preserve"> was relevant and timely. </w:t>
      </w:r>
    </w:p>
    <w:p w14:paraId="0F1DD0B3" w14:textId="5C5FFDE7" w:rsidR="007805DE" w:rsidRPr="007805DE" w:rsidRDefault="007805DE" w:rsidP="007C766E">
      <w:pPr>
        <w:pStyle w:val="ListParagraph"/>
        <w:numPr>
          <w:ilvl w:val="0"/>
          <w:numId w:val="21"/>
        </w:numPr>
        <w:spacing w:line="360" w:lineRule="auto"/>
        <w:jc w:val="both"/>
        <w:rPr>
          <w:rFonts w:ascii="Cambria" w:hAnsi="Cambria" w:cstheme="minorHAnsi"/>
          <w:color w:val="297FD5" w:themeColor="accent3"/>
          <w:sz w:val="20"/>
          <w:szCs w:val="20"/>
        </w:rPr>
      </w:pPr>
      <w:r w:rsidRPr="007805DE">
        <w:rPr>
          <w:rFonts w:ascii="Cambria" w:hAnsi="Cambria" w:cstheme="minorHAnsi"/>
          <w:b/>
          <w:bCs/>
          <w:color w:val="297FD5" w:themeColor="accent3"/>
          <w:sz w:val="20"/>
          <w:szCs w:val="20"/>
        </w:rPr>
        <w:t xml:space="preserve">The extent to which cross cutting themes informed strategies </w:t>
      </w:r>
    </w:p>
    <w:p w14:paraId="1610E903" w14:textId="3AB5FED8" w:rsidR="007805DE" w:rsidRPr="005B3C3A" w:rsidRDefault="007805DE" w:rsidP="007805DE">
      <w:pPr>
        <w:spacing w:after="200" w:line="360" w:lineRule="auto"/>
        <w:jc w:val="both"/>
        <w:rPr>
          <w:rFonts w:ascii="Cambria" w:hAnsi="Cambria" w:cs="Calibri"/>
          <w:b/>
          <w:sz w:val="20"/>
          <w:szCs w:val="20"/>
          <w:lang w:val="en-GB"/>
        </w:rPr>
      </w:pPr>
      <w:r w:rsidRPr="00223CBF">
        <w:rPr>
          <w:rFonts w:ascii="Cambria" w:hAnsi="Cambria" w:cs="Calibri"/>
          <w:b/>
          <w:sz w:val="20"/>
          <w:szCs w:val="20"/>
          <w:lang w:val="en-GB"/>
        </w:rPr>
        <w:t xml:space="preserve">Innovation: </w:t>
      </w:r>
      <w:r w:rsidRPr="00223CBF">
        <w:rPr>
          <w:rFonts w:ascii="Cambria" w:hAnsi="Cambria" w:cs="Calibri"/>
          <w:bCs/>
          <w:sz w:val="20"/>
          <w:szCs w:val="20"/>
          <w:lang w:val="en-GB"/>
        </w:rPr>
        <w:t xml:space="preserve">Strengthening </w:t>
      </w:r>
      <w:r w:rsidR="00F25E80">
        <w:rPr>
          <w:rFonts w:ascii="Cambria" w:hAnsi="Cambria" w:cs="Calibri"/>
          <w:bCs/>
          <w:sz w:val="20"/>
          <w:szCs w:val="20"/>
          <w:lang w:val="en-GB"/>
        </w:rPr>
        <w:t>i</w:t>
      </w:r>
      <w:r w:rsidRPr="00223CBF">
        <w:rPr>
          <w:rFonts w:ascii="Cambria" w:hAnsi="Cambria" w:cs="Calibri"/>
          <w:bCs/>
          <w:sz w:val="20"/>
          <w:szCs w:val="20"/>
          <w:lang w:val="en-GB"/>
        </w:rPr>
        <w:t xml:space="preserve">nvestigation and </w:t>
      </w:r>
      <w:r w:rsidR="00F25E80">
        <w:rPr>
          <w:rFonts w:ascii="Cambria" w:hAnsi="Cambria" w:cs="Calibri"/>
          <w:bCs/>
          <w:sz w:val="20"/>
          <w:szCs w:val="20"/>
          <w:lang w:val="en-GB"/>
        </w:rPr>
        <w:t>i</w:t>
      </w:r>
      <w:r w:rsidRPr="00223CBF">
        <w:rPr>
          <w:rFonts w:ascii="Cambria" w:hAnsi="Cambria" w:cs="Calibri"/>
          <w:bCs/>
          <w:sz w:val="20"/>
          <w:szCs w:val="20"/>
          <w:lang w:val="en-GB"/>
        </w:rPr>
        <w:t>nquiry procedures to expedite individual petitions</w:t>
      </w:r>
      <w:r w:rsidR="004E6716">
        <w:rPr>
          <w:rFonts w:ascii="Cambria" w:hAnsi="Cambria" w:cs="Calibri"/>
          <w:bCs/>
          <w:sz w:val="20"/>
          <w:szCs w:val="20"/>
          <w:lang w:val="en-GB"/>
        </w:rPr>
        <w:t>,</w:t>
      </w:r>
      <w:r w:rsidRPr="00223CBF">
        <w:rPr>
          <w:rFonts w:ascii="Cambria" w:hAnsi="Cambria" w:cs="Calibri"/>
          <w:bCs/>
          <w:sz w:val="20"/>
          <w:szCs w:val="20"/>
          <w:lang w:val="en-GB"/>
        </w:rPr>
        <w:t xml:space="preserve"> through digitisation of the Commissions</w:t>
      </w:r>
      <w:r w:rsidR="004E6716">
        <w:rPr>
          <w:rFonts w:ascii="Cambria" w:hAnsi="Cambria" w:cs="Calibri"/>
          <w:bCs/>
          <w:sz w:val="20"/>
          <w:szCs w:val="20"/>
          <w:lang w:val="en-GB"/>
        </w:rPr>
        <w:t>,</w:t>
      </w:r>
      <w:r w:rsidRPr="00223CBF">
        <w:rPr>
          <w:rFonts w:ascii="Cambria" w:hAnsi="Cambria" w:cs="Calibri"/>
          <w:bCs/>
          <w:sz w:val="20"/>
          <w:szCs w:val="20"/>
          <w:lang w:val="en-GB"/>
        </w:rPr>
        <w:t xml:space="preserve"> was relevant and timely. Introducing </w:t>
      </w:r>
      <w:r w:rsidR="004E6716">
        <w:rPr>
          <w:rFonts w:ascii="Cambria" w:hAnsi="Cambria" w:cs="Calibri"/>
          <w:bCs/>
          <w:sz w:val="20"/>
          <w:szCs w:val="20"/>
          <w:lang w:val="en-GB"/>
        </w:rPr>
        <w:t xml:space="preserve">a </w:t>
      </w:r>
      <w:r w:rsidRPr="00223CBF">
        <w:rPr>
          <w:rFonts w:ascii="Cambria" w:hAnsi="Cambria" w:cs="Calibri"/>
          <w:bCs/>
          <w:sz w:val="20"/>
          <w:szCs w:val="20"/>
          <w:lang w:val="en-GB"/>
        </w:rPr>
        <w:t>digital case management system for HRC</w:t>
      </w:r>
      <w:r w:rsidR="004E6716">
        <w:rPr>
          <w:rFonts w:ascii="Cambria" w:hAnsi="Cambria" w:cs="Calibri"/>
          <w:bCs/>
          <w:sz w:val="20"/>
          <w:szCs w:val="20"/>
          <w:lang w:val="en-GB"/>
        </w:rPr>
        <w:t>,</w:t>
      </w:r>
      <w:r w:rsidRPr="00223CBF">
        <w:rPr>
          <w:rFonts w:ascii="Cambria" w:hAnsi="Cambria" w:cs="Calibri"/>
          <w:bCs/>
          <w:sz w:val="20"/>
          <w:szCs w:val="20"/>
          <w:lang w:val="en-GB"/>
        </w:rPr>
        <w:t xml:space="preserve"> to be customi</w:t>
      </w:r>
      <w:r w:rsidR="006439AD">
        <w:rPr>
          <w:rFonts w:ascii="Cambria" w:hAnsi="Cambria" w:cs="Calibri"/>
          <w:bCs/>
          <w:sz w:val="20"/>
          <w:szCs w:val="20"/>
          <w:lang w:val="en-GB"/>
        </w:rPr>
        <w:t>s</w:t>
      </w:r>
      <w:r w:rsidRPr="00223CBF">
        <w:rPr>
          <w:rFonts w:ascii="Cambria" w:hAnsi="Cambria" w:cs="Calibri"/>
          <w:bCs/>
          <w:sz w:val="20"/>
          <w:szCs w:val="20"/>
          <w:lang w:val="en-GB"/>
        </w:rPr>
        <w:t>ed and interlinked to regional offices island wide</w:t>
      </w:r>
      <w:r w:rsidR="004E6716">
        <w:rPr>
          <w:rFonts w:ascii="Cambria" w:hAnsi="Cambria" w:cs="Calibri"/>
          <w:bCs/>
          <w:sz w:val="20"/>
          <w:szCs w:val="20"/>
          <w:lang w:val="en-GB"/>
        </w:rPr>
        <w:t>,</w:t>
      </w:r>
      <w:r w:rsidRPr="00223CBF">
        <w:rPr>
          <w:rFonts w:ascii="Cambria" w:hAnsi="Cambria" w:cs="Calibri"/>
          <w:bCs/>
          <w:sz w:val="20"/>
          <w:szCs w:val="20"/>
          <w:lang w:val="en-GB"/>
        </w:rPr>
        <w:t xml:space="preserve"> and the establishment of the </w:t>
      </w:r>
      <w:r w:rsidRPr="00223CBF">
        <w:rPr>
          <w:rFonts w:ascii="Cambria" w:hAnsi="Cambria" w:cs="Calibri"/>
          <w:bCs/>
          <w:sz w:val="20"/>
          <w:szCs w:val="20"/>
        </w:rPr>
        <w:t>Smart Commission Meeting System (SCMS) for NPC</w:t>
      </w:r>
      <w:r w:rsidR="004E6716">
        <w:rPr>
          <w:rFonts w:ascii="Cambria" w:hAnsi="Cambria" w:cs="Calibri"/>
          <w:bCs/>
          <w:sz w:val="20"/>
          <w:szCs w:val="20"/>
        </w:rPr>
        <w:t>,</w:t>
      </w:r>
      <w:r w:rsidRPr="00223CBF">
        <w:rPr>
          <w:rFonts w:ascii="Cambria" w:hAnsi="Cambria" w:cs="Calibri"/>
          <w:bCs/>
          <w:sz w:val="20"/>
          <w:szCs w:val="20"/>
        </w:rPr>
        <w:t xml:space="preserve"> was relevant. Parallel </w:t>
      </w:r>
      <w:r w:rsidRPr="00223CBF">
        <w:rPr>
          <w:rFonts w:ascii="Cambria" w:hAnsi="Cambria" w:cs="Calibri"/>
          <w:sz w:val="20"/>
          <w:szCs w:val="20"/>
        </w:rPr>
        <w:t>work on developing Standard Operating Procedures (SOPs)</w:t>
      </w:r>
      <w:r w:rsidR="004E6716">
        <w:rPr>
          <w:rFonts w:ascii="Cambria" w:hAnsi="Cambria" w:cs="Calibri"/>
          <w:sz w:val="20"/>
          <w:szCs w:val="20"/>
        </w:rPr>
        <w:t>,</w:t>
      </w:r>
      <w:r w:rsidRPr="00223CBF">
        <w:rPr>
          <w:rFonts w:ascii="Cambria" w:hAnsi="Cambria" w:cs="Calibri"/>
          <w:sz w:val="20"/>
          <w:szCs w:val="20"/>
        </w:rPr>
        <w:t xml:space="preserve"> to improve and streamline procedures for investigations and processing public complaints</w:t>
      </w:r>
      <w:r w:rsidR="004E6716">
        <w:rPr>
          <w:rFonts w:ascii="Cambria" w:hAnsi="Cambria" w:cs="Calibri"/>
          <w:sz w:val="20"/>
          <w:szCs w:val="20"/>
        </w:rPr>
        <w:t>,</w:t>
      </w:r>
      <w:r w:rsidRPr="00223CBF">
        <w:rPr>
          <w:rFonts w:ascii="Cambria" w:hAnsi="Cambria" w:cs="Calibri"/>
          <w:sz w:val="20"/>
          <w:szCs w:val="20"/>
        </w:rPr>
        <w:t xml:space="preserve"> to minimise delays</w:t>
      </w:r>
      <w:r w:rsidR="004E6716">
        <w:rPr>
          <w:rFonts w:ascii="Cambria" w:hAnsi="Cambria" w:cs="Calibri"/>
          <w:sz w:val="20"/>
          <w:szCs w:val="20"/>
        </w:rPr>
        <w:t>,</w:t>
      </w:r>
      <w:r w:rsidRPr="00223CBF">
        <w:rPr>
          <w:rFonts w:ascii="Cambria" w:hAnsi="Cambria" w:cs="Calibri"/>
          <w:sz w:val="20"/>
          <w:szCs w:val="20"/>
        </w:rPr>
        <w:t xml:space="preserve"> due to procedural and administrative barriers</w:t>
      </w:r>
      <w:r w:rsidR="006439AD">
        <w:rPr>
          <w:rFonts w:ascii="Cambria" w:hAnsi="Cambria" w:cs="Calibri"/>
          <w:sz w:val="20"/>
          <w:szCs w:val="20"/>
        </w:rPr>
        <w:t>,</w:t>
      </w:r>
      <w:r w:rsidRPr="00223CBF">
        <w:rPr>
          <w:rFonts w:ascii="Cambria" w:hAnsi="Cambria" w:cs="Calibri"/>
          <w:sz w:val="20"/>
          <w:szCs w:val="20"/>
        </w:rPr>
        <w:t xml:space="preserve"> and to expedite hearing and finali</w:t>
      </w:r>
      <w:r>
        <w:rPr>
          <w:rFonts w:ascii="Cambria" w:hAnsi="Cambria" w:cs="Calibri"/>
          <w:sz w:val="20"/>
          <w:szCs w:val="20"/>
        </w:rPr>
        <w:t>s</w:t>
      </w:r>
      <w:r w:rsidRPr="00223CBF">
        <w:rPr>
          <w:rFonts w:ascii="Cambria" w:hAnsi="Cambria" w:cs="Calibri"/>
          <w:sz w:val="20"/>
          <w:szCs w:val="20"/>
        </w:rPr>
        <w:t>ing petitions</w:t>
      </w:r>
      <w:r w:rsidR="004E6716">
        <w:rPr>
          <w:rFonts w:ascii="Cambria" w:hAnsi="Cambria" w:cs="Calibri"/>
          <w:sz w:val="20"/>
          <w:szCs w:val="20"/>
        </w:rPr>
        <w:t>,</w:t>
      </w:r>
      <w:r w:rsidRPr="00223CBF">
        <w:rPr>
          <w:rFonts w:ascii="Cambria" w:hAnsi="Cambria" w:cs="Calibri"/>
          <w:sz w:val="20"/>
          <w:szCs w:val="20"/>
        </w:rPr>
        <w:t xml:space="preserve"> was beneficial to increase access to justice and public confidence in the system.   </w:t>
      </w:r>
    </w:p>
    <w:p w14:paraId="21C7DD67" w14:textId="27C7B3CE" w:rsidR="007805DE" w:rsidRPr="00223CBF" w:rsidRDefault="007805DE" w:rsidP="007805DE">
      <w:pPr>
        <w:spacing w:after="200" w:line="360" w:lineRule="auto"/>
        <w:jc w:val="both"/>
        <w:rPr>
          <w:rFonts w:ascii="Cambria" w:hAnsi="Cambria" w:cs="Calibri"/>
          <w:b/>
          <w:sz w:val="20"/>
          <w:szCs w:val="20"/>
          <w:lang w:val="en-GB"/>
        </w:rPr>
      </w:pPr>
      <w:r w:rsidRPr="00223CBF">
        <w:rPr>
          <w:rFonts w:ascii="Cambria" w:hAnsi="Cambria" w:cs="Calibri"/>
          <w:bCs/>
          <w:sz w:val="20"/>
          <w:szCs w:val="20"/>
          <w:lang w:val="en-GB"/>
        </w:rPr>
        <w:t xml:space="preserve">As a necessary corollary to the above intervention, immediate and ad hoc support to the HRC to clear backlog of cases was extremely relevant, to ensure the smooth and effective functioning of the automated case </w:t>
      </w:r>
      <w:r w:rsidRPr="00223CBF">
        <w:rPr>
          <w:rFonts w:ascii="Cambria" w:hAnsi="Cambria" w:cs="Calibri"/>
          <w:bCs/>
          <w:sz w:val="20"/>
          <w:szCs w:val="20"/>
          <w:lang w:val="en-GB"/>
        </w:rPr>
        <w:lastRenderedPageBreak/>
        <w:t>management system</w:t>
      </w:r>
      <w:r w:rsidR="004E6716">
        <w:rPr>
          <w:rFonts w:ascii="Cambria" w:hAnsi="Cambria" w:cs="Calibri"/>
          <w:bCs/>
          <w:sz w:val="20"/>
          <w:szCs w:val="20"/>
          <w:lang w:val="en-GB"/>
        </w:rPr>
        <w:t>,</w:t>
      </w:r>
      <w:r w:rsidRPr="00223CBF">
        <w:rPr>
          <w:rFonts w:ascii="Cambria" w:hAnsi="Cambria" w:cs="Calibri"/>
          <w:bCs/>
          <w:sz w:val="20"/>
          <w:szCs w:val="20"/>
          <w:lang w:val="en-GB"/>
        </w:rPr>
        <w:t xml:space="preserve"> once installed. Clearing of backlog of HRC is also relevant</w:t>
      </w:r>
      <w:r w:rsidR="004E6716">
        <w:rPr>
          <w:rFonts w:ascii="Cambria" w:hAnsi="Cambria" w:cs="Calibri"/>
          <w:bCs/>
          <w:sz w:val="20"/>
          <w:szCs w:val="20"/>
          <w:lang w:val="en-GB"/>
        </w:rPr>
        <w:t>,</w:t>
      </w:r>
      <w:r w:rsidRPr="00223CBF">
        <w:rPr>
          <w:rFonts w:ascii="Cambria" w:hAnsi="Cambria" w:cs="Calibri"/>
          <w:bCs/>
          <w:sz w:val="20"/>
          <w:szCs w:val="20"/>
          <w:lang w:val="en-GB"/>
        </w:rPr>
        <w:t xml:space="preserve"> in order to allow HRC to focus primarily on serious fundamental rights abuses by state institutions. </w:t>
      </w:r>
    </w:p>
    <w:p w14:paraId="3BBF0E95" w14:textId="6EEAD17B" w:rsidR="007805DE" w:rsidRPr="004F5AE4" w:rsidRDefault="00F25DF1" w:rsidP="000507CA">
      <w:pPr>
        <w:spacing w:after="200" w:line="360" w:lineRule="auto"/>
        <w:jc w:val="both"/>
        <w:rPr>
          <w:rFonts w:ascii="Cambria" w:hAnsi="Cambria" w:cstheme="minorHAnsi"/>
          <w:sz w:val="20"/>
          <w:szCs w:val="20"/>
        </w:rPr>
      </w:pPr>
      <w:r>
        <w:rPr>
          <w:rFonts w:ascii="Cambria" w:hAnsi="Cambria" w:cs="Calibri"/>
          <w:b/>
          <w:sz w:val="20"/>
          <w:szCs w:val="20"/>
          <w:lang w:val="en-GB"/>
        </w:rPr>
        <w:t>GEWE</w:t>
      </w:r>
      <w:r w:rsidR="007805DE" w:rsidRPr="00223CBF">
        <w:rPr>
          <w:rFonts w:ascii="Cambria" w:hAnsi="Cambria" w:cs="Calibri"/>
          <w:b/>
          <w:sz w:val="20"/>
          <w:szCs w:val="20"/>
          <w:lang w:val="en-GB"/>
        </w:rPr>
        <w:t xml:space="preserve">: </w:t>
      </w:r>
      <w:r w:rsidR="007805DE" w:rsidRPr="00223CBF">
        <w:rPr>
          <w:rFonts w:ascii="Cambria" w:hAnsi="Cambria" w:cstheme="minorHAnsi"/>
          <w:sz w:val="20"/>
          <w:szCs w:val="20"/>
        </w:rPr>
        <w:t xml:space="preserve"> Several strategic entry points were used to incorporate gender sensitive norms and standards through integration of victim centred approaches to inquiry and investigation by ICs</w:t>
      </w:r>
      <w:r w:rsidR="00735D89">
        <w:rPr>
          <w:rFonts w:ascii="Cambria" w:hAnsi="Cambria" w:cstheme="minorHAnsi"/>
          <w:sz w:val="20"/>
          <w:szCs w:val="20"/>
        </w:rPr>
        <w:t>. This was</w:t>
      </w:r>
      <w:r w:rsidR="007805DE" w:rsidRPr="00223CBF">
        <w:rPr>
          <w:rFonts w:ascii="Cambria" w:hAnsi="Cambria" w:cstheme="minorHAnsi"/>
          <w:sz w:val="20"/>
          <w:szCs w:val="20"/>
        </w:rPr>
        <w:t xml:space="preserve"> accompanied by capacity building for Commission staff of NPC on developing gender standards</w:t>
      </w:r>
      <w:r w:rsidR="00735D89">
        <w:rPr>
          <w:rFonts w:ascii="Cambria" w:hAnsi="Cambria" w:cstheme="minorHAnsi"/>
          <w:sz w:val="20"/>
          <w:szCs w:val="20"/>
        </w:rPr>
        <w:t xml:space="preserve"> and by </w:t>
      </w:r>
      <w:r w:rsidR="007805DE" w:rsidRPr="00223CBF">
        <w:rPr>
          <w:rFonts w:ascii="Cambria" w:hAnsi="Cambria" w:cstheme="minorHAnsi"/>
          <w:sz w:val="20"/>
          <w:szCs w:val="20"/>
        </w:rPr>
        <w:t>support to research and policy</w:t>
      </w:r>
      <w:r w:rsidR="00735D89">
        <w:rPr>
          <w:rFonts w:ascii="Cambria" w:hAnsi="Cambria" w:cstheme="minorHAnsi"/>
          <w:sz w:val="20"/>
          <w:szCs w:val="20"/>
        </w:rPr>
        <w:t>,</w:t>
      </w:r>
      <w:r w:rsidR="007805DE" w:rsidRPr="00223CBF">
        <w:rPr>
          <w:rFonts w:ascii="Cambria" w:hAnsi="Cambria" w:cstheme="minorHAnsi"/>
          <w:sz w:val="20"/>
          <w:szCs w:val="20"/>
        </w:rPr>
        <w:t xml:space="preserve"> through the Gender Gap Analysis of the Police department</w:t>
      </w:r>
      <w:r w:rsidR="00735D89">
        <w:rPr>
          <w:rFonts w:ascii="Cambria" w:hAnsi="Cambria" w:cstheme="minorHAnsi"/>
          <w:sz w:val="20"/>
          <w:szCs w:val="20"/>
        </w:rPr>
        <w:t>,</w:t>
      </w:r>
      <w:r w:rsidR="007805DE" w:rsidRPr="00223CBF">
        <w:rPr>
          <w:rFonts w:ascii="Cambria" w:hAnsi="Cambria" w:cstheme="minorHAnsi"/>
          <w:sz w:val="20"/>
          <w:szCs w:val="20"/>
        </w:rPr>
        <w:t xml:space="preserve"> to identify barriers for policewomen and gender considerations under the Prison Study by the HRC.</w:t>
      </w:r>
    </w:p>
    <w:p w14:paraId="51156089" w14:textId="071C79B6" w:rsidR="00331FB6" w:rsidRPr="00223CBF" w:rsidRDefault="00331FB6" w:rsidP="000507CA">
      <w:pPr>
        <w:spacing w:line="360" w:lineRule="auto"/>
        <w:contextualSpacing/>
        <w:jc w:val="both"/>
        <w:rPr>
          <w:rFonts w:ascii="Cambria" w:hAnsi="Cambria" w:cstheme="minorHAnsi"/>
          <w:b/>
          <w:bCs/>
          <w:sz w:val="20"/>
          <w:szCs w:val="20"/>
        </w:rPr>
      </w:pPr>
      <w:r w:rsidRPr="00223CBF">
        <w:rPr>
          <w:rFonts w:ascii="Cambria" w:hAnsi="Cambria" w:cstheme="minorHAnsi"/>
          <w:b/>
          <w:bCs/>
          <w:sz w:val="20"/>
          <w:szCs w:val="20"/>
        </w:rPr>
        <w:t xml:space="preserve">EQ2. Effectiveness </w:t>
      </w:r>
    </w:p>
    <w:p w14:paraId="3C25511F" w14:textId="77777777" w:rsidR="00331FB6" w:rsidRPr="00223CBF" w:rsidRDefault="00331FB6" w:rsidP="000507CA">
      <w:pPr>
        <w:shd w:val="clear" w:color="auto" w:fill="92D050"/>
        <w:spacing w:line="360" w:lineRule="auto"/>
        <w:contextualSpacing/>
        <w:jc w:val="both"/>
        <w:rPr>
          <w:rFonts w:ascii="Cambria" w:hAnsi="Cambria" w:cstheme="minorHAnsi"/>
          <w:sz w:val="20"/>
          <w:szCs w:val="20"/>
        </w:rPr>
      </w:pPr>
    </w:p>
    <w:p w14:paraId="7EA5D492" w14:textId="0DD2D5C8" w:rsidR="00331FB6" w:rsidRPr="00223CBF" w:rsidRDefault="00331FB6" w:rsidP="000507CA">
      <w:pPr>
        <w:shd w:val="clear" w:color="auto" w:fill="92D050"/>
        <w:spacing w:line="360" w:lineRule="auto"/>
        <w:contextualSpacing/>
        <w:jc w:val="center"/>
        <w:rPr>
          <w:rFonts w:ascii="Cambria" w:hAnsi="Cambria" w:cstheme="minorHAnsi"/>
          <w:b/>
          <w:bCs/>
          <w:sz w:val="20"/>
          <w:szCs w:val="20"/>
        </w:rPr>
      </w:pPr>
      <w:r w:rsidRPr="00223CBF">
        <w:rPr>
          <w:rFonts w:ascii="Cambria" w:hAnsi="Cambria" w:cstheme="minorHAnsi"/>
          <w:sz w:val="20"/>
          <w:szCs w:val="20"/>
        </w:rPr>
        <w:t xml:space="preserve">Effectiveness refers to the </w:t>
      </w:r>
      <w:r w:rsidRPr="00223CBF">
        <w:rPr>
          <w:rFonts w:ascii="Cambria" w:hAnsi="Cambria" w:cstheme="minorHAnsi"/>
          <w:b/>
          <w:bCs/>
          <w:sz w:val="20"/>
          <w:szCs w:val="20"/>
        </w:rPr>
        <w:t>extent to which the strategic interventions have achieved its overall and specific objectives</w:t>
      </w:r>
      <w:r w:rsidRPr="00223CBF">
        <w:rPr>
          <w:rFonts w:ascii="Cambria" w:hAnsi="Cambria" w:cstheme="minorHAnsi"/>
          <w:sz w:val="20"/>
          <w:szCs w:val="20"/>
        </w:rPr>
        <w:t xml:space="preserve"> identified under the Outputs. It refers to the </w:t>
      </w:r>
      <w:r w:rsidRPr="00223CBF">
        <w:rPr>
          <w:rFonts w:ascii="Cambria" w:hAnsi="Cambria" w:cstheme="minorHAnsi"/>
          <w:b/>
          <w:bCs/>
          <w:sz w:val="20"/>
          <w:szCs w:val="20"/>
        </w:rPr>
        <w:t>contribution it has made to reach targeted beneficiaries</w:t>
      </w:r>
      <w:r w:rsidRPr="00223CBF">
        <w:rPr>
          <w:rFonts w:ascii="Cambria" w:hAnsi="Cambria" w:cstheme="minorHAnsi"/>
          <w:sz w:val="20"/>
          <w:szCs w:val="20"/>
        </w:rPr>
        <w:t xml:space="preserve"> including vulnerable communities and the </w:t>
      </w:r>
      <w:r w:rsidRPr="00223CBF">
        <w:rPr>
          <w:rFonts w:ascii="Cambria" w:hAnsi="Cambria" w:cstheme="minorHAnsi"/>
          <w:b/>
          <w:bCs/>
          <w:sz w:val="20"/>
          <w:szCs w:val="20"/>
        </w:rPr>
        <w:t>effectiveness of the partner selection process.</w:t>
      </w:r>
    </w:p>
    <w:p w14:paraId="287E0285" w14:textId="77777777" w:rsidR="00876EB2" w:rsidRPr="00223CBF" w:rsidRDefault="00876EB2" w:rsidP="000507CA">
      <w:pPr>
        <w:spacing w:line="360" w:lineRule="auto"/>
        <w:jc w:val="both"/>
        <w:rPr>
          <w:rFonts w:ascii="Cambria" w:hAnsi="Cambria" w:cstheme="minorHAnsi"/>
          <w:b/>
          <w:sz w:val="20"/>
          <w:szCs w:val="20"/>
          <w:u w:val="single"/>
          <w:lang w:val="en-GB"/>
        </w:rPr>
      </w:pPr>
    </w:p>
    <w:p w14:paraId="2C723D9F" w14:textId="77777777" w:rsidR="00331FB6" w:rsidRPr="00223CBF" w:rsidRDefault="00331FB6" w:rsidP="007C766E">
      <w:pPr>
        <w:pStyle w:val="ListParagraph"/>
        <w:numPr>
          <w:ilvl w:val="0"/>
          <w:numId w:val="9"/>
        </w:numPr>
        <w:spacing w:line="360" w:lineRule="auto"/>
        <w:jc w:val="both"/>
        <w:rPr>
          <w:rFonts w:ascii="Cambria" w:hAnsi="Cambria" w:cstheme="minorHAnsi"/>
          <w:b/>
          <w:color w:val="0070C0"/>
          <w:sz w:val="20"/>
          <w:szCs w:val="20"/>
          <w:lang w:val="en-GB"/>
        </w:rPr>
      </w:pPr>
      <w:r w:rsidRPr="00223CBF">
        <w:rPr>
          <w:rFonts w:ascii="Cambria" w:hAnsi="Cambria" w:cstheme="minorHAnsi"/>
          <w:b/>
          <w:color w:val="0070C0"/>
          <w:sz w:val="20"/>
          <w:szCs w:val="20"/>
          <w:lang w:val="en-GB"/>
        </w:rPr>
        <w:t xml:space="preserve">The extent to which the strategies adopted achieved its objectives </w:t>
      </w:r>
    </w:p>
    <w:p w14:paraId="35B2C871" w14:textId="148EB2B4" w:rsidR="00331FB6" w:rsidRPr="00223CBF" w:rsidRDefault="00331FB6" w:rsidP="000507CA">
      <w:pPr>
        <w:pStyle w:val="BodyText"/>
        <w:spacing w:line="360" w:lineRule="auto"/>
        <w:jc w:val="both"/>
        <w:rPr>
          <w:rFonts w:ascii="Cambria" w:hAnsi="Cambria" w:cs="Calibri"/>
          <w:bCs/>
          <w:sz w:val="20"/>
          <w:szCs w:val="20"/>
          <w:lang w:val="en-GB"/>
        </w:rPr>
      </w:pPr>
      <w:r w:rsidRPr="00223CBF">
        <w:rPr>
          <w:rFonts w:ascii="Cambria" w:hAnsi="Cambria" w:cs="Calibri"/>
          <w:bCs/>
          <w:sz w:val="20"/>
          <w:szCs w:val="20"/>
          <w:lang w:val="en-GB"/>
        </w:rPr>
        <w:t xml:space="preserve">Effectiveness of strategic interventions were aimed to be enhanced by a </w:t>
      </w:r>
      <w:r w:rsidR="00C85695" w:rsidRPr="00223CBF">
        <w:rPr>
          <w:rFonts w:ascii="Cambria" w:hAnsi="Cambria" w:cs="Calibri"/>
          <w:bCs/>
          <w:sz w:val="20"/>
          <w:szCs w:val="20"/>
          <w:lang w:val="en-GB"/>
        </w:rPr>
        <w:t xml:space="preserve">similar </w:t>
      </w:r>
      <w:r w:rsidRPr="00223CBF">
        <w:rPr>
          <w:rFonts w:ascii="Cambria" w:hAnsi="Cambria" w:cs="Calibri"/>
          <w:bCs/>
          <w:sz w:val="20"/>
          <w:szCs w:val="20"/>
          <w:lang w:val="en-GB"/>
        </w:rPr>
        <w:t>approach followed in previous p</w:t>
      </w:r>
      <w:r w:rsidR="00C85695" w:rsidRPr="00223CBF">
        <w:rPr>
          <w:rFonts w:ascii="Cambria" w:hAnsi="Cambria" w:cs="Calibri"/>
          <w:bCs/>
          <w:sz w:val="20"/>
          <w:szCs w:val="20"/>
          <w:lang w:val="en-GB"/>
        </w:rPr>
        <w:t xml:space="preserve">rojects </w:t>
      </w:r>
      <w:r w:rsidRPr="00223CBF">
        <w:rPr>
          <w:rFonts w:ascii="Cambria" w:hAnsi="Cambria" w:cs="Calibri"/>
          <w:bCs/>
          <w:sz w:val="20"/>
          <w:szCs w:val="20"/>
          <w:lang w:val="en-GB"/>
        </w:rPr>
        <w:t xml:space="preserve">and in the case of NPC through a needs assessment, </w:t>
      </w:r>
      <w:r w:rsidR="00C85695" w:rsidRPr="00223CBF">
        <w:rPr>
          <w:rFonts w:ascii="Cambria" w:hAnsi="Cambria" w:cs="Calibri"/>
          <w:bCs/>
          <w:sz w:val="20"/>
          <w:szCs w:val="20"/>
          <w:lang w:val="en-GB"/>
        </w:rPr>
        <w:t xml:space="preserve">to </w:t>
      </w:r>
      <w:r w:rsidR="00BF1E11">
        <w:rPr>
          <w:rFonts w:ascii="Cambria" w:hAnsi="Cambria" w:cs="Calibri"/>
          <w:bCs/>
          <w:sz w:val="20"/>
          <w:szCs w:val="20"/>
          <w:lang w:val="en-GB"/>
        </w:rPr>
        <w:t xml:space="preserve">develop strategic plans, </w:t>
      </w:r>
      <w:r w:rsidRPr="00223CBF">
        <w:rPr>
          <w:rFonts w:ascii="Cambria" w:hAnsi="Cambria" w:cs="Calibri"/>
          <w:bCs/>
          <w:sz w:val="20"/>
          <w:szCs w:val="20"/>
          <w:lang w:val="en-GB"/>
        </w:rPr>
        <w:t>improv</w:t>
      </w:r>
      <w:r w:rsidR="00C85695" w:rsidRPr="00223CBF">
        <w:rPr>
          <w:rFonts w:ascii="Cambria" w:hAnsi="Cambria" w:cs="Calibri"/>
          <w:bCs/>
          <w:sz w:val="20"/>
          <w:szCs w:val="20"/>
          <w:lang w:val="en-GB"/>
        </w:rPr>
        <w:t xml:space="preserve">e </w:t>
      </w:r>
      <w:r w:rsidRPr="00223CBF">
        <w:rPr>
          <w:rFonts w:ascii="Cambria" w:hAnsi="Cambria" w:cs="Calibri"/>
          <w:bCs/>
          <w:sz w:val="20"/>
          <w:szCs w:val="20"/>
          <w:lang w:val="en-GB"/>
        </w:rPr>
        <w:t>systems</w:t>
      </w:r>
      <w:r w:rsidR="00C85695" w:rsidRPr="00223CBF">
        <w:rPr>
          <w:rFonts w:ascii="Cambria" w:hAnsi="Cambria" w:cs="Calibri"/>
          <w:bCs/>
          <w:sz w:val="20"/>
          <w:szCs w:val="20"/>
          <w:lang w:val="en-GB"/>
        </w:rPr>
        <w:t xml:space="preserve">, </w:t>
      </w:r>
      <w:r w:rsidRPr="00223CBF">
        <w:rPr>
          <w:rFonts w:ascii="Cambria" w:hAnsi="Cambria" w:cs="Calibri"/>
          <w:bCs/>
          <w:sz w:val="20"/>
          <w:szCs w:val="20"/>
          <w:lang w:val="en-GB"/>
        </w:rPr>
        <w:t xml:space="preserve">strengthen institutional capacities, </w:t>
      </w:r>
      <w:r w:rsidR="00876EB2" w:rsidRPr="00223CBF">
        <w:rPr>
          <w:rFonts w:ascii="Cambria" w:hAnsi="Cambria" w:cs="Calibri"/>
          <w:bCs/>
          <w:sz w:val="20"/>
          <w:szCs w:val="20"/>
          <w:lang w:val="en-GB"/>
        </w:rPr>
        <w:t>strengthen</w:t>
      </w:r>
      <w:r w:rsidRPr="00223CBF">
        <w:rPr>
          <w:rFonts w:ascii="Cambria" w:hAnsi="Cambria" w:cs="Calibri"/>
          <w:bCs/>
          <w:sz w:val="20"/>
          <w:szCs w:val="20"/>
          <w:lang w:val="en-GB"/>
        </w:rPr>
        <w:t xml:space="preserve"> coordination mechanisms and </w:t>
      </w:r>
      <w:r w:rsidR="00C85695" w:rsidRPr="00223CBF">
        <w:rPr>
          <w:rFonts w:ascii="Cambria" w:hAnsi="Cambria" w:cs="Calibri"/>
          <w:bCs/>
          <w:sz w:val="20"/>
          <w:szCs w:val="20"/>
          <w:lang w:val="en-GB"/>
        </w:rPr>
        <w:t xml:space="preserve">staff </w:t>
      </w:r>
      <w:r w:rsidRPr="00223CBF">
        <w:rPr>
          <w:rFonts w:ascii="Cambria" w:hAnsi="Cambria" w:cs="Calibri"/>
          <w:bCs/>
          <w:sz w:val="20"/>
          <w:szCs w:val="20"/>
          <w:lang w:val="en-GB"/>
        </w:rPr>
        <w:t>competencies</w:t>
      </w:r>
      <w:r w:rsidR="00C85695" w:rsidRPr="00223CBF">
        <w:rPr>
          <w:rFonts w:ascii="Cambria" w:hAnsi="Cambria" w:cs="Calibri"/>
          <w:bCs/>
          <w:sz w:val="20"/>
          <w:szCs w:val="20"/>
          <w:lang w:val="en-GB"/>
        </w:rPr>
        <w:t xml:space="preserve">. </w:t>
      </w:r>
      <w:r w:rsidRPr="00223CBF">
        <w:rPr>
          <w:rFonts w:ascii="Cambria" w:hAnsi="Cambria" w:cs="Calibri"/>
          <w:bCs/>
          <w:sz w:val="20"/>
          <w:szCs w:val="20"/>
          <w:lang w:val="en-GB"/>
        </w:rPr>
        <w:t xml:space="preserve"> </w:t>
      </w:r>
    </w:p>
    <w:p w14:paraId="26C05C10" w14:textId="3F37032D" w:rsidR="00331FB6" w:rsidRPr="00223CBF" w:rsidRDefault="00331FB6" w:rsidP="000507CA">
      <w:pPr>
        <w:pStyle w:val="BodyText"/>
        <w:spacing w:line="360" w:lineRule="auto"/>
        <w:jc w:val="both"/>
        <w:rPr>
          <w:rFonts w:ascii="Cambria" w:hAnsi="Cambria" w:cs="Calibri"/>
          <w:bCs/>
          <w:sz w:val="20"/>
          <w:szCs w:val="20"/>
          <w:lang w:val="en-GB"/>
        </w:rPr>
      </w:pPr>
      <w:r w:rsidRPr="00223CBF">
        <w:rPr>
          <w:rFonts w:ascii="Cambria" w:hAnsi="Cambria" w:cs="Calibri"/>
          <w:bCs/>
          <w:sz w:val="20"/>
          <w:szCs w:val="20"/>
          <w:lang w:val="en-GB"/>
        </w:rPr>
        <w:t>Systems development was realised th</w:t>
      </w:r>
      <w:r w:rsidR="00554FBF">
        <w:rPr>
          <w:rFonts w:ascii="Cambria" w:hAnsi="Cambria" w:cs="Calibri"/>
          <w:bCs/>
          <w:sz w:val="20"/>
          <w:szCs w:val="20"/>
          <w:lang w:val="en-GB"/>
        </w:rPr>
        <w:t>r</w:t>
      </w:r>
      <w:r w:rsidRPr="00223CBF">
        <w:rPr>
          <w:rFonts w:ascii="Cambria" w:hAnsi="Cambria" w:cs="Calibri"/>
          <w:bCs/>
          <w:sz w:val="20"/>
          <w:szCs w:val="20"/>
          <w:lang w:val="en-GB"/>
        </w:rPr>
        <w:t>ough IT solutions to customi</w:t>
      </w:r>
      <w:r w:rsidR="00BF1E11">
        <w:rPr>
          <w:rFonts w:ascii="Cambria" w:hAnsi="Cambria" w:cs="Calibri"/>
          <w:bCs/>
          <w:sz w:val="20"/>
          <w:szCs w:val="20"/>
          <w:lang w:val="en-GB"/>
        </w:rPr>
        <w:t>s</w:t>
      </w:r>
      <w:r w:rsidRPr="00223CBF">
        <w:rPr>
          <w:rFonts w:ascii="Cambria" w:hAnsi="Cambria" w:cs="Calibri"/>
          <w:bCs/>
          <w:sz w:val="20"/>
          <w:szCs w:val="20"/>
          <w:lang w:val="en-GB"/>
        </w:rPr>
        <w:t>e and automate case management systems</w:t>
      </w:r>
      <w:r w:rsidR="00554FBF">
        <w:rPr>
          <w:rFonts w:ascii="Cambria" w:hAnsi="Cambria" w:cs="Calibri"/>
          <w:bCs/>
          <w:sz w:val="20"/>
          <w:szCs w:val="20"/>
          <w:lang w:val="en-GB"/>
        </w:rPr>
        <w:t xml:space="preserve">. In </w:t>
      </w:r>
      <w:r w:rsidRPr="00223CBF">
        <w:rPr>
          <w:rFonts w:ascii="Cambria" w:hAnsi="Cambria" w:cs="Calibri"/>
          <w:bCs/>
          <w:sz w:val="20"/>
          <w:szCs w:val="20"/>
          <w:lang w:val="en-GB"/>
        </w:rPr>
        <w:t>particular</w:t>
      </w:r>
      <w:r w:rsidR="00554FBF">
        <w:rPr>
          <w:rFonts w:ascii="Cambria" w:hAnsi="Cambria" w:cs="Calibri"/>
          <w:bCs/>
          <w:sz w:val="20"/>
          <w:szCs w:val="20"/>
          <w:lang w:val="en-GB"/>
        </w:rPr>
        <w:t>,</w:t>
      </w:r>
      <w:r w:rsidRPr="00223CBF">
        <w:rPr>
          <w:rFonts w:ascii="Cambria" w:hAnsi="Cambria" w:cs="Calibri"/>
          <w:bCs/>
          <w:sz w:val="20"/>
          <w:szCs w:val="20"/>
          <w:lang w:val="en-GB"/>
        </w:rPr>
        <w:t xml:space="preserve"> for HRC and for NPC</w:t>
      </w:r>
      <w:r w:rsidR="00554FBF">
        <w:rPr>
          <w:rFonts w:ascii="Cambria" w:hAnsi="Cambria" w:cs="Calibri"/>
          <w:bCs/>
          <w:sz w:val="20"/>
          <w:szCs w:val="20"/>
          <w:lang w:val="en-GB"/>
        </w:rPr>
        <w:t>,</w:t>
      </w:r>
      <w:r w:rsidRPr="00223CBF">
        <w:rPr>
          <w:rFonts w:ascii="Cambria" w:hAnsi="Cambria" w:cs="Calibri"/>
          <w:bCs/>
          <w:sz w:val="20"/>
          <w:szCs w:val="20"/>
          <w:lang w:val="en-GB"/>
        </w:rPr>
        <w:t xml:space="preserve"> to enhance investigation and inquiry procedures</w:t>
      </w:r>
      <w:r w:rsidR="00C85695" w:rsidRPr="00223CBF">
        <w:rPr>
          <w:rFonts w:ascii="Cambria" w:hAnsi="Cambria" w:cs="Calibri"/>
          <w:bCs/>
          <w:sz w:val="20"/>
          <w:szCs w:val="20"/>
          <w:lang w:val="en-GB"/>
        </w:rPr>
        <w:t xml:space="preserve"> to </w:t>
      </w:r>
      <w:r w:rsidRPr="00223CBF">
        <w:rPr>
          <w:rFonts w:ascii="Cambria" w:hAnsi="Cambria" w:cs="Calibri"/>
          <w:bCs/>
          <w:sz w:val="20"/>
          <w:szCs w:val="20"/>
          <w:lang w:val="en-GB"/>
        </w:rPr>
        <w:t>reduce delays in processing public complaints.</w:t>
      </w:r>
      <w:r w:rsidR="00C85695" w:rsidRPr="00223CBF">
        <w:rPr>
          <w:rFonts w:ascii="Cambria" w:hAnsi="Cambria" w:cs="Calibri"/>
          <w:bCs/>
          <w:sz w:val="20"/>
          <w:szCs w:val="20"/>
          <w:lang w:val="en-GB"/>
        </w:rPr>
        <w:t xml:space="preserve"> The system enhancements</w:t>
      </w:r>
      <w:r w:rsidR="00554FBF">
        <w:rPr>
          <w:rFonts w:ascii="Cambria" w:hAnsi="Cambria" w:cs="Calibri"/>
          <w:bCs/>
          <w:sz w:val="20"/>
          <w:szCs w:val="20"/>
          <w:lang w:val="en-GB"/>
        </w:rPr>
        <w:t xml:space="preserve">, </w:t>
      </w:r>
      <w:r w:rsidR="00C85695" w:rsidRPr="00223CBF">
        <w:rPr>
          <w:rFonts w:ascii="Cambria" w:hAnsi="Cambria" w:cs="Calibri"/>
          <w:bCs/>
          <w:sz w:val="20"/>
          <w:szCs w:val="20"/>
          <w:lang w:val="en-GB"/>
        </w:rPr>
        <w:t xml:space="preserve">were to contribute towards minimising human errors, corruption, human incapacities and attitudinal barriers. </w:t>
      </w:r>
      <w:r w:rsidRPr="00223CBF">
        <w:rPr>
          <w:rFonts w:ascii="Cambria" w:hAnsi="Cambria" w:cs="Calibri"/>
          <w:bCs/>
          <w:sz w:val="20"/>
          <w:szCs w:val="20"/>
          <w:lang w:val="en-GB"/>
        </w:rPr>
        <w:t xml:space="preserve"> IT solutions</w:t>
      </w:r>
      <w:r w:rsidR="00554FBF">
        <w:rPr>
          <w:rFonts w:ascii="Cambria" w:hAnsi="Cambria" w:cs="Calibri"/>
          <w:bCs/>
          <w:sz w:val="20"/>
          <w:szCs w:val="20"/>
          <w:lang w:val="en-GB"/>
        </w:rPr>
        <w:t>,</w:t>
      </w:r>
      <w:r w:rsidRPr="00223CBF">
        <w:rPr>
          <w:rFonts w:ascii="Cambria" w:hAnsi="Cambria" w:cs="Calibri"/>
          <w:bCs/>
          <w:sz w:val="20"/>
          <w:szCs w:val="20"/>
          <w:lang w:val="en-GB"/>
        </w:rPr>
        <w:t xml:space="preserve"> to enhance the media unit of the NPC and recruitment of media coordinator for HRC</w:t>
      </w:r>
      <w:r w:rsidR="00554FBF">
        <w:rPr>
          <w:rFonts w:ascii="Cambria" w:hAnsi="Cambria" w:cs="Calibri"/>
          <w:bCs/>
          <w:sz w:val="20"/>
          <w:szCs w:val="20"/>
          <w:lang w:val="en-GB"/>
        </w:rPr>
        <w:t>,</w:t>
      </w:r>
      <w:r w:rsidRPr="00223CBF">
        <w:rPr>
          <w:rFonts w:ascii="Cambria" w:hAnsi="Cambria" w:cs="Calibri"/>
          <w:bCs/>
          <w:sz w:val="20"/>
          <w:szCs w:val="20"/>
          <w:lang w:val="en-GB"/>
        </w:rPr>
        <w:t xml:space="preserve"> </w:t>
      </w:r>
      <w:r w:rsidR="00C85695" w:rsidRPr="00223CBF">
        <w:rPr>
          <w:rFonts w:ascii="Cambria" w:hAnsi="Cambria" w:cs="Calibri"/>
          <w:bCs/>
          <w:sz w:val="20"/>
          <w:szCs w:val="20"/>
          <w:lang w:val="en-GB"/>
        </w:rPr>
        <w:t>were aimed at improving the quality of information and dissemination</w:t>
      </w:r>
      <w:r w:rsidR="00554FBF">
        <w:rPr>
          <w:rFonts w:ascii="Cambria" w:hAnsi="Cambria" w:cs="Calibri"/>
          <w:bCs/>
          <w:sz w:val="20"/>
          <w:szCs w:val="20"/>
          <w:lang w:val="en-GB"/>
        </w:rPr>
        <w:t>,</w:t>
      </w:r>
      <w:r w:rsidR="00C85695" w:rsidRPr="00223CBF">
        <w:rPr>
          <w:rFonts w:ascii="Cambria" w:hAnsi="Cambria" w:cs="Calibri"/>
          <w:bCs/>
          <w:sz w:val="20"/>
          <w:szCs w:val="20"/>
          <w:lang w:val="en-GB"/>
        </w:rPr>
        <w:t xml:space="preserve"> through skilled management. Support to d</w:t>
      </w:r>
      <w:r w:rsidRPr="00223CBF">
        <w:rPr>
          <w:rFonts w:ascii="Cambria" w:hAnsi="Cambria" w:cs="Calibri"/>
          <w:bCs/>
          <w:sz w:val="20"/>
          <w:szCs w:val="20"/>
          <w:lang w:val="en-GB"/>
        </w:rPr>
        <w:t>raf</w:t>
      </w:r>
      <w:r w:rsidR="00C85695" w:rsidRPr="00223CBF">
        <w:rPr>
          <w:rFonts w:ascii="Cambria" w:hAnsi="Cambria" w:cs="Calibri"/>
          <w:bCs/>
          <w:sz w:val="20"/>
          <w:szCs w:val="20"/>
          <w:lang w:val="en-GB"/>
        </w:rPr>
        <w:t>t</w:t>
      </w:r>
      <w:r w:rsidRPr="00223CBF">
        <w:rPr>
          <w:rFonts w:ascii="Cambria" w:hAnsi="Cambria" w:cs="Calibri"/>
          <w:bCs/>
          <w:sz w:val="20"/>
          <w:szCs w:val="20"/>
          <w:lang w:val="en-GB"/>
        </w:rPr>
        <w:t xml:space="preserve"> SOPs</w:t>
      </w:r>
      <w:r w:rsidR="00554FBF">
        <w:rPr>
          <w:rFonts w:ascii="Cambria" w:hAnsi="Cambria" w:cs="Calibri"/>
          <w:bCs/>
          <w:sz w:val="20"/>
          <w:szCs w:val="20"/>
          <w:lang w:val="en-GB"/>
        </w:rPr>
        <w:t>,</w:t>
      </w:r>
      <w:r w:rsidRPr="00223CBF">
        <w:rPr>
          <w:rFonts w:ascii="Cambria" w:hAnsi="Cambria" w:cs="Calibri"/>
          <w:bCs/>
          <w:sz w:val="20"/>
          <w:szCs w:val="20"/>
          <w:lang w:val="en-GB"/>
        </w:rPr>
        <w:t xml:space="preserve"> for investigations for HRC, drafting procedural rules for NPC</w:t>
      </w:r>
      <w:r w:rsidR="00BF1E11">
        <w:rPr>
          <w:rFonts w:ascii="Cambria" w:hAnsi="Cambria" w:cs="Calibri"/>
          <w:bCs/>
          <w:sz w:val="20"/>
          <w:szCs w:val="20"/>
          <w:lang w:val="en-GB"/>
        </w:rPr>
        <w:t xml:space="preserve"> and</w:t>
      </w:r>
      <w:r w:rsidRPr="00223CBF">
        <w:rPr>
          <w:rFonts w:ascii="Cambria" w:hAnsi="Cambria" w:cs="Calibri"/>
          <w:bCs/>
          <w:sz w:val="20"/>
          <w:szCs w:val="20"/>
          <w:lang w:val="en-GB"/>
        </w:rPr>
        <w:t xml:space="preserve"> streamlining procedures for better monitoring of public departments by the RTIC</w:t>
      </w:r>
      <w:r w:rsidR="00BF1E11">
        <w:rPr>
          <w:rFonts w:ascii="Cambria" w:hAnsi="Cambria" w:cs="Calibri"/>
          <w:bCs/>
          <w:sz w:val="20"/>
          <w:szCs w:val="20"/>
          <w:lang w:val="en-GB"/>
        </w:rPr>
        <w:t>,</w:t>
      </w:r>
      <w:r w:rsidRPr="00223CBF">
        <w:rPr>
          <w:rFonts w:ascii="Cambria" w:hAnsi="Cambria" w:cs="Calibri"/>
          <w:bCs/>
          <w:sz w:val="20"/>
          <w:szCs w:val="20"/>
          <w:lang w:val="en-GB"/>
        </w:rPr>
        <w:t xml:space="preserve"> </w:t>
      </w:r>
      <w:r w:rsidR="00C85695" w:rsidRPr="00223CBF">
        <w:rPr>
          <w:rFonts w:ascii="Cambria" w:hAnsi="Cambria" w:cs="Calibri"/>
          <w:bCs/>
          <w:sz w:val="20"/>
          <w:szCs w:val="20"/>
          <w:lang w:val="en-GB"/>
        </w:rPr>
        <w:t>aimed at reducing administrative and process-based delays</w:t>
      </w:r>
      <w:r w:rsidR="00554FBF">
        <w:rPr>
          <w:rFonts w:ascii="Cambria" w:hAnsi="Cambria" w:cs="Calibri"/>
          <w:bCs/>
          <w:sz w:val="20"/>
          <w:szCs w:val="20"/>
          <w:lang w:val="en-GB"/>
        </w:rPr>
        <w:t>,</w:t>
      </w:r>
      <w:r w:rsidR="00C85695" w:rsidRPr="00223CBF">
        <w:rPr>
          <w:rFonts w:ascii="Cambria" w:hAnsi="Cambria" w:cs="Calibri"/>
          <w:bCs/>
          <w:sz w:val="20"/>
          <w:szCs w:val="20"/>
          <w:lang w:val="en-GB"/>
        </w:rPr>
        <w:t xml:space="preserve"> to </w:t>
      </w:r>
      <w:r w:rsidRPr="00223CBF">
        <w:rPr>
          <w:rFonts w:ascii="Cambria" w:hAnsi="Cambria" w:cs="Calibri"/>
          <w:bCs/>
          <w:sz w:val="20"/>
          <w:szCs w:val="20"/>
          <w:lang w:val="en-GB"/>
        </w:rPr>
        <w:t>improv</w:t>
      </w:r>
      <w:r w:rsidR="00C85695" w:rsidRPr="00223CBF">
        <w:rPr>
          <w:rFonts w:ascii="Cambria" w:hAnsi="Cambria" w:cs="Calibri"/>
          <w:bCs/>
          <w:sz w:val="20"/>
          <w:szCs w:val="20"/>
          <w:lang w:val="en-GB"/>
        </w:rPr>
        <w:t xml:space="preserve">e </w:t>
      </w:r>
      <w:r w:rsidRPr="00223CBF">
        <w:rPr>
          <w:rFonts w:ascii="Cambria" w:hAnsi="Cambria" w:cs="Calibri"/>
          <w:bCs/>
          <w:sz w:val="20"/>
          <w:szCs w:val="20"/>
          <w:lang w:val="en-GB"/>
        </w:rPr>
        <w:t xml:space="preserve">effectiveness of service delivery of ICs. </w:t>
      </w:r>
    </w:p>
    <w:p w14:paraId="7C78807E" w14:textId="19030732" w:rsidR="00C0628F" w:rsidRPr="00223CBF" w:rsidRDefault="00C0628F" w:rsidP="000507CA">
      <w:pPr>
        <w:pStyle w:val="BodyText"/>
        <w:spacing w:line="360" w:lineRule="auto"/>
        <w:jc w:val="both"/>
        <w:rPr>
          <w:rFonts w:ascii="Cambria" w:hAnsi="Cambria" w:cs="Calibri"/>
          <w:bCs/>
          <w:sz w:val="20"/>
          <w:szCs w:val="20"/>
          <w:lang w:val="en-GB"/>
        </w:rPr>
      </w:pPr>
      <w:r w:rsidRPr="00223CBF">
        <w:rPr>
          <w:rFonts w:ascii="Cambria" w:hAnsi="Cambria" w:cs="Calibri"/>
          <w:bCs/>
          <w:sz w:val="20"/>
          <w:szCs w:val="20"/>
          <w:lang w:val="en-GB"/>
        </w:rPr>
        <w:t>However, digitisation efforts were thwarted to an extent due to cultural, managerial, staffing and other implementation realities</w:t>
      </w:r>
      <w:r w:rsidR="00554FBF">
        <w:rPr>
          <w:rFonts w:ascii="Cambria" w:hAnsi="Cambria" w:cs="Calibri"/>
          <w:bCs/>
          <w:sz w:val="20"/>
          <w:szCs w:val="20"/>
          <w:lang w:val="en-GB"/>
        </w:rPr>
        <w:t>,</w:t>
      </w:r>
      <w:r w:rsidRPr="00223CBF">
        <w:rPr>
          <w:rFonts w:ascii="Cambria" w:hAnsi="Cambria" w:cs="Calibri"/>
          <w:bCs/>
          <w:sz w:val="20"/>
          <w:szCs w:val="20"/>
          <w:lang w:val="en-GB"/>
        </w:rPr>
        <w:t xml:space="preserve"> to effectively make a positive change during the first phase of the Portfolio as referred to below. For instance, general inertia for change due to cultural factors, lack of skills and competencies and operations deadlock</w:t>
      </w:r>
      <w:r w:rsidR="00554FBF">
        <w:rPr>
          <w:rFonts w:ascii="Cambria" w:hAnsi="Cambria" w:cs="Calibri"/>
          <w:bCs/>
          <w:sz w:val="20"/>
          <w:szCs w:val="20"/>
          <w:lang w:val="en-GB"/>
        </w:rPr>
        <w:t>,</w:t>
      </w:r>
      <w:r w:rsidRPr="00223CBF">
        <w:rPr>
          <w:rFonts w:ascii="Cambria" w:hAnsi="Cambria" w:cs="Calibri"/>
          <w:bCs/>
          <w:sz w:val="20"/>
          <w:szCs w:val="20"/>
          <w:lang w:val="en-GB"/>
        </w:rPr>
        <w:t xml:space="preserve"> due to resentment to management, particularly at the HRC was considered by IPs and </w:t>
      </w:r>
      <w:r w:rsidRPr="00223CBF">
        <w:rPr>
          <w:rFonts w:ascii="Cambria" w:hAnsi="Cambria" w:cs="Calibri"/>
          <w:bCs/>
          <w:sz w:val="20"/>
          <w:szCs w:val="20"/>
          <w:lang w:val="en-GB"/>
        </w:rPr>
        <w:lastRenderedPageBreak/>
        <w:t>KPIs as s serious drawback</w:t>
      </w:r>
      <w:r w:rsidR="00554FBF">
        <w:rPr>
          <w:rFonts w:ascii="Cambria" w:hAnsi="Cambria" w:cs="Calibri"/>
          <w:bCs/>
          <w:sz w:val="20"/>
          <w:szCs w:val="20"/>
          <w:lang w:val="en-GB"/>
        </w:rPr>
        <w:t>,</w:t>
      </w:r>
      <w:r w:rsidRPr="00223CBF">
        <w:rPr>
          <w:rFonts w:ascii="Cambria" w:hAnsi="Cambria" w:cs="Calibri"/>
          <w:bCs/>
          <w:sz w:val="20"/>
          <w:szCs w:val="20"/>
          <w:lang w:val="en-GB"/>
        </w:rPr>
        <w:t xml:space="preserve"> to initialising the case management system, which is yet in its inception phase after more than 2 years. </w:t>
      </w:r>
    </w:p>
    <w:p w14:paraId="3C989074" w14:textId="43615618" w:rsidR="00331FB6" w:rsidRPr="00223CBF" w:rsidRDefault="00331FB6" w:rsidP="000507CA">
      <w:pPr>
        <w:pStyle w:val="BodyText"/>
        <w:spacing w:line="360" w:lineRule="auto"/>
        <w:jc w:val="both"/>
        <w:rPr>
          <w:rFonts w:ascii="Cambria" w:hAnsi="Cambria" w:cs="Calibri"/>
          <w:bCs/>
          <w:sz w:val="20"/>
          <w:szCs w:val="20"/>
          <w:lang w:val="en-GB"/>
        </w:rPr>
      </w:pPr>
      <w:r w:rsidRPr="00223CBF">
        <w:rPr>
          <w:rFonts w:ascii="Cambria" w:hAnsi="Cambria" w:cs="Calibri"/>
          <w:bCs/>
          <w:sz w:val="20"/>
          <w:szCs w:val="20"/>
          <w:lang w:val="en-GB"/>
        </w:rPr>
        <w:t>Institutional support and policy development were executed</w:t>
      </w:r>
      <w:r w:rsidR="00EE1845">
        <w:rPr>
          <w:rFonts w:ascii="Cambria" w:hAnsi="Cambria" w:cs="Calibri"/>
          <w:bCs/>
          <w:sz w:val="20"/>
          <w:szCs w:val="20"/>
          <w:lang w:val="en-GB"/>
        </w:rPr>
        <w:t xml:space="preserve"> </w:t>
      </w:r>
      <w:r w:rsidRPr="00223CBF">
        <w:rPr>
          <w:rFonts w:ascii="Cambria" w:hAnsi="Cambria" w:cs="Calibri"/>
          <w:bCs/>
          <w:sz w:val="20"/>
          <w:szCs w:val="20"/>
          <w:lang w:val="en-GB"/>
        </w:rPr>
        <w:t xml:space="preserve">by devoting funds </w:t>
      </w:r>
      <w:r w:rsidR="00C85695" w:rsidRPr="00223CBF">
        <w:rPr>
          <w:rFonts w:ascii="Cambria" w:hAnsi="Cambria" w:cs="Calibri"/>
          <w:bCs/>
          <w:sz w:val="20"/>
          <w:szCs w:val="20"/>
          <w:lang w:val="en-GB"/>
        </w:rPr>
        <w:t xml:space="preserve">to the </w:t>
      </w:r>
      <w:r w:rsidRPr="00223CBF">
        <w:rPr>
          <w:rFonts w:ascii="Cambria" w:hAnsi="Cambria" w:cs="Calibri"/>
          <w:bCs/>
          <w:sz w:val="20"/>
          <w:szCs w:val="20"/>
          <w:lang w:val="en-GB"/>
        </w:rPr>
        <w:t>strategic development plan for the NPC, development of a communications plan for the NPC and corollary support to the media unit and hotline and extensive media coverage and publicity material.  Communications and outreach strategy were developed for HRC</w:t>
      </w:r>
      <w:r w:rsidR="00EE1845">
        <w:rPr>
          <w:rFonts w:ascii="Cambria" w:hAnsi="Cambria" w:cs="Calibri"/>
          <w:bCs/>
          <w:sz w:val="20"/>
          <w:szCs w:val="20"/>
          <w:lang w:val="en-GB"/>
        </w:rPr>
        <w:t>,</w:t>
      </w:r>
      <w:r w:rsidRPr="00223CBF">
        <w:rPr>
          <w:rFonts w:ascii="Cambria" w:hAnsi="Cambria" w:cs="Calibri"/>
          <w:bCs/>
          <w:sz w:val="20"/>
          <w:szCs w:val="20"/>
          <w:lang w:val="en-GB"/>
        </w:rPr>
        <w:t xml:space="preserve"> to enforce their mandate on promoting fundamental rights and generating greater public awareness on their services. Continuous support was provided to the RTIC</w:t>
      </w:r>
      <w:r w:rsidR="00EE1845">
        <w:rPr>
          <w:rFonts w:ascii="Cambria" w:hAnsi="Cambria" w:cs="Calibri"/>
          <w:bCs/>
          <w:sz w:val="20"/>
          <w:szCs w:val="20"/>
          <w:lang w:val="en-GB"/>
        </w:rPr>
        <w:t>,</w:t>
      </w:r>
      <w:r w:rsidRPr="00223CBF">
        <w:rPr>
          <w:rFonts w:ascii="Cambria" w:hAnsi="Cambria" w:cs="Calibri"/>
          <w:bCs/>
          <w:sz w:val="20"/>
          <w:szCs w:val="20"/>
          <w:lang w:val="en-GB"/>
        </w:rPr>
        <w:t xml:space="preserve"> </w:t>
      </w:r>
      <w:r w:rsidR="00BF1E11">
        <w:rPr>
          <w:rFonts w:ascii="Cambria" w:hAnsi="Cambria" w:cs="Calibri"/>
          <w:bCs/>
          <w:sz w:val="20"/>
          <w:szCs w:val="20"/>
          <w:lang w:val="en-GB"/>
        </w:rPr>
        <w:t xml:space="preserve">by supporting the legal unit </w:t>
      </w:r>
      <w:r w:rsidRPr="00223CBF">
        <w:rPr>
          <w:rFonts w:ascii="Cambria" w:hAnsi="Cambria" w:cs="Calibri"/>
          <w:bCs/>
          <w:sz w:val="20"/>
          <w:szCs w:val="20"/>
          <w:lang w:val="en-GB"/>
        </w:rPr>
        <w:t>to monitor function</w:t>
      </w:r>
      <w:r w:rsidR="00BF1E11">
        <w:rPr>
          <w:rFonts w:ascii="Cambria" w:hAnsi="Cambria" w:cs="Calibri"/>
          <w:bCs/>
          <w:sz w:val="20"/>
          <w:szCs w:val="20"/>
          <w:lang w:val="en-GB"/>
        </w:rPr>
        <w:t>s</w:t>
      </w:r>
      <w:r w:rsidRPr="00223CBF">
        <w:rPr>
          <w:rFonts w:ascii="Cambria" w:hAnsi="Cambria" w:cs="Calibri"/>
          <w:bCs/>
          <w:sz w:val="20"/>
          <w:szCs w:val="20"/>
          <w:lang w:val="en-GB"/>
        </w:rPr>
        <w:t xml:space="preserve"> of public authorities </w:t>
      </w:r>
      <w:r w:rsidR="00BF1E11">
        <w:rPr>
          <w:rFonts w:ascii="Cambria" w:hAnsi="Cambria" w:cs="Calibri"/>
          <w:bCs/>
          <w:sz w:val="20"/>
          <w:szCs w:val="20"/>
          <w:lang w:val="en-GB"/>
        </w:rPr>
        <w:t xml:space="preserve">and </w:t>
      </w:r>
      <w:r w:rsidRPr="00223CBF">
        <w:rPr>
          <w:rFonts w:ascii="Cambria" w:hAnsi="Cambria" w:cs="Calibri"/>
          <w:bCs/>
          <w:sz w:val="20"/>
          <w:szCs w:val="20"/>
          <w:lang w:val="en-GB"/>
        </w:rPr>
        <w:t xml:space="preserve">to expedite inquires and investigations. </w:t>
      </w:r>
    </w:p>
    <w:p w14:paraId="0D83B374" w14:textId="77777777" w:rsidR="004F5AE4" w:rsidRDefault="00331FB6" w:rsidP="000607E0">
      <w:pPr>
        <w:pStyle w:val="BodyText"/>
        <w:shd w:val="clear" w:color="auto" w:fill="FFC000"/>
        <w:spacing w:line="360" w:lineRule="auto"/>
        <w:jc w:val="both"/>
        <w:rPr>
          <w:rFonts w:ascii="Cambria" w:hAnsi="Cambria" w:cs="Calibri"/>
          <w:bCs/>
          <w:sz w:val="20"/>
          <w:szCs w:val="20"/>
          <w:lang w:val="en-GB"/>
        </w:rPr>
      </w:pPr>
      <w:r w:rsidRPr="0069189B">
        <w:rPr>
          <w:rFonts w:ascii="Cambria" w:hAnsi="Cambria" w:cs="Calibri"/>
          <w:bCs/>
          <w:sz w:val="20"/>
          <w:szCs w:val="20"/>
          <w:shd w:val="clear" w:color="auto" w:fill="FFC000"/>
          <w:lang w:val="en-GB"/>
        </w:rPr>
        <w:t>Less time and investment were made to develop coordination platforms for beneficiary engagement through CSO</w:t>
      </w:r>
      <w:r w:rsidR="00C0628F" w:rsidRPr="0069189B">
        <w:rPr>
          <w:rFonts w:ascii="Cambria" w:hAnsi="Cambria" w:cs="Calibri"/>
          <w:bCs/>
          <w:sz w:val="20"/>
          <w:szCs w:val="20"/>
          <w:shd w:val="clear" w:color="auto" w:fill="FFC000"/>
          <w:lang w:val="en-GB"/>
        </w:rPr>
        <w:t xml:space="preserve">s </w:t>
      </w:r>
      <w:r w:rsidRPr="0069189B">
        <w:rPr>
          <w:rFonts w:ascii="Cambria" w:hAnsi="Cambria" w:cs="Calibri"/>
          <w:bCs/>
          <w:sz w:val="20"/>
          <w:szCs w:val="20"/>
          <w:shd w:val="clear" w:color="auto" w:fill="FFC000"/>
          <w:lang w:val="en-GB"/>
        </w:rPr>
        <w:t>to promote awareness of ICs</w:t>
      </w:r>
      <w:r w:rsidR="00C0628F" w:rsidRPr="0069189B">
        <w:rPr>
          <w:rFonts w:ascii="Cambria" w:hAnsi="Cambria" w:cs="Calibri"/>
          <w:bCs/>
          <w:sz w:val="20"/>
          <w:szCs w:val="20"/>
          <w:shd w:val="clear" w:color="auto" w:fill="FFC000"/>
          <w:lang w:val="en-GB"/>
        </w:rPr>
        <w:t>, as was the gap under Outputs</w:t>
      </w:r>
      <w:r w:rsidR="00C0628F" w:rsidRPr="00223CBF">
        <w:rPr>
          <w:rFonts w:ascii="Cambria" w:hAnsi="Cambria" w:cs="Calibri"/>
          <w:bCs/>
          <w:sz w:val="20"/>
          <w:szCs w:val="20"/>
          <w:lang w:val="en-GB"/>
        </w:rPr>
        <w:t xml:space="preserve"> 1.1. and 1.2.</w:t>
      </w:r>
      <w:r w:rsidRPr="00223CBF">
        <w:rPr>
          <w:rFonts w:ascii="Cambria" w:hAnsi="Cambria" w:cs="Calibri"/>
          <w:bCs/>
          <w:sz w:val="20"/>
          <w:szCs w:val="20"/>
          <w:lang w:val="en-GB"/>
        </w:rPr>
        <w:t xml:space="preserve"> </w:t>
      </w:r>
    </w:p>
    <w:p w14:paraId="4F0C9E99" w14:textId="77777777" w:rsidR="004F5AE4" w:rsidRDefault="00331FB6" w:rsidP="000507CA">
      <w:pPr>
        <w:pStyle w:val="BodyText"/>
        <w:spacing w:line="360" w:lineRule="auto"/>
        <w:jc w:val="both"/>
        <w:rPr>
          <w:rFonts w:ascii="Cambria" w:hAnsi="Cambria" w:cs="Calibri"/>
          <w:bCs/>
          <w:sz w:val="20"/>
          <w:szCs w:val="20"/>
          <w:lang w:val="en-GB"/>
        </w:rPr>
      </w:pPr>
      <w:r w:rsidRPr="00223CBF">
        <w:rPr>
          <w:rFonts w:ascii="Cambria" w:hAnsi="Cambria" w:cs="Calibri"/>
          <w:bCs/>
          <w:sz w:val="20"/>
          <w:szCs w:val="20"/>
          <w:lang w:val="en-GB"/>
        </w:rPr>
        <w:t>Advocacy and outreach were implemented in the first phase through media</w:t>
      </w:r>
      <w:r w:rsidR="00BF1E11">
        <w:rPr>
          <w:rFonts w:ascii="Cambria" w:hAnsi="Cambria" w:cs="Calibri"/>
          <w:bCs/>
          <w:sz w:val="20"/>
          <w:szCs w:val="20"/>
          <w:lang w:val="en-GB"/>
        </w:rPr>
        <w:t xml:space="preserve">, </w:t>
      </w:r>
      <w:r w:rsidRPr="00223CBF">
        <w:rPr>
          <w:rFonts w:ascii="Cambria" w:hAnsi="Cambria" w:cs="Calibri"/>
          <w:bCs/>
          <w:sz w:val="20"/>
          <w:szCs w:val="20"/>
          <w:lang w:val="en-GB"/>
        </w:rPr>
        <w:t xml:space="preserve">printing and dissemination of promotional material and </w:t>
      </w:r>
      <w:r w:rsidR="00BF1E11" w:rsidRPr="00223CBF">
        <w:rPr>
          <w:rFonts w:ascii="Cambria" w:hAnsi="Cambria" w:cs="Calibri"/>
          <w:bCs/>
          <w:sz w:val="20"/>
          <w:szCs w:val="20"/>
          <w:lang w:val="en-GB"/>
        </w:rPr>
        <w:t>use</w:t>
      </w:r>
      <w:r w:rsidR="00BF1E11">
        <w:rPr>
          <w:rFonts w:ascii="Cambria" w:hAnsi="Cambria" w:cs="Calibri"/>
          <w:bCs/>
          <w:sz w:val="20"/>
          <w:szCs w:val="20"/>
          <w:lang w:val="en-GB"/>
        </w:rPr>
        <w:t>r</w:t>
      </w:r>
      <w:r w:rsidR="00BF1E11" w:rsidRPr="00223CBF">
        <w:rPr>
          <w:rFonts w:ascii="Cambria" w:hAnsi="Cambria" w:cs="Calibri"/>
          <w:bCs/>
          <w:sz w:val="20"/>
          <w:szCs w:val="20"/>
          <w:lang w:val="en-GB"/>
        </w:rPr>
        <w:t>-friendly</w:t>
      </w:r>
      <w:r w:rsidRPr="00223CBF">
        <w:rPr>
          <w:rFonts w:ascii="Cambria" w:hAnsi="Cambria" w:cs="Calibri"/>
          <w:bCs/>
          <w:sz w:val="20"/>
          <w:szCs w:val="20"/>
          <w:lang w:val="en-GB"/>
        </w:rPr>
        <w:t xml:space="preserve"> websites, which are costly and difficult to sustain without project support. </w:t>
      </w:r>
    </w:p>
    <w:p w14:paraId="0E4B2113" w14:textId="17B3A6E4" w:rsidR="00C0628F" w:rsidRPr="00223CBF" w:rsidRDefault="00331FB6" w:rsidP="000607E0">
      <w:pPr>
        <w:pStyle w:val="BodyText"/>
        <w:shd w:val="clear" w:color="auto" w:fill="FFC000"/>
        <w:spacing w:line="360" w:lineRule="auto"/>
        <w:jc w:val="both"/>
        <w:rPr>
          <w:rFonts w:ascii="Cambria" w:hAnsi="Cambria" w:cs="Calibri"/>
          <w:bCs/>
          <w:sz w:val="20"/>
          <w:szCs w:val="20"/>
          <w:lang w:val="en-GB"/>
        </w:rPr>
      </w:pPr>
      <w:r w:rsidRPr="00223CBF">
        <w:rPr>
          <w:rFonts w:ascii="Cambria" w:hAnsi="Cambria" w:cs="Calibri"/>
          <w:bCs/>
          <w:sz w:val="20"/>
          <w:szCs w:val="20"/>
          <w:lang w:val="en-GB"/>
        </w:rPr>
        <w:t>Less resources were spent to aggressively engage with CSOs</w:t>
      </w:r>
      <w:r w:rsidR="00EE1845">
        <w:rPr>
          <w:rFonts w:ascii="Cambria" w:hAnsi="Cambria" w:cs="Calibri"/>
          <w:bCs/>
          <w:sz w:val="20"/>
          <w:szCs w:val="20"/>
          <w:lang w:val="en-GB"/>
        </w:rPr>
        <w:t>,</w:t>
      </w:r>
      <w:r w:rsidRPr="00223CBF">
        <w:rPr>
          <w:rFonts w:ascii="Cambria" w:hAnsi="Cambria" w:cs="Calibri"/>
          <w:bCs/>
          <w:sz w:val="20"/>
          <w:szCs w:val="20"/>
          <w:lang w:val="en-GB"/>
        </w:rPr>
        <w:t xml:space="preserve"> to expand geographical reach and reach of traditionally excluded vulnerable groups. Investing in such a</w:t>
      </w:r>
      <w:r w:rsidR="00C0628F" w:rsidRPr="00223CBF">
        <w:rPr>
          <w:rFonts w:ascii="Cambria" w:hAnsi="Cambria" w:cs="Calibri"/>
          <w:bCs/>
          <w:sz w:val="20"/>
          <w:szCs w:val="20"/>
          <w:lang w:val="en-GB"/>
        </w:rPr>
        <w:t xml:space="preserve"> medium</w:t>
      </w:r>
      <w:r w:rsidR="00EE1845">
        <w:rPr>
          <w:rFonts w:ascii="Cambria" w:hAnsi="Cambria" w:cs="Calibri"/>
          <w:bCs/>
          <w:sz w:val="20"/>
          <w:szCs w:val="20"/>
          <w:lang w:val="en-GB"/>
        </w:rPr>
        <w:t>,</w:t>
      </w:r>
      <w:r w:rsidR="00C0628F" w:rsidRPr="00223CBF">
        <w:rPr>
          <w:rFonts w:ascii="Cambria" w:hAnsi="Cambria" w:cs="Calibri"/>
          <w:bCs/>
          <w:sz w:val="20"/>
          <w:szCs w:val="20"/>
          <w:lang w:val="en-GB"/>
        </w:rPr>
        <w:t xml:space="preserve"> would not only contribute to strengthening CSO capacities in the regions and their ability to respond effectively to beneficiaries</w:t>
      </w:r>
      <w:r w:rsidR="00EE1845">
        <w:rPr>
          <w:rFonts w:ascii="Cambria" w:hAnsi="Cambria" w:cs="Calibri"/>
          <w:bCs/>
          <w:sz w:val="20"/>
          <w:szCs w:val="20"/>
          <w:lang w:val="en-GB"/>
        </w:rPr>
        <w:t>,</w:t>
      </w:r>
      <w:r w:rsidR="00C0628F" w:rsidRPr="00223CBF">
        <w:rPr>
          <w:rFonts w:ascii="Cambria" w:hAnsi="Cambria" w:cs="Calibri"/>
          <w:bCs/>
          <w:sz w:val="20"/>
          <w:szCs w:val="20"/>
          <w:lang w:val="en-GB"/>
        </w:rPr>
        <w:t xml:space="preserve"> but also i</w:t>
      </w:r>
      <w:r w:rsidRPr="00223CBF">
        <w:rPr>
          <w:rFonts w:ascii="Cambria" w:hAnsi="Cambria" w:cs="Calibri"/>
          <w:bCs/>
          <w:sz w:val="20"/>
          <w:szCs w:val="20"/>
          <w:lang w:val="en-GB"/>
        </w:rPr>
        <w:t xml:space="preserve">ncrease the effectiveness of communication and advocacy strategies of the ICs. </w:t>
      </w:r>
    </w:p>
    <w:p w14:paraId="06956882" w14:textId="327DD61B" w:rsidR="004D0F4B" w:rsidRPr="005B3C3A" w:rsidRDefault="00C0628F" w:rsidP="004D0F4B">
      <w:pPr>
        <w:pStyle w:val="BodyText"/>
        <w:spacing w:line="360" w:lineRule="auto"/>
        <w:jc w:val="both"/>
        <w:rPr>
          <w:rFonts w:ascii="Cambria" w:hAnsi="Cambria" w:cs="Calibri"/>
          <w:bCs/>
          <w:sz w:val="20"/>
          <w:szCs w:val="20"/>
          <w:lang w:val="en-GB"/>
        </w:rPr>
      </w:pPr>
      <w:r w:rsidRPr="00223CBF">
        <w:rPr>
          <w:rFonts w:ascii="Cambria" w:hAnsi="Cambria" w:cs="Calibri"/>
          <w:bCs/>
          <w:sz w:val="20"/>
          <w:szCs w:val="20"/>
          <w:lang w:val="en-GB"/>
        </w:rPr>
        <w:t xml:space="preserve">Although linking HRC clients with </w:t>
      </w:r>
      <w:r w:rsidR="00331FB6" w:rsidRPr="00223CBF">
        <w:rPr>
          <w:rFonts w:ascii="Cambria" w:hAnsi="Cambria" w:cs="Calibri"/>
          <w:bCs/>
          <w:sz w:val="20"/>
          <w:szCs w:val="20"/>
          <w:lang w:val="en-GB"/>
        </w:rPr>
        <w:t>L</w:t>
      </w:r>
      <w:r w:rsidR="00BF1E11">
        <w:rPr>
          <w:rFonts w:ascii="Cambria" w:hAnsi="Cambria" w:cs="Calibri"/>
          <w:bCs/>
          <w:sz w:val="20"/>
          <w:szCs w:val="20"/>
          <w:lang w:val="en-GB"/>
        </w:rPr>
        <w:t>egal Aid Commission (L</w:t>
      </w:r>
      <w:r w:rsidR="00331FB6" w:rsidRPr="00223CBF">
        <w:rPr>
          <w:rFonts w:ascii="Cambria" w:hAnsi="Cambria" w:cs="Calibri"/>
          <w:bCs/>
          <w:sz w:val="20"/>
          <w:szCs w:val="20"/>
          <w:lang w:val="en-GB"/>
        </w:rPr>
        <w:t>AC</w:t>
      </w:r>
      <w:r w:rsidR="00BF1E11">
        <w:rPr>
          <w:rFonts w:ascii="Cambria" w:hAnsi="Cambria" w:cs="Calibri"/>
          <w:bCs/>
          <w:sz w:val="20"/>
          <w:szCs w:val="20"/>
          <w:lang w:val="en-GB"/>
        </w:rPr>
        <w:t>)</w:t>
      </w:r>
      <w:r w:rsidRPr="00223CBF">
        <w:rPr>
          <w:rFonts w:ascii="Cambria" w:hAnsi="Cambria" w:cs="Calibri"/>
          <w:bCs/>
          <w:sz w:val="20"/>
          <w:szCs w:val="20"/>
          <w:lang w:val="en-GB"/>
        </w:rPr>
        <w:t xml:space="preserve"> informally</w:t>
      </w:r>
      <w:r w:rsidR="00331FB6" w:rsidRPr="00223CBF">
        <w:rPr>
          <w:rFonts w:ascii="Cambria" w:hAnsi="Cambria" w:cs="Calibri"/>
          <w:bCs/>
          <w:sz w:val="20"/>
          <w:szCs w:val="20"/>
          <w:lang w:val="en-GB"/>
        </w:rPr>
        <w:t>, by which LAC agreed to represent petitioners who</w:t>
      </w:r>
      <w:r w:rsidRPr="00223CBF">
        <w:rPr>
          <w:rFonts w:ascii="Cambria" w:hAnsi="Cambria" w:cs="Calibri"/>
          <w:bCs/>
          <w:sz w:val="20"/>
          <w:szCs w:val="20"/>
          <w:lang w:val="en-GB"/>
        </w:rPr>
        <w:t xml:space="preserve"> wish </w:t>
      </w:r>
      <w:r w:rsidR="00331FB6" w:rsidRPr="00223CBF">
        <w:rPr>
          <w:rFonts w:ascii="Cambria" w:hAnsi="Cambria" w:cs="Calibri"/>
          <w:bCs/>
          <w:sz w:val="20"/>
          <w:szCs w:val="20"/>
          <w:lang w:val="en-GB"/>
        </w:rPr>
        <w:t>to appeal to the Supreme Court</w:t>
      </w:r>
      <w:r w:rsidRPr="00223CBF">
        <w:rPr>
          <w:rFonts w:ascii="Cambria" w:hAnsi="Cambria" w:cs="Calibri"/>
          <w:bCs/>
          <w:sz w:val="20"/>
          <w:szCs w:val="20"/>
          <w:lang w:val="en-GB"/>
        </w:rPr>
        <w:t xml:space="preserve">, </w:t>
      </w:r>
      <w:r w:rsidR="00331FB6" w:rsidRPr="00223CBF">
        <w:rPr>
          <w:rFonts w:ascii="Cambria" w:hAnsi="Cambria" w:cs="Calibri"/>
          <w:bCs/>
          <w:sz w:val="20"/>
          <w:szCs w:val="20"/>
          <w:lang w:val="en-GB"/>
        </w:rPr>
        <w:t>after the conclusion of the application at the HRC</w:t>
      </w:r>
      <w:r w:rsidRPr="00223CBF">
        <w:rPr>
          <w:rFonts w:ascii="Cambria" w:hAnsi="Cambria" w:cs="Calibri"/>
          <w:bCs/>
          <w:sz w:val="20"/>
          <w:szCs w:val="20"/>
          <w:lang w:val="en-GB"/>
        </w:rPr>
        <w:t xml:space="preserve">, </w:t>
      </w:r>
      <w:r w:rsidR="00331FB6" w:rsidRPr="00223CBF">
        <w:rPr>
          <w:rFonts w:ascii="Cambria" w:hAnsi="Cambria" w:cs="Calibri"/>
          <w:bCs/>
          <w:sz w:val="20"/>
          <w:szCs w:val="20"/>
          <w:lang w:val="en-GB"/>
        </w:rPr>
        <w:t xml:space="preserve">is </w:t>
      </w:r>
      <w:r w:rsidRPr="00223CBF">
        <w:rPr>
          <w:rFonts w:ascii="Cambria" w:hAnsi="Cambria" w:cs="Calibri"/>
          <w:bCs/>
          <w:sz w:val="20"/>
          <w:szCs w:val="20"/>
          <w:lang w:val="en-GB"/>
        </w:rPr>
        <w:t xml:space="preserve">relevant and </w:t>
      </w:r>
      <w:r w:rsidR="00331FB6" w:rsidRPr="00223CBF">
        <w:rPr>
          <w:rFonts w:ascii="Cambria" w:hAnsi="Cambria" w:cs="Calibri"/>
          <w:bCs/>
          <w:sz w:val="20"/>
          <w:szCs w:val="20"/>
          <w:lang w:val="en-GB"/>
        </w:rPr>
        <w:t>effective, it would require further support to streamlin</w:t>
      </w:r>
      <w:r w:rsidRPr="00223CBF">
        <w:rPr>
          <w:rFonts w:ascii="Cambria" w:hAnsi="Cambria" w:cs="Calibri"/>
          <w:bCs/>
          <w:sz w:val="20"/>
          <w:szCs w:val="20"/>
          <w:lang w:val="en-GB"/>
        </w:rPr>
        <w:t xml:space="preserve">e procedures </w:t>
      </w:r>
      <w:r w:rsidR="00331FB6" w:rsidRPr="00223CBF">
        <w:rPr>
          <w:rFonts w:ascii="Cambria" w:hAnsi="Cambria" w:cs="Calibri"/>
          <w:bCs/>
          <w:sz w:val="20"/>
          <w:szCs w:val="20"/>
          <w:lang w:val="en-GB"/>
        </w:rPr>
        <w:t xml:space="preserve">and additional support to LAC to be </w:t>
      </w:r>
      <w:r w:rsidRPr="00223CBF">
        <w:rPr>
          <w:rFonts w:ascii="Cambria" w:hAnsi="Cambria" w:cs="Calibri"/>
          <w:bCs/>
          <w:sz w:val="20"/>
          <w:szCs w:val="20"/>
          <w:lang w:val="en-GB"/>
        </w:rPr>
        <w:t xml:space="preserve">an </w:t>
      </w:r>
      <w:r w:rsidR="00331FB6" w:rsidRPr="00223CBF">
        <w:rPr>
          <w:rFonts w:ascii="Cambria" w:hAnsi="Cambria" w:cs="Calibri"/>
          <w:bCs/>
          <w:sz w:val="20"/>
          <w:szCs w:val="20"/>
          <w:lang w:val="en-GB"/>
        </w:rPr>
        <w:t>effective</w:t>
      </w:r>
      <w:r w:rsidRPr="00223CBF">
        <w:rPr>
          <w:rFonts w:ascii="Cambria" w:hAnsi="Cambria" w:cs="Calibri"/>
          <w:bCs/>
          <w:sz w:val="20"/>
          <w:szCs w:val="20"/>
          <w:lang w:val="en-GB"/>
        </w:rPr>
        <w:t xml:space="preserve"> service in</w:t>
      </w:r>
      <w:r w:rsidR="00331FB6" w:rsidRPr="00223CBF">
        <w:rPr>
          <w:rFonts w:ascii="Cambria" w:hAnsi="Cambria" w:cs="Calibri"/>
          <w:bCs/>
          <w:sz w:val="20"/>
          <w:szCs w:val="20"/>
          <w:lang w:val="en-GB"/>
        </w:rPr>
        <w:t xml:space="preserve"> the long term.  </w:t>
      </w:r>
    </w:p>
    <w:p w14:paraId="3B4357CD" w14:textId="4AB7151E" w:rsidR="00DA0738" w:rsidRPr="00DA0738" w:rsidRDefault="00DA0738" w:rsidP="007C766E">
      <w:pPr>
        <w:pStyle w:val="ListParagraph"/>
        <w:numPr>
          <w:ilvl w:val="0"/>
          <w:numId w:val="9"/>
        </w:numPr>
        <w:spacing w:line="360" w:lineRule="auto"/>
        <w:jc w:val="both"/>
        <w:rPr>
          <w:rFonts w:ascii="Cambria" w:hAnsi="Cambria" w:cstheme="minorHAnsi"/>
          <w:color w:val="0070C0"/>
          <w:sz w:val="20"/>
          <w:szCs w:val="20"/>
        </w:rPr>
      </w:pPr>
      <w:r w:rsidRPr="00DA0738">
        <w:rPr>
          <w:rFonts w:ascii="Cambria" w:hAnsi="Cambria" w:cstheme="minorHAnsi"/>
          <w:b/>
          <w:bCs/>
          <w:color w:val="0070C0"/>
          <w:sz w:val="20"/>
          <w:szCs w:val="20"/>
          <w:lang w:val="en-GB"/>
        </w:rPr>
        <w:t xml:space="preserve">The extent to which identified priorities resonated and responded to the needs of beneficiaries and the </w:t>
      </w:r>
      <w:r w:rsidRPr="00DA0738">
        <w:rPr>
          <w:rFonts w:ascii="Cambria" w:hAnsi="Cambria" w:cstheme="minorHAnsi"/>
          <w:b/>
          <w:color w:val="0070C0"/>
          <w:sz w:val="20"/>
          <w:szCs w:val="20"/>
          <w:lang w:val="en-GB"/>
        </w:rPr>
        <w:t>effectiveness of the partnership selection process</w:t>
      </w:r>
    </w:p>
    <w:p w14:paraId="280966DC" w14:textId="6BE2DE2E" w:rsidR="00DA0738" w:rsidRPr="00DA0738" w:rsidRDefault="00DA0738" w:rsidP="00DA0738">
      <w:pPr>
        <w:spacing w:line="360" w:lineRule="auto"/>
        <w:jc w:val="both"/>
        <w:rPr>
          <w:rFonts w:ascii="Cambria" w:hAnsi="Cambria" w:cstheme="minorHAnsi"/>
          <w:sz w:val="20"/>
          <w:szCs w:val="20"/>
        </w:rPr>
      </w:pPr>
      <w:r w:rsidRPr="00DA0738">
        <w:rPr>
          <w:rFonts w:ascii="Cambria" w:hAnsi="Cambria" w:cstheme="minorHAnsi"/>
          <w:sz w:val="20"/>
          <w:szCs w:val="20"/>
          <w:lang w:val="en-GB"/>
        </w:rPr>
        <w:t>Several strategic options were resorted to improve inclusivity and respond to the needs of the beneficiaries. This was done, by crafting communications strategies and platforms for dissemination and participation by beneficiaries. Digitisation of the case management systems for greater transparency and reducing delays between filing a complaint and completion of inquiry and recommendations, and further reducing barriers by forming partnerships with legal aid organisations, such as the</w:t>
      </w:r>
      <w:r w:rsidR="009A4774">
        <w:rPr>
          <w:rFonts w:ascii="Cambria" w:hAnsi="Cambria" w:cstheme="minorHAnsi"/>
          <w:sz w:val="20"/>
          <w:szCs w:val="20"/>
          <w:lang w:val="en-GB"/>
        </w:rPr>
        <w:t xml:space="preserve"> </w:t>
      </w:r>
      <w:r w:rsidRPr="00DA0738">
        <w:rPr>
          <w:rFonts w:ascii="Cambria" w:hAnsi="Cambria" w:cstheme="minorHAnsi"/>
          <w:sz w:val="20"/>
          <w:szCs w:val="20"/>
          <w:lang w:val="en-GB"/>
        </w:rPr>
        <w:t>LAC to assist indigent clients was relevant and effective. However, during the first phase of the Portfolio, the ICs functions were secluded and did not draw from strengths and experiences of each other, where relevant or build on cooperation and association with peer institutions within and outside the region through UN</w:t>
      </w:r>
      <w:r w:rsidR="009A4774">
        <w:rPr>
          <w:rFonts w:ascii="Cambria" w:hAnsi="Cambria" w:cstheme="minorHAnsi"/>
          <w:sz w:val="20"/>
          <w:szCs w:val="20"/>
          <w:lang w:val="en-GB"/>
        </w:rPr>
        <w:t>D</w:t>
      </w:r>
      <w:r w:rsidRPr="00DA0738">
        <w:rPr>
          <w:rFonts w:ascii="Cambria" w:hAnsi="Cambria" w:cstheme="minorHAnsi"/>
          <w:sz w:val="20"/>
          <w:szCs w:val="20"/>
          <w:lang w:val="en-GB"/>
        </w:rPr>
        <w:t>P regional and global networks.</w:t>
      </w:r>
    </w:p>
    <w:p w14:paraId="5D8A037C" w14:textId="65A245B1" w:rsidR="00331FB6" w:rsidRPr="00223CBF" w:rsidRDefault="00331FB6" w:rsidP="000507CA">
      <w:pPr>
        <w:spacing w:line="360" w:lineRule="auto"/>
        <w:jc w:val="both"/>
        <w:rPr>
          <w:rFonts w:ascii="Cambria" w:hAnsi="Cambria" w:cstheme="minorHAnsi"/>
          <w:b/>
          <w:bCs/>
          <w:sz w:val="20"/>
          <w:szCs w:val="20"/>
        </w:rPr>
      </w:pPr>
      <w:r w:rsidRPr="00223CBF">
        <w:rPr>
          <w:rFonts w:ascii="Cambria" w:hAnsi="Cambria" w:cstheme="minorHAnsi"/>
          <w:b/>
          <w:bCs/>
          <w:sz w:val="20"/>
          <w:szCs w:val="20"/>
        </w:rPr>
        <w:lastRenderedPageBreak/>
        <w:t>EQ3: Efficiency</w:t>
      </w:r>
    </w:p>
    <w:p w14:paraId="12B4982C" w14:textId="77777777" w:rsidR="00331FB6" w:rsidRPr="00223CBF" w:rsidRDefault="00331FB6" w:rsidP="000507CA">
      <w:pPr>
        <w:shd w:val="clear" w:color="auto" w:fill="92D050"/>
        <w:spacing w:line="360" w:lineRule="auto"/>
        <w:jc w:val="both"/>
        <w:rPr>
          <w:rFonts w:ascii="Cambria" w:hAnsi="Cambria" w:cstheme="minorHAnsi"/>
          <w:sz w:val="20"/>
          <w:szCs w:val="20"/>
        </w:rPr>
      </w:pPr>
    </w:p>
    <w:p w14:paraId="3704D800" w14:textId="1BE9C805" w:rsidR="009C1670" w:rsidRPr="009C1670" w:rsidRDefault="009C1670" w:rsidP="007C766E">
      <w:pPr>
        <w:pStyle w:val="ListParagraph"/>
        <w:numPr>
          <w:ilvl w:val="0"/>
          <w:numId w:val="7"/>
        </w:numPr>
        <w:shd w:val="clear" w:color="auto" w:fill="92D050"/>
        <w:spacing w:line="360" w:lineRule="auto"/>
        <w:jc w:val="center"/>
        <w:rPr>
          <w:rFonts w:ascii="Cambria" w:hAnsi="Cambria" w:cstheme="minorHAnsi"/>
          <w:sz w:val="20"/>
          <w:szCs w:val="20"/>
        </w:rPr>
      </w:pPr>
      <w:r w:rsidRPr="009C1670">
        <w:rPr>
          <w:rFonts w:ascii="Cambria" w:hAnsi="Cambria" w:cstheme="minorHAnsi"/>
          <w:sz w:val="20"/>
          <w:szCs w:val="20"/>
        </w:rPr>
        <w:t xml:space="preserve">Efficiency </w:t>
      </w:r>
      <w:r w:rsidR="004F5AE4" w:rsidRPr="009C1670">
        <w:rPr>
          <w:rFonts w:ascii="Cambria" w:hAnsi="Cambria" w:cstheme="minorHAnsi"/>
          <w:sz w:val="20"/>
          <w:szCs w:val="20"/>
        </w:rPr>
        <w:t xml:space="preserve">looks at the extent to which the Portfolio has used the </w:t>
      </w:r>
      <w:r w:rsidR="004F5AE4" w:rsidRPr="009C1670">
        <w:rPr>
          <w:rFonts w:ascii="Cambria" w:hAnsi="Cambria" w:cstheme="minorHAnsi"/>
          <w:b/>
          <w:bCs/>
          <w:sz w:val="20"/>
          <w:szCs w:val="20"/>
        </w:rPr>
        <w:t>most effective methods</w:t>
      </w:r>
      <w:r w:rsidR="004F5AE4" w:rsidRPr="009C1670">
        <w:rPr>
          <w:rFonts w:ascii="Cambria" w:hAnsi="Cambria" w:cstheme="minorHAnsi"/>
          <w:sz w:val="20"/>
          <w:szCs w:val="20"/>
        </w:rPr>
        <w:t xml:space="preserve"> to achieve </w:t>
      </w:r>
      <w:r w:rsidR="004F5AE4" w:rsidRPr="00BF3054">
        <w:rPr>
          <w:rFonts w:ascii="Cambria" w:hAnsi="Cambria" w:cstheme="minorHAnsi"/>
          <w:sz w:val="20"/>
          <w:szCs w:val="20"/>
        </w:rPr>
        <w:t>planned Outputs</w:t>
      </w:r>
      <w:r w:rsidR="004F5AE4" w:rsidRPr="009C1670">
        <w:rPr>
          <w:rFonts w:ascii="Cambria" w:hAnsi="Cambria" w:cstheme="minorHAnsi"/>
          <w:sz w:val="20"/>
          <w:szCs w:val="20"/>
        </w:rPr>
        <w:t>. Efficiency also refers to the</w:t>
      </w:r>
      <w:r w:rsidR="004F5AE4" w:rsidRPr="009C1670">
        <w:rPr>
          <w:rFonts w:ascii="Cambria" w:hAnsi="Cambria" w:cstheme="minorHAnsi"/>
          <w:b/>
          <w:bCs/>
          <w:sz w:val="20"/>
          <w:szCs w:val="20"/>
        </w:rPr>
        <w:t xml:space="preserve"> adequacy of the structures and modalities</w:t>
      </w:r>
      <w:r w:rsidR="004F5AE4" w:rsidRPr="009C1670">
        <w:rPr>
          <w:rFonts w:ascii="Cambria" w:hAnsi="Cambria" w:cstheme="minorHAnsi"/>
          <w:sz w:val="20"/>
          <w:szCs w:val="20"/>
        </w:rPr>
        <w:t xml:space="preserve"> of the Portfolio to maximise financial and human resources cost and visibility</w:t>
      </w:r>
      <w:r w:rsidR="004F5AE4">
        <w:rPr>
          <w:rFonts w:ascii="Cambria" w:hAnsi="Cambria" w:cstheme="minorHAnsi"/>
          <w:sz w:val="20"/>
          <w:szCs w:val="20"/>
        </w:rPr>
        <w:t xml:space="preserve"> </w:t>
      </w:r>
      <w:r w:rsidR="004F5AE4" w:rsidRPr="009C1670">
        <w:rPr>
          <w:rFonts w:ascii="Cambria" w:hAnsi="Cambria" w:cstheme="minorHAnsi"/>
          <w:sz w:val="20"/>
          <w:szCs w:val="20"/>
        </w:rPr>
        <w:t xml:space="preserve">of </w:t>
      </w:r>
      <w:r w:rsidR="004F5AE4" w:rsidRPr="009C1670">
        <w:rPr>
          <w:rFonts w:ascii="Cambria" w:hAnsi="Cambria" w:cstheme="minorHAnsi"/>
          <w:b/>
          <w:bCs/>
          <w:sz w:val="20"/>
          <w:szCs w:val="20"/>
        </w:rPr>
        <w:t xml:space="preserve">best practices </w:t>
      </w:r>
      <w:r w:rsidR="004F5AE4" w:rsidRPr="009C1670">
        <w:rPr>
          <w:rFonts w:ascii="Cambria" w:hAnsi="Cambria" w:cstheme="minorHAnsi"/>
          <w:sz w:val="20"/>
          <w:szCs w:val="20"/>
        </w:rPr>
        <w:t>in cost efficiency and collaborations.</w:t>
      </w:r>
    </w:p>
    <w:p w14:paraId="3AE4306D" w14:textId="066384B0" w:rsidR="00331FB6" w:rsidRPr="00223CBF" w:rsidRDefault="00331FB6" w:rsidP="007C766E">
      <w:pPr>
        <w:pStyle w:val="BodyText"/>
        <w:numPr>
          <w:ilvl w:val="0"/>
          <w:numId w:val="29"/>
        </w:numPr>
        <w:spacing w:line="360" w:lineRule="auto"/>
        <w:jc w:val="both"/>
        <w:rPr>
          <w:rFonts w:ascii="Cambria" w:hAnsi="Cambria" w:cstheme="minorHAnsi"/>
          <w:b/>
          <w:color w:val="0070C0"/>
          <w:sz w:val="20"/>
          <w:szCs w:val="20"/>
          <w:lang w:val="en-GB"/>
        </w:rPr>
      </w:pPr>
      <w:r w:rsidRPr="00223CBF">
        <w:rPr>
          <w:rFonts w:ascii="Cambria" w:hAnsi="Cambria" w:cstheme="minorHAnsi"/>
          <w:b/>
          <w:color w:val="0070C0"/>
          <w:sz w:val="20"/>
          <w:szCs w:val="20"/>
          <w:lang w:val="en-GB"/>
        </w:rPr>
        <w:t xml:space="preserve">The extent to which the Outputs have used the most effective methods to achieve planned objectives and best practices </w:t>
      </w:r>
    </w:p>
    <w:p w14:paraId="33368900" w14:textId="41A4163F" w:rsidR="000D0190" w:rsidRPr="00223CBF" w:rsidRDefault="000D0190" w:rsidP="000507CA">
      <w:pPr>
        <w:pStyle w:val="BodyText"/>
        <w:spacing w:line="360" w:lineRule="auto"/>
        <w:jc w:val="both"/>
        <w:rPr>
          <w:rFonts w:ascii="Cambria" w:hAnsi="Cambria" w:cs="Calibri"/>
          <w:bCs/>
          <w:sz w:val="20"/>
          <w:szCs w:val="20"/>
          <w:lang w:val="en-GB"/>
        </w:rPr>
      </w:pPr>
      <w:r w:rsidRPr="00223CBF">
        <w:rPr>
          <w:rFonts w:ascii="Cambria" w:hAnsi="Cambria" w:cs="Calibri"/>
          <w:bCs/>
          <w:sz w:val="20"/>
          <w:szCs w:val="20"/>
          <w:lang w:val="en-GB"/>
        </w:rPr>
        <w:t>Both the HRC and RTIC were in unison in expressing the h</w:t>
      </w:r>
      <w:r w:rsidR="00DA1F60" w:rsidRPr="00223CBF">
        <w:rPr>
          <w:rFonts w:ascii="Cambria" w:hAnsi="Cambria" w:cs="Calibri"/>
          <w:bCs/>
          <w:sz w:val="20"/>
          <w:szCs w:val="20"/>
          <w:lang w:val="en-GB"/>
        </w:rPr>
        <w:t xml:space="preserve">igh level of </w:t>
      </w:r>
      <w:r w:rsidRPr="00223CBF">
        <w:rPr>
          <w:rFonts w:ascii="Cambria" w:hAnsi="Cambria" w:cs="Calibri"/>
          <w:bCs/>
          <w:sz w:val="20"/>
          <w:szCs w:val="20"/>
          <w:lang w:val="en-GB"/>
        </w:rPr>
        <w:t>contribution extended to improving the investigating, inquiring, monitoring and reporting functions of the Commissions</w:t>
      </w:r>
      <w:r w:rsidR="00C441E5">
        <w:rPr>
          <w:rFonts w:ascii="Cambria" w:hAnsi="Cambria" w:cs="Calibri"/>
          <w:bCs/>
          <w:sz w:val="20"/>
          <w:szCs w:val="20"/>
          <w:lang w:val="en-GB"/>
        </w:rPr>
        <w:t>,</w:t>
      </w:r>
      <w:r w:rsidRPr="00223CBF">
        <w:rPr>
          <w:rFonts w:ascii="Cambria" w:hAnsi="Cambria" w:cs="Calibri"/>
          <w:bCs/>
          <w:sz w:val="20"/>
          <w:szCs w:val="20"/>
          <w:lang w:val="en-GB"/>
        </w:rPr>
        <w:t xml:space="preserve"> as a direct result of recruiting United Nations Volunteers (UNVs). </w:t>
      </w:r>
    </w:p>
    <w:p w14:paraId="597FF752" w14:textId="7FC78729" w:rsidR="004C3F55" w:rsidRPr="00223CBF" w:rsidRDefault="00331FB6" w:rsidP="000507CA">
      <w:pPr>
        <w:pStyle w:val="BodyText"/>
        <w:spacing w:line="360" w:lineRule="auto"/>
        <w:jc w:val="both"/>
        <w:rPr>
          <w:rFonts w:ascii="Cambria" w:hAnsi="Cambria" w:cs="Calibri"/>
          <w:bCs/>
          <w:sz w:val="20"/>
          <w:szCs w:val="20"/>
          <w:lang w:val="en-GB"/>
        </w:rPr>
      </w:pPr>
      <w:r w:rsidRPr="00223CBF">
        <w:rPr>
          <w:rFonts w:ascii="Cambria" w:hAnsi="Cambria" w:cs="Calibri"/>
          <w:bCs/>
          <w:sz w:val="20"/>
          <w:szCs w:val="20"/>
          <w:lang w:val="en-GB"/>
        </w:rPr>
        <w:t>The efficient use of Volunteers and recruitment of staff on short term contracts</w:t>
      </w:r>
      <w:r w:rsidR="00C441E5">
        <w:rPr>
          <w:rFonts w:ascii="Cambria" w:hAnsi="Cambria" w:cs="Calibri"/>
          <w:bCs/>
          <w:sz w:val="20"/>
          <w:szCs w:val="20"/>
          <w:lang w:val="en-GB"/>
        </w:rPr>
        <w:t>,</w:t>
      </w:r>
      <w:r w:rsidRPr="00223CBF">
        <w:rPr>
          <w:rFonts w:ascii="Cambria" w:hAnsi="Cambria" w:cs="Calibri"/>
          <w:bCs/>
          <w:sz w:val="20"/>
          <w:szCs w:val="20"/>
          <w:lang w:val="en-GB"/>
        </w:rPr>
        <w:t xml:space="preserve"> to support the initial phase of the Outputs</w:t>
      </w:r>
      <w:r w:rsidR="00C441E5">
        <w:rPr>
          <w:rFonts w:ascii="Cambria" w:hAnsi="Cambria" w:cs="Calibri"/>
          <w:bCs/>
          <w:sz w:val="20"/>
          <w:szCs w:val="20"/>
          <w:lang w:val="en-GB"/>
        </w:rPr>
        <w:t>,</w:t>
      </w:r>
      <w:r w:rsidRPr="00223CBF">
        <w:rPr>
          <w:rFonts w:ascii="Cambria" w:hAnsi="Cambria" w:cs="Calibri"/>
          <w:bCs/>
          <w:sz w:val="20"/>
          <w:szCs w:val="20"/>
          <w:lang w:val="en-GB"/>
        </w:rPr>
        <w:t xml:space="preserve"> has contributed to the effectiveness of Outputs with regard to ICs. Volunteers sourced from UN Volunteers</w:t>
      </w:r>
      <w:r w:rsidR="00C441E5">
        <w:rPr>
          <w:rFonts w:ascii="Cambria" w:hAnsi="Cambria" w:cs="Calibri"/>
          <w:bCs/>
          <w:sz w:val="20"/>
          <w:szCs w:val="20"/>
          <w:lang w:val="en-GB"/>
        </w:rPr>
        <w:t>,</w:t>
      </w:r>
      <w:r w:rsidRPr="00223CBF">
        <w:rPr>
          <w:rFonts w:ascii="Cambria" w:hAnsi="Cambria" w:cs="Calibri"/>
          <w:bCs/>
          <w:sz w:val="20"/>
          <w:szCs w:val="20"/>
          <w:lang w:val="en-GB"/>
        </w:rPr>
        <w:t> were attached to the HRC from the inception of the Portfolio</w:t>
      </w:r>
      <w:r w:rsidR="000D0190" w:rsidRPr="00223CBF">
        <w:rPr>
          <w:rFonts w:ascii="Cambria" w:hAnsi="Cambria" w:cs="Calibri"/>
          <w:bCs/>
          <w:sz w:val="20"/>
          <w:szCs w:val="20"/>
          <w:lang w:val="en-GB"/>
        </w:rPr>
        <w:t xml:space="preserve">. They </w:t>
      </w:r>
      <w:r w:rsidRPr="00223CBF">
        <w:rPr>
          <w:rFonts w:ascii="Cambria" w:hAnsi="Cambria" w:cs="Calibri"/>
          <w:bCs/>
          <w:sz w:val="20"/>
          <w:szCs w:val="20"/>
          <w:lang w:val="en-GB"/>
        </w:rPr>
        <w:t>provide</w:t>
      </w:r>
      <w:r w:rsidR="000D0190" w:rsidRPr="00223CBF">
        <w:rPr>
          <w:rFonts w:ascii="Cambria" w:hAnsi="Cambria" w:cs="Calibri"/>
          <w:bCs/>
          <w:sz w:val="20"/>
          <w:szCs w:val="20"/>
          <w:lang w:val="en-GB"/>
        </w:rPr>
        <w:t>d</w:t>
      </w:r>
      <w:r w:rsidRPr="00223CBF">
        <w:rPr>
          <w:rFonts w:ascii="Cambria" w:hAnsi="Cambria" w:cs="Calibri"/>
          <w:bCs/>
          <w:sz w:val="20"/>
          <w:szCs w:val="20"/>
          <w:lang w:val="en-GB"/>
        </w:rPr>
        <w:t xml:space="preserve"> much needed assistance to reduce backlog of cases</w:t>
      </w:r>
      <w:r w:rsidR="00C441E5">
        <w:rPr>
          <w:rFonts w:ascii="Cambria" w:hAnsi="Cambria" w:cs="Calibri"/>
          <w:bCs/>
          <w:sz w:val="20"/>
          <w:szCs w:val="20"/>
          <w:lang w:val="en-GB"/>
        </w:rPr>
        <w:t>,</w:t>
      </w:r>
      <w:r w:rsidRPr="00223CBF">
        <w:rPr>
          <w:rFonts w:ascii="Cambria" w:hAnsi="Cambria" w:cs="Calibri"/>
          <w:bCs/>
          <w:sz w:val="20"/>
          <w:szCs w:val="20"/>
          <w:lang w:val="en-GB"/>
        </w:rPr>
        <w:t xml:space="preserve"> allowing HRC to focus on serious human rights violations, assistance for reporting and monitoring detention centres, data collection and reporting to </w:t>
      </w:r>
      <w:r w:rsidR="00C441E5" w:rsidRPr="00223CBF">
        <w:rPr>
          <w:rFonts w:ascii="Cambria" w:hAnsi="Cambria" w:cs="Calibri"/>
          <w:bCs/>
          <w:sz w:val="20"/>
          <w:szCs w:val="20"/>
          <w:lang w:val="en-GB"/>
        </w:rPr>
        <w:t>international</w:t>
      </w:r>
      <w:r w:rsidRPr="00223CBF">
        <w:rPr>
          <w:rFonts w:ascii="Cambria" w:hAnsi="Cambria" w:cs="Calibri"/>
          <w:bCs/>
          <w:sz w:val="20"/>
          <w:szCs w:val="20"/>
          <w:lang w:val="en-GB"/>
        </w:rPr>
        <w:t xml:space="preserve"> treaty bodies and Special Rapporteurs, data collection to draft specialised situational reports, particularly in the aftermath of the Easter attacks in 2019</w:t>
      </w:r>
      <w:r w:rsidR="000D0190" w:rsidRPr="00223CBF">
        <w:rPr>
          <w:rFonts w:ascii="Cambria" w:hAnsi="Cambria" w:cs="Calibri"/>
          <w:bCs/>
          <w:sz w:val="20"/>
          <w:szCs w:val="20"/>
          <w:lang w:val="en-GB"/>
        </w:rPr>
        <w:t>.</w:t>
      </w:r>
      <w:r w:rsidRPr="00223CBF">
        <w:rPr>
          <w:rFonts w:ascii="Cambria" w:hAnsi="Cambria" w:cs="Calibri"/>
          <w:bCs/>
          <w:sz w:val="20"/>
          <w:szCs w:val="20"/>
          <w:lang w:val="en-GB"/>
        </w:rPr>
        <w:t xml:space="preserve">  </w:t>
      </w:r>
      <w:r w:rsidR="000D0190" w:rsidRPr="00223CBF">
        <w:rPr>
          <w:rFonts w:ascii="Cambria" w:hAnsi="Cambria" w:cs="Calibri"/>
          <w:bCs/>
          <w:sz w:val="20"/>
          <w:szCs w:val="20"/>
          <w:lang w:val="en-GB"/>
        </w:rPr>
        <w:t xml:space="preserve">An invaluable </w:t>
      </w:r>
      <w:r w:rsidRPr="00223CBF">
        <w:rPr>
          <w:rFonts w:ascii="Cambria" w:hAnsi="Cambria" w:cs="Calibri"/>
          <w:bCs/>
          <w:sz w:val="20"/>
          <w:szCs w:val="20"/>
          <w:lang w:val="en-GB"/>
        </w:rPr>
        <w:t>contribution to RTIC</w:t>
      </w:r>
      <w:r w:rsidR="00C441E5">
        <w:rPr>
          <w:rFonts w:ascii="Cambria" w:hAnsi="Cambria" w:cs="Calibri"/>
          <w:bCs/>
          <w:sz w:val="20"/>
          <w:szCs w:val="20"/>
          <w:lang w:val="en-GB"/>
        </w:rPr>
        <w:t>,</w:t>
      </w:r>
      <w:r w:rsidRPr="00223CBF">
        <w:rPr>
          <w:rFonts w:ascii="Cambria" w:hAnsi="Cambria" w:cs="Calibri"/>
          <w:bCs/>
          <w:sz w:val="20"/>
          <w:szCs w:val="20"/>
          <w:lang w:val="en-GB"/>
        </w:rPr>
        <w:t xml:space="preserve"> through engagement of short/medium term lawyers</w:t>
      </w:r>
      <w:r w:rsidR="00C441E5">
        <w:rPr>
          <w:rFonts w:ascii="Cambria" w:hAnsi="Cambria" w:cs="Calibri"/>
          <w:bCs/>
          <w:sz w:val="20"/>
          <w:szCs w:val="20"/>
          <w:lang w:val="en-GB"/>
        </w:rPr>
        <w:t>,</w:t>
      </w:r>
      <w:r w:rsidRPr="00223CBF">
        <w:rPr>
          <w:rFonts w:ascii="Cambria" w:hAnsi="Cambria" w:cs="Calibri"/>
          <w:bCs/>
          <w:sz w:val="20"/>
          <w:szCs w:val="20"/>
          <w:lang w:val="en-GB"/>
        </w:rPr>
        <w:t xml:space="preserve"> to strengthen their core legal and monitoring functions stipulated by the Act </w:t>
      </w:r>
      <w:r w:rsidR="000D0190" w:rsidRPr="00223CBF">
        <w:rPr>
          <w:rFonts w:ascii="Cambria" w:hAnsi="Cambria" w:cs="Calibri"/>
          <w:bCs/>
          <w:sz w:val="20"/>
          <w:szCs w:val="20"/>
          <w:lang w:val="en-GB"/>
        </w:rPr>
        <w:t>in the first phase of the Portfolio</w:t>
      </w:r>
      <w:r w:rsidR="00C441E5">
        <w:rPr>
          <w:rFonts w:ascii="Cambria" w:hAnsi="Cambria" w:cs="Calibri"/>
          <w:bCs/>
          <w:sz w:val="20"/>
          <w:szCs w:val="20"/>
          <w:lang w:val="en-GB"/>
        </w:rPr>
        <w:t>,</w:t>
      </w:r>
      <w:r w:rsidR="000D0190" w:rsidRPr="00223CBF">
        <w:rPr>
          <w:rFonts w:ascii="Cambria" w:hAnsi="Cambria" w:cs="Calibri"/>
          <w:bCs/>
          <w:sz w:val="20"/>
          <w:szCs w:val="20"/>
          <w:lang w:val="en-GB"/>
        </w:rPr>
        <w:t xml:space="preserve"> was highlighted as </w:t>
      </w:r>
      <w:r w:rsidR="007072D3">
        <w:rPr>
          <w:rFonts w:ascii="Cambria" w:hAnsi="Cambria" w:cs="Calibri"/>
          <w:bCs/>
          <w:sz w:val="20"/>
          <w:szCs w:val="20"/>
          <w:lang w:val="en-GB"/>
        </w:rPr>
        <w:t xml:space="preserve">a </w:t>
      </w:r>
      <w:r w:rsidR="000D0190" w:rsidRPr="00223CBF">
        <w:rPr>
          <w:rFonts w:ascii="Cambria" w:hAnsi="Cambria" w:cs="Calibri"/>
          <w:bCs/>
          <w:sz w:val="20"/>
          <w:szCs w:val="20"/>
          <w:lang w:val="en-GB"/>
        </w:rPr>
        <w:t>‘saving grace’</w:t>
      </w:r>
      <w:r w:rsidR="00C441E5">
        <w:rPr>
          <w:rFonts w:ascii="Cambria" w:hAnsi="Cambria" w:cs="Calibri"/>
          <w:bCs/>
          <w:sz w:val="20"/>
          <w:szCs w:val="20"/>
          <w:lang w:val="en-GB"/>
        </w:rPr>
        <w:t xml:space="preserve">. They </w:t>
      </w:r>
      <w:r w:rsidR="000D0190" w:rsidRPr="00223CBF">
        <w:rPr>
          <w:rFonts w:ascii="Cambria" w:hAnsi="Cambria" w:cs="Calibri"/>
          <w:bCs/>
          <w:sz w:val="20"/>
          <w:szCs w:val="20"/>
          <w:lang w:val="en-GB"/>
        </w:rPr>
        <w:t xml:space="preserve">also </w:t>
      </w:r>
      <w:r w:rsidR="007072D3">
        <w:rPr>
          <w:rFonts w:ascii="Cambria" w:hAnsi="Cambria" w:cs="Calibri"/>
          <w:bCs/>
          <w:sz w:val="20"/>
          <w:szCs w:val="20"/>
          <w:lang w:val="en-GB"/>
        </w:rPr>
        <w:t xml:space="preserve">emphasised </w:t>
      </w:r>
      <w:r w:rsidR="000D0190" w:rsidRPr="00223CBF">
        <w:rPr>
          <w:rFonts w:ascii="Cambria" w:hAnsi="Cambria" w:cs="Calibri"/>
          <w:bCs/>
          <w:sz w:val="20"/>
          <w:szCs w:val="20"/>
          <w:lang w:val="en-GB"/>
        </w:rPr>
        <w:t>the continued necessity of it</w:t>
      </w:r>
      <w:r w:rsidR="00C441E5">
        <w:rPr>
          <w:rFonts w:ascii="Cambria" w:hAnsi="Cambria" w:cs="Calibri"/>
          <w:bCs/>
          <w:sz w:val="20"/>
          <w:szCs w:val="20"/>
          <w:lang w:val="en-GB"/>
        </w:rPr>
        <w:t>,</w:t>
      </w:r>
      <w:r w:rsidR="000D0190" w:rsidRPr="00223CBF">
        <w:rPr>
          <w:rFonts w:ascii="Cambria" w:hAnsi="Cambria" w:cs="Calibri"/>
          <w:bCs/>
          <w:sz w:val="20"/>
          <w:szCs w:val="20"/>
          <w:lang w:val="en-GB"/>
        </w:rPr>
        <w:t xml:space="preserve"> until such time </w:t>
      </w:r>
      <w:r w:rsidR="00197A53">
        <w:rPr>
          <w:rFonts w:ascii="Cambria" w:hAnsi="Cambria" w:cs="Calibri"/>
          <w:bCs/>
          <w:sz w:val="20"/>
          <w:szCs w:val="20"/>
          <w:lang w:val="en-GB"/>
        </w:rPr>
        <w:t xml:space="preserve">required </w:t>
      </w:r>
      <w:r w:rsidR="000D0190" w:rsidRPr="00223CBF">
        <w:rPr>
          <w:rFonts w:ascii="Cambria" w:hAnsi="Cambria" w:cs="Calibri"/>
          <w:bCs/>
          <w:sz w:val="20"/>
          <w:szCs w:val="20"/>
          <w:lang w:val="en-GB"/>
        </w:rPr>
        <w:t xml:space="preserve">cadre </w:t>
      </w:r>
      <w:r w:rsidR="00C441E5">
        <w:rPr>
          <w:rFonts w:ascii="Cambria" w:hAnsi="Cambria" w:cs="Calibri"/>
          <w:bCs/>
          <w:sz w:val="20"/>
          <w:szCs w:val="20"/>
          <w:lang w:val="en-GB"/>
        </w:rPr>
        <w:t>was</w:t>
      </w:r>
      <w:r w:rsidR="000D0190" w:rsidRPr="00223CBF">
        <w:rPr>
          <w:rFonts w:ascii="Cambria" w:hAnsi="Cambria" w:cs="Calibri"/>
          <w:bCs/>
          <w:sz w:val="20"/>
          <w:szCs w:val="20"/>
          <w:lang w:val="en-GB"/>
        </w:rPr>
        <w:t xml:space="preserve"> allocated and trained from the public service</w:t>
      </w:r>
      <w:r w:rsidRPr="00223CBF">
        <w:rPr>
          <w:rFonts w:ascii="Cambria" w:hAnsi="Cambria" w:cs="Calibri"/>
          <w:bCs/>
          <w:sz w:val="20"/>
          <w:szCs w:val="20"/>
          <w:lang w:val="en-GB"/>
        </w:rPr>
        <w:t xml:space="preserve">. </w:t>
      </w:r>
      <w:r w:rsidR="004C3F55" w:rsidRPr="00223CBF">
        <w:rPr>
          <w:rFonts w:ascii="Cambria" w:hAnsi="Cambria" w:cs="Calibri"/>
          <w:bCs/>
          <w:sz w:val="20"/>
          <w:szCs w:val="20"/>
        </w:rPr>
        <w:t>For example, 70% of back log cases were cleared by the RTIC owing to human resource support to the Commission.</w:t>
      </w:r>
    </w:p>
    <w:p w14:paraId="4BE889CC" w14:textId="19F1AFD9" w:rsidR="00E84AAF" w:rsidRDefault="00F25DF1" w:rsidP="000607E0">
      <w:pPr>
        <w:pStyle w:val="BodyText"/>
        <w:shd w:val="clear" w:color="auto" w:fill="FFC000"/>
        <w:spacing w:line="360" w:lineRule="auto"/>
        <w:jc w:val="both"/>
        <w:rPr>
          <w:rFonts w:ascii="Cambria" w:hAnsi="Cambria" w:cs="Calibri"/>
          <w:bCs/>
          <w:sz w:val="20"/>
          <w:szCs w:val="20"/>
          <w:lang w:val="en-GB"/>
        </w:rPr>
      </w:pPr>
      <w:r>
        <w:rPr>
          <w:rFonts w:ascii="Cambria" w:hAnsi="Cambria" w:cs="Calibri"/>
          <w:bCs/>
          <w:sz w:val="20"/>
          <w:szCs w:val="20"/>
          <w:lang w:val="en-GB"/>
        </w:rPr>
        <w:t>ICs</w:t>
      </w:r>
      <w:r w:rsidR="00331FB6" w:rsidRPr="00223CBF">
        <w:rPr>
          <w:rFonts w:ascii="Cambria" w:hAnsi="Cambria" w:cs="Calibri"/>
          <w:bCs/>
          <w:sz w:val="20"/>
          <w:szCs w:val="20"/>
          <w:lang w:val="en-GB"/>
        </w:rPr>
        <w:t xml:space="preserve"> identified as a </w:t>
      </w:r>
      <w:r w:rsidR="00FB2C0F" w:rsidRPr="00223CBF">
        <w:rPr>
          <w:rFonts w:ascii="Cambria" w:hAnsi="Cambria" w:cs="Calibri"/>
          <w:bCs/>
          <w:sz w:val="20"/>
          <w:szCs w:val="20"/>
          <w:lang w:val="en-GB"/>
        </w:rPr>
        <w:t>partner</w:t>
      </w:r>
      <w:r w:rsidR="008F12FA">
        <w:rPr>
          <w:rFonts w:ascii="Cambria" w:hAnsi="Cambria" w:cs="Calibri"/>
          <w:bCs/>
          <w:sz w:val="20"/>
          <w:szCs w:val="20"/>
          <w:lang w:val="en-GB"/>
        </w:rPr>
        <w:t>,</w:t>
      </w:r>
      <w:r w:rsidR="00331FB6" w:rsidRPr="00223CBF">
        <w:rPr>
          <w:rFonts w:ascii="Cambria" w:hAnsi="Cambria" w:cs="Calibri"/>
          <w:bCs/>
          <w:sz w:val="20"/>
          <w:szCs w:val="20"/>
          <w:lang w:val="en-GB"/>
        </w:rPr>
        <w:t xml:space="preserve"> to contribute towards research and policy development in the country</w:t>
      </w:r>
      <w:r w:rsidR="008F12FA">
        <w:rPr>
          <w:rFonts w:ascii="Cambria" w:hAnsi="Cambria" w:cs="Calibri"/>
          <w:bCs/>
          <w:sz w:val="20"/>
          <w:szCs w:val="20"/>
          <w:lang w:val="en-GB"/>
        </w:rPr>
        <w:t>,</w:t>
      </w:r>
      <w:r w:rsidR="00331FB6" w:rsidRPr="00223CBF">
        <w:rPr>
          <w:rFonts w:ascii="Cambria" w:hAnsi="Cambria" w:cs="Calibri"/>
          <w:bCs/>
          <w:sz w:val="20"/>
          <w:szCs w:val="20"/>
          <w:lang w:val="en-GB"/>
        </w:rPr>
        <w:t xml:space="preserve"> based on their expertise and practical knowledge was </w:t>
      </w:r>
      <w:r w:rsidR="00FB2C0F" w:rsidRPr="00223CBF">
        <w:rPr>
          <w:rFonts w:ascii="Cambria" w:hAnsi="Cambria" w:cs="Calibri"/>
          <w:bCs/>
          <w:sz w:val="20"/>
          <w:szCs w:val="20"/>
          <w:lang w:val="en-GB"/>
        </w:rPr>
        <w:t>relevant</w:t>
      </w:r>
      <w:r w:rsidR="008F12FA">
        <w:rPr>
          <w:rFonts w:ascii="Cambria" w:hAnsi="Cambria" w:cs="Calibri"/>
          <w:bCs/>
          <w:sz w:val="20"/>
          <w:szCs w:val="20"/>
          <w:lang w:val="en-GB"/>
        </w:rPr>
        <w:t>,</w:t>
      </w:r>
      <w:r w:rsidR="00FB2C0F" w:rsidRPr="00223CBF">
        <w:rPr>
          <w:rFonts w:ascii="Cambria" w:hAnsi="Cambria" w:cs="Calibri"/>
          <w:bCs/>
          <w:sz w:val="20"/>
          <w:szCs w:val="20"/>
          <w:lang w:val="en-GB"/>
        </w:rPr>
        <w:t xml:space="preserve"> and proved to </w:t>
      </w:r>
      <w:r w:rsidR="00C210D6" w:rsidRPr="00223CBF">
        <w:rPr>
          <w:rFonts w:ascii="Cambria" w:hAnsi="Cambria" w:cs="Calibri"/>
          <w:bCs/>
          <w:sz w:val="20"/>
          <w:szCs w:val="20"/>
          <w:lang w:val="en-GB"/>
        </w:rPr>
        <w:t xml:space="preserve">be </w:t>
      </w:r>
      <w:r w:rsidR="00FB2C0F" w:rsidRPr="00223CBF">
        <w:rPr>
          <w:rFonts w:ascii="Cambria" w:hAnsi="Cambria" w:cs="Calibri"/>
          <w:bCs/>
          <w:sz w:val="20"/>
          <w:szCs w:val="20"/>
          <w:lang w:val="en-GB"/>
        </w:rPr>
        <w:t>an efficient use of resources. During the first phase, NPC initiated and provided valuable input into several important gender studies namely,</w:t>
      </w:r>
      <w:r w:rsidR="00331FB6" w:rsidRPr="00223CBF">
        <w:rPr>
          <w:rFonts w:ascii="Cambria" w:hAnsi="Cambria" w:cs="Calibri"/>
          <w:bCs/>
          <w:sz w:val="20"/>
          <w:szCs w:val="20"/>
          <w:lang w:val="en-GB"/>
        </w:rPr>
        <w:t xml:space="preserve"> the </w:t>
      </w:r>
      <w:r w:rsidR="00331FB6" w:rsidRPr="00223CBF">
        <w:rPr>
          <w:rFonts w:ascii="Cambria" w:hAnsi="Cambria" w:cs="Calibri"/>
          <w:bCs/>
          <w:i/>
          <w:iCs/>
          <w:sz w:val="20"/>
          <w:szCs w:val="20"/>
          <w:lang w:val="en-GB"/>
        </w:rPr>
        <w:t xml:space="preserve">Gender Gap Analysis of 42 Police stations, particularly the </w:t>
      </w:r>
      <w:r w:rsidR="00883092">
        <w:rPr>
          <w:rFonts w:ascii="Cambria" w:hAnsi="Cambria" w:cs="Calibri"/>
          <w:bCs/>
          <w:i/>
          <w:iCs/>
          <w:sz w:val="20"/>
          <w:szCs w:val="20"/>
          <w:lang w:val="en-GB"/>
        </w:rPr>
        <w:t>Women and Children’s Bureau</w:t>
      </w:r>
      <w:r w:rsidR="005C7DD8">
        <w:rPr>
          <w:rFonts w:ascii="Cambria" w:hAnsi="Cambria" w:cs="Calibri"/>
          <w:bCs/>
          <w:i/>
          <w:iCs/>
          <w:sz w:val="20"/>
          <w:szCs w:val="20"/>
          <w:lang w:val="en-GB"/>
        </w:rPr>
        <w:t xml:space="preserve"> (WCB)</w:t>
      </w:r>
      <w:r w:rsidR="00331FB6" w:rsidRPr="00223CBF">
        <w:rPr>
          <w:rFonts w:ascii="Cambria" w:hAnsi="Cambria" w:cs="Calibri"/>
          <w:bCs/>
          <w:i/>
          <w:iCs/>
          <w:sz w:val="20"/>
          <w:szCs w:val="20"/>
          <w:lang w:val="en-GB"/>
        </w:rPr>
        <w:t xml:space="preserve">, The Study on Barriers faced by Women </w:t>
      </w:r>
      <w:r w:rsidR="007B3AEF">
        <w:rPr>
          <w:rFonts w:ascii="Cambria" w:hAnsi="Cambria" w:cs="Calibri"/>
          <w:bCs/>
          <w:i/>
          <w:iCs/>
          <w:sz w:val="20"/>
          <w:szCs w:val="20"/>
          <w:lang w:val="en-GB"/>
        </w:rPr>
        <w:t>P</w:t>
      </w:r>
      <w:r w:rsidR="00331FB6" w:rsidRPr="00223CBF">
        <w:rPr>
          <w:rFonts w:ascii="Cambria" w:hAnsi="Cambria" w:cs="Calibri"/>
          <w:bCs/>
          <w:i/>
          <w:iCs/>
          <w:sz w:val="20"/>
          <w:szCs w:val="20"/>
          <w:lang w:val="en-GB"/>
        </w:rPr>
        <w:t xml:space="preserve">olice Officers, particularly on issues relating to promotions, </w:t>
      </w:r>
      <w:r w:rsidR="00331FB6" w:rsidRPr="00223CBF">
        <w:rPr>
          <w:rFonts w:ascii="Cambria" w:hAnsi="Cambria" w:cs="Calibri"/>
          <w:bCs/>
          <w:sz w:val="20"/>
          <w:szCs w:val="20"/>
          <w:lang w:val="en-GB"/>
        </w:rPr>
        <w:t xml:space="preserve">and the research conducted to develop </w:t>
      </w:r>
      <w:r w:rsidR="00331FB6" w:rsidRPr="00223CBF">
        <w:rPr>
          <w:rFonts w:ascii="Cambria" w:hAnsi="Cambria" w:cs="Calibri"/>
          <w:bCs/>
          <w:i/>
          <w:iCs/>
          <w:sz w:val="20"/>
          <w:szCs w:val="20"/>
          <w:lang w:val="en-GB"/>
        </w:rPr>
        <w:t>Gender Standards for the NPC</w:t>
      </w:r>
      <w:r w:rsidR="00FB2C0F" w:rsidRPr="00223CBF">
        <w:rPr>
          <w:rFonts w:ascii="Cambria" w:hAnsi="Cambria" w:cs="Calibri"/>
          <w:bCs/>
          <w:i/>
          <w:iCs/>
          <w:sz w:val="20"/>
          <w:szCs w:val="20"/>
          <w:lang w:val="en-GB"/>
        </w:rPr>
        <w:t xml:space="preserve">. </w:t>
      </w:r>
      <w:r w:rsidR="00FB2C0F" w:rsidRPr="00223CBF">
        <w:rPr>
          <w:rFonts w:ascii="Cambria" w:hAnsi="Cambria" w:cs="Calibri"/>
          <w:bCs/>
          <w:sz w:val="20"/>
          <w:szCs w:val="20"/>
          <w:lang w:val="en-GB"/>
        </w:rPr>
        <w:t xml:space="preserve">The HRC too contributed to complete a </w:t>
      </w:r>
      <w:r w:rsidR="00331FB6" w:rsidRPr="00223CBF">
        <w:rPr>
          <w:rFonts w:ascii="Cambria" w:hAnsi="Cambria" w:cs="Calibri"/>
          <w:bCs/>
          <w:i/>
          <w:iCs/>
          <w:sz w:val="20"/>
          <w:szCs w:val="20"/>
          <w:lang w:val="en-GB"/>
        </w:rPr>
        <w:t>Prisons Study</w:t>
      </w:r>
      <w:r w:rsidR="00331FB6" w:rsidRPr="00223CBF">
        <w:rPr>
          <w:rFonts w:ascii="Cambria" w:hAnsi="Cambria" w:cs="Calibri"/>
          <w:bCs/>
          <w:sz w:val="20"/>
          <w:szCs w:val="20"/>
          <w:lang w:val="en-GB"/>
        </w:rPr>
        <w:t xml:space="preserve"> </w:t>
      </w:r>
      <w:r w:rsidR="00FB2C0F" w:rsidRPr="00223CBF">
        <w:rPr>
          <w:rFonts w:ascii="Cambria" w:hAnsi="Cambria" w:cs="Calibri"/>
          <w:bCs/>
          <w:sz w:val="20"/>
          <w:szCs w:val="20"/>
          <w:lang w:val="en-GB"/>
        </w:rPr>
        <w:t xml:space="preserve">as part of their mandate </w:t>
      </w:r>
      <w:r w:rsidR="00331FB6" w:rsidRPr="00223CBF">
        <w:rPr>
          <w:rFonts w:ascii="Cambria" w:hAnsi="Cambria" w:cs="Calibri"/>
          <w:bCs/>
          <w:sz w:val="20"/>
          <w:szCs w:val="20"/>
          <w:lang w:val="en-GB"/>
        </w:rPr>
        <w:t>to monitor detention centres</w:t>
      </w:r>
      <w:r w:rsidR="00934103" w:rsidRPr="00223CBF">
        <w:rPr>
          <w:rFonts w:ascii="Cambria" w:hAnsi="Cambria" w:cs="Calibri"/>
          <w:bCs/>
          <w:sz w:val="20"/>
          <w:szCs w:val="20"/>
          <w:lang w:val="en-GB"/>
        </w:rPr>
        <w:t xml:space="preserve">. </w:t>
      </w:r>
    </w:p>
    <w:p w14:paraId="4EC1380E" w14:textId="4E6320A7" w:rsidR="00331FB6" w:rsidRPr="00223CBF" w:rsidRDefault="00934103" w:rsidP="00E84AAF">
      <w:pPr>
        <w:pStyle w:val="BodyText"/>
        <w:shd w:val="clear" w:color="auto" w:fill="FFFFFF" w:themeFill="background1"/>
        <w:spacing w:line="360" w:lineRule="auto"/>
        <w:jc w:val="both"/>
        <w:rPr>
          <w:rFonts w:ascii="Cambria" w:hAnsi="Cambria" w:cs="Calibri"/>
          <w:bCs/>
          <w:sz w:val="20"/>
          <w:szCs w:val="20"/>
          <w:lang w:val="en-GB"/>
        </w:rPr>
      </w:pPr>
      <w:r w:rsidRPr="00223CBF">
        <w:rPr>
          <w:rFonts w:ascii="Cambria" w:hAnsi="Cambria" w:cs="Calibri"/>
          <w:bCs/>
          <w:sz w:val="20"/>
          <w:szCs w:val="20"/>
          <w:lang w:val="en-GB"/>
        </w:rPr>
        <w:lastRenderedPageBreak/>
        <w:t xml:space="preserve">KPIs expressed that, these studies are aimed at providing practical guidelines and solutions to pressing issues and is </w:t>
      </w:r>
      <w:r w:rsidR="00331FB6" w:rsidRPr="00223CBF">
        <w:rPr>
          <w:rFonts w:ascii="Cambria" w:hAnsi="Cambria" w:cs="Calibri"/>
          <w:bCs/>
          <w:sz w:val="20"/>
          <w:szCs w:val="20"/>
          <w:lang w:val="en-GB"/>
        </w:rPr>
        <w:t>a</w:t>
      </w:r>
      <w:r w:rsidR="007B3AEF">
        <w:rPr>
          <w:rFonts w:ascii="Cambria" w:hAnsi="Cambria" w:cs="Calibri"/>
          <w:bCs/>
          <w:sz w:val="20"/>
          <w:szCs w:val="20"/>
          <w:lang w:val="en-GB"/>
        </w:rPr>
        <w:t>n</w:t>
      </w:r>
      <w:r w:rsidR="00331FB6" w:rsidRPr="00223CBF">
        <w:rPr>
          <w:rFonts w:ascii="Cambria" w:hAnsi="Cambria" w:cs="Calibri"/>
          <w:bCs/>
          <w:sz w:val="20"/>
          <w:szCs w:val="20"/>
          <w:lang w:val="en-GB"/>
        </w:rPr>
        <w:t xml:space="preserve"> important </w:t>
      </w:r>
      <w:r w:rsidR="007B3AEF">
        <w:rPr>
          <w:rFonts w:ascii="Cambria" w:hAnsi="Cambria" w:cs="Calibri"/>
          <w:bCs/>
          <w:sz w:val="20"/>
          <w:szCs w:val="20"/>
          <w:lang w:val="en-GB"/>
        </w:rPr>
        <w:t xml:space="preserve">result </w:t>
      </w:r>
      <w:r w:rsidR="00331FB6" w:rsidRPr="00223CBF">
        <w:rPr>
          <w:rFonts w:ascii="Cambria" w:hAnsi="Cambria" w:cs="Calibri"/>
          <w:bCs/>
          <w:sz w:val="20"/>
          <w:szCs w:val="20"/>
          <w:lang w:val="en-GB"/>
        </w:rPr>
        <w:t>of the Outputs</w:t>
      </w:r>
      <w:r w:rsidR="00C45939">
        <w:rPr>
          <w:rFonts w:ascii="Cambria" w:hAnsi="Cambria" w:cs="Calibri"/>
          <w:bCs/>
          <w:sz w:val="20"/>
          <w:szCs w:val="20"/>
          <w:lang w:val="en-GB"/>
        </w:rPr>
        <w:t>.</w:t>
      </w:r>
      <w:r w:rsidR="00C45939">
        <w:rPr>
          <w:rStyle w:val="FootnoteReference"/>
          <w:rFonts w:ascii="Cambria" w:hAnsi="Cambria" w:cs="Calibri"/>
          <w:bCs/>
          <w:sz w:val="20"/>
          <w:szCs w:val="20"/>
          <w:lang w:val="en-GB"/>
        </w:rPr>
        <w:footnoteReference w:id="54"/>
      </w:r>
    </w:p>
    <w:p w14:paraId="65906154" w14:textId="67F3CA2F" w:rsidR="00331FB6" w:rsidRPr="00223CBF" w:rsidRDefault="00331FB6" w:rsidP="000507CA">
      <w:pPr>
        <w:pStyle w:val="BodyText"/>
        <w:spacing w:line="360" w:lineRule="auto"/>
        <w:jc w:val="both"/>
        <w:rPr>
          <w:rFonts w:ascii="Cambria" w:hAnsi="Cambria" w:cs="Calibri"/>
          <w:bCs/>
          <w:sz w:val="20"/>
          <w:szCs w:val="20"/>
          <w:lang w:val="en-GB"/>
        </w:rPr>
      </w:pPr>
      <w:bookmarkStart w:id="39" w:name="_Hlk54704088"/>
      <w:r w:rsidRPr="00223CBF">
        <w:rPr>
          <w:rFonts w:ascii="Cambria" w:hAnsi="Cambria" w:cs="Calibri"/>
          <w:bCs/>
          <w:sz w:val="20"/>
          <w:szCs w:val="20"/>
          <w:lang w:val="en-GB"/>
        </w:rPr>
        <w:t>The investment in establishing a hotline for the NPC, capacity building for the media unit coupled with increased access and publicity</w:t>
      </w:r>
      <w:r w:rsidR="00934103" w:rsidRPr="00223CBF">
        <w:rPr>
          <w:rFonts w:ascii="Cambria" w:hAnsi="Cambria" w:cs="Calibri"/>
          <w:bCs/>
          <w:sz w:val="20"/>
          <w:szCs w:val="20"/>
          <w:lang w:val="en-GB"/>
        </w:rPr>
        <w:t xml:space="preserve">, </w:t>
      </w:r>
      <w:r w:rsidRPr="00223CBF">
        <w:rPr>
          <w:rFonts w:ascii="Cambria" w:hAnsi="Cambria" w:cs="Calibri"/>
          <w:bCs/>
          <w:sz w:val="20"/>
          <w:szCs w:val="20"/>
          <w:lang w:val="en-GB"/>
        </w:rPr>
        <w:t>prove</w:t>
      </w:r>
      <w:r w:rsidR="00934103" w:rsidRPr="00223CBF">
        <w:rPr>
          <w:rFonts w:ascii="Cambria" w:hAnsi="Cambria" w:cs="Calibri"/>
          <w:bCs/>
          <w:sz w:val="20"/>
          <w:szCs w:val="20"/>
          <w:lang w:val="en-GB"/>
        </w:rPr>
        <w:t>d</w:t>
      </w:r>
      <w:r w:rsidRPr="00223CBF">
        <w:rPr>
          <w:rFonts w:ascii="Cambria" w:hAnsi="Cambria" w:cs="Calibri"/>
          <w:bCs/>
          <w:sz w:val="20"/>
          <w:szCs w:val="20"/>
          <w:lang w:val="en-GB"/>
        </w:rPr>
        <w:t xml:space="preserve"> to be cost effective as it was effectively used to lodge complaints by the general public during the first wave of the pandemic</w:t>
      </w:r>
      <w:r w:rsidR="00934103" w:rsidRPr="00223CBF">
        <w:rPr>
          <w:rFonts w:ascii="Cambria" w:hAnsi="Cambria" w:cs="Calibri"/>
          <w:bCs/>
          <w:sz w:val="20"/>
          <w:szCs w:val="20"/>
          <w:lang w:val="en-GB"/>
        </w:rPr>
        <w:t>. The hotline</w:t>
      </w:r>
      <w:r w:rsidR="007B3AEF">
        <w:rPr>
          <w:rFonts w:ascii="Cambria" w:hAnsi="Cambria" w:cs="Calibri"/>
          <w:bCs/>
          <w:sz w:val="20"/>
          <w:szCs w:val="20"/>
          <w:lang w:val="en-GB"/>
        </w:rPr>
        <w:t>,</w:t>
      </w:r>
      <w:r w:rsidR="00934103" w:rsidRPr="00223CBF">
        <w:rPr>
          <w:rFonts w:ascii="Cambria" w:hAnsi="Cambria" w:cs="Calibri"/>
          <w:bCs/>
          <w:sz w:val="20"/>
          <w:szCs w:val="20"/>
          <w:lang w:val="en-GB"/>
        </w:rPr>
        <w:t xml:space="preserve"> which continued to function during the first lockdown was accesse</w:t>
      </w:r>
      <w:r w:rsidR="007B3AEF">
        <w:rPr>
          <w:rFonts w:ascii="Cambria" w:hAnsi="Cambria" w:cs="Calibri"/>
          <w:bCs/>
          <w:sz w:val="20"/>
          <w:szCs w:val="20"/>
          <w:lang w:val="en-GB"/>
        </w:rPr>
        <w:t>d</w:t>
      </w:r>
      <w:r w:rsidR="00934103" w:rsidRPr="00223CBF">
        <w:rPr>
          <w:rFonts w:ascii="Cambria" w:hAnsi="Cambria" w:cs="Calibri"/>
          <w:bCs/>
          <w:sz w:val="20"/>
          <w:szCs w:val="20"/>
          <w:lang w:val="en-GB"/>
        </w:rPr>
        <w:t xml:space="preserve"> by many</w:t>
      </w:r>
      <w:r w:rsidR="008F12FA">
        <w:rPr>
          <w:rFonts w:ascii="Cambria" w:hAnsi="Cambria" w:cs="Calibri"/>
          <w:bCs/>
          <w:sz w:val="20"/>
          <w:szCs w:val="20"/>
          <w:lang w:val="en-GB"/>
        </w:rPr>
        <w:t>,</w:t>
      </w:r>
      <w:r w:rsidR="00934103" w:rsidRPr="00223CBF">
        <w:rPr>
          <w:rFonts w:ascii="Cambria" w:hAnsi="Cambria" w:cs="Calibri"/>
          <w:bCs/>
          <w:sz w:val="20"/>
          <w:szCs w:val="20"/>
          <w:lang w:val="en-GB"/>
        </w:rPr>
        <w:t xml:space="preserve"> </w:t>
      </w:r>
      <w:r w:rsidRPr="00223CBF">
        <w:rPr>
          <w:rFonts w:ascii="Cambria" w:hAnsi="Cambria" w:cs="Calibri"/>
          <w:bCs/>
          <w:sz w:val="20"/>
          <w:szCs w:val="20"/>
          <w:lang w:val="en-GB"/>
        </w:rPr>
        <w:t>to report allegations of unlawful arrests, detention, discrimination, etc. by the police, using health and safety regulations</w:t>
      </w:r>
      <w:r w:rsidR="00934103" w:rsidRPr="00223CBF">
        <w:rPr>
          <w:rFonts w:ascii="Cambria" w:hAnsi="Cambria" w:cs="Calibri"/>
          <w:bCs/>
          <w:sz w:val="20"/>
          <w:szCs w:val="20"/>
          <w:lang w:val="en-GB"/>
        </w:rPr>
        <w:t>.</w:t>
      </w:r>
      <w:r w:rsidRPr="00223CBF">
        <w:rPr>
          <w:rFonts w:ascii="Cambria" w:hAnsi="Cambria" w:cs="Calibri"/>
          <w:bCs/>
          <w:sz w:val="20"/>
          <w:szCs w:val="20"/>
          <w:lang w:val="en-GB"/>
        </w:rPr>
        <w:t xml:space="preserve"> </w:t>
      </w:r>
    </w:p>
    <w:p w14:paraId="6EF2B119" w14:textId="4C8AE351" w:rsidR="00331FB6" w:rsidRPr="00223CBF" w:rsidRDefault="00331FB6" w:rsidP="007C766E">
      <w:pPr>
        <w:pStyle w:val="BodyText"/>
        <w:numPr>
          <w:ilvl w:val="0"/>
          <w:numId w:val="29"/>
        </w:numPr>
        <w:spacing w:line="360" w:lineRule="auto"/>
        <w:jc w:val="both"/>
        <w:rPr>
          <w:rFonts w:ascii="Cambria" w:hAnsi="Cambria" w:cstheme="minorHAnsi"/>
          <w:b/>
          <w:color w:val="0070C0"/>
          <w:sz w:val="20"/>
          <w:szCs w:val="20"/>
          <w:lang w:val="en-GB"/>
        </w:rPr>
      </w:pPr>
      <w:r w:rsidRPr="00223CBF">
        <w:rPr>
          <w:rFonts w:ascii="Cambria" w:hAnsi="Cambria" w:cstheme="minorHAnsi"/>
          <w:b/>
          <w:color w:val="0070C0"/>
          <w:sz w:val="20"/>
          <w:szCs w:val="20"/>
          <w:lang w:val="en-GB"/>
        </w:rPr>
        <w:t xml:space="preserve">The adequacy of Structures and Modalities to maximise efficiency </w:t>
      </w:r>
    </w:p>
    <w:p w14:paraId="6F810743" w14:textId="2CAD58E5" w:rsidR="00331FB6" w:rsidRPr="00223CBF" w:rsidRDefault="005642DC" w:rsidP="000507CA">
      <w:pPr>
        <w:pStyle w:val="BodyText"/>
        <w:spacing w:line="360" w:lineRule="auto"/>
        <w:jc w:val="both"/>
        <w:rPr>
          <w:rFonts w:ascii="Cambria" w:hAnsi="Cambria" w:cs="Calibri"/>
          <w:bCs/>
          <w:sz w:val="20"/>
          <w:szCs w:val="20"/>
          <w:lang w:val="en-GB"/>
        </w:rPr>
      </w:pPr>
      <w:r w:rsidRPr="00223CBF">
        <w:rPr>
          <w:rFonts w:ascii="Cambria" w:hAnsi="Cambria" w:cs="Calibri"/>
          <w:bCs/>
          <w:sz w:val="20"/>
          <w:szCs w:val="20"/>
          <w:lang w:val="en-GB"/>
        </w:rPr>
        <w:t>Although, d</w:t>
      </w:r>
      <w:r w:rsidR="00331FB6" w:rsidRPr="00223CBF">
        <w:rPr>
          <w:rFonts w:ascii="Cambria" w:hAnsi="Cambria" w:cs="Calibri"/>
          <w:bCs/>
          <w:sz w:val="20"/>
          <w:szCs w:val="20"/>
          <w:lang w:val="en-GB"/>
        </w:rPr>
        <w:t>igitisation</w:t>
      </w:r>
      <w:r w:rsidRPr="00223CBF">
        <w:rPr>
          <w:rFonts w:ascii="Cambria" w:hAnsi="Cambria" w:cs="Calibri"/>
          <w:bCs/>
          <w:sz w:val="20"/>
          <w:szCs w:val="20"/>
          <w:lang w:val="en-GB"/>
        </w:rPr>
        <w:t xml:space="preserve"> of case management was identified to improve </w:t>
      </w:r>
      <w:r w:rsidR="00331FB6" w:rsidRPr="00223CBF">
        <w:rPr>
          <w:rFonts w:ascii="Cambria" w:hAnsi="Cambria" w:cs="Calibri"/>
          <w:bCs/>
          <w:sz w:val="20"/>
          <w:szCs w:val="20"/>
          <w:lang w:val="en-GB"/>
        </w:rPr>
        <w:t>cost effective</w:t>
      </w:r>
      <w:r w:rsidRPr="00223CBF">
        <w:rPr>
          <w:rFonts w:ascii="Cambria" w:hAnsi="Cambria" w:cs="Calibri"/>
          <w:bCs/>
          <w:sz w:val="20"/>
          <w:szCs w:val="20"/>
          <w:lang w:val="en-GB"/>
        </w:rPr>
        <w:t>ness</w:t>
      </w:r>
      <w:r w:rsidR="00331FB6" w:rsidRPr="00223CBF">
        <w:rPr>
          <w:rFonts w:ascii="Cambria" w:hAnsi="Cambria" w:cs="Calibri"/>
          <w:bCs/>
          <w:sz w:val="20"/>
          <w:szCs w:val="20"/>
          <w:lang w:val="en-GB"/>
        </w:rPr>
        <w:t xml:space="preserve"> and efficien</w:t>
      </w:r>
      <w:r w:rsidRPr="00223CBF">
        <w:rPr>
          <w:rFonts w:ascii="Cambria" w:hAnsi="Cambria" w:cs="Calibri"/>
          <w:bCs/>
          <w:sz w:val="20"/>
          <w:szCs w:val="20"/>
          <w:lang w:val="en-GB"/>
        </w:rPr>
        <w:t xml:space="preserve">cy of targeted activities, </w:t>
      </w:r>
      <w:r w:rsidR="00331FB6" w:rsidRPr="00223CBF">
        <w:rPr>
          <w:rFonts w:ascii="Cambria" w:hAnsi="Cambria" w:cs="Calibri"/>
          <w:bCs/>
          <w:sz w:val="20"/>
          <w:szCs w:val="20"/>
          <w:lang w:val="en-GB"/>
        </w:rPr>
        <w:t>t</w:t>
      </w:r>
      <w:r w:rsidRPr="00223CBF">
        <w:rPr>
          <w:rFonts w:ascii="Cambria" w:hAnsi="Cambria" w:cs="Calibri"/>
          <w:bCs/>
          <w:sz w:val="20"/>
          <w:szCs w:val="20"/>
          <w:lang w:val="en-GB"/>
        </w:rPr>
        <w:t xml:space="preserve">he implementation was far from smooth. Operations were hampered </w:t>
      </w:r>
      <w:r w:rsidR="00331FB6" w:rsidRPr="00223CBF">
        <w:rPr>
          <w:rFonts w:ascii="Cambria" w:hAnsi="Cambria" w:cs="Calibri"/>
          <w:bCs/>
          <w:sz w:val="20"/>
          <w:szCs w:val="20"/>
          <w:lang w:val="en-GB"/>
        </w:rPr>
        <w:t xml:space="preserve">due to regular transfer of staff members to other public departments, insufficient capacity building and training on IT and delays in selection, procurement and management </w:t>
      </w:r>
      <w:r w:rsidRPr="00223CBF">
        <w:rPr>
          <w:rFonts w:ascii="Cambria" w:hAnsi="Cambria" w:cs="Calibri"/>
          <w:bCs/>
          <w:sz w:val="20"/>
          <w:szCs w:val="20"/>
          <w:lang w:val="en-GB"/>
        </w:rPr>
        <w:t xml:space="preserve">of </w:t>
      </w:r>
      <w:r w:rsidR="00331FB6" w:rsidRPr="00223CBF">
        <w:rPr>
          <w:rFonts w:ascii="Cambria" w:hAnsi="Cambria" w:cs="Calibri"/>
          <w:bCs/>
          <w:sz w:val="20"/>
          <w:szCs w:val="20"/>
          <w:lang w:val="en-GB"/>
        </w:rPr>
        <w:t xml:space="preserve">digital service providers during the first phase of the Portfolio. Therefore, </w:t>
      </w:r>
      <w:r w:rsidRPr="00223CBF">
        <w:rPr>
          <w:rFonts w:ascii="Cambria" w:hAnsi="Cambria" w:cs="Calibri"/>
          <w:bCs/>
          <w:sz w:val="20"/>
          <w:szCs w:val="20"/>
          <w:lang w:val="en-GB"/>
        </w:rPr>
        <w:t>a</w:t>
      </w:r>
      <w:r w:rsidR="0075136D">
        <w:rPr>
          <w:rFonts w:ascii="Cambria" w:hAnsi="Cambria" w:cs="Calibri"/>
          <w:bCs/>
          <w:sz w:val="20"/>
          <w:szCs w:val="20"/>
          <w:lang w:val="en-GB"/>
        </w:rPr>
        <w:t>n</w:t>
      </w:r>
      <w:r w:rsidRPr="00223CBF">
        <w:rPr>
          <w:rFonts w:ascii="Cambria" w:hAnsi="Cambria" w:cs="Calibri"/>
          <w:bCs/>
          <w:sz w:val="20"/>
          <w:szCs w:val="20"/>
          <w:lang w:val="en-GB"/>
        </w:rPr>
        <w:t xml:space="preserve"> assessment </w:t>
      </w:r>
      <w:r w:rsidR="0075136D">
        <w:rPr>
          <w:rFonts w:ascii="Cambria" w:hAnsi="Cambria" w:cs="Calibri"/>
          <w:bCs/>
          <w:sz w:val="20"/>
          <w:szCs w:val="20"/>
          <w:lang w:val="en-GB"/>
        </w:rPr>
        <w:t xml:space="preserve">to </w:t>
      </w:r>
      <w:r w:rsidRPr="00223CBF">
        <w:rPr>
          <w:rFonts w:ascii="Cambria" w:hAnsi="Cambria" w:cs="Calibri"/>
          <w:bCs/>
          <w:sz w:val="20"/>
          <w:szCs w:val="20"/>
          <w:lang w:val="en-GB"/>
        </w:rPr>
        <w:t xml:space="preserve">understand existing structures and barriers </w:t>
      </w:r>
      <w:r w:rsidR="0075136D">
        <w:rPr>
          <w:rFonts w:ascii="Cambria" w:hAnsi="Cambria" w:cs="Calibri"/>
          <w:bCs/>
          <w:sz w:val="20"/>
          <w:szCs w:val="20"/>
          <w:lang w:val="en-GB"/>
        </w:rPr>
        <w:t xml:space="preserve">that </w:t>
      </w:r>
      <w:r w:rsidRPr="00223CBF">
        <w:rPr>
          <w:rFonts w:ascii="Cambria" w:hAnsi="Cambria" w:cs="Calibri"/>
          <w:bCs/>
          <w:sz w:val="20"/>
          <w:szCs w:val="20"/>
          <w:lang w:val="en-GB"/>
        </w:rPr>
        <w:t>needs to be addressed</w:t>
      </w:r>
      <w:r w:rsidR="0075136D">
        <w:rPr>
          <w:rFonts w:ascii="Cambria" w:hAnsi="Cambria" w:cs="Calibri"/>
          <w:bCs/>
          <w:sz w:val="20"/>
          <w:szCs w:val="20"/>
          <w:lang w:val="en-GB"/>
        </w:rPr>
        <w:t xml:space="preserve"> prior to transition</w:t>
      </w:r>
      <w:r w:rsidRPr="00223CBF">
        <w:rPr>
          <w:rFonts w:ascii="Cambria" w:hAnsi="Cambria" w:cs="Calibri"/>
          <w:bCs/>
          <w:sz w:val="20"/>
          <w:szCs w:val="20"/>
          <w:lang w:val="en-GB"/>
        </w:rPr>
        <w:t xml:space="preserve"> </w:t>
      </w:r>
      <w:r w:rsidR="00331FB6" w:rsidRPr="00223CBF">
        <w:rPr>
          <w:rFonts w:ascii="Cambria" w:hAnsi="Cambria" w:cs="Calibri"/>
          <w:bCs/>
          <w:sz w:val="20"/>
          <w:szCs w:val="20"/>
          <w:lang w:val="en-GB"/>
        </w:rPr>
        <w:t>should be supported by rigorous capacity development, recruitment of skilled personnel and training</w:t>
      </w:r>
      <w:r w:rsidR="008F12FA">
        <w:rPr>
          <w:rFonts w:ascii="Cambria" w:hAnsi="Cambria" w:cs="Calibri"/>
          <w:bCs/>
          <w:sz w:val="20"/>
          <w:szCs w:val="20"/>
          <w:lang w:val="en-GB"/>
        </w:rPr>
        <w:t>,</w:t>
      </w:r>
      <w:r w:rsidR="00331FB6" w:rsidRPr="00223CBF">
        <w:rPr>
          <w:rFonts w:ascii="Cambria" w:hAnsi="Cambria" w:cs="Calibri"/>
          <w:bCs/>
          <w:sz w:val="20"/>
          <w:szCs w:val="20"/>
          <w:lang w:val="en-GB"/>
        </w:rPr>
        <w:t xml:space="preserve"> to ensure smooth transition from paper to automation</w:t>
      </w:r>
      <w:r w:rsidR="0075136D">
        <w:rPr>
          <w:rFonts w:ascii="Cambria" w:hAnsi="Cambria" w:cs="Calibri"/>
          <w:bCs/>
          <w:sz w:val="20"/>
          <w:szCs w:val="20"/>
          <w:lang w:val="en-GB"/>
        </w:rPr>
        <w:t xml:space="preserve"> during the second phase of the Portfolio</w:t>
      </w:r>
      <w:r w:rsidR="00331FB6" w:rsidRPr="00223CBF">
        <w:rPr>
          <w:rFonts w:ascii="Cambria" w:hAnsi="Cambria" w:cs="Calibri"/>
          <w:bCs/>
          <w:sz w:val="20"/>
          <w:szCs w:val="20"/>
          <w:lang w:val="en-GB"/>
        </w:rPr>
        <w:t xml:space="preserve">.  </w:t>
      </w:r>
    </w:p>
    <w:p w14:paraId="63426097" w14:textId="412FDE1D" w:rsidR="00331FB6" w:rsidRPr="00223CBF" w:rsidRDefault="00331FB6" w:rsidP="000507CA">
      <w:pPr>
        <w:spacing w:line="360" w:lineRule="auto"/>
        <w:jc w:val="both"/>
        <w:rPr>
          <w:rFonts w:ascii="Cambria" w:hAnsi="Cambria" w:cstheme="minorHAnsi"/>
          <w:b/>
          <w:bCs/>
          <w:sz w:val="20"/>
          <w:szCs w:val="20"/>
        </w:rPr>
      </w:pPr>
      <w:bookmarkStart w:id="40" w:name="_Hlk55828094"/>
      <w:bookmarkEnd w:id="39"/>
      <w:r w:rsidRPr="00223CBF">
        <w:rPr>
          <w:rFonts w:ascii="Cambria" w:hAnsi="Cambria" w:cstheme="minorHAnsi"/>
          <w:b/>
          <w:bCs/>
          <w:sz w:val="20"/>
          <w:szCs w:val="20"/>
        </w:rPr>
        <w:t xml:space="preserve">EQ4. Impact </w:t>
      </w:r>
    </w:p>
    <w:p w14:paraId="04806351" w14:textId="77777777" w:rsidR="00331FB6" w:rsidRPr="00223CBF" w:rsidRDefault="00331FB6" w:rsidP="000507CA">
      <w:pPr>
        <w:shd w:val="clear" w:color="auto" w:fill="92D050"/>
        <w:spacing w:line="360" w:lineRule="auto"/>
        <w:jc w:val="both"/>
        <w:rPr>
          <w:rFonts w:ascii="Cambria" w:hAnsi="Cambria" w:cstheme="minorHAnsi"/>
          <w:sz w:val="20"/>
          <w:szCs w:val="20"/>
        </w:rPr>
      </w:pPr>
    </w:p>
    <w:p w14:paraId="60C307BD" w14:textId="77777777" w:rsidR="00F2220C" w:rsidRPr="00223CBF" w:rsidRDefault="00F2220C" w:rsidP="00F2220C">
      <w:pPr>
        <w:shd w:val="clear" w:color="auto" w:fill="92D050"/>
        <w:spacing w:line="360" w:lineRule="auto"/>
        <w:jc w:val="center"/>
        <w:rPr>
          <w:rFonts w:ascii="Cambria" w:hAnsi="Cambria" w:cstheme="minorHAnsi"/>
          <w:sz w:val="20"/>
          <w:szCs w:val="20"/>
        </w:rPr>
      </w:pPr>
      <w:r w:rsidRPr="00223CBF">
        <w:rPr>
          <w:rFonts w:ascii="Cambria" w:hAnsi="Cambria" w:cstheme="minorHAnsi"/>
          <w:sz w:val="20"/>
          <w:szCs w:val="20"/>
        </w:rPr>
        <w:t>Impact refers to the</w:t>
      </w:r>
      <w:r w:rsidRPr="00C77E19">
        <w:rPr>
          <w:rFonts w:ascii="Cambria" w:hAnsi="Cambria" w:cstheme="minorHAnsi"/>
          <w:b/>
          <w:bCs/>
          <w:sz w:val="20"/>
          <w:szCs w:val="20"/>
        </w:rPr>
        <w:t xml:space="preserve"> c</w:t>
      </w:r>
      <w:r w:rsidRPr="00223CBF">
        <w:rPr>
          <w:rFonts w:ascii="Cambria" w:hAnsi="Cambria" w:cstheme="minorHAnsi"/>
          <w:b/>
          <w:bCs/>
          <w:sz w:val="20"/>
          <w:szCs w:val="20"/>
        </w:rPr>
        <w:t>hange/results o</w:t>
      </w:r>
      <w:r w:rsidRPr="00223CBF">
        <w:rPr>
          <w:rFonts w:ascii="Cambria" w:hAnsi="Cambria" w:cstheme="minorHAnsi"/>
          <w:sz w:val="20"/>
          <w:szCs w:val="20"/>
        </w:rPr>
        <w:t xml:space="preserve">f the output level achievements so far in line with the outcome level results. It refers to the </w:t>
      </w:r>
      <w:r w:rsidRPr="00223CBF">
        <w:rPr>
          <w:rFonts w:ascii="Cambria" w:hAnsi="Cambria" w:cstheme="minorHAnsi"/>
          <w:b/>
          <w:bCs/>
          <w:sz w:val="20"/>
          <w:szCs w:val="20"/>
        </w:rPr>
        <w:t>positive or negative changes in the short/medium or long term</w:t>
      </w:r>
      <w:r w:rsidRPr="00223CBF">
        <w:rPr>
          <w:rFonts w:ascii="Cambria" w:hAnsi="Cambria" w:cstheme="minorHAnsi"/>
          <w:sz w:val="20"/>
          <w:szCs w:val="20"/>
        </w:rPr>
        <w:t xml:space="preserve"> and to what extent the </w:t>
      </w:r>
      <w:r w:rsidRPr="00223CBF">
        <w:rPr>
          <w:rFonts w:ascii="Cambria" w:hAnsi="Cambria" w:cstheme="minorHAnsi"/>
          <w:b/>
          <w:bCs/>
          <w:sz w:val="20"/>
          <w:szCs w:val="20"/>
        </w:rPr>
        <w:t>targeted beneficiaries have experienced this change</w:t>
      </w:r>
      <w:r w:rsidRPr="00223CBF">
        <w:rPr>
          <w:rFonts w:ascii="Cambria" w:hAnsi="Cambria" w:cstheme="minorHAnsi"/>
          <w:sz w:val="20"/>
          <w:szCs w:val="20"/>
        </w:rPr>
        <w:t>. Impact assess</w:t>
      </w:r>
      <w:r>
        <w:rPr>
          <w:rFonts w:ascii="Cambria" w:hAnsi="Cambria" w:cstheme="minorHAnsi"/>
          <w:sz w:val="20"/>
          <w:szCs w:val="20"/>
        </w:rPr>
        <w:t>es</w:t>
      </w:r>
      <w:r w:rsidRPr="00223CBF">
        <w:rPr>
          <w:rFonts w:ascii="Cambria" w:hAnsi="Cambria" w:cstheme="minorHAnsi"/>
          <w:sz w:val="20"/>
          <w:szCs w:val="20"/>
        </w:rPr>
        <w:t xml:space="preserve"> the contribution of the interventions and external factors </w:t>
      </w:r>
      <w:r>
        <w:rPr>
          <w:rFonts w:ascii="Cambria" w:hAnsi="Cambria" w:cstheme="minorHAnsi"/>
          <w:sz w:val="20"/>
          <w:szCs w:val="20"/>
        </w:rPr>
        <w:t xml:space="preserve">that are </w:t>
      </w:r>
      <w:r w:rsidRPr="00223CBF">
        <w:rPr>
          <w:rFonts w:ascii="Cambria" w:hAnsi="Cambria" w:cstheme="minorHAnsi"/>
          <w:sz w:val="20"/>
          <w:szCs w:val="20"/>
        </w:rPr>
        <w:t>require</w:t>
      </w:r>
      <w:r>
        <w:rPr>
          <w:rFonts w:ascii="Cambria" w:hAnsi="Cambria" w:cstheme="minorHAnsi"/>
          <w:sz w:val="20"/>
          <w:szCs w:val="20"/>
        </w:rPr>
        <w:t xml:space="preserve">d </w:t>
      </w:r>
      <w:r w:rsidRPr="00223CBF">
        <w:rPr>
          <w:rFonts w:ascii="Cambria" w:hAnsi="Cambria" w:cstheme="minorHAnsi"/>
          <w:sz w:val="20"/>
          <w:szCs w:val="20"/>
        </w:rPr>
        <w:t>to sustain it.</w:t>
      </w:r>
    </w:p>
    <w:p w14:paraId="22763D5F" w14:textId="77777777" w:rsidR="008509EE" w:rsidRPr="00223CBF" w:rsidRDefault="008509EE" w:rsidP="000507CA">
      <w:pPr>
        <w:shd w:val="clear" w:color="auto" w:fill="92D050"/>
        <w:spacing w:line="360" w:lineRule="auto"/>
        <w:jc w:val="both"/>
        <w:rPr>
          <w:rFonts w:ascii="Cambria" w:hAnsi="Cambria" w:cstheme="minorHAnsi"/>
          <w:sz w:val="20"/>
          <w:szCs w:val="20"/>
        </w:rPr>
      </w:pPr>
    </w:p>
    <w:p w14:paraId="45302C6E" w14:textId="77777777" w:rsidR="00F2220C" w:rsidRDefault="00F2220C" w:rsidP="000507CA">
      <w:pPr>
        <w:spacing w:line="360" w:lineRule="auto"/>
        <w:jc w:val="both"/>
        <w:rPr>
          <w:rFonts w:ascii="Cambria" w:hAnsi="Cambria" w:cstheme="minorHAnsi"/>
          <w:sz w:val="20"/>
          <w:szCs w:val="20"/>
        </w:rPr>
      </w:pPr>
    </w:p>
    <w:p w14:paraId="027F4F1B" w14:textId="70FD6C1F" w:rsidR="00E84AAF" w:rsidRDefault="00E84AAF" w:rsidP="00E84AAF">
      <w:pPr>
        <w:spacing w:line="360" w:lineRule="auto"/>
        <w:jc w:val="both"/>
        <w:rPr>
          <w:rFonts w:ascii="Cambria" w:hAnsi="Cambria" w:cstheme="minorHAnsi"/>
          <w:sz w:val="20"/>
          <w:szCs w:val="20"/>
        </w:rPr>
      </w:pPr>
      <w:bookmarkStart w:id="41" w:name="_Hlk59121902"/>
      <w:r w:rsidRPr="00E84AAF">
        <w:rPr>
          <w:rFonts w:ascii="Cambria" w:hAnsi="Cambria" w:cstheme="minorHAnsi"/>
          <w:sz w:val="20"/>
          <w:szCs w:val="20"/>
        </w:rPr>
        <w:t xml:space="preserve">As noted in the approved Evaluation Inception Report and confirmed in discussions with the UNDP, the MTE is unable to conduct an impact assessment using a quantitative component using primary data owing to limited time between the commencement of the Portfolio and MTE, the initial stages at which currently majority of activities are placed and lack of quantitative data to measure impact (which is also beyond the scope of the evaluation). Therefore, impact will be assessed against positive/negative changes at the Output level and the </w:t>
      </w:r>
      <w:r w:rsidRPr="00E84AAF">
        <w:rPr>
          <w:rFonts w:ascii="Cambria" w:hAnsi="Cambria" w:cstheme="minorHAnsi"/>
          <w:sz w:val="20"/>
          <w:szCs w:val="20"/>
        </w:rPr>
        <w:lastRenderedPageBreak/>
        <w:t xml:space="preserve">extent to which there is perceived impact on beneficiaries in the short/medium and long term and internal and external attributes that maybe factored in.  </w:t>
      </w:r>
    </w:p>
    <w:p w14:paraId="4529E2F6" w14:textId="77777777" w:rsidR="00E84AAF" w:rsidRPr="00E84AAF" w:rsidRDefault="00E84AAF" w:rsidP="00E84AAF">
      <w:pPr>
        <w:spacing w:line="360" w:lineRule="auto"/>
        <w:jc w:val="both"/>
        <w:rPr>
          <w:rFonts w:ascii="Cambria" w:hAnsi="Cambria" w:cstheme="minorHAnsi"/>
          <w:sz w:val="20"/>
          <w:szCs w:val="20"/>
        </w:rPr>
      </w:pPr>
    </w:p>
    <w:bookmarkEnd w:id="41"/>
    <w:p w14:paraId="4B1CB774" w14:textId="4DADFA9E" w:rsidR="00331FB6" w:rsidRPr="00223CBF" w:rsidRDefault="00331FB6" w:rsidP="007C766E">
      <w:pPr>
        <w:pStyle w:val="ListParagraph"/>
        <w:numPr>
          <w:ilvl w:val="0"/>
          <w:numId w:val="8"/>
        </w:numPr>
        <w:spacing w:line="360" w:lineRule="auto"/>
        <w:jc w:val="both"/>
        <w:rPr>
          <w:rFonts w:ascii="Cambria" w:hAnsi="Cambria" w:cstheme="minorHAnsi"/>
          <w:b/>
          <w:bCs/>
          <w:color w:val="0070C0"/>
          <w:sz w:val="20"/>
          <w:szCs w:val="20"/>
        </w:rPr>
      </w:pPr>
      <w:r w:rsidRPr="00223CBF">
        <w:rPr>
          <w:rFonts w:ascii="Cambria" w:hAnsi="Cambria" w:cstheme="minorHAnsi"/>
          <w:b/>
          <w:bCs/>
          <w:color w:val="0070C0"/>
          <w:sz w:val="20"/>
          <w:szCs w:val="20"/>
        </w:rPr>
        <w:t xml:space="preserve">The extent to which output level achievements are </w:t>
      </w:r>
      <w:r w:rsidR="00DD732C">
        <w:rPr>
          <w:rFonts w:ascii="Cambria" w:hAnsi="Cambria" w:cstheme="minorHAnsi"/>
          <w:b/>
          <w:bCs/>
          <w:color w:val="0070C0"/>
          <w:sz w:val="20"/>
          <w:szCs w:val="20"/>
        </w:rPr>
        <w:t xml:space="preserve">contributing to </w:t>
      </w:r>
      <w:r w:rsidRPr="00223CBF">
        <w:rPr>
          <w:rFonts w:ascii="Cambria" w:hAnsi="Cambria" w:cstheme="minorHAnsi"/>
          <w:b/>
          <w:bCs/>
          <w:color w:val="0070C0"/>
          <w:sz w:val="20"/>
          <w:szCs w:val="20"/>
        </w:rPr>
        <w:t>outcome results</w:t>
      </w:r>
    </w:p>
    <w:p w14:paraId="52D51A57" w14:textId="2B8B1198" w:rsidR="00E84AAF" w:rsidRPr="00E84AAF" w:rsidRDefault="00E84AAF" w:rsidP="00E84AAF">
      <w:pPr>
        <w:spacing w:line="360" w:lineRule="auto"/>
        <w:jc w:val="both"/>
        <w:rPr>
          <w:rFonts w:ascii="Cambria" w:hAnsi="Cambria" w:cstheme="minorHAnsi"/>
          <w:sz w:val="20"/>
          <w:szCs w:val="20"/>
        </w:rPr>
      </w:pPr>
      <w:r w:rsidRPr="00E84AAF">
        <w:rPr>
          <w:rFonts w:ascii="Cambria" w:hAnsi="Cambria" w:cstheme="minorHAnsi"/>
          <w:sz w:val="20"/>
          <w:szCs w:val="20"/>
        </w:rPr>
        <w:t>Although number of inquiries have increased to commissions since the inception of the Portfolio</w:t>
      </w:r>
      <w:r w:rsidR="00FB3578">
        <w:rPr>
          <w:rFonts w:ascii="Cambria" w:hAnsi="Cambria" w:cstheme="minorHAnsi"/>
          <w:sz w:val="20"/>
          <w:szCs w:val="20"/>
        </w:rPr>
        <w:t>,</w:t>
      </w:r>
      <w:r w:rsidRPr="00E84AAF">
        <w:rPr>
          <w:rFonts w:ascii="Cambria" w:hAnsi="Cambria" w:cstheme="minorHAnsi"/>
          <w:sz w:val="20"/>
          <w:szCs w:val="20"/>
        </w:rPr>
        <w:t xml:space="preserve"> there are several challenges to evaluating impact. For instance, the automated case management system introduced for HRC is still ongoing</w:t>
      </w:r>
      <w:r w:rsidR="00FB3578">
        <w:rPr>
          <w:rFonts w:ascii="Cambria" w:hAnsi="Cambria" w:cstheme="minorHAnsi"/>
          <w:sz w:val="20"/>
          <w:szCs w:val="20"/>
        </w:rPr>
        <w:t>,</w:t>
      </w:r>
      <w:r w:rsidRPr="00E84AAF">
        <w:rPr>
          <w:rFonts w:ascii="Cambria" w:hAnsi="Cambria" w:cstheme="minorHAnsi"/>
          <w:sz w:val="20"/>
          <w:szCs w:val="20"/>
        </w:rPr>
        <w:t xml:space="preserve"> due to severe delays encountered in the first phase of the Portfolio. In order to effectively capture impact, it is important to capture how the case management system is working and how it has been able to improve the HRC’s ability to handle complaints so that, there is resolution of the complaint or a movement towards this for the persons making the complaint. </w:t>
      </w:r>
    </w:p>
    <w:p w14:paraId="54604E40" w14:textId="77777777" w:rsidR="00E84AAF" w:rsidRPr="00E84AAF" w:rsidRDefault="00E84AAF" w:rsidP="000607E0">
      <w:pPr>
        <w:shd w:val="clear" w:color="auto" w:fill="FFC000"/>
        <w:spacing w:line="360" w:lineRule="auto"/>
        <w:jc w:val="both"/>
        <w:rPr>
          <w:rFonts w:ascii="Cambria" w:hAnsi="Cambria" w:cstheme="minorHAnsi"/>
          <w:b/>
          <w:bCs/>
          <w:color w:val="4A66AC" w:themeColor="accent1"/>
          <w:sz w:val="20"/>
          <w:szCs w:val="20"/>
        </w:rPr>
      </w:pPr>
      <w:r w:rsidRPr="00E84AAF">
        <w:rPr>
          <w:rFonts w:ascii="Cambria" w:hAnsi="Cambria" w:cstheme="minorHAnsi"/>
          <w:sz w:val="20"/>
          <w:szCs w:val="20"/>
        </w:rPr>
        <w:t xml:space="preserve">During the second phase of the Portfolio, it is important to capture data, asking questions such as how digitisation has helped to streamline and expedite processing of complaints and who it has helped. In addition, it is important to capture how the web-based case management system allows the public to make complaints and check the case status of complaints, as a means of ensuring greater transparency of the HRC processes and strengthen public trust in the institution. </w:t>
      </w:r>
    </w:p>
    <w:p w14:paraId="0DA6D481" w14:textId="6C49C224" w:rsidR="00E84AAF" w:rsidRPr="00E84AAF" w:rsidRDefault="00E84AAF" w:rsidP="00E84AAF">
      <w:pPr>
        <w:spacing w:line="360" w:lineRule="auto"/>
        <w:jc w:val="both"/>
        <w:rPr>
          <w:rFonts w:ascii="Cambria" w:hAnsi="Cambria" w:cstheme="minorHAnsi"/>
          <w:b/>
          <w:bCs/>
          <w:color w:val="000000" w:themeColor="text1"/>
          <w:sz w:val="20"/>
          <w:szCs w:val="20"/>
        </w:rPr>
      </w:pPr>
      <w:r w:rsidRPr="00E84AAF">
        <w:rPr>
          <w:rFonts w:ascii="Cambria" w:hAnsi="Cambria" w:cstheme="minorHAnsi"/>
          <w:color w:val="000000" w:themeColor="text1"/>
          <w:sz w:val="20"/>
          <w:szCs w:val="20"/>
        </w:rPr>
        <w:t>The pending work on developing a communication strategy also poses a challenge to the MTE. It is pertinent to develop a mechanism to capture how greater awareness has ensured greater usage of services</w:t>
      </w:r>
      <w:r w:rsidR="00FB3578">
        <w:rPr>
          <w:rFonts w:ascii="Cambria" w:hAnsi="Cambria" w:cstheme="minorHAnsi"/>
          <w:color w:val="000000" w:themeColor="text1"/>
          <w:sz w:val="20"/>
          <w:szCs w:val="20"/>
        </w:rPr>
        <w:t>,</w:t>
      </w:r>
      <w:r w:rsidRPr="00E84AAF">
        <w:rPr>
          <w:rFonts w:ascii="Cambria" w:hAnsi="Cambria" w:cstheme="minorHAnsi"/>
          <w:color w:val="000000" w:themeColor="text1"/>
          <w:sz w:val="20"/>
          <w:szCs w:val="20"/>
        </w:rPr>
        <w:t xml:space="preserve"> as a result of communication campaigns through client feedback, which will also help identify other barriers including context specific barriers that people face when they try to access services.</w:t>
      </w:r>
    </w:p>
    <w:p w14:paraId="543317E1" w14:textId="61161F4A" w:rsidR="00E84AAF" w:rsidRPr="00E84AAF" w:rsidRDefault="00E84AAF" w:rsidP="000607E0">
      <w:pPr>
        <w:shd w:val="clear" w:color="auto" w:fill="FFC000"/>
        <w:spacing w:line="360" w:lineRule="auto"/>
        <w:jc w:val="both"/>
        <w:rPr>
          <w:rFonts w:ascii="Cambria" w:hAnsi="Cambria" w:cstheme="minorHAnsi"/>
          <w:sz w:val="20"/>
          <w:szCs w:val="20"/>
        </w:rPr>
      </w:pPr>
      <w:r w:rsidRPr="00E84AAF">
        <w:rPr>
          <w:rFonts w:ascii="Cambria" w:hAnsi="Cambria" w:cstheme="minorHAnsi"/>
          <w:sz w:val="20"/>
          <w:szCs w:val="20"/>
        </w:rPr>
        <w:t>While capacity strengthening initiatives are relevant</w:t>
      </w:r>
      <w:r w:rsidR="00FB3578">
        <w:rPr>
          <w:rFonts w:ascii="Cambria" w:hAnsi="Cambria" w:cstheme="minorHAnsi"/>
          <w:sz w:val="20"/>
          <w:szCs w:val="20"/>
        </w:rPr>
        <w:t>,</w:t>
      </w:r>
      <w:r w:rsidRPr="00E84AAF">
        <w:rPr>
          <w:rFonts w:ascii="Cambria" w:hAnsi="Cambria" w:cstheme="minorHAnsi"/>
          <w:sz w:val="20"/>
          <w:szCs w:val="20"/>
        </w:rPr>
        <w:t xml:space="preserve"> in the context of achieving the outcome and has visibly contributed to its effective use, it is unclear how this is being tracked and documented</w:t>
      </w:r>
      <w:r w:rsidR="00FB3578">
        <w:rPr>
          <w:rFonts w:ascii="Cambria" w:hAnsi="Cambria" w:cstheme="minorHAnsi"/>
          <w:sz w:val="20"/>
          <w:szCs w:val="20"/>
        </w:rPr>
        <w:t>,</w:t>
      </w:r>
      <w:r w:rsidRPr="00E84AAF">
        <w:rPr>
          <w:rFonts w:ascii="Cambria" w:hAnsi="Cambria" w:cstheme="minorHAnsi"/>
          <w:sz w:val="20"/>
          <w:szCs w:val="20"/>
        </w:rPr>
        <w:t xml:space="preserve"> to illustrate achievements towards the outcome. However, this set of activities also draw on previous project interventions and if continuations are strategic, they can add more value towards sustainability. </w:t>
      </w:r>
    </w:p>
    <w:p w14:paraId="7AFF3B1F" w14:textId="40F633D5" w:rsidR="00BA0CC5" w:rsidRPr="00E84AAF" w:rsidRDefault="00E84AAF" w:rsidP="00E84AAF">
      <w:pPr>
        <w:spacing w:line="360" w:lineRule="auto"/>
        <w:jc w:val="both"/>
        <w:rPr>
          <w:rFonts w:ascii="Cambria" w:hAnsi="Cambria" w:cstheme="minorHAnsi"/>
          <w:sz w:val="20"/>
          <w:szCs w:val="20"/>
        </w:rPr>
      </w:pPr>
      <w:r>
        <w:rPr>
          <w:rFonts w:ascii="Cambria" w:hAnsi="Cambria" w:cstheme="minorHAnsi"/>
          <w:sz w:val="20"/>
          <w:szCs w:val="20"/>
        </w:rPr>
        <w:t>The effort that</w:t>
      </w:r>
      <w:r w:rsidR="00FB3578">
        <w:rPr>
          <w:rFonts w:ascii="Cambria" w:hAnsi="Cambria" w:cstheme="minorHAnsi"/>
          <w:sz w:val="20"/>
          <w:szCs w:val="20"/>
        </w:rPr>
        <w:t xml:space="preserve"> led to the</w:t>
      </w:r>
      <w:r>
        <w:rPr>
          <w:rFonts w:ascii="Cambria" w:hAnsi="Cambria" w:cstheme="minorHAnsi"/>
          <w:sz w:val="20"/>
          <w:szCs w:val="20"/>
        </w:rPr>
        <w:t xml:space="preserve"> adopt</w:t>
      </w:r>
      <w:r w:rsidR="00FB3578">
        <w:rPr>
          <w:rFonts w:ascii="Cambria" w:hAnsi="Cambria" w:cstheme="minorHAnsi"/>
          <w:sz w:val="20"/>
          <w:szCs w:val="20"/>
        </w:rPr>
        <w:t>ion of</w:t>
      </w:r>
      <w:r>
        <w:rPr>
          <w:rFonts w:ascii="Cambria" w:hAnsi="Cambria" w:cstheme="minorHAnsi"/>
          <w:sz w:val="20"/>
          <w:szCs w:val="20"/>
        </w:rPr>
        <w:t xml:space="preserve"> a cabinet paper on proactive disclosure by the RTIC</w:t>
      </w:r>
      <w:r w:rsidR="00FB3578">
        <w:rPr>
          <w:rFonts w:ascii="Cambria" w:hAnsi="Cambria" w:cstheme="minorHAnsi"/>
          <w:sz w:val="20"/>
          <w:szCs w:val="20"/>
        </w:rPr>
        <w:t>,</w:t>
      </w:r>
      <w:r>
        <w:rPr>
          <w:rFonts w:ascii="Cambria" w:hAnsi="Cambria" w:cstheme="minorHAnsi"/>
          <w:sz w:val="20"/>
          <w:szCs w:val="20"/>
        </w:rPr>
        <w:t xml:space="preserve"> is still at an initial stage of development. The political context and space for engagement that</w:t>
      </w:r>
      <w:r w:rsidR="00FB3578">
        <w:rPr>
          <w:rFonts w:ascii="Cambria" w:hAnsi="Cambria" w:cstheme="minorHAnsi"/>
          <w:sz w:val="20"/>
          <w:szCs w:val="20"/>
        </w:rPr>
        <w:t>,</w:t>
      </w:r>
      <w:r>
        <w:rPr>
          <w:rFonts w:ascii="Cambria" w:hAnsi="Cambria" w:cstheme="minorHAnsi"/>
          <w:sz w:val="20"/>
          <w:szCs w:val="20"/>
        </w:rPr>
        <w:t xml:space="preserve"> may be available for such activities</w:t>
      </w:r>
      <w:r w:rsidR="00FB3578">
        <w:rPr>
          <w:rFonts w:ascii="Cambria" w:hAnsi="Cambria" w:cstheme="minorHAnsi"/>
          <w:sz w:val="20"/>
          <w:szCs w:val="20"/>
        </w:rPr>
        <w:t>,</w:t>
      </w:r>
      <w:r>
        <w:rPr>
          <w:rFonts w:ascii="Cambria" w:hAnsi="Cambria" w:cstheme="minorHAnsi"/>
          <w:sz w:val="20"/>
          <w:szCs w:val="20"/>
        </w:rPr>
        <w:t xml:space="preserve"> will have a large influence on how this outcome can be achieved</w:t>
      </w:r>
      <w:r w:rsidR="00FB3578">
        <w:rPr>
          <w:rFonts w:ascii="Cambria" w:hAnsi="Cambria" w:cstheme="minorHAnsi"/>
          <w:sz w:val="20"/>
          <w:szCs w:val="20"/>
        </w:rPr>
        <w:t>,</w:t>
      </w:r>
      <w:r>
        <w:rPr>
          <w:rFonts w:ascii="Cambria" w:hAnsi="Cambria" w:cstheme="minorHAnsi"/>
          <w:sz w:val="20"/>
          <w:szCs w:val="20"/>
        </w:rPr>
        <w:t xml:space="preserve"> through the currently identified outputs, including the effective implementation of a policy. At the same time, the relevance for this to the commission to discharge its functions remains high</w:t>
      </w:r>
      <w:r w:rsidR="00FB3578">
        <w:rPr>
          <w:rFonts w:ascii="Cambria" w:hAnsi="Cambria" w:cstheme="minorHAnsi"/>
          <w:sz w:val="20"/>
          <w:szCs w:val="20"/>
        </w:rPr>
        <w:t>,</w:t>
      </w:r>
      <w:r>
        <w:rPr>
          <w:rFonts w:ascii="Cambria" w:hAnsi="Cambria" w:cstheme="minorHAnsi"/>
          <w:sz w:val="20"/>
          <w:szCs w:val="20"/>
        </w:rPr>
        <w:t xml:space="preserve"> given that the policy paper is in line with the RTI Act. </w:t>
      </w:r>
      <w:r w:rsidR="00FB3578">
        <w:rPr>
          <w:rFonts w:ascii="Cambria" w:hAnsi="Cambria" w:cstheme="minorHAnsi"/>
          <w:sz w:val="20"/>
          <w:szCs w:val="20"/>
        </w:rPr>
        <w:t>H</w:t>
      </w:r>
      <w:r>
        <w:rPr>
          <w:rFonts w:ascii="Cambria" w:hAnsi="Cambria" w:cstheme="minorHAnsi"/>
          <w:sz w:val="20"/>
          <w:szCs w:val="20"/>
        </w:rPr>
        <w:t xml:space="preserve">ence, </w:t>
      </w:r>
      <w:r w:rsidR="00064E53">
        <w:rPr>
          <w:rFonts w:ascii="Cambria" w:hAnsi="Cambria" w:cstheme="minorHAnsi"/>
          <w:sz w:val="20"/>
          <w:szCs w:val="20"/>
        </w:rPr>
        <w:t>strategizing</w:t>
      </w:r>
      <w:r>
        <w:rPr>
          <w:rFonts w:ascii="Cambria" w:hAnsi="Cambria" w:cstheme="minorHAnsi"/>
          <w:sz w:val="20"/>
          <w:szCs w:val="20"/>
        </w:rPr>
        <w:t xml:space="preserve"> to continue on these actions is important to ensure continued relevance, greater effectiveness and impact and ensure sustainability. </w:t>
      </w:r>
    </w:p>
    <w:p w14:paraId="4CA7619F" w14:textId="21913A8B" w:rsidR="00331FB6" w:rsidRPr="00223CBF" w:rsidRDefault="00331FB6" w:rsidP="000507CA">
      <w:pPr>
        <w:spacing w:line="360" w:lineRule="auto"/>
        <w:jc w:val="both"/>
        <w:rPr>
          <w:rFonts w:ascii="Cambria" w:hAnsi="Cambria" w:cstheme="minorHAnsi"/>
          <w:sz w:val="20"/>
          <w:szCs w:val="20"/>
        </w:rPr>
      </w:pPr>
    </w:p>
    <w:p w14:paraId="4C58FDDB" w14:textId="77777777" w:rsidR="00331FB6" w:rsidRPr="00223CBF" w:rsidRDefault="00331FB6" w:rsidP="007C766E">
      <w:pPr>
        <w:pStyle w:val="ListParagraph"/>
        <w:numPr>
          <w:ilvl w:val="0"/>
          <w:numId w:val="8"/>
        </w:numPr>
        <w:spacing w:line="360" w:lineRule="auto"/>
        <w:jc w:val="both"/>
        <w:rPr>
          <w:rFonts w:ascii="Cambria" w:hAnsi="Cambria" w:cstheme="minorHAnsi"/>
          <w:b/>
          <w:bCs/>
          <w:color w:val="0070C0"/>
          <w:sz w:val="20"/>
          <w:szCs w:val="20"/>
        </w:rPr>
      </w:pPr>
      <w:r w:rsidRPr="00223CBF">
        <w:rPr>
          <w:rFonts w:ascii="Cambria" w:hAnsi="Cambria" w:cstheme="minorHAnsi"/>
          <w:b/>
          <w:bCs/>
          <w:color w:val="0070C0"/>
          <w:sz w:val="20"/>
          <w:szCs w:val="20"/>
        </w:rPr>
        <w:t xml:space="preserve">The positive and negative impacts observed  </w:t>
      </w:r>
    </w:p>
    <w:p w14:paraId="119C96E3" w14:textId="77777777" w:rsidR="00E84AAF" w:rsidRDefault="00E84AAF" w:rsidP="00E84AAF">
      <w:pPr>
        <w:pStyle w:val="BodyText"/>
        <w:spacing w:line="360" w:lineRule="auto"/>
        <w:jc w:val="both"/>
        <w:rPr>
          <w:rFonts w:ascii="Cambria" w:hAnsi="Cambria" w:cs="Calibri"/>
          <w:bCs/>
          <w:sz w:val="20"/>
          <w:szCs w:val="20"/>
          <w:lang w:val="en-GB"/>
        </w:rPr>
      </w:pPr>
      <w:r w:rsidRPr="00223CBF">
        <w:rPr>
          <w:rFonts w:ascii="Cambria" w:hAnsi="Cambria" w:cs="Calibri"/>
          <w:bCs/>
          <w:sz w:val="20"/>
          <w:szCs w:val="20"/>
          <w:lang w:val="en-GB"/>
        </w:rPr>
        <w:lastRenderedPageBreak/>
        <w:t xml:space="preserve">Despite the limitations to assessing impact, </w:t>
      </w:r>
      <w:r>
        <w:rPr>
          <w:rFonts w:ascii="Cambria" w:hAnsi="Cambria" w:cs="Calibri"/>
          <w:bCs/>
          <w:sz w:val="20"/>
          <w:szCs w:val="20"/>
          <w:lang w:val="en-GB"/>
        </w:rPr>
        <w:t>s</w:t>
      </w:r>
      <w:r w:rsidRPr="00223CBF">
        <w:rPr>
          <w:rFonts w:ascii="Cambria" w:hAnsi="Cambria" w:cs="Calibri"/>
          <w:bCs/>
          <w:sz w:val="20"/>
          <w:szCs w:val="20"/>
          <w:lang w:val="en-GB"/>
        </w:rPr>
        <w:t>trategies adopted have contributed to enhance the positive image of the I</w:t>
      </w:r>
      <w:r>
        <w:rPr>
          <w:rFonts w:ascii="Cambria" w:hAnsi="Cambria" w:cs="Calibri"/>
          <w:bCs/>
          <w:sz w:val="20"/>
          <w:szCs w:val="20"/>
          <w:lang w:val="en-GB"/>
        </w:rPr>
        <w:t>Cs</w:t>
      </w:r>
      <w:r w:rsidRPr="00223CBF">
        <w:rPr>
          <w:rFonts w:ascii="Cambria" w:hAnsi="Cambria" w:cs="Calibri"/>
          <w:bCs/>
          <w:sz w:val="20"/>
          <w:szCs w:val="20"/>
          <w:lang w:val="en-GB"/>
        </w:rPr>
        <w:t xml:space="preserve">, which can be seen quantitatively by the increase in the number of cases to HRC, NPC and RTIC and increase in number of cases discharged. </w:t>
      </w:r>
    </w:p>
    <w:p w14:paraId="427C164D" w14:textId="7E651BE2" w:rsidR="00E84AAF" w:rsidRDefault="00E84AAF" w:rsidP="000607E0">
      <w:pPr>
        <w:pStyle w:val="BodyText"/>
        <w:shd w:val="clear" w:color="auto" w:fill="FFC000"/>
        <w:spacing w:line="360" w:lineRule="auto"/>
        <w:jc w:val="both"/>
        <w:rPr>
          <w:rFonts w:ascii="Cambria" w:hAnsi="Cambria" w:cs="Calibri"/>
          <w:bCs/>
          <w:sz w:val="20"/>
          <w:szCs w:val="20"/>
          <w:lang w:val="en-GB"/>
        </w:rPr>
      </w:pPr>
      <w:r w:rsidRPr="00223CBF">
        <w:rPr>
          <w:rFonts w:ascii="Cambria" w:hAnsi="Cambria" w:cs="Calibri"/>
          <w:bCs/>
          <w:sz w:val="20"/>
          <w:szCs w:val="20"/>
        </w:rPr>
        <w:t>In 2020, 300 /1000 total public complaints to NPC were received through web-based systems, reducing the paper processing transaction time. Further</w:t>
      </w:r>
      <w:r w:rsidR="005A0A55">
        <w:rPr>
          <w:rFonts w:ascii="Cambria" w:hAnsi="Cambria" w:cs="Calibri"/>
          <w:bCs/>
          <w:sz w:val="20"/>
          <w:szCs w:val="20"/>
        </w:rPr>
        <w:t>,</w:t>
      </w:r>
      <w:r w:rsidRPr="00223CBF">
        <w:rPr>
          <w:rFonts w:ascii="Cambria" w:hAnsi="Cambria" w:cs="Calibri"/>
          <w:bCs/>
          <w:sz w:val="20"/>
          <w:szCs w:val="20"/>
        </w:rPr>
        <w:t xml:space="preserve"> monthly complaints and inquiries to the NPC</w:t>
      </w:r>
      <w:r w:rsidR="005A0A55">
        <w:rPr>
          <w:rFonts w:ascii="Cambria" w:hAnsi="Cambria" w:cs="Calibri"/>
          <w:bCs/>
          <w:sz w:val="20"/>
          <w:szCs w:val="20"/>
        </w:rPr>
        <w:t>,</w:t>
      </w:r>
      <w:r w:rsidRPr="00223CBF">
        <w:rPr>
          <w:rFonts w:ascii="Cambria" w:hAnsi="Cambria" w:cs="Calibri"/>
          <w:bCs/>
          <w:sz w:val="20"/>
          <w:szCs w:val="20"/>
        </w:rPr>
        <w:t xml:space="preserve"> has approximately increased by</w:t>
      </w:r>
      <w:r>
        <w:rPr>
          <w:rFonts w:ascii="Cambria" w:hAnsi="Cambria" w:cs="Calibri"/>
          <w:bCs/>
          <w:sz w:val="20"/>
          <w:szCs w:val="20"/>
        </w:rPr>
        <w:t xml:space="preserve"> </w:t>
      </w:r>
      <w:r w:rsidRPr="00223CBF">
        <w:rPr>
          <w:rFonts w:ascii="Cambria" w:hAnsi="Cambria" w:cs="Calibri"/>
          <w:bCs/>
          <w:sz w:val="20"/>
          <w:szCs w:val="20"/>
        </w:rPr>
        <w:t xml:space="preserve">50% in 2020. </w:t>
      </w:r>
      <w:r w:rsidRPr="00223CBF">
        <w:rPr>
          <w:rFonts w:ascii="Cambria" w:hAnsi="Cambria" w:cs="Calibri"/>
          <w:bCs/>
          <w:sz w:val="20"/>
          <w:szCs w:val="20"/>
          <w:lang w:val="en-GB"/>
        </w:rPr>
        <w:t>In addition to the tangible outcome of research and data for policy reform, the gender specific study completed with the expert guidance from the NPC on ‘Barriers faced by Women police Officers’, particularly on issues relating to promotions with additional lobbying from the NPC as part of their mandate</w:t>
      </w:r>
      <w:r w:rsidRPr="0055598A">
        <w:rPr>
          <w:rFonts w:ascii="Cambria" w:hAnsi="Cambria" w:cs="Calibri"/>
          <w:bCs/>
          <w:sz w:val="20"/>
          <w:szCs w:val="20"/>
          <w:lang w:val="en-GB"/>
        </w:rPr>
        <w:t>, contributed positively</w:t>
      </w:r>
      <w:r w:rsidRPr="00223CBF">
        <w:rPr>
          <w:rFonts w:ascii="Cambria" w:hAnsi="Cambria" w:cs="Calibri"/>
          <w:bCs/>
          <w:sz w:val="20"/>
          <w:szCs w:val="20"/>
          <w:lang w:val="en-GB"/>
        </w:rPr>
        <w:t xml:space="preserve"> to the promotion of 9 women police officers to the role of O</w:t>
      </w:r>
      <w:r>
        <w:rPr>
          <w:rFonts w:ascii="Cambria" w:hAnsi="Cambria" w:cs="Calibri"/>
          <w:bCs/>
          <w:sz w:val="20"/>
          <w:szCs w:val="20"/>
          <w:lang w:val="en-GB"/>
        </w:rPr>
        <w:t>fficer in Charge (O</w:t>
      </w:r>
      <w:r w:rsidRPr="00223CBF">
        <w:rPr>
          <w:rFonts w:ascii="Cambria" w:hAnsi="Cambria" w:cs="Calibri"/>
          <w:bCs/>
          <w:sz w:val="20"/>
          <w:szCs w:val="20"/>
          <w:lang w:val="en-GB"/>
        </w:rPr>
        <w:t>ICs</w:t>
      </w:r>
      <w:r>
        <w:rPr>
          <w:rFonts w:ascii="Cambria" w:hAnsi="Cambria" w:cs="Calibri"/>
          <w:bCs/>
          <w:sz w:val="20"/>
          <w:szCs w:val="20"/>
          <w:lang w:val="en-GB"/>
        </w:rPr>
        <w:t>)</w:t>
      </w:r>
      <w:r w:rsidRPr="00223CBF">
        <w:rPr>
          <w:rFonts w:ascii="Cambria" w:hAnsi="Cambria" w:cs="Calibri"/>
          <w:bCs/>
          <w:sz w:val="20"/>
          <w:szCs w:val="20"/>
          <w:lang w:val="en-GB"/>
        </w:rPr>
        <w:t xml:space="preserve"> and the appointment of the first woman D</w:t>
      </w:r>
      <w:r>
        <w:rPr>
          <w:rFonts w:ascii="Cambria" w:hAnsi="Cambria" w:cs="Calibri"/>
          <w:bCs/>
          <w:sz w:val="20"/>
          <w:szCs w:val="20"/>
          <w:lang w:val="en-GB"/>
        </w:rPr>
        <w:t>eputy Inspector General (D</w:t>
      </w:r>
      <w:r w:rsidRPr="00223CBF">
        <w:rPr>
          <w:rFonts w:ascii="Cambria" w:hAnsi="Cambria" w:cs="Calibri"/>
          <w:bCs/>
          <w:sz w:val="20"/>
          <w:szCs w:val="20"/>
          <w:lang w:val="en-GB"/>
        </w:rPr>
        <w:t>IG</w:t>
      </w:r>
      <w:r>
        <w:rPr>
          <w:rFonts w:ascii="Cambria" w:hAnsi="Cambria" w:cs="Calibri"/>
          <w:bCs/>
          <w:sz w:val="20"/>
          <w:szCs w:val="20"/>
          <w:lang w:val="en-GB"/>
        </w:rPr>
        <w:t>)</w:t>
      </w:r>
      <w:r w:rsidRPr="00223CBF">
        <w:rPr>
          <w:rFonts w:ascii="Cambria" w:hAnsi="Cambria" w:cs="Calibri"/>
          <w:bCs/>
          <w:sz w:val="20"/>
          <w:szCs w:val="20"/>
          <w:lang w:val="en-GB"/>
        </w:rPr>
        <w:t xml:space="preserve"> of the Women and Children’s Bureau</w:t>
      </w:r>
      <w:r>
        <w:rPr>
          <w:rFonts w:ascii="Cambria" w:hAnsi="Cambria" w:cs="Calibri"/>
          <w:bCs/>
          <w:sz w:val="20"/>
          <w:szCs w:val="20"/>
          <w:lang w:val="en-GB"/>
        </w:rPr>
        <w:t xml:space="preserve"> (WCB)</w:t>
      </w:r>
      <w:r w:rsidRPr="00223CBF">
        <w:rPr>
          <w:rFonts w:ascii="Cambria" w:hAnsi="Cambria" w:cs="Calibri"/>
          <w:bCs/>
          <w:sz w:val="20"/>
          <w:szCs w:val="20"/>
          <w:lang w:val="en-GB"/>
        </w:rPr>
        <w:t xml:space="preserve">. </w:t>
      </w:r>
    </w:p>
    <w:p w14:paraId="557BCC15" w14:textId="78E869B2" w:rsidR="007C79D6" w:rsidRDefault="00E84AAF" w:rsidP="00E84AAF">
      <w:pPr>
        <w:pStyle w:val="BodyText"/>
        <w:spacing w:after="200" w:line="360" w:lineRule="auto"/>
        <w:jc w:val="both"/>
        <w:rPr>
          <w:rFonts w:ascii="Cambria" w:hAnsi="Cambria" w:cs="Calibri"/>
          <w:bCs/>
          <w:sz w:val="20"/>
          <w:szCs w:val="20"/>
          <w:lang w:val="en-GB"/>
        </w:rPr>
      </w:pPr>
      <w:r>
        <w:rPr>
          <w:rFonts w:ascii="Cambria" w:hAnsi="Cambria" w:cs="Calibri"/>
          <w:bCs/>
          <w:sz w:val="20"/>
          <w:szCs w:val="20"/>
          <w:lang w:val="en-GB"/>
        </w:rPr>
        <w:t>S</w:t>
      </w:r>
      <w:r w:rsidRPr="00223CBF">
        <w:rPr>
          <w:rFonts w:ascii="Cambria" w:hAnsi="Cambria" w:cs="Calibri"/>
          <w:bCs/>
          <w:sz w:val="20"/>
          <w:szCs w:val="20"/>
          <w:lang w:val="en-GB"/>
        </w:rPr>
        <w:t>everal other recommendations of the Studies are currently in the process of being implemented. For instance, previously service time of W</w:t>
      </w:r>
      <w:r>
        <w:rPr>
          <w:rFonts w:ascii="Cambria" w:hAnsi="Cambria" w:cs="Calibri"/>
          <w:bCs/>
          <w:sz w:val="20"/>
          <w:szCs w:val="20"/>
          <w:lang w:val="en-GB"/>
        </w:rPr>
        <w:t xml:space="preserve">omen </w:t>
      </w:r>
      <w:r w:rsidRPr="00223CBF">
        <w:rPr>
          <w:rFonts w:ascii="Cambria" w:hAnsi="Cambria" w:cs="Calibri"/>
          <w:bCs/>
          <w:sz w:val="20"/>
          <w:szCs w:val="20"/>
          <w:lang w:val="en-GB"/>
        </w:rPr>
        <w:t>P</w:t>
      </w:r>
      <w:r>
        <w:rPr>
          <w:rFonts w:ascii="Cambria" w:hAnsi="Cambria" w:cs="Calibri"/>
          <w:bCs/>
          <w:sz w:val="20"/>
          <w:szCs w:val="20"/>
          <w:lang w:val="en-GB"/>
        </w:rPr>
        <w:t xml:space="preserve">olice </w:t>
      </w:r>
      <w:r w:rsidRPr="00223CBF">
        <w:rPr>
          <w:rFonts w:ascii="Cambria" w:hAnsi="Cambria" w:cs="Calibri"/>
          <w:bCs/>
          <w:sz w:val="20"/>
          <w:szCs w:val="20"/>
          <w:lang w:val="en-GB"/>
        </w:rPr>
        <w:t>C</w:t>
      </w:r>
      <w:r>
        <w:rPr>
          <w:rFonts w:ascii="Cambria" w:hAnsi="Cambria" w:cs="Calibri"/>
          <w:bCs/>
          <w:sz w:val="20"/>
          <w:szCs w:val="20"/>
          <w:lang w:val="en-GB"/>
        </w:rPr>
        <w:t>onstables (WPC</w:t>
      </w:r>
      <w:r w:rsidRPr="00223CBF">
        <w:rPr>
          <w:rFonts w:ascii="Cambria" w:hAnsi="Cambria" w:cs="Calibri"/>
          <w:bCs/>
          <w:sz w:val="20"/>
          <w:szCs w:val="20"/>
          <w:lang w:val="en-GB"/>
        </w:rPr>
        <w:t>s</w:t>
      </w:r>
      <w:r>
        <w:rPr>
          <w:rFonts w:ascii="Cambria" w:hAnsi="Cambria" w:cs="Calibri"/>
          <w:bCs/>
          <w:sz w:val="20"/>
          <w:szCs w:val="20"/>
          <w:lang w:val="en-GB"/>
        </w:rPr>
        <w:t>)</w:t>
      </w:r>
      <w:r w:rsidRPr="00223CBF">
        <w:rPr>
          <w:rFonts w:ascii="Cambria" w:hAnsi="Cambria" w:cs="Calibri"/>
          <w:bCs/>
          <w:sz w:val="20"/>
          <w:szCs w:val="20"/>
          <w:lang w:val="en-GB"/>
        </w:rPr>
        <w:t xml:space="preserve"> serving </w:t>
      </w:r>
      <w:r>
        <w:rPr>
          <w:rFonts w:ascii="Cambria" w:hAnsi="Cambria" w:cs="Calibri"/>
          <w:bCs/>
          <w:sz w:val="20"/>
          <w:szCs w:val="20"/>
          <w:lang w:val="en-GB"/>
        </w:rPr>
        <w:t xml:space="preserve">at </w:t>
      </w:r>
      <w:r w:rsidRPr="00223CBF">
        <w:rPr>
          <w:rFonts w:ascii="Cambria" w:hAnsi="Cambria" w:cs="Calibri"/>
          <w:bCs/>
          <w:sz w:val="20"/>
          <w:szCs w:val="20"/>
          <w:lang w:val="en-GB"/>
        </w:rPr>
        <w:t xml:space="preserve">the WCB </w:t>
      </w:r>
      <w:r>
        <w:rPr>
          <w:rFonts w:ascii="Cambria" w:hAnsi="Cambria" w:cs="Calibri"/>
          <w:bCs/>
          <w:sz w:val="20"/>
          <w:szCs w:val="20"/>
          <w:lang w:val="en-GB"/>
        </w:rPr>
        <w:t xml:space="preserve">were </w:t>
      </w:r>
      <w:r w:rsidRPr="00223CBF">
        <w:rPr>
          <w:rFonts w:ascii="Cambria" w:hAnsi="Cambria" w:cs="Calibri"/>
          <w:bCs/>
          <w:sz w:val="20"/>
          <w:szCs w:val="20"/>
          <w:lang w:val="en-GB"/>
        </w:rPr>
        <w:t>not considered for promotions due to the derisory status afforded to the WCB. Based on the findings and recommendations made by the Study, NPC drafted guidelines for the Police Department to elevate the status of WCBs</w:t>
      </w:r>
      <w:r w:rsidR="005A0A55">
        <w:rPr>
          <w:rFonts w:ascii="Cambria" w:hAnsi="Cambria" w:cs="Calibri"/>
          <w:bCs/>
          <w:sz w:val="20"/>
          <w:szCs w:val="20"/>
          <w:lang w:val="en-GB"/>
        </w:rPr>
        <w:t>,</w:t>
      </w:r>
      <w:r w:rsidRPr="00223CBF">
        <w:rPr>
          <w:rFonts w:ascii="Cambria" w:hAnsi="Cambria" w:cs="Calibri"/>
          <w:bCs/>
          <w:sz w:val="20"/>
          <w:szCs w:val="20"/>
          <w:lang w:val="en-GB"/>
        </w:rPr>
        <w:t xml:space="preserve"> by allocating points for police officers serving in the WCB of the police to be considered for promotions. Furthermore, NPC has also issued guidelines</w:t>
      </w:r>
      <w:r w:rsidR="005A0A55">
        <w:rPr>
          <w:rFonts w:ascii="Cambria" w:hAnsi="Cambria" w:cs="Calibri"/>
          <w:bCs/>
          <w:sz w:val="20"/>
          <w:szCs w:val="20"/>
          <w:lang w:val="en-GB"/>
        </w:rPr>
        <w:t>,</w:t>
      </w:r>
      <w:r w:rsidRPr="00223CBF">
        <w:rPr>
          <w:rFonts w:ascii="Cambria" w:hAnsi="Cambria" w:cs="Calibri"/>
          <w:bCs/>
          <w:sz w:val="20"/>
          <w:szCs w:val="20"/>
          <w:lang w:val="en-GB"/>
        </w:rPr>
        <w:t xml:space="preserve"> to remove reviewing the </w:t>
      </w:r>
      <w:r w:rsidRPr="00223CBF">
        <w:rPr>
          <w:rFonts w:ascii="Cambria" w:hAnsi="Cambria"/>
          <w:sz w:val="20"/>
          <w:szCs w:val="20"/>
        </w:rPr>
        <w:t xml:space="preserve">mandatory body height criteria for </w:t>
      </w:r>
      <w:r>
        <w:rPr>
          <w:rFonts w:ascii="Cambria" w:hAnsi="Cambria"/>
          <w:sz w:val="20"/>
          <w:szCs w:val="20"/>
        </w:rPr>
        <w:t xml:space="preserve">WPCs </w:t>
      </w:r>
      <w:r w:rsidRPr="00223CBF">
        <w:rPr>
          <w:rFonts w:ascii="Cambria" w:hAnsi="Cambria" w:cs="Calibri"/>
          <w:bCs/>
          <w:sz w:val="20"/>
          <w:szCs w:val="20"/>
          <w:lang w:val="en-GB"/>
        </w:rPr>
        <w:t xml:space="preserve">to be considered in promotion applications by </w:t>
      </w:r>
      <w:r>
        <w:rPr>
          <w:rFonts w:ascii="Cambria" w:hAnsi="Cambria" w:cs="Calibri"/>
          <w:bCs/>
          <w:sz w:val="20"/>
          <w:szCs w:val="20"/>
          <w:lang w:val="en-GB"/>
        </w:rPr>
        <w:t xml:space="preserve">female </w:t>
      </w:r>
      <w:r w:rsidRPr="00223CBF">
        <w:rPr>
          <w:rFonts w:ascii="Cambria" w:hAnsi="Cambria" w:cs="Calibri"/>
          <w:bCs/>
          <w:sz w:val="20"/>
          <w:szCs w:val="20"/>
          <w:lang w:val="en-GB"/>
        </w:rPr>
        <w:t>police officers.</w:t>
      </w:r>
    </w:p>
    <w:tbl>
      <w:tblPr>
        <w:tblStyle w:val="TableGrid"/>
        <w:tblW w:w="0" w:type="auto"/>
        <w:tblLook w:val="04A0" w:firstRow="1" w:lastRow="0" w:firstColumn="1" w:lastColumn="0" w:noHBand="0" w:noVBand="1"/>
      </w:tblPr>
      <w:tblGrid>
        <w:gridCol w:w="9350"/>
      </w:tblGrid>
      <w:tr w:rsidR="007C79D6" w14:paraId="26A37E2B" w14:textId="77777777" w:rsidTr="000607E0">
        <w:trPr>
          <w:trHeight w:val="1224"/>
        </w:trPr>
        <w:tc>
          <w:tcPr>
            <w:tcW w:w="9350" w:type="dxa"/>
            <w:tcBorders>
              <w:top w:val="nil"/>
              <w:left w:val="nil"/>
              <w:bottom w:val="nil"/>
              <w:right w:val="nil"/>
            </w:tcBorders>
            <w:shd w:val="clear" w:color="auto" w:fill="FFC000"/>
          </w:tcPr>
          <w:p w14:paraId="0ADEF682" w14:textId="1F82CFEF" w:rsidR="007C79D6" w:rsidRDefault="00330DF0" w:rsidP="00330DF0">
            <w:pPr>
              <w:pStyle w:val="BodyText"/>
              <w:tabs>
                <w:tab w:val="left" w:pos="2004"/>
              </w:tabs>
              <w:spacing w:after="200" w:line="360" w:lineRule="auto"/>
              <w:jc w:val="both"/>
              <w:rPr>
                <w:rFonts w:ascii="Cambria" w:hAnsi="Cambria" w:cs="Calibri"/>
                <w:bCs/>
                <w:sz w:val="20"/>
                <w:szCs w:val="20"/>
                <w:lang w:val="en-GB"/>
              </w:rPr>
            </w:pPr>
            <w:r>
              <w:rPr>
                <w:rFonts w:ascii="Cambria" w:hAnsi="Cambria" w:cs="Calibri"/>
                <w:bCs/>
                <w:sz w:val="20"/>
                <w:szCs w:val="20"/>
                <w:lang w:val="en-GB"/>
              </w:rPr>
              <w:t xml:space="preserve">High level responsiveness to targeted activities from the Chairperson and the </w:t>
            </w:r>
            <w:r w:rsidR="005A0A55">
              <w:rPr>
                <w:rFonts w:ascii="Cambria" w:hAnsi="Cambria" w:cs="Calibri"/>
                <w:bCs/>
                <w:sz w:val="20"/>
                <w:szCs w:val="20"/>
                <w:lang w:val="en-GB"/>
              </w:rPr>
              <w:t>M</w:t>
            </w:r>
            <w:r>
              <w:rPr>
                <w:rFonts w:ascii="Cambria" w:hAnsi="Cambria" w:cs="Calibri"/>
                <w:bCs/>
                <w:sz w:val="20"/>
                <w:szCs w:val="20"/>
                <w:lang w:val="en-GB"/>
              </w:rPr>
              <w:t>embers of the Commissions of the all three commissions has pushed forward momentum</w:t>
            </w:r>
            <w:r w:rsidR="005A0A55">
              <w:rPr>
                <w:rFonts w:ascii="Cambria" w:hAnsi="Cambria" w:cs="Calibri"/>
                <w:bCs/>
                <w:sz w:val="20"/>
                <w:szCs w:val="20"/>
                <w:lang w:val="en-GB"/>
              </w:rPr>
              <w:t>,</w:t>
            </w:r>
            <w:r>
              <w:rPr>
                <w:rFonts w:ascii="Cambria" w:hAnsi="Cambria" w:cs="Calibri"/>
                <w:bCs/>
                <w:sz w:val="20"/>
                <w:szCs w:val="20"/>
                <w:lang w:val="en-GB"/>
              </w:rPr>
              <w:t xml:space="preserve"> in implementation and continued relevance of the interventions. </w:t>
            </w:r>
            <w:r>
              <w:rPr>
                <w:rFonts w:ascii="Cambria" w:hAnsi="Cambria" w:cs="Calibri"/>
                <w:bCs/>
                <w:sz w:val="20"/>
                <w:szCs w:val="20"/>
                <w:lang w:val="en-GB"/>
              </w:rPr>
              <w:tab/>
            </w:r>
          </w:p>
        </w:tc>
      </w:tr>
    </w:tbl>
    <w:p w14:paraId="06FF520A" w14:textId="50569CB7" w:rsidR="00E84AAF" w:rsidRPr="00223CBF" w:rsidRDefault="00E84AAF" w:rsidP="00E84AAF">
      <w:pPr>
        <w:pStyle w:val="BodyText"/>
        <w:spacing w:after="200" w:line="360" w:lineRule="auto"/>
        <w:jc w:val="both"/>
        <w:rPr>
          <w:rFonts w:ascii="Cambria" w:hAnsi="Cambria" w:cs="Calibri"/>
          <w:bCs/>
          <w:sz w:val="20"/>
          <w:szCs w:val="20"/>
          <w:lang w:val="en-GB"/>
        </w:rPr>
      </w:pPr>
      <w:r w:rsidRPr="00223CBF">
        <w:rPr>
          <w:rFonts w:ascii="Cambria" w:hAnsi="Cambria" w:cs="Calibri"/>
          <w:bCs/>
          <w:sz w:val="20"/>
          <w:szCs w:val="20"/>
          <w:lang w:val="en-GB"/>
        </w:rPr>
        <w:t>The technical specialists observed that</w:t>
      </w:r>
      <w:r w:rsidR="005A0A55">
        <w:rPr>
          <w:rFonts w:ascii="Cambria" w:hAnsi="Cambria" w:cs="Calibri"/>
          <w:bCs/>
          <w:sz w:val="20"/>
          <w:szCs w:val="20"/>
          <w:lang w:val="en-GB"/>
        </w:rPr>
        <w:t>,</w:t>
      </w:r>
      <w:r w:rsidRPr="00223CBF">
        <w:rPr>
          <w:rFonts w:ascii="Cambria" w:hAnsi="Cambria" w:cs="Calibri"/>
          <w:bCs/>
          <w:sz w:val="20"/>
          <w:szCs w:val="20"/>
          <w:lang w:val="en-GB"/>
        </w:rPr>
        <w:t xml:space="preserve"> the responsiveness of the NPC to activities identified and completion of activities was very high, and less support and monitoring from the Portfolio was required towards the end of phase one. However, engagement primarily with Commission members of the HRC at the inception phase has resulted in disengagement with the Staff of the Commission identified to operationalise these interventions</w:t>
      </w:r>
      <w:r w:rsidR="005A0A55">
        <w:rPr>
          <w:rFonts w:ascii="Cambria" w:hAnsi="Cambria" w:cs="Calibri"/>
          <w:bCs/>
          <w:sz w:val="20"/>
          <w:szCs w:val="20"/>
          <w:lang w:val="en-GB"/>
        </w:rPr>
        <w:t>,</w:t>
      </w:r>
      <w:r w:rsidRPr="00223CBF">
        <w:rPr>
          <w:rFonts w:ascii="Cambria" w:hAnsi="Cambria" w:cs="Calibri"/>
          <w:bCs/>
          <w:sz w:val="20"/>
          <w:szCs w:val="20"/>
          <w:lang w:val="en-GB"/>
        </w:rPr>
        <w:t xml:space="preserve"> (</w:t>
      </w:r>
      <w:r w:rsidR="005A0A55" w:rsidRPr="00223CBF">
        <w:rPr>
          <w:rFonts w:ascii="Cambria" w:hAnsi="Cambria" w:cs="Calibri"/>
          <w:bCs/>
          <w:sz w:val="20"/>
          <w:szCs w:val="20"/>
          <w:lang w:val="en-GB"/>
        </w:rPr>
        <w:t>E.g.,</w:t>
      </w:r>
      <w:r w:rsidR="00351E2E">
        <w:rPr>
          <w:rFonts w:ascii="Cambria" w:hAnsi="Cambria" w:cs="Calibri"/>
          <w:bCs/>
          <w:sz w:val="20"/>
          <w:szCs w:val="20"/>
          <w:lang w:val="en-GB"/>
        </w:rPr>
        <w:t xml:space="preserve"> </w:t>
      </w:r>
      <w:r w:rsidRPr="00223CBF">
        <w:rPr>
          <w:rFonts w:ascii="Cambria" w:hAnsi="Cambria" w:cs="Calibri"/>
          <w:bCs/>
          <w:sz w:val="20"/>
          <w:szCs w:val="20"/>
          <w:lang w:val="en-GB"/>
        </w:rPr>
        <w:t xml:space="preserve">Automated case management system) and therefore developed some resistance (attitudinal) to the intervention itself. </w:t>
      </w:r>
    </w:p>
    <w:p w14:paraId="0BFB0162" w14:textId="5CF1BDF5" w:rsidR="00E84AAF" w:rsidRPr="00E84AAF" w:rsidRDefault="00E84AAF" w:rsidP="00E84AAF">
      <w:pPr>
        <w:spacing w:line="360" w:lineRule="auto"/>
        <w:jc w:val="both"/>
        <w:rPr>
          <w:rFonts w:ascii="Cambria" w:hAnsi="Cambria" w:cs="Calibri"/>
          <w:bCs/>
          <w:sz w:val="20"/>
          <w:szCs w:val="20"/>
          <w:lang w:val="en-GB"/>
        </w:rPr>
      </w:pPr>
      <w:r w:rsidRPr="00E84AAF">
        <w:rPr>
          <w:rFonts w:ascii="Cambria" w:hAnsi="Cambria" w:cs="Calibri"/>
          <w:bCs/>
          <w:sz w:val="20"/>
          <w:szCs w:val="20"/>
          <w:lang w:val="en-GB"/>
        </w:rPr>
        <w:t>The inability to attract qualified officers with necessary expertise and experience to ICs due to low salary schemes, lack of incentives, differential treatment and concessions in comparison to ‘public officers’ especially in line ministries, test the effectiveness and thereby the impact of the Outputs. Further, as noted by KPIs</w:t>
      </w:r>
      <w:r w:rsidR="005A0A55">
        <w:rPr>
          <w:rFonts w:ascii="Cambria" w:hAnsi="Cambria" w:cs="Calibri"/>
          <w:bCs/>
          <w:sz w:val="20"/>
          <w:szCs w:val="20"/>
          <w:lang w:val="en-GB"/>
        </w:rPr>
        <w:t>,</w:t>
      </w:r>
      <w:r w:rsidRPr="00E84AAF">
        <w:rPr>
          <w:rFonts w:ascii="Cambria" w:hAnsi="Cambria" w:cs="Calibri"/>
          <w:bCs/>
          <w:sz w:val="20"/>
          <w:szCs w:val="20"/>
          <w:lang w:val="en-GB"/>
        </w:rPr>
        <w:t xml:space="preserve"> particularly in relation to HRC, the inefficiency of staff members, cultural barriers, resistance to UNV or external </w:t>
      </w:r>
      <w:r w:rsidRPr="00E84AAF">
        <w:rPr>
          <w:rFonts w:ascii="Cambria" w:hAnsi="Cambria" w:cs="Calibri"/>
          <w:bCs/>
          <w:sz w:val="20"/>
          <w:szCs w:val="20"/>
          <w:lang w:val="en-GB"/>
        </w:rPr>
        <w:lastRenderedPageBreak/>
        <w:t>expertise and support, threatened the core functions of the Commission. Furthermore, the practice adopted by HRC to resist recruiting experienced officers from the public service to preserve the independence of the Commission and confidentiality of clients to sustain public trust</w:t>
      </w:r>
      <w:r w:rsidR="005A0A55">
        <w:rPr>
          <w:rFonts w:ascii="Cambria" w:hAnsi="Cambria" w:cs="Calibri"/>
          <w:bCs/>
          <w:sz w:val="20"/>
          <w:szCs w:val="20"/>
          <w:lang w:val="en-GB"/>
        </w:rPr>
        <w:t>,</w:t>
      </w:r>
      <w:r w:rsidRPr="00E84AAF">
        <w:rPr>
          <w:rFonts w:ascii="Cambria" w:hAnsi="Cambria" w:cs="Calibri"/>
          <w:bCs/>
          <w:sz w:val="20"/>
          <w:szCs w:val="20"/>
          <w:lang w:val="en-GB"/>
        </w:rPr>
        <w:t xml:space="preserve"> was an impediment to effectiveness and impact of the interventions. </w:t>
      </w:r>
    </w:p>
    <w:p w14:paraId="5F50C7EA" w14:textId="77777777" w:rsidR="00BA0CC5" w:rsidRDefault="00BA0CC5" w:rsidP="000507CA">
      <w:pPr>
        <w:spacing w:line="360" w:lineRule="auto"/>
        <w:jc w:val="both"/>
        <w:rPr>
          <w:rFonts w:ascii="Cambria" w:hAnsi="Cambria" w:cstheme="minorHAnsi"/>
          <w:b/>
          <w:bCs/>
          <w:sz w:val="20"/>
          <w:szCs w:val="20"/>
        </w:rPr>
      </w:pPr>
    </w:p>
    <w:p w14:paraId="154B6888" w14:textId="57046984" w:rsidR="00331FB6" w:rsidRPr="00223CBF" w:rsidRDefault="00331FB6" w:rsidP="000507CA">
      <w:pPr>
        <w:spacing w:line="360" w:lineRule="auto"/>
        <w:jc w:val="both"/>
        <w:rPr>
          <w:rFonts w:ascii="Cambria" w:hAnsi="Cambria" w:cstheme="minorHAnsi"/>
          <w:b/>
          <w:bCs/>
          <w:sz w:val="20"/>
          <w:szCs w:val="20"/>
        </w:rPr>
      </w:pPr>
      <w:r w:rsidRPr="00223CBF">
        <w:rPr>
          <w:rFonts w:ascii="Cambria" w:hAnsi="Cambria" w:cstheme="minorHAnsi"/>
          <w:b/>
          <w:bCs/>
          <w:sz w:val="20"/>
          <w:szCs w:val="20"/>
        </w:rPr>
        <w:t>EQ5. Sustainability and Ownership</w:t>
      </w:r>
    </w:p>
    <w:p w14:paraId="08F5F90F" w14:textId="77777777" w:rsidR="00331FB6" w:rsidRPr="00223CBF" w:rsidRDefault="00331FB6" w:rsidP="000507CA">
      <w:pPr>
        <w:shd w:val="clear" w:color="auto" w:fill="92D050"/>
        <w:spacing w:line="360" w:lineRule="auto"/>
        <w:jc w:val="both"/>
        <w:rPr>
          <w:rFonts w:ascii="Cambria" w:hAnsi="Cambria" w:cstheme="minorHAnsi"/>
          <w:sz w:val="20"/>
          <w:szCs w:val="20"/>
        </w:rPr>
      </w:pPr>
    </w:p>
    <w:p w14:paraId="10FB5B36" w14:textId="3B3C352E" w:rsidR="00331FB6" w:rsidRDefault="00331FB6" w:rsidP="00997030">
      <w:pPr>
        <w:shd w:val="clear" w:color="auto" w:fill="92D050"/>
        <w:spacing w:line="360" w:lineRule="auto"/>
        <w:jc w:val="center"/>
        <w:rPr>
          <w:rFonts w:ascii="Cambria" w:hAnsi="Cambria" w:cstheme="minorHAnsi"/>
          <w:sz w:val="20"/>
          <w:szCs w:val="20"/>
        </w:rPr>
      </w:pPr>
      <w:r w:rsidRPr="00223CBF">
        <w:rPr>
          <w:rFonts w:ascii="Cambria" w:hAnsi="Cambria" w:cstheme="minorHAnsi"/>
          <w:sz w:val="20"/>
          <w:szCs w:val="20"/>
        </w:rPr>
        <w:t xml:space="preserve">Sustainability considers the extent to which the outcomes or the progress achieved is </w:t>
      </w:r>
      <w:r w:rsidRPr="00223CBF">
        <w:rPr>
          <w:rFonts w:ascii="Cambria" w:hAnsi="Cambria" w:cstheme="minorHAnsi"/>
          <w:b/>
          <w:bCs/>
          <w:sz w:val="20"/>
          <w:szCs w:val="20"/>
        </w:rPr>
        <w:t>likely to endure beyond the duration of the project</w:t>
      </w:r>
      <w:r w:rsidRPr="00223CBF">
        <w:rPr>
          <w:rFonts w:ascii="Cambria" w:hAnsi="Cambria" w:cstheme="minorHAnsi"/>
          <w:sz w:val="20"/>
          <w:szCs w:val="20"/>
        </w:rPr>
        <w:t xml:space="preserve">. It looks at whether the project design considered the </w:t>
      </w:r>
      <w:r w:rsidRPr="00223CBF">
        <w:rPr>
          <w:rFonts w:ascii="Cambria" w:hAnsi="Cambria" w:cstheme="minorHAnsi"/>
          <w:b/>
          <w:bCs/>
          <w:sz w:val="20"/>
          <w:szCs w:val="20"/>
        </w:rPr>
        <w:t>handing-over of responsibilities to government and non-government stakeholders</w:t>
      </w:r>
      <w:r w:rsidRPr="00223CBF">
        <w:rPr>
          <w:rFonts w:ascii="Cambria" w:hAnsi="Cambria" w:cstheme="minorHAnsi"/>
          <w:sz w:val="20"/>
          <w:szCs w:val="20"/>
        </w:rPr>
        <w:t xml:space="preserve"> and the capacity of national partners institutionalizing efforts through internal processes and budgeting for continuity and ownership. It also considers the </w:t>
      </w:r>
      <w:r w:rsidRPr="00223CBF">
        <w:rPr>
          <w:rFonts w:ascii="Cambria" w:hAnsi="Cambria" w:cstheme="minorHAnsi"/>
          <w:b/>
          <w:bCs/>
          <w:sz w:val="20"/>
          <w:szCs w:val="20"/>
        </w:rPr>
        <w:t>networks and partnerships built</w:t>
      </w:r>
      <w:r w:rsidRPr="00223CBF">
        <w:rPr>
          <w:rFonts w:ascii="Cambria" w:hAnsi="Cambria" w:cstheme="minorHAnsi"/>
          <w:sz w:val="20"/>
          <w:szCs w:val="20"/>
        </w:rPr>
        <w:t xml:space="preserve"> and strengthened and immediate and long-term risks that may impact on sustainability.</w:t>
      </w:r>
    </w:p>
    <w:p w14:paraId="642E8484" w14:textId="77777777" w:rsidR="00997030" w:rsidRPr="00223CBF" w:rsidRDefault="00997030" w:rsidP="000507CA">
      <w:pPr>
        <w:shd w:val="clear" w:color="auto" w:fill="92D050"/>
        <w:spacing w:line="360" w:lineRule="auto"/>
        <w:jc w:val="both"/>
        <w:rPr>
          <w:rFonts w:ascii="Cambria" w:hAnsi="Cambria" w:cstheme="minorHAnsi"/>
          <w:b/>
          <w:bCs/>
          <w:color w:val="4A66AC" w:themeColor="accent1"/>
          <w:sz w:val="20"/>
          <w:szCs w:val="20"/>
        </w:rPr>
      </w:pPr>
    </w:p>
    <w:p w14:paraId="5668E3F2" w14:textId="61226483" w:rsidR="00331FB6" w:rsidRPr="00223CBF" w:rsidRDefault="00331FB6" w:rsidP="007C766E">
      <w:pPr>
        <w:pStyle w:val="ListParagraph"/>
        <w:numPr>
          <w:ilvl w:val="0"/>
          <w:numId w:val="6"/>
        </w:numPr>
        <w:spacing w:line="360" w:lineRule="auto"/>
        <w:jc w:val="both"/>
        <w:rPr>
          <w:rFonts w:ascii="Cambria" w:hAnsi="Cambria" w:cs="Calibri"/>
          <w:bCs/>
          <w:color w:val="0070C0"/>
          <w:sz w:val="20"/>
          <w:szCs w:val="20"/>
          <w:lang w:val="en-GB"/>
        </w:rPr>
      </w:pPr>
      <w:r w:rsidRPr="00223CBF">
        <w:rPr>
          <w:rFonts w:ascii="Cambria" w:hAnsi="Cambria" w:cstheme="minorHAnsi"/>
          <w:b/>
          <w:bCs/>
          <w:color w:val="0070C0"/>
          <w:sz w:val="20"/>
          <w:szCs w:val="20"/>
        </w:rPr>
        <w:t>The extent to which the strategies adopted are likely to ensure beyond the duration of the Portfolio and the extent to which national ownership was encouraged</w:t>
      </w:r>
    </w:p>
    <w:p w14:paraId="2158DA9E" w14:textId="4EC98587" w:rsidR="00E84AAF" w:rsidRPr="00E84AAF" w:rsidRDefault="00E84AAF" w:rsidP="00E84AAF">
      <w:pPr>
        <w:spacing w:line="360" w:lineRule="auto"/>
        <w:jc w:val="both"/>
        <w:rPr>
          <w:rFonts w:ascii="Cambria" w:hAnsi="Cambria" w:cstheme="minorHAnsi"/>
          <w:sz w:val="20"/>
          <w:szCs w:val="20"/>
        </w:rPr>
      </w:pPr>
      <w:r w:rsidRPr="00E84AAF">
        <w:rPr>
          <w:rFonts w:ascii="Cambria" w:hAnsi="Cambria" w:cstheme="minorHAnsi"/>
          <w:sz w:val="20"/>
          <w:szCs w:val="20"/>
        </w:rPr>
        <w:t>Feedback from IPs highlight that</w:t>
      </w:r>
      <w:r w:rsidR="005A0A55">
        <w:rPr>
          <w:rFonts w:ascii="Cambria" w:hAnsi="Cambria" w:cstheme="minorHAnsi"/>
          <w:sz w:val="20"/>
          <w:szCs w:val="20"/>
        </w:rPr>
        <w:t>,</w:t>
      </w:r>
      <w:r w:rsidRPr="00E84AAF">
        <w:rPr>
          <w:rFonts w:ascii="Cambria" w:hAnsi="Cambria" w:cstheme="minorHAnsi"/>
          <w:sz w:val="20"/>
          <w:szCs w:val="20"/>
        </w:rPr>
        <w:t xml:space="preserve"> support to the legal unit of the RTIC was relevant in implementing the mandate of the RTI</w:t>
      </w:r>
      <w:r w:rsidR="005A0A55">
        <w:rPr>
          <w:rFonts w:ascii="Cambria" w:hAnsi="Cambria" w:cstheme="minorHAnsi"/>
          <w:sz w:val="20"/>
          <w:szCs w:val="20"/>
        </w:rPr>
        <w:t>. However, it</w:t>
      </w:r>
      <w:r w:rsidRPr="00E84AAF">
        <w:rPr>
          <w:rFonts w:ascii="Cambria" w:hAnsi="Cambria" w:cstheme="minorHAnsi"/>
          <w:sz w:val="20"/>
          <w:szCs w:val="20"/>
        </w:rPr>
        <w:t xml:space="preserve"> can only be sustained with further support to the legal unit pending allocation of cadre and resources from the upcoming budget. Documenting the institutional memory and ensuring a smooth transition from temporary to full time permanent staff of the Commission</w:t>
      </w:r>
      <w:r w:rsidR="005A0A55">
        <w:rPr>
          <w:rFonts w:ascii="Cambria" w:hAnsi="Cambria" w:cstheme="minorHAnsi"/>
          <w:sz w:val="20"/>
          <w:szCs w:val="20"/>
        </w:rPr>
        <w:t>,</w:t>
      </w:r>
      <w:r w:rsidRPr="00E84AAF">
        <w:rPr>
          <w:rFonts w:ascii="Cambria" w:hAnsi="Cambria" w:cstheme="minorHAnsi"/>
          <w:sz w:val="20"/>
          <w:szCs w:val="20"/>
        </w:rPr>
        <w:t xml:space="preserve"> would be an important aspect of sustaining impact and ensuring sustainability of the effort put towards the initiative</w:t>
      </w:r>
      <w:r w:rsidRPr="00E84AAF">
        <w:rPr>
          <w:rFonts w:ascii="Cambria" w:hAnsi="Cambria" w:cstheme="minorHAnsi"/>
          <w:bCs/>
          <w:sz w:val="20"/>
          <w:szCs w:val="20"/>
        </w:rPr>
        <w:t>. IPs emphasise</w:t>
      </w:r>
      <w:r w:rsidR="005A0A55">
        <w:rPr>
          <w:rFonts w:ascii="Cambria" w:hAnsi="Cambria" w:cstheme="minorHAnsi"/>
          <w:bCs/>
          <w:sz w:val="20"/>
          <w:szCs w:val="20"/>
        </w:rPr>
        <w:t xml:space="preserve"> </w:t>
      </w:r>
      <w:r w:rsidRPr="00E84AAF">
        <w:rPr>
          <w:rFonts w:ascii="Cambria" w:hAnsi="Cambria" w:cstheme="minorHAnsi"/>
          <w:bCs/>
          <w:sz w:val="20"/>
          <w:szCs w:val="20"/>
        </w:rPr>
        <w:t>the importance of implementing the proactive disclosure policy</w:t>
      </w:r>
      <w:r w:rsidR="005A0A55">
        <w:rPr>
          <w:rFonts w:ascii="Cambria" w:hAnsi="Cambria" w:cstheme="minorHAnsi"/>
          <w:bCs/>
          <w:sz w:val="20"/>
          <w:szCs w:val="20"/>
        </w:rPr>
        <w:t>,</w:t>
      </w:r>
      <w:r w:rsidRPr="00E84AAF">
        <w:rPr>
          <w:rFonts w:ascii="Cambria" w:hAnsi="Cambria" w:cstheme="minorHAnsi"/>
          <w:bCs/>
          <w:sz w:val="20"/>
          <w:szCs w:val="20"/>
        </w:rPr>
        <w:t xml:space="preserve"> which was approved by the Cabinet, which may be sustained with support from the Portfolio during the second phase. </w:t>
      </w:r>
    </w:p>
    <w:p w14:paraId="574B0508" w14:textId="77777777" w:rsidR="00331FB6" w:rsidRPr="00223CBF" w:rsidRDefault="00331FB6" w:rsidP="00997030">
      <w:pPr>
        <w:pStyle w:val="BodyText"/>
        <w:shd w:val="clear" w:color="auto" w:fill="FFC000"/>
        <w:spacing w:line="360" w:lineRule="auto"/>
        <w:jc w:val="both"/>
        <w:rPr>
          <w:rFonts w:ascii="Cambria" w:hAnsi="Cambria" w:cs="Calibri"/>
          <w:bCs/>
          <w:sz w:val="20"/>
          <w:szCs w:val="20"/>
          <w:lang w:val="en-GB"/>
        </w:rPr>
      </w:pPr>
      <w:r w:rsidRPr="00223CBF">
        <w:rPr>
          <w:rFonts w:ascii="Cambria" w:hAnsi="Cambria" w:cs="Calibri"/>
          <w:bCs/>
          <w:sz w:val="20"/>
          <w:szCs w:val="20"/>
          <w:lang w:val="en-GB"/>
        </w:rPr>
        <w:t xml:space="preserve">Institutional ownership of interventions was generally high with all three commissions, which has developed as observed by IPs themselves a strong partnership with UNDP as an agency trusted to support good governance initiatives and the role of the technical specialists to ensure continuity of results. </w:t>
      </w:r>
    </w:p>
    <w:p w14:paraId="023A25E5" w14:textId="138E63A5" w:rsidR="00997030" w:rsidRDefault="00331FB6" w:rsidP="000507CA">
      <w:pPr>
        <w:spacing w:after="200" w:line="360" w:lineRule="auto"/>
        <w:jc w:val="both"/>
        <w:rPr>
          <w:rFonts w:ascii="Cambria" w:hAnsi="Cambria" w:cs="Calibri"/>
          <w:bCs/>
          <w:sz w:val="20"/>
          <w:szCs w:val="20"/>
          <w:lang w:val="en-GB"/>
        </w:rPr>
      </w:pPr>
      <w:r w:rsidRPr="00223CBF">
        <w:rPr>
          <w:rFonts w:ascii="Cambria" w:hAnsi="Cambria" w:cs="Calibri"/>
          <w:b/>
          <w:sz w:val="20"/>
          <w:szCs w:val="20"/>
          <w:lang w:val="en-GB"/>
        </w:rPr>
        <w:t xml:space="preserve">Ownership and high-level support from leadership in all three commissions </w:t>
      </w:r>
      <w:r w:rsidR="00833DC0" w:rsidRPr="00223CBF">
        <w:rPr>
          <w:rFonts w:ascii="Cambria" w:hAnsi="Cambria" w:cs="Calibri"/>
          <w:b/>
          <w:sz w:val="20"/>
          <w:szCs w:val="20"/>
          <w:lang w:val="en-GB"/>
        </w:rPr>
        <w:t xml:space="preserve">were </w:t>
      </w:r>
      <w:r w:rsidRPr="00223CBF">
        <w:rPr>
          <w:rFonts w:ascii="Cambria" w:hAnsi="Cambria" w:cs="Calibri"/>
          <w:b/>
          <w:sz w:val="20"/>
          <w:szCs w:val="20"/>
          <w:lang w:val="en-GB"/>
        </w:rPr>
        <w:t>identified</w:t>
      </w:r>
      <w:r w:rsidRPr="00223CBF">
        <w:rPr>
          <w:rFonts w:ascii="Cambria" w:hAnsi="Cambria" w:cs="Calibri"/>
          <w:bCs/>
          <w:sz w:val="20"/>
          <w:szCs w:val="20"/>
          <w:lang w:val="en-GB"/>
        </w:rPr>
        <w:t>. All three commissions have continuously engaged with the UNDP and provided the necessary guidance and leadership to ensure the completion and continuity of the interventions.</w:t>
      </w:r>
    </w:p>
    <w:tbl>
      <w:tblPr>
        <w:tblStyle w:val="TableGrid"/>
        <w:tblW w:w="0" w:type="auto"/>
        <w:tblLook w:val="04A0" w:firstRow="1" w:lastRow="0" w:firstColumn="1" w:lastColumn="0" w:noHBand="0" w:noVBand="1"/>
      </w:tblPr>
      <w:tblGrid>
        <w:gridCol w:w="9350"/>
      </w:tblGrid>
      <w:tr w:rsidR="00997030" w14:paraId="08CADB80" w14:textId="77777777" w:rsidTr="000607E0">
        <w:tc>
          <w:tcPr>
            <w:tcW w:w="9350" w:type="dxa"/>
            <w:tcBorders>
              <w:top w:val="nil"/>
              <w:left w:val="nil"/>
              <w:bottom w:val="nil"/>
              <w:right w:val="nil"/>
            </w:tcBorders>
            <w:shd w:val="clear" w:color="auto" w:fill="FFC000"/>
          </w:tcPr>
          <w:p w14:paraId="12B36F8B" w14:textId="24146AE7" w:rsidR="00997030" w:rsidRDefault="00997030" w:rsidP="000507CA">
            <w:pPr>
              <w:spacing w:after="200" w:line="360" w:lineRule="auto"/>
              <w:jc w:val="both"/>
              <w:rPr>
                <w:rFonts w:ascii="Cambria" w:hAnsi="Cambria" w:cs="Calibri"/>
                <w:bCs/>
                <w:sz w:val="20"/>
                <w:szCs w:val="20"/>
                <w:lang w:val="en-GB"/>
              </w:rPr>
            </w:pPr>
            <w:r>
              <w:rPr>
                <w:rFonts w:ascii="Cambria" w:hAnsi="Cambria" w:cs="Calibri"/>
                <w:bCs/>
                <w:sz w:val="20"/>
                <w:szCs w:val="20"/>
                <w:lang w:val="en-GB"/>
              </w:rPr>
              <w:lastRenderedPageBreak/>
              <w:t>However, IPs and KPIs observe that over reliance on key personalities within the Commission without due recourse to investment in the middle management and staff of the commissions</w:t>
            </w:r>
            <w:r w:rsidR="005A0A55">
              <w:rPr>
                <w:rFonts w:ascii="Cambria" w:hAnsi="Cambria" w:cs="Calibri"/>
                <w:bCs/>
                <w:sz w:val="20"/>
                <w:szCs w:val="20"/>
                <w:lang w:val="en-GB"/>
              </w:rPr>
              <w:t>,</w:t>
            </w:r>
            <w:r>
              <w:rPr>
                <w:rFonts w:ascii="Cambria" w:hAnsi="Cambria" w:cs="Calibri"/>
                <w:bCs/>
                <w:sz w:val="20"/>
                <w:szCs w:val="20"/>
                <w:lang w:val="en-GB"/>
              </w:rPr>
              <w:t xml:space="preserve"> may impact ownership and sustainability, especially during the second phase.</w:t>
            </w:r>
          </w:p>
        </w:tc>
      </w:tr>
    </w:tbl>
    <w:p w14:paraId="740CE28A" w14:textId="031C1BFF" w:rsidR="00331FB6" w:rsidRPr="00223CBF" w:rsidRDefault="00331FB6" w:rsidP="000507CA">
      <w:pPr>
        <w:spacing w:after="200" w:line="360" w:lineRule="auto"/>
        <w:jc w:val="both"/>
        <w:rPr>
          <w:rFonts w:ascii="Cambria" w:hAnsi="Cambria" w:cs="Calibri"/>
          <w:b/>
          <w:sz w:val="20"/>
          <w:szCs w:val="20"/>
          <w:lang w:val="en-GB"/>
        </w:rPr>
      </w:pPr>
      <w:r w:rsidRPr="00223CBF">
        <w:rPr>
          <w:rFonts w:ascii="Cambria" w:hAnsi="Cambria" w:cs="Calibri"/>
          <w:bCs/>
          <w:sz w:val="20"/>
          <w:szCs w:val="20"/>
          <w:lang w:val="en-GB"/>
        </w:rPr>
        <w:t>IPs and KPI</w:t>
      </w:r>
      <w:r w:rsidR="00833DC0" w:rsidRPr="00223CBF">
        <w:rPr>
          <w:rFonts w:ascii="Cambria" w:hAnsi="Cambria" w:cs="Calibri"/>
          <w:bCs/>
          <w:sz w:val="20"/>
          <w:szCs w:val="20"/>
          <w:lang w:val="en-GB"/>
        </w:rPr>
        <w:t xml:space="preserve"> also </w:t>
      </w:r>
      <w:r w:rsidR="00486A29">
        <w:rPr>
          <w:rFonts w:ascii="Cambria" w:hAnsi="Cambria" w:cs="Calibri"/>
          <w:bCs/>
          <w:sz w:val="20"/>
          <w:szCs w:val="20"/>
          <w:lang w:val="en-GB"/>
        </w:rPr>
        <w:t xml:space="preserve">pointed out </w:t>
      </w:r>
      <w:r w:rsidRPr="00223CBF">
        <w:rPr>
          <w:rFonts w:ascii="Cambria" w:hAnsi="Cambria" w:cs="Calibri"/>
          <w:bCs/>
          <w:sz w:val="20"/>
          <w:szCs w:val="20"/>
          <w:lang w:val="en-GB"/>
        </w:rPr>
        <w:t>that</w:t>
      </w:r>
      <w:r w:rsidR="005A0A55">
        <w:rPr>
          <w:rFonts w:ascii="Cambria" w:hAnsi="Cambria" w:cs="Calibri"/>
          <w:bCs/>
          <w:sz w:val="20"/>
          <w:szCs w:val="20"/>
          <w:lang w:val="en-GB"/>
        </w:rPr>
        <w:t>,</w:t>
      </w:r>
      <w:r w:rsidRPr="00223CBF">
        <w:rPr>
          <w:rFonts w:ascii="Cambria" w:hAnsi="Cambria" w:cs="Calibri"/>
          <w:bCs/>
          <w:sz w:val="20"/>
          <w:szCs w:val="20"/>
          <w:lang w:val="en-GB"/>
        </w:rPr>
        <w:t xml:space="preserve"> although it is common parlance to rely on ‘personalities’ and ‘key people’ as entry points for corporate buy in and ownership, this has time and again proven to be ineffective and inefficient, especially in instances of over reliance.</w:t>
      </w:r>
      <w:r w:rsidRPr="00223CBF">
        <w:rPr>
          <w:rFonts w:ascii="Cambria" w:hAnsi="Cambria" w:cs="Arial"/>
          <w:bCs/>
          <w:sz w:val="20"/>
          <w:szCs w:val="20"/>
          <w:lang w:val="en-GB"/>
        </w:rPr>
        <w:t xml:space="preserve"> Therefore, adoption of alternate</w:t>
      </w:r>
      <w:r w:rsidR="00833DC0" w:rsidRPr="00223CBF">
        <w:rPr>
          <w:rFonts w:ascii="Cambria" w:hAnsi="Cambria" w:cs="Arial"/>
          <w:bCs/>
          <w:sz w:val="20"/>
          <w:szCs w:val="20"/>
          <w:lang w:val="en-GB"/>
        </w:rPr>
        <w:t xml:space="preserve"> </w:t>
      </w:r>
      <w:r w:rsidRPr="00223CBF">
        <w:rPr>
          <w:rFonts w:ascii="Cambria" w:hAnsi="Cambria" w:cs="Arial"/>
          <w:bCs/>
          <w:sz w:val="20"/>
          <w:szCs w:val="20"/>
          <w:lang w:val="en-GB"/>
        </w:rPr>
        <w:t>or multiple strategies in engagement at different tiers to enhance ownership and inter alia sustainability is crucial to mitigate potential risks</w:t>
      </w:r>
      <w:r w:rsidR="005A0A55">
        <w:rPr>
          <w:rFonts w:ascii="Cambria" w:hAnsi="Cambria" w:cs="Arial"/>
          <w:bCs/>
          <w:sz w:val="20"/>
          <w:szCs w:val="20"/>
          <w:lang w:val="en-GB"/>
        </w:rPr>
        <w:t>,</w:t>
      </w:r>
      <w:r w:rsidRPr="00223CBF">
        <w:rPr>
          <w:rFonts w:ascii="Cambria" w:hAnsi="Cambria" w:cs="Arial"/>
          <w:bCs/>
          <w:sz w:val="20"/>
          <w:szCs w:val="20"/>
          <w:lang w:val="en-GB"/>
        </w:rPr>
        <w:t xml:space="preserve"> as evidenced by the parliamentary </w:t>
      </w:r>
      <w:r w:rsidR="00351E2E" w:rsidRPr="00223CBF">
        <w:rPr>
          <w:rFonts w:ascii="Cambria" w:hAnsi="Cambria" w:cs="Arial"/>
          <w:bCs/>
          <w:sz w:val="20"/>
          <w:szCs w:val="20"/>
          <w:lang w:val="en-GB"/>
        </w:rPr>
        <w:t>reforms’</w:t>
      </w:r>
      <w:r w:rsidRPr="00223CBF">
        <w:rPr>
          <w:rFonts w:ascii="Cambria" w:hAnsi="Cambria" w:cs="Arial"/>
          <w:bCs/>
          <w:sz w:val="20"/>
          <w:szCs w:val="20"/>
          <w:lang w:val="en-GB"/>
        </w:rPr>
        <w:t xml:space="preserve"> agenda and also by the timely completion of interventions by the NPC and RTIC.</w:t>
      </w:r>
    </w:p>
    <w:p w14:paraId="4DA1A738" w14:textId="1C0FF716" w:rsidR="004D0F4B" w:rsidRPr="00223CBF" w:rsidRDefault="00331FB6" w:rsidP="00182E57">
      <w:pPr>
        <w:pStyle w:val="BodyText"/>
        <w:spacing w:line="360" w:lineRule="auto"/>
        <w:jc w:val="both"/>
        <w:rPr>
          <w:rFonts w:ascii="Cambria" w:hAnsi="Cambria" w:cstheme="minorHAnsi"/>
          <w:b/>
          <w:bCs/>
          <w:color w:val="0070C0"/>
          <w:sz w:val="20"/>
          <w:szCs w:val="20"/>
        </w:rPr>
      </w:pPr>
      <w:r w:rsidRPr="00223CBF">
        <w:rPr>
          <w:rFonts w:ascii="Cambria" w:hAnsi="Cambria" w:cs="Calibri"/>
          <w:b/>
          <w:sz w:val="20"/>
          <w:szCs w:val="20"/>
          <w:lang w:val="en-GB"/>
        </w:rPr>
        <w:t>Sustainability of interventions to show results still depend on Portfolio funding</w:t>
      </w:r>
      <w:r w:rsidR="00894A77" w:rsidRPr="00223CBF">
        <w:rPr>
          <w:rFonts w:ascii="Cambria" w:hAnsi="Cambria" w:cs="Calibri"/>
          <w:b/>
          <w:sz w:val="20"/>
          <w:szCs w:val="20"/>
          <w:lang w:val="en-GB"/>
        </w:rPr>
        <w:t>.</w:t>
      </w:r>
      <w:r w:rsidRPr="00223CBF">
        <w:rPr>
          <w:rFonts w:ascii="Cambria" w:hAnsi="Cambria" w:cs="Calibri"/>
          <w:b/>
          <w:sz w:val="20"/>
          <w:szCs w:val="20"/>
          <w:lang w:val="en-GB"/>
        </w:rPr>
        <w:t xml:space="preserve"> </w:t>
      </w:r>
      <w:bookmarkEnd w:id="40"/>
      <w:r w:rsidR="00182E57" w:rsidRPr="00AC1452">
        <w:rPr>
          <w:rFonts w:ascii="Cambria" w:hAnsi="Cambria" w:cs="Calibri"/>
          <w:bCs/>
          <w:sz w:val="20"/>
          <w:szCs w:val="20"/>
          <w:lang w:val="en-GB"/>
        </w:rPr>
        <w:t xml:space="preserve">Most of the interventions are ongoing or at an initial phase and therefore cannot be sustained without further technical and </w:t>
      </w:r>
      <w:r w:rsidR="00486A29" w:rsidRPr="00AC1452">
        <w:rPr>
          <w:rFonts w:ascii="Cambria" w:hAnsi="Cambria" w:cs="Calibri"/>
          <w:bCs/>
          <w:sz w:val="20"/>
          <w:szCs w:val="20"/>
          <w:lang w:val="en-GB"/>
        </w:rPr>
        <w:t>mon</w:t>
      </w:r>
      <w:r w:rsidR="00486A29">
        <w:rPr>
          <w:rFonts w:ascii="Cambria" w:hAnsi="Cambria" w:cs="Calibri"/>
          <w:bCs/>
          <w:sz w:val="20"/>
          <w:szCs w:val="20"/>
          <w:lang w:val="en-GB"/>
        </w:rPr>
        <w:t>e</w:t>
      </w:r>
      <w:r w:rsidR="00486A29" w:rsidRPr="00AC1452">
        <w:rPr>
          <w:rFonts w:ascii="Cambria" w:hAnsi="Cambria" w:cs="Calibri"/>
          <w:bCs/>
          <w:sz w:val="20"/>
          <w:szCs w:val="20"/>
          <w:lang w:val="en-GB"/>
        </w:rPr>
        <w:t>tary</w:t>
      </w:r>
      <w:r w:rsidR="00182E57" w:rsidRPr="00AC1452">
        <w:rPr>
          <w:rFonts w:ascii="Cambria" w:hAnsi="Cambria" w:cs="Calibri"/>
          <w:bCs/>
          <w:sz w:val="20"/>
          <w:szCs w:val="20"/>
          <w:lang w:val="en-GB"/>
        </w:rPr>
        <w:t xml:space="preserve"> support from the Portfolio. </w:t>
      </w:r>
    </w:p>
    <w:p w14:paraId="31C023FE" w14:textId="1D96C319" w:rsidR="00331FB6" w:rsidRPr="00223CBF" w:rsidRDefault="00331FB6" w:rsidP="007C766E">
      <w:pPr>
        <w:pStyle w:val="ListParagraph"/>
        <w:numPr>
          <w:ilvl w:val="0"/>
          <w:numId w:val="6"/>
        </w:numPr>
        <w:spacing w:line="360" w:lineRule="auto"/>
        <w:jc w:val="both"/>
        <w:rPr>
          <w:rFonts w:ascii="Cambria" w:hAnsi="Cambria" w:cs="Calibri"/>
          <w:bCs/>
          <w:color w:val="0070C0"/>
          <w:sz w:val="20"/>
          <w:szCs w:val="20"/>
          <w:lang w:val="en-GB"/>
        </w:rPr>
      </w:pPr>
      <w:r w:rsidRPr="00223CBF">
        <w:rPr>
          <w:rFonts w:ascii="Cambria" w:hAnsi="Cambria" w:cstheme="minorHAnsi"/>
          <w:b/>
          <w:bCs/>
          <w:color w:val="0070C0"/>
          <w:sz w:val="20"/>
          <w:szCs w:val="20"/>
        </w:rPr>
        <w:t xml:space="preserve">The immediate and long-term risks that may prevent sustainability of strategic interventions </w:t>
      </w:r>
    </w:p>
    <w:p w14:paraId="14AB6844" w14:textId="686AC699" w:rsidR="00E84AAF" w:rsidRPr="00E84AAF" w:rsidRDefault="00E84AAF" w:rsidP="00E84AAF">
      <w:pPr>
        <w:spacing w:after="200" w:line="360" w:lineRule="auto"/>
        <w:jc w:val="both"/>
        <w:rPr>
          <w:rFonts w:ascii="Cambria" w:hAnsi="Cambria"/>
          <w:sz w:val="20"/>
          <w:szCs w:val="20"/>
        </w:rPr>
      </w:pPr>
      <w:bookmarkStart w:id="42" w:name="_Hlk55721599"/>
      <w:r w:rsidRPr="00E84AAF">
        <w:rPr>
          <w:rFonts w:ascii="Cambria" w:hAnsi="Cambria" w:cs="Calibri"/>
          <w:bCs/>
          <w:sz w:val="20"/>
          <w:szCs w:val="20"/>
          <w:lang w:val="en-GB"/>
        </w:rPr>
        <w:t>Investment in capacity development in staff of ICs as in other instances are regularly threatened due to constant and irregular transfers in the public service. Whilst staff of NPC and RTIC are eligible for transfer within the public service, staff of the HRC are permanent and constant. Although this presents an opportunity to invest in longer term capacity development and training</w:t>
      </w:r>
      <w:r w:rsidR="005A0A55">
        <w:rPr>
          <w:rFonts w:ascii="Cambria" w:hAnsi="Cambria" w:cs="Calibri"/>
          <w:bCs/>
          <w:sz w:val="20"/>
          <w:szCs w:val="20"/>
          <w:lang w:val="en-GB"/>
        </w:rPr>
        <w:t>,</w:t>
      </w:r>
      <w:r w:rsidRPr="00E84AAF">
        <w:rPr>
          <w:rFonts w:ascii="Cambria" w:hAnsi="Cambria" w:cs="Calibri"/>
          <w:bCs/>
          <w:sz w:val="20"/>
          <w:szCs w:val="20"/>
          <w:lang w:val="en-GB"/>
        </w:rPr>
        <w:t xml:space="preserve"> it has also been highlighted as an impediment by KPIs due to reasons mentioned above. </w:t>
      </w:r>
    </w:p>
    <w:p w14:paraId="0ECBA8E3" w14:textId="69D9E7C5" w:rsidR="00E84AAF" w:rsidRPr="00E84AAF" w:rsidRDefault="00E84AAF" w:rsidP="00E84AAF">
      <w:pPr>
        <w:spacing w:after="200" w:line="360" w:lineRule="auto"/>
        <w:jc w:val="both"/>
        <w:rPr>
          <w:rFonts w:ascii="Cambria" w:hAnsi="Cambria" w:cs="Calibri"/>
          <w:bCs/>
          <w:sz w:val="20"/>
          <w:szCs w:val="20"/>
          <w:lang w:val="en-GB"/>
        </w:rPr>
      </w:pPr>
      <w:r w:rsidRPr="00E84AAF">
        <w:rPr>
          <w:rFonts w:ascii="Cambria" w:hAnsi="Cambria" w:cs="Calibri"/>
          <w:bCs/>
          <w:sz w:val="20"/>
          <w:szCs w:val="20"/>
          <w:lang w:val="en-GB"/>
        </w:rPr>
        <w:t>The enactment of the 20</w:t>
      </w:r>
      <w:r w:rsidRPr="00E84AAF">
        <w:rPr>
          <w:rFonts w:ascii="Cambria" w:hAnsi="Cambria" w:cs="Calibri"/>
          <w:bCs/>
          <w:sz w:val="20"/>
          <w:szCs w:val="20"/>
          <w:vertAlign w:val="superscript"/>
          <w:lang w:val="en-GB"/>
        </w:rPr>
        <w:t>th</w:t>
      </w:r>
      <w:r w:rsidRPr="00E84AAF">
        <w:rPr>
          <w:rFonts w:ascii="Cambria" w:hAnsi="Cambria" w:cs="Calibri"/>
          <w:bCs/>
          <w:sz w:val="20"/>
          <w:szCs w:val="20"/>
          <w:lang w:val="en-GB"/>
        </w:rPr>
        <w:t xml:space="preserve"> </w:t>
      </w:r>
      <w:r w:rsidR="005A0A55">
        <w:rPr>
          <w:rFonts w:ascii="Cambria" w:hAnsi="Cambria" w:cs="Calibri"/>
          <w:bCs/>
          <w:sz w:val="20"/>
          <w:szCs w:val="20"/>
          <w:lang w:val="en-GB"/>
        </w:rPr>
        <w:t>A</w:t>
      </w:r>
      <w:r w:rsidRPr="00E84AAF">
        <w:rPr>
          <w:rFonts w:ascii="Cambria" w:hAnsi="Cambria" w:cs="Calibri"/>
          <w:bCs/>
          <w:sz w:val="20"/>
          <w:szCs w:val="20"/>
          <w:lang w:val="en-GB"/>
        </w:rPr>
        <w:t>mendment and the abolition of the CC and suspension of ICs has presented a serious impediment to the continuation of interventions as well as a serious risk to improving the accountability and inclusivity of ICs by strengthening their core functions. The 20</w:t>
      </w:r>
      <w:r w:rsidRPr="00E84AAF">
        <w:rPr>
          <w:rFonts w:ascii="Cambria" w:hAnsi="Cambria" w:cs="Calibri"/>
          <w:bCs/>
          <w:sz w:val="20"/>
          <w:szCs w:val="20"/>
          <w:vertAlign w:val="superscript"/>
          <w:lang w:val="en-GB"/>
        </w:rPr>
        <w:t>th</w:t>
      </w:r>
      <w:r w:rsidRPr="00E84AAF">
        <w:rPr>
          <w:rFonts w:ascii="Cambria" w:hAnsi="Cambria" w:cs="Calibri"/>
          <w:bCs/>
          <w:sz w:val="20"/>
          <w:szCs w:val="20"/>
          <w:lang w:val="en-GB"/>
        </w:rPr>
        <w:t xml:space="preserve"> Amendment repealed and replaced the Constitutional Council with a much weaker Parliamentary Council.</w:t>
      </w:r>
      <w:r w:rsidRPr="00223CBF">
        <w:rPr>
          <w:rStyle w:val="FootnoteReference"/>
          <w:rFonts w:ascii="Cambria" w:hAnsi="Cambria" w:cs="Calibri"/>
          <w:bCs/>
          <w:sz w:val="20"/>
          <w:szCs w:val="20"/>
          <w:lang w:val="en-GB"/>
        </w:rPr>
        <w:footnoteReference w:id="55"/>
      </w:r>
      <w:r w:rsidRPr="00E84AAF">
        <w:rPr>
          <w:rFonts w:ascii="Cambria" w:hAnsi="Cambria" w:cs="Calibri"/>
          <w:bCs/>
          <w:sz w:val="20"/>
          <w:szCs w:val="20"/>
          <w:lang w:val="en-GB"/>
        </w:rPr>
        <w:t xml:space="preserve"> In essence, the Parliamentary Council may function as a body that rubber stamps executive decisions. This is compounded by the fact that the members appointed to the Parliamentary Council comprise solely of MPs unlike the previous council which had representations of eminent members of the civil society. </w:t>
      </w:r>
    </w:p>
    <w:p w14:paraId="361AB813" w14:textId="16FD0C4C" w:rsidR="00E84AAF" w:rsidRPr="00E84AAF" w:rsidRDefault="00E84AAF" w:rsidP="000607E0">
      <w:pPr>
        <w:shd w:val="clear" w:color="auto" w:fill="FFC000"/>
        <w:spacing w:after="200" w:line="360" w:lineRule="auto"/>
        <w:jc w:val="both"/>
        <w:rPr>
          <w:rFonts w:ascii="Cambria" w:hAnsi="Cambria" w:cs="Calibri"/>
          <w:bCs/>
          <w:sz w:val="20"/>
          <w:szCs w:val="20"/>
          <w:lang w:val="en-GB"/>
        </w:rPr>
      </w:pPr>
      <w:r w:rsidRPr="00E84AAF">
        <w:rPr>
          <w:rFonts w:ascii="Cambria" w:hAnsi="Cambria" w:cs="Calibri"/>
          <w:bCs/>
          <w:sz w:val="20"/>
          <w:szCs w:val="20"/>
          <w:lang w:val="en-GB"/>
        </w:rPr>
        <w:t>Visible opposition to ICs by the 20</w:t>
      </w:r>
      <w:r w:rsidRPr="00E84AAF">
        <w:rPr>
          <w:rFonts w:ascii="Cambria" w:hAnsi="Cambria" w:cs="Calibri"/>
          <w:bCs/>
          <w:sz w:val="20"/>
          <w:szCs w:val="20"/>
          <w:vertAlign w:val="superscript"/>
          <w:lang w:val="en-GB"/>
        </w:rPr>
        <w:t>th</w:t>
      </w:r>
      <w:r w:rsidRPr="00E84AAF">
        <w:rPr>
          <w:rFonts w:ascii="Cambria" w:hAnsi="Cambria" w:cs="Calibri"/>
          <w:bCs/>
          <w:sz w:val="20"/>
          <w:szCs w:val="20"/>
          <w:lang w:val="en-GB"/>
        </w:rPr>
        <w:t xml:space="preserve"> amendment, erosion of powers particularly with regard to NPC and erosion of independence and standing of ICs and lack of controls to safeguard the appointments to commissions as well </w:t>
      </w:r>
      <w:r w:rsidRPr="00E84AAF">
        <w:rPr>
          <w:rFonts w:ascii="Cambria" w:hAnsi="Cambria" w:cs="Calibri"/>
          <w:bCs/>
          <w:sz w:val="20"/>
          <w:szCs w:val="20"/>
          <w:lang w:val="en-GB"/>
        </w:rPr>
        <w:lastRenderedPageBreak/>
        <w:t>as the public service, casts a strong shadow in the way ICs will be perceived in the future by all stakeholders. Although the essential powers and functions of the HRC and RTIC remain intact</w:t>
      </w:r>
      <w:r w:rsidR="000560FD">
        <w:rPr>
          <w:rFonts w:ascii="Cambria" w:hAnsi="Cambria" w:cs="Calibri"/>
          <w:bCs/>
          <w:sz w:val="20"/>
          <w:szCs w:val="20"/>
          <w:lang w:val="en-GB"/>
        </w:rPr>
        <w:t>.</w:t>
      </w:r>
      <w:r w:rsidRPr="00E84AAF">
        <w:rPr>
          <w:rFonts w:ascii="Cambria" w:hAnsi="Cambria" w:cs="Calibri"/>
          <w:bCs/>
          <w:sz w:val="20"/>
          <w:szCs w:val="20"/>
          <w:lang w:val="en-GB"/>
        </w:rPr>
        <w:t xml:space="preserve"> due to recognition of it by legislation and constitutional recognition of RTI as a fundamental right, The NPC will be the most affected by a severe dilution of power and control over the police department.</w:t>
      </w:r>
    </w:p>
    <w:p w14:paraId="3A147FCD" w14:textId="591840EA" w:rsidR="00E84AAF" w:rsidRPr="00E84AAF" w:rsidRDefault="00E84AAF" w:rsidP="00E84AAF">
      <w:pPr>
        <w:spacing w:after="200" w:line="360" w:lineRule="auto"/>
        <w:jc w:val="both"/>
        <w:rPr>
          <w:rFonts w:ascii="Cambria" w:hAnsi="Cambria" w:cs="Calibri"/>
          <w:bCs/>
          <w:sz w:val="20"/>
          <w:szCs w:val="20"/>
          <w:lang w:val="en-GB"/>
        </w:rPr>
      </w:pPr>
      <w:r w:rsidRPr="00E84AAF">
        <w:rPr>
          <w:rFonts w:ascii="Cambria" w:hAnsi="Cambria" w:cs="Calibri"/>
          <w:bCs/>
          <w:sz w:val="20"/>
          <w:szCs w:val="20"/>
          <w:lang w:val="en-GB"/>
        </w:rPr>
        <w:t>IPs cautioned the effectiveness of the Commission without its powers of overseeing appointments, transfers and dismissals as well as its role as an appellate body for police officers against state interference. The erosion of powers of the NPC also has an impact on the victim and witness protection mechanism.  Prior to the 20</w:t>
      </w:r>
      <w:r w:rsidRPr="00E84AAF">
        <w:rPr>
          <w:rFonts w:ascii="Cambria" w:hAnsi="Cambria" w:cs="Calibri"/>
          <w:bCs/>
          <w:sz w:val="20"/>
          <w:szCs w:val="20"/>
          <w:vertAlign w:val="superscript"/>
          <w:lang w:val="en-GB"/>
        </w:rPr>
        <w:t>th</w:t>
      </w:r>
      <w:r w:rsidRPr="00E84AAF">
        <w:rPr>
          <w:rFonts w:ascii="Cambria" w:hAnsi="Cambria" w:cs="Calibri"/>
          <w:bCs/>
          <w:sz w:val="20"/>
          <w:szCs w:val="20"/>
          <w:lang w:val="en-GB"/>
        </w:rPr>
        <w:t xml:space="preserve"> Amendment appointments</w:t>
      </w:r>
      <w:r w:rsidR="000560FD">
        <w:rPr>
          <w:rFonts w:ascii="Cambria" w:hAnsi="Cambria" w:cs="Calibri"/>
          <w:bCs/>
          <w:sz w:val="20"/>
          <w:szCs w:val="20"/>
          <w:lang w:val="en-GB"/>
        </w:rPr>
        <w:t>,</w:t>
      </w:r>
      <w:r w:rsidRPr="00E84AAF">
        <w:rPr>
          <w:rFonts w:ascii="Cambria" w:hAnsi="Cambria" w:cs="Calibri"/>
          <w:bCs/>
          <w:sz w:val="20"/>
          <w:szCs w:val="20"/>
          <w:lang w:val="en-GB"/>
        </w:rPr>
        <w:t xml:space="preserve"> to the Police Protection Division (PPD) was </w:t>
      </w:r>
      <w:r w:rsidRPr="00E84AAF">
        <w:rPr>
          <w:rFonts w:ascii="Cambria" w:hAnsi="Cambria" w:cs="Calibri"/>
          <w:bCs/>
          <w:color w:val="000000" w:themeColor="text1"/>
          <w:sz w:val="20"/>
          <w:szCs w:val="20"/>
        </w:rPr>
        <w:t>streamlined by the NPC, to ensure independence in the appointment process</w:t>
      </w:r>
      <w:r w:rsidR="000560FD">
        <w:rPr>
          <w:rFonts w:ascii="Cambria" w:hAnsi="Cambria" w:cs="Calibri"/>
          <w:bCs/>
          <w:color w:val="000000" w:themeColor="text1"/>
          <w:sz w:val="20"/>
          <w:szCs w:val="20"/>
        </w:rPr>
        <w:t>,</w:t>
      </w:r>
      <w:r w:rsidRPr="00E84AAF">
        <w:rPr>
          <w:rFonts w:ascii="Cambria" w:hAnsi="Cambria" w:cs="Calibri"/>
          <w:bCs/>
          <w:color w:val="000000" w:themeColor="text1"/>
          <w:sz w:val="20"/>
          <w:szCs w:val="20"/>
        </w:rPr>
        <w:t xml:space="preserve"> thereby amplifying protection.  </w:t>
      </w:r>
    </w:p>
    <w:p w14:paraId="3F77BF94" w14:textId="32E0C0E9" w:rsidR="00E84AAF" w:rsidRPr="00E84AAF" w:rsidRDefault="00E84AAF" w:rsidP="00E84AAF">
      <w:pPr>
        <w:spacing w:after="200" w:line="360" w:lineRule="auto"/>
        <w:jc w:val="both"/>
        <w:rPr>
          <w:rFonts w:ascii="Cambria" w:hAnsi="Cambria" w:cs="Calibri"/>
          <w:bCs/>
          <w:sz w:val="20"/>
          <w:szCs w:val="20"/>
          <w:lang w:val="en-GB"/>
        </w:rPr>
      </w:pPr>
      <w:r w:rsidRPr="00E84AAF">
        <w:rPr>
          <w:rFonts w:ascii="Cambria" w:hAnsi="Cambria" w:cs="Calibri"/>
          <w:bCs/>
          <w:sz w:val="20"/>
          <w:szCs w:val="20"/>
          <w:lang w:val="en-GB"/>
        </w:rPr>
        <w:t>Moreover, whilst ICs regularly suffer from lack of adequate resources, allocation of cadre and delays in recruitment of cadre according to the approved scheme of recruitment for public officers, the probability of risks associated with such general management issues may be higher after the 20</w:t>
      </w:r>
      <w:r w:rsidRPr="00E84AAF">
        <w:rPr>
          <w:rFonts w:ascii="Cambria" w:hAnsi="Cambria" w:cs="Calibri"/>
          <w:bCs/>
          <w:sz w:val="20"/>
          <w:szCs w:val="20"/>
          <w:vertAlign w:val="superscript"/>
          <w:lang w:val="en-GB"/>
        </w:rPr>
        <w:t>th</w:t>
      </w:r>
      <w:r w:rsidRPr="00E84AAF">
        <w:rPr>
          <w:rFonts w:ascii="Cambria" w:hAnsi="Cambria" w:cs="Calibri"/>
          <w:bCs/>
          <w:sz w:val="20"/>
          <w:szCs w:val="20"/>
          <w:lang w:val="en-GB"/>
        </w:rPr>
        <w:t xml:space="preserve"> Amendment</w:t>
      </w:r>
      <w:bookmarkStart w:id="43" w:name="_Hlk59118071"/>
      <w:r w:rsidRPr="00E84AAF">
        <w:rPr>
          <w:rFonts w:ascii="Cambria" w:hAnsi="Cambria" w:cs="Calibri"/>
          <w:bCs/>
          <w:sz w:val="20"/>
          <w:szCs w:val="20"/>
          <w:lang w:val="en-GB"/>
        </w:rPr>
        <w:t>.  It is important to identify and invest in building the capacity and competencies of middle management and staff members of the commissions</w:t>
      </w:r>
      <w:r w:rsidR="000560FD">
        <w:rPr>
          <w:rFonts w:ascii="Cambria" w:hAnsi="Cambria" w:cs="Calibri"/>
          <w:bCs/>
          <w:sz w:val="20"/>
          <w:szCs w:val="20"/>
          <w:lang w:val="en-GB"/>
        </w:rPr>
        <w:t>,</w:t>
      </w:r>
      <w:r w:rsidRPr="00E84AAF">
        <w:rPr>
          <w:rFonts w:ascii="Cambria" w:hAnsi="Cambria" w:cs="Calibri"/>
          <w:bCs/>
          <w:sz w:val="20"/>
          <w:szCs w:val="20"/>
          <w:lang w:val="en-GB"/>
        </w:rPr>
        <w:t xml:space="preserve"> to ensure sustainability and ownership of interventions</w:t>
      </w:r>
      <w:r w:rsidR="000560FD">
        <w:rPr>
          <w:rFonts w:ascii="Cambria" w:hAnsi="Cambria" w:cs="Calibri"/>
          <w:bCs/>
          <w:sz w:val="20"/>
          <w:szCs w:val="20"/>
          <w:lang w:val="en-GB"/>
        </w:rPr>
        <w:t>,</w:t>
      </w:r>
      <w:r w:rsidRPr="00E84AAF">
        <w:rPr>
          <w:rFonts w:ascii="Cambria" w:hAnsi="Cambria" w:cs="Calibri"/>
          <w:bCs/>
          <w:sz w:val="20"/>
          <w:szCs w:val="20"/>
          <w:lang w:val="en-GB"/>
        </w:rPr>
        <w:t xml:space="preserve"> in the second phase of the project.</w:t>
      </w:r>
    </w:p>
    <w:bookmarkEnd w:id="43"/>
    <w:p w14:paraId="6FFD5E04" w14:textId="4F9E604D" w:rsidR="00E84AAF" w:rsidRPr="00E84AAF" w:rsidRDefault="00E84AAF" w:rsidP="00E84AAF">
      <w:pPr>
        <w:spacing w:after="200" w:line="360" w:lineRule="auto"/>
        <w:jc w:val="both"/>
        <w:rPr>
          <w:rFonts w:ascii="Cambria" w:hAnsi="Cambria" w:cs="Arial"/>
          <w:b/>
          <w:bCs/>
          <w:color w:val="000000" w:themeColor="text1"/>
          <w:sz w:val="20"/>
          <w:szCs w:val="20"/>
        </w:rPr>
      </w:pPr>
      <w:r w:rsidRPr="00E84AAF">
        <w:rPr>
          <w:rFonts w:ascii="Cambria" w:hAnsi="Cambria" w:cs="Calibri"/>
          <w:bCs/>
          <w:sz w:val="20"/>
          <w:szCs w:val="20"/>
          <w:lang w:val="en-GB"/>
        </w:rPr>
        <w:t>Another gap in the 20</w:t>
      </w:r>
      <w:r w:rsidRPr="00E84AAF">
        <w:rPr>
          <w:rFonts w:ascii="Cambria" w:hAnsi="Cambria" w:cs="Calibri"/>
          <w:bCs/>
          <w:sz w:val="20"/>
          <w:szCs w:val="20"/>
          <w:vertAlign w:val="superscript"/>
          <w:lang w:val="en-GB"/>
        </w:rPr>
        <w:t>th</w:t>
      </w:r>
      <w:r w:rsidRPr="00E84AAF">
        <w:rPr>
          <w:rFonts w:ascii="Cambria" w:hAnsi="Cambria" w:cs="Calibri"/>
          <w:bCs/>
          <w:sz w:val="20"/>
          <w:szCs w:val="20"/>
          <w:lang w:val="en-GB"/>
        </w:rPr>
        <w:t xml:space="preserve"> Amendment is that</w:t>
      </w:r>
      <w:r w:rsidR="000560FD">
        <w:rPr>
          <w:rFonts w:ascii="Cambria" w:hAnsi="Cambria" w:cs="Calibri"/>
          <w:bCs/>
          <w:sz w:val="20"/>
          <w:szCs w:val="20"/>
          <w:lang w:val="en-GB"/>
        </w:rPr>
        <w:t>,</w:t>
      </w:r>
      <w:r w:rsidRPr="00E84AAF">
        <w:rPr>
          <w:rFonts w:ascii="Cambria" w:hAnsi="Cambria" w:cs="Calibri"/>
          <w:bCs/>
          <w:sz w:val="20"/>
          <w:szCs w:val="20"/>
          <w:lang w:val="en-GB"/>
        </w:rPr>
        <w:t xml:space="preserve"> it fails to set out any transitional provisions dealing with appointments to RTIC along with the Office on Missing Persons and the Office for Reparations. All three of these Acts require appointments to be made on the Recommendation of the CC. With the Constitutional Council being abolished and the resulting Parliamentary Council not having the power to make recommendations, the individual Acts will require amendments. In the absence of a transitional provision which deals with this situation and without amendment to the acts, the said commissions could become defunct.</w:t>
      </w:r>
      <w:r>
        <w:rPr>
          <w:rStyle w:val="FootnoteReference"/>
          <w:rFonts w:ascii="Cambria" w:hAnsi="Cambria" w:cs="Calibri"/>
          <w:bCs/>
          <w:sz w:val="20"/>
          <w:szCs w:val="20"/>
          <w:lang w:val="en-GB"/>
        </w:rPr>
        <w:footnoteReference w:id="56"/>
      </w:r>
      <w:r w:rsidR="000560FD">
        <w:rPr>
          <w:rFonts w:ascii="Cambria" w:hAnsi="Cambria" w:cs="Calibri"/>
          <w:bCs/>
          <w:sz w:val="20"/>
          <w:szCs w:val="20"/>
          <w:lang w:val="en-GB"/>
        </w:rPr>
        <w:t xml:space="preserve"> This scenario may affect sustainability of actions during the second phase. </w:t>
      </w:r>
    </w:p>
    <w:p w14:paraId="3218382C" w14:textId="1F53A580" w:rsidR="00182E57" w:rsidRDefault="00182E57" w:rsidP="000507CA">
      <w:pPr>
        <w:spacing w:line="360" w:lineRule="auto"/>
        <w:jc w:val="both"/>
        <w:rPr>
          <w:rFonts w:ascii="Cambria" w:hAnsi="Cambria" w:cs="Arial"/>
          <w:b/>
          <w:bCs/>
          <w:color w:val="000000" w:themeColor="text1"/>
          <w:sz w:val="20"/>
          <w:szCs w:val="20"/>
        </w:rPr>
      </w:pPr>
    </w:p>
    <w:p w14:paraId="6700F298" w14:textId="2A679BEB" w:rsidR="00E84AAF" w:rsidRDefault="00E84AAF" w:rsidP="000507CA">
      <w:pPr>
        <w:spacing w:line="360" w:lineRule="auto"/>
        <w:jc w:val="both"/>
        <w:rPr>
          <w:rFonts w:ascii="Cambria" w:hAnsi="Cambria" w:cs="Arial"/>
          <w:b/>
          <w:bCs/>
          <w:color w:val="000000" w:themeColor="text1"/>
          <w:sz w:val="20"/>
          <w:szCs w:val="20"/>
        </w:rPr>
      </w:pPr>
    </w:p>
    <w:p w14:paraId="63D55305" w14:textId="09DEE00E" w:rsidR="00E84AAF" w:rsidRDefault="00E84AAF" w:rsidP="000507CA">
      <w:pPr>
        <w:spacing w:line="360" w:lineRule="auto"/>
        <w:jc w:val="both"/>
        <w:rPr>
          <w:rFonts w:ascii="Cambria" w:hAnsi="Cambria" w:cs="Arial"/>
          <w:b/>
          <w:bCs/>
          <w:color w:val="000000" w:themeColor="text1"/>
          <w:sz w:val="20"/>
          <w:szCs w:val="20"/>
        </w:rPr>
      </w:pPr>
    </w:p>
    <w:p w14:paraId="46462884" w14:textId="0C8D28F9" w:rsidR="00E84AAF" w:rsidRDefault="00E84AAF" w:rsidP="000507CA">
      <w:pPr>
        <w:spacing w:line="360" w:lineRule="auto"/>
        <w:jc w:val="both"/>
        <w:rPr>
          <w:rFonts w:ascii="Cambria" w:hAnsi="Cambria" w:cs="Arial"/>
          <w:b/>
          <w:bCs/>
          <w:color w:val="000000" w:themeColor="text1"/>
          <w:sz w:val="20"/>
          <w:szCs w:val="20"/>
        </w:rPr>
      </w:pPr>
    </w:p>
    <w:p w14:paraId="1E6983D8" w14:textId="50F3AF76" w:rsidR="00E84AAF" w:rsidRDefault="00E84AAF" w:rsidP="000507CA">
      <w:pPr>
        <w:spacing w:line="360" w:lineRule="auto"/>
        <w:jc w:val="both"/>
        <w:rPr>
          <w:rFonts w:ascii="Cambria" w:hAnsi="Cambria" w:cs="Arial"/>
          <w:b/>
          <w:bCs/>
          <w:color w:val="000000" w:themeColor="text1"/>
          <w:sz w:val="20"/>
          <w:szCs w:val="20"/>
        </w:rPr>
      </w:pPr>
    </w:p>
    <w:p w14:paraId="2F9F3256" w14:textId="095AD95F" w:rsidR="00E84AAF" w:rsidRDefault="00E84AAF" w:rsidP="000507CA">
      <w:pPr>
        <w:spacing w:line="360" w:lineRule="auto"/>
        <w:jc w:val="both"/>
        <w:rPr>
          <w:rFonts w:ascii="Cambria" w:hAnsi="Cambria" w:cs="Arial"/>
          <w:b/>
          <w:bCs/>
          <w:color w:val="000000" w:themeColor="text1"/>
          <w:sz w:val="20"/>
          <w:szCs w:val="20"/>
        </w:rPr>
      </w:pPr>
    </w:p>
    <w:p w14:paraId="578D472A" w14:textId="391254F1" w:rsidR="00E84AAF" w:rsidRDefault="00E84AAF" w:rsidP="000507CA">
      <w:pPr>
        <w:spacing w:line="360" w:lineRule="auto"/>
        <w:jc w:val="both"/>
        <w:rPr>
          <w:rFonts w:ascii="Cambria" w:hAnsi="Cambria" w:cs="Arial"/>
          <w:b/>
          <w:bCs/>
          <w:color w:val="000000" w:themeColor="text1"/>
          <w:sz w:val="20"/>
          <w:szCs w:val="20"/>
        </w:rPr>
      </w:pPr>
    </w:p>
    <w:p w14:paraId="451ACF9B" w14:textId="66EA7C23" w:rsidR="00331FB6" w:rsidRPr="00E84AAF" w:rsidRDefault="00331FB6" w:rsidP="00081358">
      <w:pPr>
        <w:pStyle w:val="ListParagraph"/>
        <w:numPr>
          <w:ilvl w:val="1"/>
          <w:numId w:val="77"/>
        </w:numPr>
        <w:spacing w:line="360" w:lineRule="auto"/>
        <w:jc w:val="both"/>
        <w:rPr>
          <w:rFonts w:ascii="Cambria" w:hAnsi="Cambria" w:cs="Arial"/>
          <w:b/>
          <w:bCs/>
          <w:color w:val="000000" w:themeColor="text1"/>
          <w:sz w:val="28"/>
          <w:szCs w:val="28"/>
        </w:rPr>
      </w:pPr>
      <w:r w:rsidRPr="00E84AAF">
        <w:rPr>
          <w:rFonts w:ascii="Cambria" w:hAnsi="Cambria" w:cs="Arial"/>
          <w:b/>
          <w:bCs/>
          <w:color w:val="000000" w:themeColor="text1"/>
          <w:sz w:val="28"/>
          <w:szCs w:val="28"/>
        </w:rPr>
        <w:lastRenderedPageBreak/>
        <w:t xml:space="preserve">Pillar Two: Rule of Law and Access to Justice </w:t>
      </w:r>
    </w:p>
    <w:p w14:paraId="67AEADEE" w14:textId="77777777" w:rsidR="00E84AAF" w:rsidRPr="00223CBF" w:rsidRDefault="00E84AAF" w:rsidP="00E84AAF">
      <w:pPr>
        <w:pStyle w:val="Char2"/>
        <w:shd w:val="clear" w:color="auto" w:fill="FFFFFF"/>
        <w:spacing w:line="360" w:lineRule="auto"/>
        <w:jc w:val="both"/>
        <w:rPr>
          <w:rFonts w:ascii="Cambria" w:hAnsi="Cambria" w:cstheme="majorHAnsi"/>
          <w:sz w:val="20"/>
          <w:szCs w:val="20"/>
          <w:vertAlign w:val="baseline"/>
        </w:rPr>
      </w:pPr>
      <w:r w:rsidRPr="00223CBF">
        <w:rPr>
          <w:rFonts w:ascii="Cambria" w:hAnsi="Cambria" w:cstheme="majorHAnsi"/>
          <w:sz w:val="20"/>
          <w:szCs w:val="20"/>
          <w:vertAlign w:val="baseline"/>
        </w:rPr>
        <w:t xml:space="preserve">The MTE is structured around the key questions in the TOR defined by the UNDP and expanded by the approved Overall framework for </w:t>
      </w:r>
      <w:r w:rsidRPr="007E3D06">
        <w:rPr>
          <w:rFonts w:ascii="Cambria" w:hAnsi="Cambria" w:cstheme="majorHAnsi"/>
          <w:sz w:val="20"/>
          <w:szCs w:val="20"/>
          <w:vertAlign w:val="baseline"/>
        </w:rPr>
        <w:t>Evaluation (Annex One). It assesses the</w:t>
      </w:r>
      <w:r w:rsidRPr="00223CBF">
        <w:rPr>
          <w:rFonts w:ascii="Cambria" w:hAnsi="Cambria" w:cstheme="majorHAnsi"/>
          <w:sz w:val="20"/>
          <w:szCs w:val="20"/>
          <w:vertAlign w:val="baseline"/>
        </w:rPr>
        <w:t xml:space="preserve"> Outputs over the implementation period (January 2019 to August 2020) by undertaking an assessment of the Output’s relevance, effectiveness, efficiency, impact and sustainability. </w:t>
      </w:r>
    </w:p>
    <w:p w14:paraId="51DCB944" w14:textId="7122C671" w:rsidR="00331FB6" w:rsidRPr="00E84AAF" w:rsidRDefault="00331FB6" w:rsidP="00081358">
      <w:pPr>
        <w:pStyle w:val="Char2"/>
        <w:numPr>
          <w:ilvl w:val="2"/>
          <w:numId w:val="77"/>
        </w:numPr>
        <w:shd w:val="clear" w:color="auto" w:fill="FFFFFF"/>
        <w:spacing w:line="360" w:lineRule="auto"/>
        <w:jc w:val="both"/>
        <w:rPr>
          <w:rFonts w:ascii="Cambria" w:hAnsi="Cambria" w:cstheme="majorHAnsi"/>
          <w:color w:val="000000" w:themeColor="text1"/>
          <w:vertAlign w:val="baseline"/>
        </w:rPr>
      </w:pPr>
      <w:r w:rsidRPr="00E84AAF">
        <w:rPr>
          <w:rFonts w:ascii="Cambria" w:hAnsi="Cambria" w:cstheme="majorHAnsi"/>
          <w:b/>
          <w:bCs/>
          <w:vertAlign w:val="baseline"/>
        </w:rPr>
        <w:t>Explanation of Outcomes/Outputs</w:t>
      </w:r>
    </w:p>
    <w:p w14:paraId="1BBC4DC8" w14:textId="49218A1A" w:rsidR="00331FB6" w:rsidRPr="00223CBF" w:rsidRDefault="00331FB6" w:rsidP="000507CA">
      <w:pPr>
        <w:spacing w:line="360" w:lineRule="auto"/>
        <w:jc w:val="both"/>
        <w:rPr>
          <w:rFonts w:ascii="Cambria" w:hAnsi="Cambria"/>
          <w:b/>
          <w:bCs/>
          <w:color w:val="FF0000"/>
          <w:sz w:val="20"/>
          <w:szCs w:val="20"/>
        </w:rPr>
      </w:pPr>
      <w:r w:rsidRPr="00223CBF">
        <w:rPr>
          <w:rFonts w:ascii="Cambria" w:hAnsi="Cambria"/>
          <w:b/>
          <w:bCs/>
          <w:color w:val="FF0000"/>
          <w:sz w:val="20"/>
          <w:szCs w:val="20"/>
        </w:rPr>
        <w:t xml:space="preserve">Outcome 2: </w:t>
      </w:r>
      <w:r w:rsidRPr="00223CBF">
        <w:rPr>
          <w:rFonts w:ascii="Cambria" w:hAnsi="Cambria"/>
          <w:b/>
          <w:bCs/>
          <w:color w:val="FF0000"/>
          <w:sz w:val="20"/>
          <w:szCs w:val="20"/>
          <w:lang w:val="en-GB"/>
        </w:rPr>
        <w:t>Marginali</w:t>
      </w:r>
      <w:r w:rsidR="00C17CA3" w:rsidRPr="00223CBF">
        <w:rPr>
          <w:rFonts w:ascii="Cambria" w:hAnsi="Cambria"/>
          <w:b/>
          <w:bCs/>
          <w:color w:val="FF0000"/>
          <w:sz w:val="20"/>
          <w:szCs w:val="20"/>
          <w:lang w:val="en-GB"/>
        </w:rPr>
        <w:t>s</w:t>
      </w:r>
      <w:r w:rsidRPr="00223CBF">
        <w:rPr>
          <w:rFonts w:ascii="Cambria" w:hAnsi="Cambria"/>
          <w:b/>
          <w:bCs/>
          <w:color w:val="FF0000"/>
          <w:sz w:val="20"/>
          <w:szCs w:val="20"/>
          <w:lang w:val="en-GB"/>
        </w:rPr>
        <w:t xml:space="preserve">ed and vulnerable communities have increased and equitable access to justice, including demand-driven legal protection and gender sensitive services. </w:t>
      </w:r>
    </w:p>
    <w:p w14:paraId="6890C03C" w14:textId="77777777" w:rsidR="00E84AAF" w:rsidRPr="00223CBF" w:rsidRDefault="00E84AAF" w:rsidP="00E84AAF">
      <w:pPr>
        <w:spacing w:line="360" w:lineRule="auto"/>
        <w:jc w:val="both"/>
        <w:rPr>
          <w:rFonts w:ascii="Cambria" w:hAnsi="Cambria"/>
          <w:color w:val="000000" w:themeColor="text1"/>
          <w:sz w:val="20"/>
          <w:szCs w:val="20"/>
        </w:rPr>
      </w:pPr>
      <w:r w:rsidRPr="00223CBF">
        <w:rPr>
          <w:rFonts w:ascii="Cambria" w:hAnsi="Cambria"/>
          <w:color w:val="000000" w:themeColor="text1"/>
          <w:sz w:val="20"/>
          <w:szCs w:val="20"/>
        </w:rPr>
        <w:t xml:space="preserve">A diverse range of interventions undertaken during the first phase of the </w:t>
      </w:r>
      <w:r>
        <w:rPr>
          <w:rFonts w:ascii="Cambria" w:hAnsi="Cambria"/>
          <w:color w:val="000000" w:themeColor="text1"/>
          <w:sz w:val="20"/>
          <w:szCs w:val="20"/>
        </w:rPr>
        <w:t>Portfolio</w:t>
      </w:r>
      <w:r w:rsidRPr="00223CBF">
        <w:rPr>
          <w:rFonts w:ascii="Cambria" w:hAnsi="Cambria"/>
          <w:color w:val="000000" w:themeColor="text1"/>
          <w:sz w:val="20"/>
          <w:szCs w:val="20"/>
        </w:rPr>
        <w:t xml:space="preserve"> focused primarily on policy development, institutional capacity development, human capacity development and training, community engagement, awareness raising, increased provision of gender sensitive services, legal education and legislative drafting and reform of systems and processes. </w:t>
      </w:r>
    </w:p>
    <w:p w14:paraId="142BAA72" w14:textId="77777777" w:rsidR="00E84AAF" w:rsidRPr="00223CBF" w:rsidRDefault="00E84AAF" w:rsidP="00E84AAF">
      <w:pPr>
        <w:spacing w:line="360" w:lineRule="auto"/>
        <w:jc w:val="both"/>
        <w:rPr>
          <w:rFonts w:ascii="Cambria" w:hAnsi="Cambria"/>
          <w:color w:val="000000" w:themeColor="text1"/>
          <w:sz w:val="20"/>
          <w:szCs w:val="20"/>
        </w:rPr>
      </w:pPr>
      <w:r w:rsidRPr="00223CBF">
        <w:rPr>
          <w:rFonts w:ascii="Cambria" w:hAnsi="Cambria"/>
          <w:color w:val="000000" w:themeColor="text1"/>
          <w:sz w:val="20"/>
          <w:szCs w:val="20"/>
        </w:rPr>
        <w:t xml:space="preserve">These interventions have been undertaken under the overarching outcome objective of improving demand driven and gender sensitive services for marginalised and vulnerable groups. Vulnerable groups have been broadly defined in the Portfolio rationale. </w:t>
      </w:r>
    </w:p>
    <w:p w14:paraId="6A36996C" w14:textId="77777777" w:rsidR="00E84AAF" w:rsidRPr="00223CBF" w:rsidRDefault="00E84AAF" w:rsidP="00E84AAF">
      <w:pPr>
        <w:spacing w:line="360" w:lineRule="auto"/>
        <w:jc w:val="both"/>
        <w:rPr>
          <w:rFonts w:ascii="Cambria" w:hAnsi="Cambria" w:cs="Calibri"/>
          <w:sz w:val="20"/>
          <w:szCs w:val="20"/>
          <w:lang w:val="en-GB"/>
        </w:rPr>
      </w:pPr>
      <w:r w:rsidRPr="00223CBF">
        <w:rPr>
          <w:rFonts w:ascii="Cambria" w:hAnsi="Cambria" w:cs="Calibri"/>
          <w:sz w:val="20"/>
          <w:szCs w:val="20"/>
          <w:lang w:val="en-GB"/>
        </w:rPr>
        <w:t xml:space="preserve">For the purpose of the MTE </w:t>
      </w:r>
      <w:r w:rsidRPr="00223CBF">
        <w:rPr>
          <w:rFonts w:ascii="Cambria" w:hAnsi="Cambria" w:cs="Calibri"/>
          <w:b/>
          <w:bCs/>
          <w:sz w:val="20"/>
          <w:szCs w:val="20"/>
          <w:lang w:val="en-GB"/>
        </w:rPr>
        <w:t xml:space="preserve">Output 2.1: Baselines established/updated, and policy dialogue, policy adoption and implementation increased on access to justice, with a focus on excluded and vulnerable groups, Output 2.2. State and non-state justice sector actors strengthened to deliver victim-centric services on areas including SGBV, victims and witness protection, and transitional justice and 2.3: State and non-state justice sector actors have increased access to progressive international principles, standards and good practices on access to justice </w:t>
      </w:r>
      <w:r w:rsidRPr="00223CBF">
        <w:rPr>
          <w:rFonts w:ascii="Cambria" w:hAnsi="Cambria" w:cs="Calibri"/>
          <w:sz w:val="20"/>
          <w:szCs w:val="20"/>
          <w:lang w:val="en-GB"/>
        </w:rPr>
        <w:t xml:space="preserve"> will be clustered together for the evaluation against the </w:t>
      </w:r>
      <w:r w:rsidRPr="007E3D06">
        <w:rPr>
          <w:rFonts w:ascii="Cambria" w:hAnsi="Cambria" w:cs="Calibri"/>
          <w:sz w:val="20"/>
          <w:szCs w:val="20"/>
          <w:lang w:val="en-GB"/>
        </w:rPr>
        <w:t>five criteria where there is an overlap in strategic interventions identified and assessed against the broader outcome as stated above, where</w:t>
      </w:r>
      <w:r w:rsidRPr="00223CBF">
        <w:rPr>
          <w:rFonts w:ascii="Cambria" w:hAnsi="Cambria" w:cs="Calibri"/>
          <w:sz w:val="20"/>
          <w:szCs w:val="20"/>
          <w:lang w:val="en-GB"/>
        </w:rPr>
        <w:t xml:space="preserve"> possible. A separate evaluation will also be conducted for Output 2.2 owing to its primary focus on </w:t>
      </w:r>
      <w:r>
        <w:rPr>
          <w:rFonts w:ascii="Cambria" w:hAnsi="Cambria" w:cs="Calibri"/>
          <w:sz w:val="20"/>
          <w:szCs w:val="20"/>
          <w:lang w:val="en-GB"/>
        </w:rPr>
        <w:t>G</w:t>
      </w:r>
      <w:r w:rsidRPr="00223CBF">
        <w:rPr>
          <w:rFonts w:ascii="Cambria" w:hAnsi="Cambria" w:cs="Calibri"/>
          <w:sz w:val="20"/>
          <w:szCs w:val="20"/>
          <w:lang w:val="en-GB"/>
        </w:rPr>
        <w:t xml:space="preserve">ender </w:t>
      </w:r>
      <w:r>
        <w:rPr>
          <w:rFonts w:ascii="Cambria" w:hAnsi="Cambria" w:cs="Calibri"/>
          <w:sz w:val="20"/>
          <w:szCs w:val="20"/>
          <w:lang w:val="en-GB"/>
        </w:rPr>
        <w:t>E</w:t>
      </w:r>
      <w:r w:rsidRPr="00223CBF">
        <w:rPr>
          <w:rFonts w:ascii="Cambria" w:hAnsi="Cambria" w:cs="Calibri"/>
          <w:sz w:val="20"/>
          <w:szCs w:val="20"/>
          <w:lang w:val="en-GB"/>
        </w:rPr>
        <w:t xml:space="preserve">quality and </w:t>
      </w:r>
      <w:r>
        <w:rPr>
          <w:rFonts w:ascii="Cambria" w:hAnsi="Cambria" w:cs="Calibri"/>
          <w:sz w:val="20"/>
          <w:szCs w:val="20"/>
          <w:lang w:val="en-GB"/>
        </w:rPr>
        <w:t>W</w:t>
      </w:r>
      <w:r w:rsidRPr="00223CBF">
        <w:rPr>
          <w:rFonts w:ascii="Cambria" w:hAnsi="Cambria" w:cs="Calibri"/>
          <w:sz w:val="20"/>
          <w:szCs w:val="20"/>
          <w:lang w:val="en-GB"/>
        </w:rPr>
        <w:t xml:space="preserve">omen’s </w:t>
      </w:r>
      <w:r>
        <w:rPr>
          <w:rFonts w:ascii="Cambria" w:hAnsi="Cambria" w:cs="Calibri"/>
          <w:sz w:val="20"/>
          <w:szCs w:val="20"/>
          <w:lang w:val="en-GB"/>
        </w:rPr>
        <w:t>E</w:t>
      </w:r>
      <w:r w:rsidRPr="00223CBF">
        <w:rPr>
          <w:rFonts w:ascii="Cambria" w:hAnsi="Cambria" w:cs="Calibri"/>
          <w:sz w:val="20"/>
          <w:szCs w:val="20"/>
          <w:lang w:val="en-GB"/>
        </w:rPr>
        <w:t xml:space="preserve">mpowerment (GEWE) and its implementation by the </w:t>
      </w:r>
      <w:r w:rsidRPr="002F3B7E">
        <w:rPr>
          <w:rFonts w:ascii="Cambria" w:hAnsi="Cambria" w:cs="Calibri"/>
          <w:sz w:val="20"/>
          <w:szCs w:val="20"/>
          <w:lang w:val="en-GB"/>
        </w:rPr>
        <w:t>Ministry of Women and Child Affairs (MWCA</w:t>
      </w:r>
      <w:r>
        <w:rPr>
          <w:rStyle w:val="FootnoteReference"/>
          <w:rFonts w:ascii="Cambria" w:hAnsi="Cambria" w:cs="Calibri"/>
          <w:sz w:val="20"/>
          <w:szCs w:val="20"/>
          <w:lang w:val="en-GB"/>
        </w:rPr>
        <w:footnoteReference w:id="57"/>
      </w:r>
      <w:r w:rsidRPr="002F3B7E">
        <w:rPr>
          <w:rFonts w:ascii="Cambria" w:hAnsi="Cambria" w:cs="Calibri"/>
          <w:sz w:val="20"/>
          <w:szCs w:val="20"/>
          <w:lang w:val="en-GB"/>
        </w:rPr>
        <w:t>). Moreover</w:t>
      </w:r>
      <w:r w:rsidRPr="00223CBF">
        <w:rPr>
          <w:rFonts w:ascii="Cambria" w:hAnsi="Cambria" w:cs="Calibri"/>
          <w:sz w:val="20"/>
          <w:szCs w:val="20"/>
          <w:lang w:val="en-GB"/>
        </w:rPr>
        <w:t xml:space="preserve">, </w:t>
      </w:r>
      <w:r w:rsidRPr="00223CBF">
        <w:rPr>
          <w:rFonts w:ascii="Cambria" w:hAnsi="Cambria" w:cs="Calibri"/>
          <w:b/>
          <w:bCs/>
          <w:sz w:val="20"/>
          <w:szCs w:val="20"/>
          <w:lang w:val="en-GB"/>
        </w:rPr>
        <w:t>Output 2.4</w:t>
      </w:r>
      <w:r w:rsidRPr="00223CBF">
        <w:rPr>
          <w:rFonts w:ascii="Cambria" w:hAnsi="Cambria" w:cs="Calibri"/>
          <w:sz w:val="20"/>
          <w:szCs w:val="20"/>
          <w:lang w:val="en-GB"/>
        </w:rPr>
        <w:t xml:space="preserve">: </w:t>
      </w:r>
      <w:r w:rsidRPr="00223CBF">
        <w:rPr>
          <w:rFonts w:ascii="Cambria" w:hAnsi="Cambria" w:cs="Calibri"/>
          <w:b/>
          <w:bCs/>
          <w:sz w:val="20"/>
          <w:szCs w:val="20"/>
          <w:lang w:val="en-GB"/>
        </w:rPr>
        <w:t>UN Guiding Principles on Business and Human Rights adopted and implemented</w:t>
      </w:r>
      <w:r w:rsidRPr="00223CBF">
        <w:rPr>
          <w:rFonts w:ascii="Cambria" w:hAnsi="Cambria" w:cs="Calibri"/>
          <w:sz w:val="20"/>
          <w:szCs w:val="20"/>
          <w:lang w:val="en-GB"/>
        </w:rPr>
        <w:t xml:space="preserve"> will be evaluated separately as the Output was at an extremely early stage of design and implementation at the time of the MTE. </w:t>
      </w:r>
    </w:p>
    <w:p w14:paraId="25D724B6" w14:textId="77777777" w:rsidR="00C210D6" w:rsidRPr="00223CBF" w:rsidRDefault="00C210D6" w:rsidP="00C210D6">
      <w:pPr>
        <w:spacing w:line="360" w:lineRule="auto"/>
        <w:rPr>
          <w:rFonts w:ascii="Cambria" w:hAnsi="Cambria" w:cs="Arial"/>
          <w:b/>
          <w:bCs/>
          <w:color w:val="000000" w:themeColor="text1"/>
          <w:sz w:val="20"/>
          <w:szCs w:val="20"/>
        </w:rPr>
      </w:pPr>
    </w:p>
    <w:p w14:paraId="6850ADEE" w14:textId="3D1C1D61" w:rsidR="00E84AAF" w:rsidRDefault="00E84AAF" w:rsidP="000507CA">
      <w:pPr>
        <w:spacing w:line="360" w:lineRule="auto"/>
        <w:jc w:val="both"/>
        <w:rPr>
          <w:rFonts w:ascii="Cambria" w:hAnsi="Cambria" w:cs="Arial"/>
          <w:b/>
          <w:bCs/>
          <w:color w:val="000000" w:themeColor="text1"/>
          <w:sz w:val="20"/>
          <w:szCs w:val="20"/>
        </w:rPr>
      </w:pPr>
    </w:p>
    <w:p w14:paraId="7A9FEE66" w14:textId="77777777" w:rsidR="005611DA" w:rsidRDefault="005611DA" w:rsidP="000507CA">
      <w:pPr>
        <w:spacing w:line="360" w:lineRule="auto"/>
        <w:jc w:val="both"/>
        <w:rPr>
          <w:rFonts w:ascii="Cambria" w:hAnsi="Cambria" w:cs="Arial"/>
          <w:b/>
          <w:bCs/>
          <w:color w:val="000000" w:themeColor="text1"/>
          <w:sz w:val="20"/>
          <w:szCs w:val="20"/>
        </w:rPr>
      </w:pPr>
    </w:p>
    <w:p w14:paraId="20BE452F" w14:textId="7D20A46C" w:rsidR="00CB6D02" w:rsidRPr="00E84AAF" w:rsidRDefault="001E2692" w:rsidP="000507CA">
      <w:pPr>
        <w:spacing w:line="360" w:lineRule="auto"/>
        <w:jc w:val="both"/>
        <w:rPr>
          <w:rFonts w:ascii="Cambria" w:hAnsi="Cambria" w:cs="Arial"/>
          <w:b/>
          <w:bCs/>
          <w:color w:val="000000" w:themeColor="text1"/>
          <w:sz w:val="24"/>
          <w:szCs w:val="24"/>
        </w:rPr>
      </w:pPr>
      <w:r w:rsidRPr="00E84AAF">
        <w:rPr>
          <w:rFonts w:ascii="Cambria" w:hAnsi="Cambria" w:cs="Arial"/>
          <w:b/>
          <w:bCs/>
          <w:color w:val="000000" w:themeColor="text1"/>
          <w:sz w:val="24"/>
          <w:szCs w:val="24"/>
        </w:rPr>
        <w:lastRenderedPageBreak/>
        <w:t xml:space="preserve">A. </w:t>
      </w:r>
      <w:r w:rsidR="00331FB6" w:rsidRPr="00E84AAF">
        <w:rPr>
          <w:rFonts w:ascii="Cambria" w:hAnsi="Cambria" w:cs="Arial"/>
          <w:b/>
          <w:bCs/>
          <w:color w:val="000000" w:themeColor="text1"/>
          <w:sz w:val="24"/>
          <w:szCs w:val="24"/>
        </w:rPr>
        <w:t>Rule of Law and Access to Justice (A2J)</w:t>
      </w:r>
    </w:p>
    <w:p w14:paraId="00AC84EB" w14:textId="6ABAF10C" w:rsidR="00331FB6" w:rsidRPr="00223CBF" w:rsidRDefault="00331FB6" w:rsidP="000507CA">
      <w:pPr>
        <w:spacing w:line="360" w:lineRule="auto"/>
        <w:jc w:val="both"/>
        <w:rPr>
          <w:rFonts w:ascii="Cambria" w:hAnsi="Cambria" w:cs="Arial"/>
          <w:b/>
          <w:bCs/>
          <w:color w:val="000000" w:themeColor="text1"/>
          <w:sz w:val="20"/>
          <w:szCs w:val="20"/>
        </w:rPr>
      </w:pPr>
      <w:r w:rsidRPr="00223CBF">
        <w:rPr>
          <w:rFonts w:ascii="Cambria" w:hAnsi="Cambria" w:cs="Arial"/>
          <w:b/>
          <w:bCs/>
          <w:color w:val="000000" w:themeColor="text1"/>
          <w:sz w:val="20"/>
          <w:szCs w:val="20"/>
        </w:rPr>
        <w:t xml:space="preserve">EQ1. Relevance </w:t>
      </w:r>
    </w:p>
    <w:p w14:paraId="2103B4DF" w14:textId="77777777" w:rsidR="008509EE" w:rsidRPr="00223CBF" w:rsidRDefault="008509EE" w:rsidP="004D0F4B">
      <w:pPr>
        <w:shd w:val="clear" w:color="auto" w:fill="92D050"/>
        <w:spacing w:line="360" w:lineRule="auto"/>
        <w:jc w:val="both"/>
        <w:rPr>
          <w:rFonts w:ascii="Cambria" w:hAnsi="Cambria" w:cs="Arial"/>
          <w:color w:val="000000" w:themeColor="text1"/>
          <w:sz w:val="20"/>
          <w:szCs w:val="20"/>
        </w:rPr>
      </w:pPr>
    </w:p>
    <w:p w14:paraId="009A39FB" w14:textId="638EA2DD" w:rsidR="00E84AAF" w:rsidRPr="00223CBF" w:rsidRDefault="00E84AAF" w:rsidP="00E84AAF">
      <w:pPr>
        <w:shd w:val="clear" w:color="auto" w:fill="92D050"/>
        <w:spacing w:line="360" w:lineRule="auto"/>
        <w:jc w:val="center"/>
        <w:rPr>
          <w:rFonts w:ascii="Cambria" w:hAnsi="Cambria" w:cs="Arial"/>
          <w:color w:val="000000" w:themeColor="text1"/>
          <w:sz w:val="20"/>
          <w:szCs w:val="20"/>
        </w:rPr>
      </w:pPr>
      <w:r w:rsidRPr="00223CBF">
        <w:rPr>
          <w:rFonts w:ascii="Cambria" w:hAnsi="Cambria" w:cs="Arial"/>
          <w:color w:val="000000" w:themeColor="text1"/>
          <w:sz w:val="20"/>
          <w:szCs w:val="20"/>
        </w:rPr>
        <w:t xml:space="preserve">Relevance refers to the extent to which the interventions under the Portfolio identified </w:t>
      </w:r>
      <w:r w:rsidRPr="00223CBF">
        <w:rPr>
          <w:rFonts w:ascii="Cambria" w:hAnsi="Cambria" w:cs="Arial"/>
          <w:b/>
          <w:bCs/>
          <w:color w:val="000000" w:themeColor="text1"/>
          <w:sz w:val="20"/>
          <w:szCs w:val="20"/>
        </w:rPr>
        <w:t>national priorities and adopted a policy and context sensitive approach.</w:t>
      </w:r>
      <w:r w:rsidRPr="00223CBF">
        <w:rPr>
          <w:rFonts w:ascii="Cambria" w:hAnsi="Cambria" w:cs="Arial"/>
          <w:color w:val="000000" w:themeColor="text1"/>
          <w:sz w:val="20"/>
          <w:szCs w:val="20"/>
        </w:rPr>
        <w:t xml:space="preserve"> It refers to the </w:t>
      </w:r>
      <w:r w:rsidRPr="00223CBF">
        <w:rPr>
          <w:rFonts w:ascii="Cambria" w:hAnsi="Cambria" w:cs="Arial"/>
          <w:b/>
          <w:bCs/>
          <w:color w:val="000000" w:themeColor="text1"/>
          <w:sz w:val="20"/>
          <w:szCs w:val="20"/>
        </w:rPr>
        <w:t xml:space="preserve">responsiveness </w:t>
      </w:r>
      <w:r w:rsidRPr="00223CBF">
        <w:rPr>
          <w:rFonts w:ascii="Cambria" w:hAnsi="Cambria" w:cs="Arial"/>
          <w:color w:val="000000" w:themeColor="text1"/>
          <w:sz w:val="20"/>
          <w:szCs w:val="20"/>
        </w:rPr>
        <w:t xml:space="preserve">of the Portfolio to meet the needs of the beneficiaries (most vulnerable communities) identified including </w:t>
      </w:r>
      <w:r w:rsidRPr="00223CBF">
        <w:rPr>
          <w:rFonts w:ascii="Cambria" w:hAnsi="Cambria" w:cs="Arial"/>
          <w:b/>
          <w:bCs/>
          <w:color w:val="000000" w:themeColor="text1"/>
          <w:sz w:val="20"/>
          <w:szCs w:val="20"/>
        </w:rPr>
        <w:t>its capacity to adapt and realign</w:t>
      </w:r>
      <w:r w:rsidRPr="00223CBF">
        <w:rPr>
          <w:rFonts w:ascii="Cambria" w:hAnsi="Cambria" w:cs="Arial"/>
          <w:color w:val="000000" w:themeColor="text1"/>
          <w:sz w:val="20"/>
          <w:szCs w:val="20"/>
        </w:rPr>
        <w:t xml:space="preserve"> priorities to meet country and context specific socio-economic and political changes</w:t>
      </w:r>
      <w:r>
        <w:rPr>
          <w:rFonts w:ascii="Cambria" w:hAnsi="Cambria" w:cs="Arial"/>
          <w:color w:val="000000" w:themeColor="text1"/>
          <w:sz w:val="20"/>
          <w:szCs w:val="20"/>
        </w:rPr>
        <w:t>.</w:t>
      </w:r>
    </w:p>
    <w:p w14:paraId="47FE1D20" w14:textId="77777777" w:rsidR="008509EE" w:rsidRPr="00223CBF" w:rsidRDefault="008509EE" w:rsidP="004D0F4B">
      <w:pPr>
        <w:shd w:val="clear" w:color="auto" w:fill="92D050"/>
        <w:spacing w:line="360" w:lineRule="auto"/>
        <w:jc w:val="both"/>
        <w:rPr>
          <w:rFonts w:ascii="Cambria" w:hAnsi="Cambria" w:cs="Arial"/>
          <w:color w:val="000000" w:themeColor="text1"/>
          <w:sz w:val="20"/>
          <w:szCs w:val="20"/>
        </w:rPr>
      </w:pPr>
    </w:p>
    <w:p w14:paraId="36519BF8" w14:textId="52528FA7" w:rsidR="00331FB6" w:rsidRPr="00223CBF" w:rsidRDefault="00331FB6" w:rsidP="00C210D6">
      <w:pPr>
        <w:spacing w:line="360" w:lineRule="auto"/>
        <w:jc w:val="both"/>
        <w:rPr>
          <w:rFonts w:ascii="Cambria" w:hAnsi="Cambria" w:cstheme="minorHAnsi"/>
          <w:b/>
          <w:bCs/>
          <w:sz w:val="20"/>
          <w:szCs w:val="20"/>
        </w:rPr>
      </w:pPr>
    </w:p>
    <w:p w14:paraId="73D95208" w14:textId="020DA7C6" w:rsidR="00331FB6" w:rsidRPr="000232C7" w:rsidRDefault="00331FB6" w:rsidP="007C766E">
      <w:pPr>
        <w:pStyle w:val="ListParagraph"/>
        <w:numPr>
          <w:ilvl w:val="0"/>
          <w:numId w:val="30"/>
        </w:numPr>
        <w:spacing w:line="360" w:lineRule="auto"/>
        <w:jc w:val="both"/>
        <w:rPr>
          <w:rFonts w:ascii="Cambria" w:hAnsi="Cambria"/>
          <w:color w:val="0070C0"/>
          <w:sz w:val="20"/>
          <w:szCs w:val="20"/>
        </w:rPr>
      </w:pPr>
      <w:r w:rsidRPr="000232C7">
        <w:rPr>
          <w:rFonts w:ascii="Cambria" w:hAnsi="Cambria" w:cstheme="minorHAnsi"/>
          <w:b/>
          <w:bCs/>
          <w:color w:val="0070C0"/>
          <w:sz w:val="20"/>
          <w:szCs w:val="20"/>
          <w:lang w:val="en-GB"/>
        </w:rPr>
        <w:t>The extent to which strategies adopted reflected local contexts, needs and priorities</w:t>
      </w:r>
    </w:p>
    <w:p w14:paraId="1DB526FE" w14:textId="5E3B25A0" w:rsidR="00331FB6" w:rsidRPr="00223CBF" w:rsidRDefault="00331FB6" w:rsidP="000507CA">
      <w:pPr>
        <w:spacing w:after="0" w:line="360" w:lineRule="auto"/>
        <w:jc w:val="both"/>
        <w:rPr>
          <w:rFonts w:ascii="Cambria" w:hAnsi="Cambria"/>
          <w:b/>
          <w:bCs/>
          <w:color w:val="000000" w:themeColor="text1"/>
          <w:sz w:val="20"/>
          <w:szCs w:val="20"/>
        </w:rPr>
      </w:pPr>
      <w:r w:rsidRPr="00223CBF">
        <w:rPr>
          <w:rFonts w:ascii="Cambria" w:hAnsi="Cambria"/>
          <w:b/>
          <w:bCs/>
          <w:color w:val="000000" w:themeColor="text1"/>
          <w:sz w:val="20"/>
          <w:szCs w:val="20"/>
        </w:rPr>
        <w:t>Policy and project alignment</w:t>
      </w:r>
    </w:p>
    <w:p w14:paraId="58E7294A" w14:textId="04BEABD0" w:rsidR="00182E57" w:rsidRPr="00AC1452" w:rsidRDefault="00182E57" w:rsidP="00182E57">
      <w:pPr>
        <w:spacing w:after="0" w:line="360" w:lineRule="auto"/>
        <w:jc w:val="both"/>
        <w:rPr>
          <w:rFonts w:ascii="Cambria" w:hAnsi="Cambria"/>
          <w:color w:val="000000" w:themeColor="text1"/>
          <w:sz w:val="20"/>
          <w:szCs w:val="20"/>
        </w:rPr>
      </w:pPr>
      <w:r w:rsidRPr="00AC1452">
        <w:rPr>
          <w:rFonts w:ascii="Cambria" w:hAnsi="Cambria"/>
          <w:color w:val="000000" w:themeColor="text1"/>
          <w:sz w:val="20"/>
          <w:szCs w:val="20"/>
        </w:rPr>
        <w:t>The SGD 16 Goal indicators for Sri Lanka highlights</w:t>
      </w:r>
      <w:r w:rsidR="00FD3D66">
        <w:rPr>
          <w:rFonts w:ascii="Cambria" w:hAnsi="Cambria"/>
          <w:color w:val="000000" w:themeColor="text1"/>
          <w:sz w:val="20"/>
          <w:szCs w:val="20"/>
        </w:rPr>
        <w:t>,</w:t>
      </w:r>
      <w:r w:rsidRPr="00AC1452">
        <w:rPr>
          <w:rFonts w:ascii="Cambria" w:hAnsi="Cambria"/>
          <w:color w:val="000000" w:themeColor="text1"/>
          <w:sz w:val="20"/>
          <w:szCs w:val="20"/>
        </w:rPr>
        <w:t xml:space="preserve"> the importance of promoting the rule of law at the national and international levels and ensure equal access to justice for all through</w:t>
      </w:r>
      <w:r w:rsidR="00FC5E3E">
        <w:rPr>
          <w:rFonts w:ascii="Cambria" w:hAnsi="Cambria"/>
          <w:color w:val="000000" w:themeColor="text1"/>
          <w:sz w:val="20"/>
          <w:szCs w:val="20"/>
        </w:rPr>
        <w:t>,</w:t>
      </w:r>
      <w:r w:rsidRPr="00AC1452">
        <w:rPr>
          <w:rFonts w:ascii="Cambria" w:hAnsi="Cambria"/>
          <w:color w:val="000000" w:themeColor="text1"/>
          <w:sz w:val="20"/>
          <w:szCs w:val="20"/>
        </w:rPr>
        <w:t xml:space="preserve"> enhanced accountable and transparent institutions and through participatory decision making and through the promotion of non-discriminatory laws and policies. The Portfolio, which adopted an umbrella approach</w:t>
      </w:r>
      <w:r w:rsidR="00FD3D66">
        <w:rPr>
          <w:rFonts w:ascii="Cambria" w:hAnsi="Cambria"/>
          <w:color w:val="000000" w:themeColor="text1"/>
          <w:sz w:val="20"/>
          <w:szCs w:val="20"/>
        </w:rPr>
        <w:t>,</w:t>
      </w:r>
      <w:r w:rsidRPr="00AC1452">
        <w:rPr>
          <w:rFonts w:ascii="Cambria" w:hAnsi="Cambria"/>
          <w:color w:val="000000" w:themeColor="text1"/>
          <w:sz w:val="20"/>
          <w:szCs w:val="20"/>
        </w:rPr>
        <w:t xml:space="preserve"> identified access to justice and rule of law as one of the three pillars and outcomes to contribute towards its overall objectives</w:t>
      </w:r>
      <w:r w:rsidR="00FD3D66">
        <w:rPr>
          <w:rFonts w:ascii="Cambria" w:hAnsi="Cambria"/>
          <w:color w:val="000000" w:themeColor="text1"/>
          <w:sz w:val="20"/>
          <w:szCs w:val="20"/>
        </w:rPr>
        <w:t>,</w:t>
      </w:r>
      <w:r w:rsidRPr="00AC1452">
        <w:rPr>
          <w:rFonts w:ascii="Cambria" w:hAnsi="Cambria"/>
          <w:color w:val="000000" w:themeColor="text1"/>
          <w:sz w:val="20"/>
          <w:szCs w:val="20"/>
        </w:rPr>
        <w:t xml:space="preserve"> under </w:t>
      </w:r>
      <w:bookmarkStart w:id="44" w:name="_Hlk56458577"/>
      <w:r w:rsidRPr="00AC1452">
        <w:rPr>
          <w:rFonts w:ascii="Cambria" w:hAnsi="Cambria"/>
          <w:color w:val="000000" w:themeColor="text1"/>
          <w:sz w:val="20"/>
          <w:szCs w:val="20"/>
        </w:rPr>
        <w:t xml:space="preserve">UNSDF Driver 2 and CPD Output 1.2, which embraces the Sustainable Development Agenda 2030, </w:t>
      </w:r>
      <w:r w:rsidR="00FC5E3E" w:rsidRPr="00AC1452">
        <w:rPr>
          <w:rFonts w:ascii="Cambria" w:hAnsi="Cambria"/>
          <w:color w:val="000000" w:themeColor="text1"/>
          <w:sz w:val="20"/>
          <w:szCs w:val="20"/>
        </w:rPr>
        <w:t>drawing linkages</w:t>
      </w:r>
      <w:r w:rsidRPr="00AC1452">
        <w:rPr>
          <w:rFonts w:ascii="Cambria" w:hAnsi="Cambria"/>
          <w:color w:val="000000" w:themeColor="text1"/>
          <w:sz w:val="20"/>
          <w:szCs w:val="20"/>
        </w:rPr>
        <w:t xml:space="preserve"> between Outputs and the SDG Goal 16. </w:t>
      </w:r>
    </w:p>
    <w:bookmarkEnd w:id="44"/>
    <w:p w14:paraId="3727F1F8" w14:textId="77777777" w:rsidR="00182E57" w:rsidRPr="00AC1452" w:rsidRDefault="00182E57" w:rsidP="00182E57">
      <w:pPr>
        <w:spacing w:line="360" w:lineRule="auto"/>
        <w:jc w:val="both"/>
        <w:rPr>
          <w:rFonts w:ascii="Cambria" w:hAnsi="Cambria"/>
          <w:color w:val="000000" w:themeColor="text1"/>
          <w:sz w:val="20"/>
          <w:szCs w:val="20"/>
        </w:rPr>
      </w:pPr>
    </w:p>
    <w:p w14:paraId="127A9B20" w14:textId="0FEED89A" w:rsidR="00182E57" w:rsidRPr="00AC1452" w:rsidRDefault="00182E57" w:rsidP="00182E57">
      <w:pPr>
        <w:spacing w:line="360" w:lineRule="auto"/>
        <w:jc w:val="both"/>
        <w:rPr>
          <w:rFonts w:ascii="Cambria" w:hAnsi="Cambria"/>
          <w:color w:val="000000" w:themeColor="text1"/>
          <w:sz w:val="20"/>
          <w:szCs w:val="20"/>
        </w:rPr>
      </w:pPr>
      <w:r w:rsidRPr="00AC1452">
        <w:rPr>
          <w:rFonts w:ascii="Cambria" w:hAnsi="Cambria"/>
          <w:color w:val="000000" w:themeColor="text1"/>
          <w:sz w:val="20"/>
          <w:szCs w:val="20"/>
        </w:rPr>
        <w:t>It was noteworthy that, during the inception of the Portfolio due to the absence of a country wide sectoral approach to justice sector reform, design and planning of interventions was problematic, although the general country context was conducive for reform. Consultations revealed that</w:t>
      </w:r>
      <w:r w:rsidR="00FD3D66">
        <w:rPr>
          <w:rFonts w:ascii="Cambria" w:hAnsi="Cambria"/>
          <w:color w:val="000000" w:themeColor="text1"/>
          <w:sz w:val="20"/>
          <w:szCs w:val="20"/>
        </w:rPr>
        <w:t>,</w:t>
      </w:r>
      <w:r w:rsidRPr="00AC1452">
        <w:rPr>
          <w:rFonts w:ascii="Cambria" w:hAnsi="Cambria"/>
          <w:color w:val="000000" w:themeColor="text1"/>
          <w:sz w:val="20"/>
          <w:szCs w:val="20"/>
        </w:rPr>
        <w:t xml:space="preserve"> initial identification of interventions was based on urgent and emerging national priorities</w:t>
      </w:r>
      <w:r w:rsidR="00FD3D66">
        <w:rPr>
          <w:rFonts w:ascii="Cambria" w:hAnsi="Cambria"/>
          <w:color w:val="000000" w:themeColor="text1"/>
          <w:sz w:val="20"/>
          <w:szCs w:val="20"/>
        </w:rPr>
        <w:t>,</w:t>
      </w:r>
      <w:r w:rsidRPr="00AC1452">
        <w:rPr>
          <w:rFonts w:ascii="Cambria" w:hAnsi="Cambria"/>
          <w:color w:val="000000" w:themeColor="text1"/>
          <w:sz w:val="20"/>
          <w:szCs w:val="20"/>
        </w:rPr>
        <w:t xml:space="preserve"> to support the implementation of promises made by the GoSL under the UN Resolution 30/1, which included the establishment of the Office of Missions Persons (OMP) and review of and strengthening of Victim and Witness Protection (VWP) legislation in the country.</w:t>
      </w:r>
    </w:p>
    <w:p w14:paraId="049DE0E9" w14:textId="4701DFC5" w:rsidR="00182E57" w:rsidRPr="00AC1452" w:rsidRDefault="00182E57" w:rsidP="000607E0">
      <w:pPr>
        <w:shd w:val="clear" w:color="auto" w:fill="FFC000"/>
        <w:spacing w:line="360" w:lineRule="auto"/>
        <w:jc w:val="both"/>
        <w:rPr>
          <w:rFonts w:ascii="Cambria" w:hAnsi="Cambria" w:cs="Arial"/>
          <w:color w:val="000000" w:themeColor="text1"/>
          <w:spacing w:val="4"/>
          <w:sz w:val="20"/>
          <w:szCs w:val="20"/>
          <w:shd w:val="clear" w:color="auto" w:fill="FEFEFE"/>
        </w:rPr>
      </w:pPr>
      <w:r w:rsidRPr="00AC1452">
        <w:rPr>
          <w:rFonts w:ascii="Cambria" w:hAnsi="Cambria"/>
          <w:color w:val="000000" w:themeColor="text1"/>
          <w:sz w:val="20"/>
          <w:szCs w:val="20"/>
        </w:rPr>
        <w:t>However, Output interventions to promote gender equality and gender sensitive services from the inception were framed within the umbrella approach of the</w:t>
      </w:r>
      <w:r w:rsidR="00E84AAF">
        <w:rPr>
          <w:rFonts w:ascii="Cambria" w:hAnsi="Cambria"/>
          <w:color w:val="000000" w:themeColor="text1"/>
          <w:sz w:val="20"/>
          <w:szCs w:val="20"/>
        </w:rPr>
        <w:t xml:space="preserve"> Nationa Action Plan to Address Sexual and Gender Based Violence Plan (SGBV Plan) 2016-2020.</w:t>
      </w:r>
      <w:r w:rsidR="00E84AAF">
        <w:rPr>
          <w:rStyle w:val="FootnoteReference"/>
          <w:rFonts w:ascii="Cambria" w:hAnsi="Cambria"/>
          <w:color w:val="000000" w:themeColor="text1"/>
          <w:sz w:val="20"/>
          <w:szCs w:val="20"/>
        </w:rPr>
        <w:footnoteReference w:id="58"/>
      </w:r>
      <w:r w:rsidR="00FD3D66">
        <w:rPr>
          <w:rFonts w:ascii="Cambria" w:hAnsi="Cambria"/>
          <w:color w:val="000000" w:themeColor="text1"/>
          <w:sz w:val="20"/>
          <w:szCs w:val="20"/>
        </w:rPr>
        <w:t xml:space="preserve"> </w:t>
      </w:r>
      <w:r w:rsidR="00FC5E3E">
        <w:rPr>
          <w:rFonts w:ascii="Cambria" w:hAnsi="Cambria"/>
          <w:color w:val="000000" w:themeColor="text1"/>
          <w:sz w:val="20"/>
          <w:szCs w:val="20"/>
        </w:rPr>
        <w:t xml:space="preserve">GEWE is also prioratised under the Gender Equality Strategy and cross </w:t>
      </w:r>
      <w:r w:rsidR="00FC5E3E">
        <w:rPr>
          <w:rFonts w:ascii="Cambria" w:hAnsi="Cambria"/>
          <w:color w:val="000000" w:themeColor="text1"/>
          <w:sz w:val="20"/>
          <w:szCs w:val="20"/>
        </w:rPr>
        <w:lastRenderedPageBreak/>
        <w:t>cutting issued identified in the Portfolio.</w:t>
      </w:r>
      <w:r w:rsidR="00E84AAF">
        <w:rPr>
          <w:rFonts w:ascii="Cambria" w:hAnsi="Cambria"/>
          <w:color w:val="000000" w:themeColor="text1"/>
          <w:sz w:val="20"/>
          <w:szCs w:val="20"/>
        </w:rPr>
        <w:t xml:space="preserve"> The Portfolio built on these critical investments to focus during the first phase under Output 2.2.  </w:t>
      </w:r>
      <w:r w:rsidR="00FC5E3E">
        <w:rPr>
          <w:rFonts w:ascii="Cambria" w:hAnsi="Cambria"/>
          <w:color w:val="000000" w:themeColor="text1"/>
          <w:sz w:val="20"/>
          <w:szCs w:val="20"/>
        </w:rPr>
        <w:t xml:space="preserve"> </w:t>
      </w:r>
    </w:p>
    <w:p w14:paraId="290D8F6D" w14:textId="78CDF9E6" w:rsidR="004D0F4B" w:rsidRPr="00182E57" w:rsidRDefault="00182E57" w:rsidP="00182E57">
      <w:pPr>
        <w:spacing w:line="360" w:lineRule="auto"/>
        <w:jc w:val="both"/>
        <w:rPr>
          <w:rFonts w:ascii="Cambria" w:hAnsi="Cambria"/>
          <w:color w:val="000000" w:themeColor="text1"/>
          <w:sz w:val="20"/>
          <w:szCs w:val="20"/>
        </w:rPr>
      </w:pPr>
      <w:r w:rsidRPr="00AC1452">
        <w:rPr>
          <w:rFonts w:ascii="Cambria" w:hAnsi="Cambria"/>
          <w:color w:val="000000" w:themeColor="text1"/>
          <w:sz w:val="20"/>
          <w:szCs w:val="20"/>
        </w:rPr>
        <w:t>In response, significant policy and institutional level support was provided to three main justice sector actors namely, the MOJ, NVWPA and MWCA and to a lesser extent, related state and non- state justice sector institution such as the Legal Draftsman’s Department (LDD), Attorney General’s Department (AGD), LAC, BAS</w:t>
      </w:r>
      <w:r w:rsidR="00791BE8">
        <w:rPr>
          <w:rFonts w:ascii="Cambria" w:hAnsi="Cambria"/>
          <w:color w:val="000000" w:themeColor="text1"/>
          <w:sz w:val="20"/>
          <w:szCs w:val="20"/>
        </w:rPr>
        <w:t>L</w:t>
      </w:r>
      <w:r w:rsidRPr="00AC1452">
        <w:rPr>
          <w:rFonts w:ascii="Cambria" w:hAnsi="Cambria"/>
          <w:color w:val="000000" w:themeColor="text1"/>
          <w:sz w:val="20"/>
          <w:szCs w:val="20"/>
        </w:rPr>
        <w:t xml:space="preserve">, police department, judiciary, National Committee on Women and CSOs.  </w:t>
      </w:r>
    </w:p>
    <w:p w14:paraId="1209636F" w14:textId="77777777" w:rsidR="004D0F4B" w:rsidRPr="00223CBF" w:rsidRDefault="004D0F4B" w:rsidP="004D0F4B">
      <w:pPr>
        <w:spacing w:after="0" w:line="360" w:lineRule="auto"/>
        <w:contextualSpacing/>
        <w:jc w:val="both"/>
        <w:rPr>
          <w:rFonts w:ascii="Cambria" w:hAnsi="Cambria" w:cstheme="minorHAnsi"/>
          <w:b/>
          <w:bCs/>
          <w:color w:val="0070C0"/>
          <w:sz w:val="20"/>
          <w:szCs w:val="20"/>
          <w:lang w:val="en-GB"/>
        </w:rPr>
      </w:pPr>
    </w:p>
    <w:p w14:paraId="7643FC43" w14:textId="40046956" w:rsidR="00331FB6" w:rsidRPr="00431E5B" w:rsidRDefault="00431E5B" w:rsidP="00431E5B">
      <w:pPr>
        <w:spacing w:line="360" w:lineRule="auto"/>
        <w:jc w:val="both"/>
        <w:rPr>
          <w:rFonts w:ascii="Cambria" w:hAnsi="Cambria" w:cstheme="minorHAnsi"/>
          <w:b/>
          <w:bCs/>
          <w:color w:val="0070C0"/>
          <w:sz w:val="20"/>
          <w:szCs w:val="20"/>
          <w:lang w:val="en-GB"/>
        </w:rPr>
      </w:pPr>
      <w:r>
        <w:rPr>
          <w:rFonts w:ascii="Cambria" w:hAnsi="Cambria" w:cstheme="minorHAnsi"/>
          <w:b/>
          <w:bCs/>
          <w:color w:val="0070C0"/>
          <w:sz w:val="20"/>
          <w:szCs w:val="20"/>
          <w:lang w:val="en-GB"/>
        </w:rPr>
        <w:t>b.</w:t>
      </w:r>
      <w:r w:rsidRPr="00431E5B">
        <w:rPr>
          <w:rFonts w:ascii="Cambria" w:hAnsi="Cambria" w:cstheme="minorHAnsi"/>
          <w:b/>
          <w:bCs/>
          <w:color w:val="0070C0"/>
          <w:sz w:val="20"/>
          <w:szCs w:val="20"/>
          <w:lang w:val="en-GB"/>
        </w:rPr>
        <w:t xml:space="preserve"> The</w:t>
      </w:r>
      <w:r w:rsidR="00331FB6" w:rsidRPr="00431E5B">
        <w:rPr>
          <w:rFonts w:ascii="Cambria" w:hAnsi="Cambria" w:cstheme="minorHAnsi"/>
          <w:b/>
          <w:bCs/>
          <w:color w:val="0070C0"/>
          <w:sz w:val="20"/>
          <w:szCs w:val="20"/>
          <w:lang w:val="en-GB"/>
        </w:rPr>
        <w:t xml:space="preserve"> extent to which identified priorities resonated and responded to the needs of beneficiaries </w:t>
      </w:r>
    </w:p>
    <w:p w14:paraId="7722D53C" w14:textId="77777777" w:rsidR="00182E57" w:rsidRPr="00AC1452" w:rsidRDefault="00331FB6" w:rsidP="00182E57">
      <w:pPr>
        <w:spacing w:line="360" w:lineRule="auto"/>
        <w:jc w:val="both"/>
        <w:rPr>
          <w:rFonts w:ascii="Cambria" w:hAnsi="Cambria" w:cs="Arial"/>
          <w:color w:val="000000" w:themeColor="text1"/>
          <w:spacing w:val="4"/>
          <w:sz w:val="20"/>
          <w:szCs w:val="20"/>
          <w:shd w:val="clear" w:color="auto" w:fill="FEFEFE"/>
        </w:rPr>
      </w:pPr>
      <w:r w:rsidRPr="00223CBF">
        <w:rPr>
          <w:rFonts w:ascii="Cambria" w:hAnsi="Cambria" w:cs="Arial"/>
          <w:b/>
          <w:bCs/>
          <w:color w:val="000000" w:themeColor="text1"/>
          <w:spacing w:val="4"/>
          <w:sz w:val="20"/>
          <w:szCs w:val="20"/>
          <w:shd w:val="clear" w:color="auto" w:fill="FEFEFE"/>
        </w:rPr>
        <w:t xml:space="preserve">Adequacy: </w:t>
      </w:r>
      <w:r w:rsidR="00182E57" w:rsidRPr="00AC1452">
        <w:rPr>
          <w:rFonts w:ascii="Cambria" w:hAnsi="Cambria" w:cs="Arial"/>
          <w:color w:val="000000" w:themeColor="text1"/>
          <w:spacing w:val="4"/>
          <w:sz w:val="20"/>
          <w:szCs w:val="20"/>
          <w:shd w:val="clear" w:color="auto" w:fill="FEFEFE"/>
        </w:rPr>
        <w:t xml:space="preserve">The Output interventions identified were relevant and context specific and addressed the needs of the beneficiaries whether, state institutions, CSOs or vulnerable groups and remained conceptually and policy appropriate throughout the first phase of the project, although regularly challenged by realities of implementation and rapid changes in the political and economic dynamics of the country. These Outputs complemented each other and was mutually reinforcing, which contributed to its effectiveness.  </w:t>
      </w:r>
    </w:p>
    <w:p w14:paraId="0E5B56E9" w14:textId="77777777" w:rsidR="00182E57" w:rsidRPr="00AC1452" w:rsidRDefault="00182E57" w:rsidP="00182E57">
      <w:pPr>
        <w:spacing w:line="360" w:lineRule="auto"/>
        <w:jc w:val="both"/>
        <w:rPr>
          <w:rFonts w:ascii="Cambria" w:hAnsi="Cambria" w:cs="Arial"/>
          <w:b/>
          <w:bCs/>
          <w:color w:val="000000" w:themeColor="text1"/>
          <w:spacing w:val="4"/>
          <w:sz w:val="20"/>
          <w:szCs w:val="20"/>
          <w:shd w:val="clear" w:color="auto" w:fill="FEFEFE"/>
        </w:rPr>
      </w:pPr>
      <w:r w:rsidRPr="00AC1452">
        <w:rPr>
          <w:rFonts w:ascii="Cambria" w:hAnsi="Cambria" w:cs="Arial"/>
          <w:color w:val="000000" w:themeColor="text1"/>
          <w:spacing w:val="4"/>
          <w:sz w:val="20"/>
          <w:szCs w:val="20"/>
          <w:shd w:val="clear" w:color="auto" w:fill="FEFEFE"/>
        </w:rPr>
        <w:t xml:space="preserve">At the outset, it identified poor institutional capacities, service delivery, lack of procedures and processes, poor skill management and lack of awareness in order to devise a sensible strategy to take on a multi-faceted approach to promote VWP in Sri Lanka. </w:t>
      </w:r>
    </w:p>
    <w:p w14:paraId="6121E2B6" w14:textId="222CB9F2" w:rsidR="00182E57" w:rsidRPr="00AC1452" w:rsidRDefault="00182E57" w:rsidP="00182E57">
      <w:pPr>
        <w:spacing w:line="360" w:lineRule="auto"/>
        <w:jc w:val="both"/>
        <w:rPr>
          <w:rFonts w:ascii="Cambria" w:hAnsi="Cambria" w:cs="Calibri"/>
          <w:bCs/>
          <w:color w:val="000000" w:themeColor="text1"/>
          <w:sz w:val="20"/>
          <w:szCs w:val="20"/>
        </w:rPr>
      </w:pPr>
      <w:r w:rsidRPr="00AC1452">
        <w:rPr>
          <w:rFonts w:ascii="Cambria" w:hAnsi="Cambria" w:cs="Calibri"/>
          <w:bCs/>
          <w:color w:val="000000" w:themeColor="text1"/>
          <w:sz w:val="20"/>
          <w:szCs w:val="20"/>
        </w:rPr>
        <w:t>The Outputs also anticipated the need to invest in independent research and launched several pioneering studies on sentencing patterns</w:t>
      </w:r>
      <w:r w:rsidR="007F7704">
        <w:rPr>
          <w:rFonts w:ascii="Cambria" w:hAnsi="Cambria" w:cs="Calibri"/>
          <w:bCs/>
          <w:color w:val="000000" w:themeColor="text1"/>
          <w:sz w:val="20"/>
          <w:szCs w:val="20"/>
        </w:rPr>
        <w:t>,</w:t>
      </w:r>
      <w:r w:rsidRPr="00AC1452">
        <w:rPr>
          <w:rFonts w:ascii="Cambria" w:hAnsi="Cambria" w:cs="Calibri"/>
          <w:bCs/>
          <w:color w:val="000000" w:themeColor="text1"/>
          <w:sz w:val="20"/>
          <w:szCs w:val="20"/>
        </w:rPr>
        <w:t xml:space="preserve"> to develop a National Sentencing Policy for Sri Lanka, and qualitative assessment of criminal victimization trends and national crime trends to contribute towards a National Crime Prevention Strategy for the country. </w:t>
      </w:r>
    </w:p>
    <w:p w14:paraId="6C03578D" w14:textId="6572A01E" w:rsidR="00182E57" w:rsidRPr="00AC1452" w:rsidRDefault="00182E57" w:rsidP="00182E57">
      <w:pPr>
        <w:spacing w:line="360" w:lineRule="auto"/>
        <w:jc w:val="both"/>
        <w:rPr>
          <w:rFonts w:ascii="Cambria" w:hAnsi="Cambria" w:cs="Arial"/>
          <w:color w:val="000000" w:themeColor="text1"/>
          <w:spacing w:val="4"/>
          <w:sz w:val="20"/>
          <w:szCs w:val="20"/>
          <w:shd w:val="clear" w:color="auto" w:fill="FEFEFE"/>
        </w:rPr>
      </w:pPr>
      <w:r w:rsidRPr="00AC1452">
        <w:rPr>
          <w:rFonts w:ascii="Cambria" w:hAnsi="Cambria" w:cs="Calibri"/>
          <w:bCs/>
          <w:color w:val="000000" w:themeColor="text1"/>
          <w:sz w:val="20"/>
          <w:szCs w:val="20"/>
        </w:rPr>
        <w:t xml:space="preserve">The rationale of the Outputs </w:t>
      </w:r>
      <w:r w:rsidR="007F7704" w:rsidRPr="00AC1452">
        <w:rPr>
          <w:rFonts w:ascii="Cambria" w:hAnsi="Cambria" w:cs="Calibri"/>
          <w:bCs/>
          <w:color w:val="000000" w:themeColor="text1"/>
          <w:sz w:val="20"/>
          <w:szCs w:val="20"/>
        </w:rPr>
        <w:t>w</w:t>
      </w:r>
      <w:r w:rsidR="007F7704">
        <w:rPr>
          <w:rFonts w:ascii="Cambria" w:hAnsi="Cambria" w:cs="Calibri"/>
          <w:bCs/>
          <w:color w:val="000000" w:themeColor="text1"/>
          <w:sz w:val="20"/>
          <w:szCs w:val="20"/>
        </w:rPr>
        <w:t>as</w:t>
      </w:r>
      <w:r w:rsidRPr="00AC1452">
        <w:rPr>
          <w:rFonts w:ascii="Cambria" w:hAnsi="Cambria" w:cs="Calibri"/>
          <w:bCs/>
          <w:color w:val="000000" w:themeColor="text1"/>
          <w:sz w:val="20"/>
          <w:szCs w:val="20"/>
        </w:rPr>
        <w:t xml:space="preserve"> well articulated and clearly shows signs of lessons learned from previous phases of engagement. For example, the formulation and launch of the SGBV Plan in 2016 under the </w:t>
      </w:r>
      <w:r w:rsidRPr="00AC1452">
        <w:rPr>
          <w:rFonts w:ascii="Cambria" w:hAnsi="Cambria" w:cs="Arial"/>
          <w:color w:val="000000" w:themeColor="text1"/>
          <w:spacing w:val="4"/>
          <w:sz w:val="20"/>
          <w:szCs w:val="20"/>
          <w:shd w:val="clear" w:color="auto" w:fill="FEFEFE"/>
        </w:rPr>
        <w:t>Strengthening Enforcement of Law, Access to Justice and Social Integration Programme (SELAJSI) was sensibly implemented through substantial support to the MWCA under Output 2.2.</w:t>
      </w:r>
    </w:p>
    <w:p w14:paraId="33975220" w14:textId="2E2F3399" w:rsidR="00182E57" w:rsidRPr="00AC1452" w:rsidRDefault="00182E57" w:rsidP="00182E57">
      <w:pPr>
        <w:spacing w:line="360" w:lineRule="auto"/>
        <w:contextualSpacing/>
        <w:jc w:val="both"/>
        <w:rPr>
          <w:rFonts w:ascii="Cambria" w:hAnsi="Cambria" w:cs="Calibri"/>
          <w:bCs/>
          <w:sz w:val="20"/>
          <w:szCs w:val="20"/>
          <w:lang w:val="en-GB"/>
        </w:rPr>
      </w:pPr>
      <w:r w:rsidRPr="00AC1452">
        <w:rPr>
          <w:rFonts w:ascii="Cambria" w:hAnsi="Cambria" w:cs="Calibri"/>
          <w:bCs/>
          <w:sz w:val="20"/>
          <w:szCs w:val="20"/>
          <w:lang w:val="en-GB"/>
        </w:rPr>
        <w:t>The recognition of OMP</w:t>
      </w:r>
      <w:r w:rsidR="007F7704">
        <w:rPr>
          <w:rFonts w:ascii="Cambria" w:hAnsi="Cambria" w:cs="Calibri"/>
          <w:bCs/>
          <w:sz w:val="20"/>
          <w:szCs w:val="20"/>
          <w:lang w:val="en-GB"/>
        </w:rPr>
        <w:t>,</w:t>
      </w:r>
      <w:r w:rsidRPr="00AC1452">
        <w:rPr>
          <w:rFonts w:ascii="Cambria" w:hAnsi="Cambria" w:cs="Calibri"/>
          <w:bCs/>
          <w:sz w:val="20"/>
          <w:szCs w:val="20"/>
          <w:lang w:val="en-GB"/>
        </w:rPr>
        <w:t xml:space="preserve"> as one of the first mechanisms adopted towards TJ</w:t>
      </w:r>
      <w:r>
        <w:rPr>
          <w:rFonts w:ascii="Cambria" w:hAnsi="Cambria" w:cs="Calibri"/>
          <w:bCs/>
          <w:sz w:val="20"/>
          <w:szCs w:val="20"/>
          <w:lang w:val="en-GB"/>
        </w:rPr>
        <w:t xml:space="preserve"> </w:t>
      </w:r>
      <w:r w:rsidRPr="00AC1452">
        <w:rPr>
          <w:rFonts w:ascii="Cambria" w:hAnsi="Cambria" w:cs="Calibri"/>
          <w:bCs/>
          <w:sz w:val="20"/>
          <w:szCs w:val="20"/>
          <w:lang w:val="en-GB"/>
        </w:rPr>
        <w:t>in Sri Lanka</w:t>
      </w:r>
      <w:r w:rsidR="007F7704">
        <w:rPr>
          <w:rFonts w:ascii="Cambria" w:hAnsi="Cambria" w:cs="Calibri"/>
          <w:bCs/>
          <w:sz w:val="20"/>
          <w:szCs w:val="20"/>
          <w:lang w:val="en-GB"/>
        </w:rPr>
        <w:t>,</w:t>
      </w:r>
      <w:r w:rsidRPr="00AC1452">
        <w:rPr>
          <w:rFonts w:ascii="Cambria" w:hAnsi="Cambria" w:cs="Calibri"/>
          <w:bCs/>
          <w:sz w:val="20"/>
          <w:szCs w:val="20"/>
          <w:lang w:val="en-GB"/>
        </w:rPr>
        <w:t xml:space="preserve"> was context specific and relevant. OMP was set up in 2017 and the first commission was appointed in 2018. Although OMP comes under the MOJ, due to under resourcing and staffing, UNDP assistance in recruitment and financing staff in the </w:t>
      </w:r>
      <w:r w:rsidRPr="00AC1452">
        <w:rPr>
          <w:rFonts w:ascii="Cambria" w:hAnsi="Cambria" w:cs="Calibri"/>
          <w:bCs/>
          <w:sz w:val="20"/>
          <w:szCs w:val="20"/>
          <w:lang w:val="en-GB"/>
        </w:rPr>
        <w:lastRenderedPageBreak/>
        <w:t xml:space="preserve">initial phase, and assistance for legal representation was noted not only as relevant but crucial for its initial success. </w:t>
      </w:r>
    </w:p>
    <w:p w14:paraId="4F366559" w14:textId="6A7CCF08" w:rsidR="00182E57" w:rsidRPr="00AC1452" w:rsidRDefault="00182E57" w:rsidP="00182E57">
      <w:pPr>
        <w:spacing w:line="360" w:lineRule="auto"/>
        <w:contextualSpacing/>
        <w:jc w:val="both"/>
        <w:rPr>
          <w:rFonts w:ascii="Cambria" w:hAnsi="Cambria" w:cs="Calibri"/>
          <w:bCs/>
          <w:sz w:val="20"/>
          <w:szCs w:val="20"/>
          <w:lang w:val="en-GB"/>
        </w:rPr>
      </w:pPr>
      <w:r w:rsidRPr="00AC1452">
        <w:rPr>
          <w:rFonts w:ascii="Cambria" w:hAnsi="Cambria" w:cs="Calibri"/>
          <w:bCs/>
          <w:sz w:val="20"/>
          <w:szCs w:val="20"/>
          <w:lang w:val="en-GB"/>
        </w:rPr>
        <w:t>However, given the broad mandate of the OMP, KPIs observed that</w:t>
      </w:r>
      <w:r w:rsidR="007F7704">
        <w:rPr>
          <w:rFonts w:ascii="Cambria" w:hAnsi="Cambria" w:cs="Calibri"/>
          <w:bCs/>
          <w:sz w:val="20"/>
          <w:szCs w:val="20"/>
          <w:lang w:val="en-GB"/>
        </w:rPr>
        <w:t>,</w:t>
      </w:r>
      <w:r w:rsidRPr="00AC1452">
        <w:rPr>
          <w:rFonts w:ascii="Cambria" w:hAnsi="Cambria" w:cs="Calibri"/>
          <w:bCs/>
          <w:sz w:val="20"/>
          <w:szCs w:val="20"/>
          <w:lang w:val="en-GB"/>
        </w:rPr>
        <w:t xml:space="preserve"> to maximise relevance of interventions, commission would have benefited from an assessment of immediate/medium and long term needs and targeted technical support to strengthen the mandate of the Commission, particularly strengthening in areas such as</w:t>
      </w:r>
      <w:r w:rsidR="007F7704">
        <w:rPr>
          <w:rFonts w:ascii="Cambria" w:hAnsi="Cambria" w:cs="Calibri"/>
          <w:bCs/>
          <w:sz w:val="20"/>
          <w:szCs w:val="20"/>
          <w:lang w:val="en-GB"/>
        </w:rPr>
        <w:t>,</w:t>
      </w:r>
      <w:r w:rsidRPr="00AC1452">
        <w:rPr>
          <w:rFonts w:ascii="Cambria" w:hAnsi="Cambria" w:cs="Calibri"/>
          <w:bCs/>
          <w:sz w:val="20"/>
          <w:szCs w:val="20"/>
          <w:lang w:val="en-GB"/>
        </w:rPr>
        <w:t xml:space="preserve"> technical capacity of staff and commissioners in the investigation and inquiry procedure, developing SOPs and tools for protection, technical support in designing and developing a database on missing persons and building the knowledge base on relevant laws and investigation techniques. It is apparent that, whilst O</w:t>
      </w:r>
      <w:r w:rsidR="000F6873">
        <w:rPr>
          <w:rFonts w:ascii="Cambria" w:hAnsi="Cambria" w:cs="Calibri"/>
          <w:bCs/>
          <w:sz w:val="20"/>
          <w:szCs w:val="20"/>
          <w:lang w:val="en-GB"/>
        </w:rPr>
        <w:t>ffice of the High Commissioner for Human Rights (O</w:t>
      </w:r>
      <w:r w:rsidRPr="00AC1452">
        <w:rPr>
          <w:rFonts w:ascii="Cambria" w:hAnsi="Cambria" w:cs="Calibri"/>
          <w:bCs/>
          <w:sz w:val="20"/>
          <w:szCs w:val="20"/>
          <w:lang w:val="en-GB"/>
        </w:rPr>
        <w:t>HCHR</w:t>
      </w:r>
      <w:r w:rsidR="000F6873">
        <w:rPr>
          <w:rFonts w:ascii="Cambria" w:hAnsi="Cambria" w:cs="Calibri"/>
          <w:bCs/>
          <w:sz w:val="20"/>
          <w:szCs w:val="20"/>
          <w:lang w:val="en-GB"/>
        </w:rPr>
        <w:t>)</w:t>
      </w:r>
      <w:r w:rsidRPr="00AC1452">
        <w:rPr>
          <w:rFonts w:ascii="Cambria" w:hAnsi="Cambria" w:cs="Calibri"/>
          <w:bCs/>
          <w:sz w:val="20"/>
          <w:szCs w:val="20"/>
          <w:lang w:val="en-GB"/>
        </w:rPr>
        <w:t xml:space="preserve"> was primarily responsible for design and implementing activities of OMP, UNDP was primarily responsible for design and implementing activities of VWP, which was also established in response to government’s commitments under the UN Resolution. </w:t>
      </w:r>
    </w:p>
    <w:p w14:paraId="575929C0" w14:textId="77777777" w:rsidR="003E0228" w:rsidRDefault="003E0228" w:rsidP="00182E57">
      <w:pPr>
        <w:spacing w:line="360" w:lineRule="auto"/>
        <w:jc w:val="both"/>
        <w:rPr>
          <w:rFonts w:ascii="Cambria" w:hAnsi="Cambria" w:cs="Arial"/>
          <w:color w:val="000000" w:themeColor="text1"/>
          <w:sz w:val="20"/>
          <w:szCs w:val="20"/>
        </w:rPr>
      </w:pPr>
    </w:p>
    <w:p w14:paraId="74DAEB5C" w14:textId="3A5E2BB6" w:rsidR="00182E57" w:rsidRPr="00AC1452" w:rsidRDefault="00182E57" w:rsidP="00182E57">
      <w:pPr>
        <w:spacing w:line="360" w:lineRule="auto"/>
        <w:jc w:val="both"/>
        <w:rPr>
          <w:rFonts w:ascii="Cambria" w:hAnsi="Cambria" w:cs="Calibri"/>
          <w:bCs/>
          <w:color w:val="000000" w:themeColor="text1"/>
          <w:sz w:val="20"/>
          <w:szCs w:val="20"/>
        </w:rPr>
      </w:pPr>
      <w:r w:rsidRPr="00AC1452">
        <w:rPr>
          <w:rFonts w:ascii="Cambria" w:hAnsi="Cambria" w:cs="Arial"/>
          <w:color w:val="000000" w:themeColor="text1"/>
          <w:sz w:val="20"/>
          <w:szCs w:val="20"/>
        </w:rPr>
        <w:t>As outlined above</w:t>
      </w:r>
      <w:r w:rsidR="007F7704">
        <w:rPr>
          <w:rFonts w:ascii="Cambria" w:hAnsi="Cambria" w:cs="Arial"/>
          <w:color w:val="000000" w:themeColor="text1"/>
          <w:sz w:val="20"/>
          <w:szCs w:val="20"/>
        </w:rPr>
        <w:t>,</w:t>
      </w:r>
      <w:r w:rsidRPr="00AC1452">
        <w:rPr>
          <w:rFonts w:ascii="Cambria" w:hAnsi="Cambria" w:cs="Arial"/>
          <w:color w:val="000000" w:themeColor="text1"/>
          <w:sz w:val="20"/>
          <w:szCs w:val="20"/>
        </w:rPr>
        <w:t xml:space="preserve"> there were few obstacles to UNDP design and planning owing to the absence of a sector wide approach to A2J, which gave rise to constant change in programmatic decision making and prioriti</w:t>
      </w:r>
      <w:r w:rsidR="000F6873">
        <w:rPr>
          <w:rFonts w:ascii="Cambria" w:hAnsi="Cambria" w:cs="Arial"/>
          <w:color w:val="000000" w:themeColor="text1"/>
          <w:sz w:val="20"/>
          <w:szCs w:val="20"/>
        </w:rPr>
        <w:t>s</w:t>
      </w:r>
      <w:r w:rsidRPr="00AC1452">
        <w:rPr>
          <w:rFonts w:ascii="Cambria" w:hAnsi="Cambria" w:cs="Arial"/>
          <w:color w:val="000000" w:themeColor="text1"/>
          <w:sz w:val="20"/>
          <w:szCs w:val="20"/>
        </w:rPr>
        <w:t>ing allocation of resources.  For example, the review and upgrading of the NVWP law</w:t>
      </w:r>
      <w:r w:rsidR="000F6873">
        <w:rPr>
          <w:rStyle w:val="FootnoteReference"/>
          <w:rFonts w:ascii="Cambria" w:hAnsi="Cambria" w:cs="Arial"/>
          <w:color w:val="000000" w:themeColor="text1"/>
          <w:sz w:val="20"/>
          <w:szCs w:val="20"/>
        </w:rPr>
        <w:footnoteReference w:id="59"/>
      </w:r>
      <w:r w:rsidRPr="00AC1452">
        <w:rPr>
          <w:rFonts w:ascii="Cambria" w:hAnsi="Cambria" w:cs="Arial"/>
          <w:color w:val="000000" w:themeColor="text1"/>
          <w:sz w:val="20"/>
          <w:szCs w:val="20"/>
        </w:rPr>
        <w:t xml:space="preserve"> based on international standards and best practices was compounded by conflicting legal provisions in several other archaic statutes that</w:t>
      </w:r>
      <w:r w:rsidR="007F7704">
        <w:rPr>
          <w:rFonts w:ascii="Cambria" w:hAnsi="Cambria" w:cs="Arial"/>
          <w:color w:val="000000" w:themeColor="text1"/>
          <w:sz w:val="20"/>
          <w:szCs w:val="20"/>
        </w:rPr>
        <w:t>,</w:t>
      </w:r>
      <w:r w:rsidRPr="00AC1452">
        <w:rPr>
          <w:rFonts w:ascii="Cambria" w:hAnsi="Cambria" w:cs="Arial"/>
          <w:color w:val="000000" w:themeColor="text1"/>
          <w:sz w:val="20"/>
          <w:szCs w:val="20"/>
        </w:rPr>
        <w:t xml:space="preserve"> slowed the progress of the Ministerial Committee appointed. The Portfolio demonstrated the ability to adapt effectively to address the gaps in laws and processes.</w:t>
      </w:r>
    </w:p>
    <w:p w14:paraId="298C3F37" w14:textId="77777777" w:rsidR="003E0228" w:rsidRDefault="003E0228" w:rsidP="00182E57">
      <w:pPr>
        <w:shd w:val="clear" w:color="auto" w:fill="FFFFFF"/>
        <w:spacing w:line="360" w:lineRule="auto"/>
        <w:jc w:val="both"/>
        <w:rPr>
          <w:rFonts w:ascii="Cambria" w:hAnsi="Cambria" w:cs="Calibri"/>
          <w:bCs/>
          <w:color w:val="000000" w:themeColor="text1"/>
          <w:sz w:val="20"/>
          <w:szCs w:val="20"/>
        </w:rPr>
      </w:pPr>
    </w:p>
    <w:p w14:paraId="0D841512" w14:textId="798DC7A3" w:rsidR="00182E57" w:rsidRPr="001379A8" w:rsidRDefault="00182E57" w:rsidP="00182E57">
      <w:pPr>
        <w:shd w:val="clear" w:color="auto" w:fill="FFFFFF"/>
        <w:spacing w:line="360" w:lineRule="auto"/>
        <w:jc w:val="both"/>
        <w:rPr>
          <w:rFonts w:ascii="Cambria" w:eastAsia="Times New Roman" w:hAnsi="Cambria" w:cstheme="minorHAnsi"/>
          <w:sz w:val="20"/>
          <w:szCs w:val="20"/>
        </w:rPr>
      </w:pPr>
      <w:r w:rsidRPr="00AC1452">
        <w:rPr>
          <w:rFonts w:ascii="Cambria" w:hAnsi="Cambria" w:cs="Calibri"/>
          <w:bCs/>
          <w:color w:val="000000" w:themeColor="text1"/>
          <w:sz w:val="20"/>
          <w:szCs w:val="20"/>
        </w:rPr>
        <w:t>The Outputs also demonstrated adaptability</w:t>
      </w:r>
      <w:r w:rsidR="007F7704">
        <w:rPr>
          <w:rFonts w:ascii="Cambria" w:hAnsi="Cambria" w:cs="Calibri"/>
          <w:bCs/>
          <w:color w:val="000000" w:themeColor="text1"/>
          <w:sz w:val="20"/>
          <w:szCs w:val="20"/>
        </w:rPr>
        <w:t>,</w:t>
      </w:r>
      <w:r w:rsidRPr="00AC1452">
        <w:rPr>
          <w:rFonts w:ascii="Cambria" w:hAnsi="Cambria" w:cs="Calibri"/>
          <w:bCs/>
          <w:color w:val="000000" w:themeColor="text1"/>
          <w:sz w:val="20"/>
          <w:szCs w:val="20"/>
        </w:rPr>
        <w:t xml:space="preserve"> by immediately responding to address critical gaps in institutional capacities, systems and process capacities and human resource capacities exacerbated by the pandemic to minimi</w:t>
      </w:r>
      <w:r w:rsidR="007F7704">
        <w:rPr>
          <w:rFonts w:ascii="Cambria" w:hAnsi="Cambria" w:cs="Calibri"/>
          <w:bCs/>
          <w:color w:val="000000" w:themeColor="text1"/>
          <w:sz w:val="20"/>
          <w:szCs w:val="20"/>
        </w:rPr>
        <w:t>s</w:t>
      </w:r>
      <w:r w:rsidRPr="00AC1452">
        <w:rPr>
          <w:rFonts w:ascii="Cambria" w:hAnsi="Cambria" w:cs="Calibri"/>
          <w:bCs/>
          <w:color w:val="000000" w:themeColor="text1"/>
          <w:sz w:val="20"/>
          <w:szCs w:val="20"/>
        </w:rPr>
        <w:t xml:space="preserve">e delays in access to justice. </w:t>
      </w:r>
      <w:r w:rsidRPr="001379A8">
        <w:rPr>
          <w:rFonts w:ascii="Cambria" w:hAnsi="Cambria" w:cs="Calibri"/>
          <w:bCs/>
          <w:sz w:val="20"/>
          <w:szCs w:val="20"/>
        </w:rPr>
        <w:t>This can be illustrated by r</w:t>
      </w:r>
      <w:r w:rsidRPr="001379A8">
        <w:rPr>
          <w:rFonts w:ascii="Cambria" w:eastAsia="Times New Roman" w:hAnsi="Cambria" w:cstheme="minorHAnsi"/>
          <w:sz w:val="20"/>
          <w:szCs w:val="20"/>
        </w:rPr>
        <w:t>ecognising the lack of access to the laws/regulations, UNDP in collaboration with the LAC compiled and disseminated (amongst judiciary, medical professionals, public) laws and regulations pertaining to infectious diseases, quarantine, and restriction of movement to minimi</w:t>
      </w:r>
      <w:r w:rsidR="001379A8">
        <w:rPr>
          <w:rFonts w:ascii="Cambria" w:eastAsia="Times New Roman" w:hAnsi="Cambria" w:cstheme="minorHAnsi"/>
          <w:sz w:val="20"/>
          <w:szCs w:val="20"/>
        </w:rPr>
        <w:t>s</w:t>
      </w:r>
      <w:r w:rsidRPr="001379A8">
        <w:rPr>
          <w:rFonts w:ascii="Cambria" w:eastAsia="Times New Roman" w:hAnsi="Cambria" w:cstheme="minorHAnsi"/>
          <w:sz w:val="20"/>
          <w:szCs w:val="20"/>
        </w:rPr>
        <w:t>e discriminatory and unfair practices. Concurrently in collaboration with LAC, UNDP lobbied with the National Covid Recovery Task Force</w:t>
      </w:r>
      <w:r w:rsidR="007F7704">
        <w:rPr>
          <w:rFonts w:ascii="Cambria" w:eastAsia="Times New Roman" w:hAnsi="Cambria" w:cstheme="minorHAnsi"/>
          <w:sz w:val="20"/>
          <w:szCs w:val="20"/>
        </w:rPr>
        <w:t>,</w:t>
      </w:r>
      <w:r w:rsidRPr="001379A8">
        <w:rPr>
          <w:rFonts w:ascii="Cambria" w:eastAsia="Times New Roman" w:hAnsi="Cambria" w:cstheme="minorHAnsi"/>
          <w:sz w:val="20"/>
          <w:szCs w:val="20"/>
        </w:rPr>
        <w:t xml:space="preserve"> to extend the government relief package (LKR 5000) to indigent clients of LAC who rely on court-ordered maintenance of which 12,000 persons received this support.</w:t>
      </w:r>
    </w:p>
    <w:p w14:paraId="07CFD720" w14:textId="1F2915B4" w:rsidR="00331FB6" w:rsidRPr="00223CBF" w:rsidRDefault="00331FB6" w:rsidP="00182E57">
      <w:pPr>
        <w:spacing w:line="360" w:lineRule="auto"/>
        <w:jc w:val="both"/>
        <w:rPr>
          <w:rFonts w:ascii="Cambria" w:hAnsi="Cambria" w:cs="Calibri"/>
          <w:bCs/>
          <w:sz w:val="20"/>
          <w:szCs w:val="20"/>
          <w:lang w:val="en-GB"/>
        </w:rPr>
      </w:pPr>
    </w:p>
    <w:p w14:paraId="4B7C9C20" w14:textId="4D041C57" w:rsidR="00331FB6" w:rsidRPr="00223CBF" w:rsidRDefault="00331FB6" w:rsidP="000607E0">
      <w:pPr>
        <w:shd w:val="clear" w:color="auto" w:fill="ACCBF9" w:themeFill="background2"/>
        <w:spacing w:line="360" w:lineRule="auto"/>
        <w:contextualSpacing/>
        <w:jc w:val="both"/>
        <w:rPr>
          <w:rFonts w:ascii="Cambria" w:hAnsi="Cambria" w:cs="Calibri"/>
          <w:b/>
          <w:sz w:val="20"/>
          <w:szCs w:val="20"/>
          <w:lang w:val="en-GB"/>
        </w:rPr>
      </w:pPr>
      <w:r w:rsidRPr="00223CBF">
        <w:rPr>
          <w:rFonts w:ascii="Cambria" w:hAnsi="Cambria" w:cs="Calibri"/>
          <w:b/>
          <w:sz w:val="20"/>
          <w:szCs w:val="20"/>
          <w:lang w:val="en-GB"/>
        </w:rPr>
        <w:t xml:space="preserve">Outputs 2.2.  </w:t>
      </w:r>
      <w:r w:rsidRPr="00223CBF">
        <w:rPr>
          <w:rFonts w:ascii="Cambria" w:hAnsi="Cambria" w:cs="Calibri"/>
          <w:b/>
          <w:color w:val="000000" w:themeColor="text1"/>
          <w:sz w:val="20"/>
          <w:szCs w:val="20"/>
          <w:lang w:val="en-GB"/>
        </w:rPr>
        <w:t xml:space="preserve">State and non-state justice sector actors strengthened to deliver victim-centric services on areas including SGBV, victims and witness protection, and </w:t>
      </w:r>
      <w:r w:rsidR="00F34E52">
        <w:rPr>
          <w:rFonts w:ascii="Cambria" w:hAnsi="Cambria" w:cs="Calibri"/>
          <w:b/>
          <w:color w:val="000000" w:themeColor="text1"/>
          <w:sz w:val="20"/>
          <w:szCs w:val="20"/>
          <w:lang w:val="en-GB"/>
        </w:rPr>
        <w:t>TJ</w:t>
      </w:r>
      <w:r w:rsidRPr="00223CBF">
        <w:rPr>
          <w:rFonts w:ascii="Cambria" w:hAnsi="Cambria" w:cs="Calibri"/>
          <w:b/>
          <w:color w:val="000000" w:themeColor="text1"/>
          <w:sz w:val="20"/>
          <w:szCs w:val="20"/>
          <w:lang w:val="en-GB"/>
        </w:rPr>
        <w:t xml:space="preserve"> </w:t>
      </w:r>
    </w:p>
    <w:p w14:paraId="067E45A1" w14:textId="77777777" w:rsidR="00331FB6" w:rsidRPr="00223CBF" w:rsidRDefault="00331FB6" w:rsidP="000607E0">
      <w:pPr>
        <w:numPr>
          <w:ilvl w:val="0"/>
          <w:numId w:val="10"/>
        </w:numPr>
        <w:shd w:val="clear" w:color="auto" w:fill="ACCBF9" w:themeFill="background2"/>
        <w:spacing w:after="160" w:line="360" w:lineRule="auto"/>
        <w:contextualSpacing/>
        <w:jc w:val="both"/>
        <w:rPr>
          <w:rFonts w:ascii="Cambria" w:hAnsi="Cambria" w:cs="Calibri"/>
          <w:sz w:val="20"/>
          <w:szCs w:val="20"/>
          <w:lang w:val="en-GB"/>
        </w:rPr>
      </w:pPr>
      <w:r w:rsidRPr="00223CBF">
        <w:rPr>
          <w:rFonts w:ascii="Cambria" w:hAnsi="Cambria" w:cs="Calibri"/>
          <w:sz w:val="20"/>
          <w:szCs w:val="20"/>
          <w:lang w:val="en-GB"/>
        </w:rPr>
        <w:lastRenderedPageBreak/>
        <w:t xml:space="preserve">The rational of the Outcome, which is linked to CPD Output 1.2. and more specifically, to Portfolio Output 2.2. aims at increasing demand driven equitable access to justice, which includes legal protection and gender sensitive services by state and non-state actors for marginalised and vulnerable groups. </w:t>
      </w:r>
    </w:p>
    <w:p w14:paraId="3541E856" w14:textId="7E0426D5" w:rsidR="00331FB6" w:rsidRPr="00223CBF" w:rsidRDefault="00331FB6" w:rsidP="000607E0">
      <w:pPr>
        <w:numPr>
          <w:ilvl w:val="0"/>
          <w:numId w:val="10"/>
        </w:numPr>
        <w:shd w:val="clear" w:color="auto" w:fill="ACCBF9" w:themeFill="background2"/>
        <w:spacing w:after="160" w:line="360" w:lineRule="auto"/>
        <w:contextualSpacing/>
        <w:jc w:val="both"/>
        <w:rPr>
          <w:rFonts w:ascii="Cambria" w:hAnsi="Cambria" w:cs="Calibri"/>
          <w:sz w:val="20"/>
          <w:szCs w:val="20"/>
          <w:lang w:val="en-GB"/>
        </w:rPr>
      </w:pPr>
      <w:r w:rsidRPr="00223CBF">
        <w:rPr>
          <w:rFonts w:ascii="Cambria" w:hAnsi="Cambria" w:cs="Calibri"/>
          <w:sz w:val="20"/>
          <w:szCs w:val="20"/>
          <w:lang w:val="en-GB"/>
        </w:rPr>
        <w:t>The Portfolio specifically recognises a comprehensive and non-exhaustive category of most vulnerable groups. To ensure ‘gender sensitive services’</w:t>
      </w:r>
      <w:r w:rsidR="00CF7049">
        <w:rPr>
          <w:rFonts w:ascii="Cambria" w:hAnsi="Cambria" w:cs="Calibri"/>
          <w:sz w:val="20"/>
          <w:szCs w:val="20"/>
          <w:lang w:val="en-GB"/>
        </w:rPr>
        <w:t>,</w:t>
      </w:r>
      <w:r w:rsidRPr="00223CBF">
        <w:rPr>
          <w:rFonts w:ascii="Cambria" w:hAnsi="Cambria" w:cs="Calibri"/>
          <w:sz w:val="20"/>
          <w:szCs w:val="20"/>
          <w:lang w:val="en-GB"/>
        </w:rPr>
        <w:t xml:space="preserve"> it is crucial to focus on basic service delivery (eg. Health, education, water, etc) as well as strategic governance services (eg. Political, governance, justice, police, electoral, registration, etc). ‘Legal protection’ would necessarily include</w:t>
      </w:r>
      <w:r w:rsidR="00CF7049">
        <w:rPr>
          <w:rFonts w:ascii="Cambria" w:hAnsi="Cambria" w:cs="Calibri"/>
          <w:sz w:val="20"/>
          <w:szCs w:val="20"/>
          <w:lang w:val="en-GB"/>
        </w:rPr>
        <w:t>,</w:t>
      </w:r>
      <w:r w:rsidRPr="00223CBF">
        <w:rPr>
          <w:rFonts w:ascii="Cambria" w:hAnsi="Cambria" w:cs="Calibri"/>
          <w:sz w:val="20"/>
          <w:szCs w:val="20"/>
          <w:lang w:val="en-GB"/>
        </w:rPr>
        <w:t xml:space="preserve"> adequate laws, </w:t>
      </w:r>
      <w:r w:rsidR="00F058AB" w:rsidRPr="00223CBF">
        <w:rPr>
          <w:rFonts w:ascii="Cambria" w:hAnsi="Cambria" w:cs="Calibri"/>
          <w:sz w:val="20"/>
          <w:szCs w:val="20"/>
          <w:lang w:val="en-GB"/>
        </w:rPr>
        <w:t>redress mechanisms</w:t>
      </w:r>
      <w:r w:rsidRPr="00223CBF">
        <w:rPr>
          <w:rFonts w:ascii="Cambria" w:hAnsi="Cambria" w:cs="Calibri"/>
          <w:sz w:val="20"/>
          <w:szCs w:val="20"/>
          <w:lang w:val="en-GB"/>
        </w:rPr>
        <w:t>, equal and equitable access to justice by minimising barriers, access to quality and affordable legal aid, rights awareness and shelters for survivors of SGBV.</w:t>
      </w:r>
    </w:p>
    <w:p w14:paraId="4D252F49" w14:textId="0052B132" w:rsidR="00F058AB" w:rsidRPr="00223CBF" w:rsidRDefault="00F058AB" w:rsidP="000607E0">
      <w:pPr>
        <w:numPr>
          <w:ilvl w:val="0"/>
          <w:numId w:val="10"/>
        </w:numPr>
        <w:shd w:val="clear" w:color="auto" w:fill="ACCBF9" w:themeFill="background2"/>
        <w:spacing w:after="160" w:line="360" w:lineRule="auto"/>
        <w:contextualSpacing/>
        <w:jc w:val="both"/>
        <w:rPr>
          <w:rFonts w:ascii="Cambria" w:hAnsi="Cambria" w:cs="Calibri"/>
          <w:sz w:val="20"/>
          <w:szCs w:val="20"/>
          <w:lang w:val="en-GB"/>
        </w:rPr>
      </w:pPr>
      <w:r w:rsidRPr="00223CBF">
        <w:rPr>
          <w:rFonts w:ascii="Cambria" w:hAnsi="Cambria" w:cs="Calibri"/>
          <w:sz w:val="20"/>
          <w:szCs w:val="20"/>
          <w:lang w:val="en-GB"/>
        </w:rPr>
        <w:t>To improve basic service delivery by eliminating SGBV</w:t>
      </w:r>
      <w:r w:rsidR="00CF7049">
        <w:rPr>
          <w:rFonts w:ascii="Cambria" w:hAnsi="Cambria" w:cs="Calibri"/>
          <w:sz w:val="20"/>
          <w:szCs w:val="20"/>
          <w:lang w:val="en-GB"/>
        </w:rPr>
        <w:t>,</w:t>
      </w:r>
      <w:r w:rsidRPr="00223CBF">
        <w:rPr>
          <w:rFonts w:ascii="Cambria" w:hAnsi="Cambria" w:cs="Calibri"/>
          <w:sz w:val="20"/>
          <w:szCs w:val="20"/>
          <w:lang w:val="en-GB"/>
        </w:rPr>
        <w:t xml:space="preserve"> the Output focused on implementing the SGBV Action Plan and to improve strategic governance services and legal protection, the output targeted CSO service delivery.</w:t>
      </w:r>
    </w:p>
    <w:p w14:paraId="3C7B0395" w14:textId="4A2ACFFB" w:rsidR="00331FB6" w:rsidRPr="00223CBF" w:rsidRDefault="00331FB6" w:rsidP="000607E0">
      <w:pPr>
        <w:numPr>
          <w:ilvl w:val="0"/>
          <w:numId w:val="10"/>
        </w:numPr>
        <w:shd w:val="clear" w:color="auto" w:fill="ACCBF9" w:themeFill="background2"/>
        <w:spacing w:after="160" w:line="360" w:lineRule="auto"/>
        <w:contextualSpacing/>
        <w:jc w:val="both"/>
        <w:rPr>
          <w:rFonts w:ascii="Cambria" w:hAnsi="Cambria" w:cs="Calibri"/>
          <w:sz w:val="20"/>
          <w:szCs w:val="20"/>
          <w:lang w:val="en-GB"/>
        </w:rPr>
      </w:pPr>
      <w:r w:rsidRPr="00223CBF">
        <w:rPr>
          <w:rFonts w:ascii="Cambria" w:hAnsi="Cambria" w:cs="Calibri"/>
          <w:sz w:val="20"/>
          <w:szCs w:val="20"/>
          <w:lang w:val="en-GB"/>
        </w:rPr>
        <w:t>Feedback from technical specialists indicate that</w:t>
      </w:r>
      <w:r w:rsidR="00CF7049">
        <w:rPr>
          <w:rFonts w:ascii="Cambria" w:hAnsi="Cambria" w:cs="Calibri"/>
          <w:sz w:val="20"/>
          <w:szCs w:val="20"/>
          <w:lang w:val="en-GB"/>
        </w:rPr>
        <w:t>,</w:t>
      </w:r>
      <w:r w:rsidRPr="00223CBF">
        <w:rPr>
          <w:rFonts w:ascii="Cambria" w:hAnsi="Cambria" w:cs="Calibri"/>
          <w:sz w:val="20"/>
          <w:szCs w:val="20"/>
          <w:lang w:val="en-GB"/>
        </w:rPr>
        <w:t xml:space="preserve"> gender integration into the Portfolio was informed by the development context of Sri Lanka</w:t>
      </w:r>
      <w:r w:rsidR="00CF7049">
        <w:rPr>
          <w:rFonts w:ascii="Cambria" w:hAnsi="Cambria" w:cs="Calibri"/>
          <w:sz w:val="20"/>
          <w:szCs w:val="20"/>
          <w:lang w:val="en-GB"/>
        </w:rPr>
        <w:t>,</w:t>
      </w:r>
      <w:r w:rsidRPr="00223CBF">
        <w:rPr>
          <w:rFonts w:ascii="Cambria" w:hAnsi="Cambria" w:cs="Calibri"/>
          <w:sz w:val="20"/>
          <w:szCs w:val="20"/>
          <w:lang w:val="en-GB"/>
        </w:rPr>
        <w:t xml:space="preserve"> as highlighted in several UN country specific documents</w:t>
      </w:r>
      <w:r w:rsidR="00850748" w:rsidRPr="00223CBF">
        <w:rPr>
          <w:rFonts w:ascii="Cambria" w:hAnsi="Cambria" w:cs="Calibri"/>
          <w:sz w:val="20"/>
          <w:szCs w:val="20"/>
          <w:lang w:val="en-GB"/>
        </w:rPr>
        <w:t>,</w:t>
      </w:r>
      <w:r w:rsidRPr="00223CBF">
        <w:rPr>
          <w:rFonts w:ascii="Cambria" w:hAnsi="Cambria" w:cs="Calibri"/>
          <w:sz w:val="20"/>
          <w:szCs w:val="20"/>
          <w:lang w:val="en-GB"/>
        </w:rPr>
        <w:t xml:space="preserve"> such as UNSDF and CPD</w:t>
      </w:r>
      <w:r w:rsidR="00F058AB" w:rsidRPr="00223CBF">
        <w:rPr>
          <w:rFonts w:ascii="Cambria" w:hAnsi="Cambria" w:cs="Calibri"/>
          <w:sz w:val="20"/>
          <w:szCs w:val="20"/>
          <w:lang w:val="en-GB"/>
        </w:rPr>
        <w:t xml:space="preserve">. It is also </w:t>
      </w:r>
      <w:r w:rsidRPr="00223CBF">
        <w:rPr>
          <w:rFonts w:ascii="Cambria" w:hAnsi="Cambria" w:cs="Calibri"/>
          <w:sz w:val="20"/>
          <w:szCs w:val="20"/>
          <w:lang w:val="en-GB"/>
        </w:rPr>
        <w:t>align</w:t>
      </w:r>
      <w:r w:rsidR="00F058AB" w:rsidRPr="00223CBF">
        <w:rPr>
          <w:rFonts w:ascii="Cambria" w:hAnsi="Cambria" w:cs="Calibri"/>
          <w:sz w:val="20"/>
          <w:szCs w:val="20"/>
          <w:lang w:val="en-GB"/>
        </w:rPr>
        <w:t xml:space="preserve">ed </w:t>
      </w:r>
      <w:r w:rsidRPr="00223CBF">
        <w:rPr>
          <w:rFonts w:ascii="Cambria" w:hAnsi="Cambria" w:cs="Calibri"/>
          <w:sz w:val="20"/>
          <w:szCs w:val="20"/>
          <w:lang w:val="en-GB"/>
        </w:rPr>
        <w:t>to UNDP’s global mandate and principles of mainstreaming gender equality and inclusiveness at all levels of programming</w:t>
      </w:r>
      <w:r w:rsidR="00850748" w:rsidRPr="00223CBF">
        <w:rPr>
          <w:rFonts w:ascii="Cambria" w:hAnsi="Cambria" w:cs="Calibri"/>
          <w:sz w:val="20"/>
          <w:szCs w:val="20"/>
          <w:lang w:val="en-GB"/>
        </w:rPr>
        <w:t>,</w:t>
      </w:r>
      <w:r w:rsidRPr="00223CBF">
        <w:rPr>
          <w:rFonts w:ascii="Cambria" w:hAnsi="Cambria" w:cs="Calibri"/>
          <w:sz w:val="20"/>
          <w:szCs w:val="20"/>
          <w:lang w:val="en-GB"/>
        </w:rPr>
        <w:t xml:space="preserve"> as stipulated in the Gender Equality Strategy and more specifically enunciated in Signature 6 Solution – strengthening gender equality and empowerment</w:t>
      </w:r>
      <w:r w:rsidR="00F058AB" w:rsidRPr="00223CBF">
        <w:rPr>
          <w:rFonts w:ascii="Cambria" w:hAnsi="Cambria" w:cs="Calibri"/>
          <w:sz w:val="20"/>
          <w:szCs w:val="20"/>
          <w:lang w:val="en-GB"/>
        </w:rPr>
        <w:t xml:space="preserve"> of women</w:t>
      </w:r>
      <w:r w:rsidRPr="00223CBF">
        <w:rPr>
          <w:rFonts w:ascii="Cambria" w:hAnsi="Cambria" w:cs="Calibri"/>
          <w:sz w:val="20"/>
          <w:szCs w:val="20"/>
          <w:lang w:val="en-GB"/>
        </w:rPr>
        <w:t xml:space="preserve"> and girls. As mentioned, UNDP interventions also strategically aligned itself to the SGBV Policy Framework and Action Plan</w:t>
      </w:r>
      <w:r w:rsidR="00850748" w:rsidRPr="00223CBF">
        <w:rPr>
          <w:rFonts w:ascii="Cambria" w:hAnsi="Cambria" w:cs="Calibri"/>
          <w:sz w:val="20"/>
          <w:szCs w:val="20"/>
          <w:lang w:val="en-GB"/>
        </w:rPr>
        <w:t>,</w:t>
      </w:r>
      <w:r w:rsidRPr="00223CBF">
        <w:rPr>
          <w:rFonts w:ascii="Cambria" w:hAnsi="Cambria" w:cs="Calibri"/>
          <w:sz w:val="20"/>
          <w:szCs w:val="20"/>
          <w:lang w:val="en-GB"/>
        </w:rPr>
        <w:t xml:space="preserve"> government policy and strategy on mainstreaming gender within the public service</w:t>
      </w:r>
      <w:r w:rsidR="00850748" w:rsidRPr="00223CBF">
        <w:rPr>
          <w:rFonts w:ascii="Cambria" w:hAnsi="Cambria" w:cs="Calibri"/>
          <w:sz w:val="20"/>
          <w:szCs w:val="20"/>
          <w:lang w:val="en-GB"/>
        </w:rPr>
        <w:t xml:space="preserve"> and </w:t>
      </w:r>
      <w:r w:rsidRPr="00223CBF">
        <w:rPr>
          <w:rFonts w:ascii="Cambria" w:hAnsi="Cambria" w:cs="Calibri"/>
          <w:sz w:val="20"/>
          <w:szCs w:val="20"/>
          <w:lang w:val="en-GB"/>
        </w:rPr>
        <w:t>government’s commitment</w:t>
      </w:r>
      <w:r w:rsidR="00850748" w:rsidRPr="00223CBF">
        <w:rPr>
          <w:rFonts w:ascii="Cambria" w:hAnsi="Cambria" w:cs="Calibri"/>
          <w:sz w:val="20"/>
          <w:szCs w:val="20"/>
          <w:lang w:val="en-GB"/>
        </w:rPr>
        <w:t>s under CEDAW and other international conventions.</w:t>
      </w:r>
    </w:p>
    <w:p w14:paraId="3B56C58D" w14:textId="18A5E9DC" w:rsidR="00331FB6" w:rsidRPr="00223CBF" w:rsidRDefault="00331FB6" w:rsidP="000607E0">
      <w:pPr>
        <w:numPr>
          <w:ilvl w:val="0"/>
          <w:numId w:val="10"/>
        </w:numPr>
        <w:shd w:val="clear" w:color="auto" w:fill="ACCBF9" w:themeFill="background2"/>
        <w:spacing w:after="160" w:line="360" w:lineRule="auto"/>
        <w:contextualSpacing/>
        <w:jc w:val="both"/>
        <w:rPr>
          <w:rFonts w:ascii="Cambria" w:hAnsi="Cambria" w:cs="Calibri"/>
          <w:sz w:val="20"/>
          <w:szCs w:val="20"/>
          <w:lang w:val="en-GB"/>
        </w:rPr>
      </w:pPr>
      <w:r w:rsidRPr="00223CBF">
        <w:rPr>
          <w:rFonts w:ascii="Cambria" w:hAnsi="Cambria" w:cs="Calibri"/>
          <w:sz w:val="20"/>
          <w:szCs w:val="20"/>
          <w:lang w:val="en-GB"/>
        </w:rPr>
        <w:t xml:space="preserve">The activities </w:t>
      </w:r>
      <w:r w:rsidR="00F058AB" w:rsidRPr="00223CBF">
        <w:rPr>
          <w:rFonts w:ascii="Cambria" w:hAnsi="Cambria" w:cs="Calibri"/>
          <w:sz w:val="20"/>
          <w:szCs w:val="20"/>
          <w:lang w:val="en-GB"/>
        </w:rPr>
        <w:t xml:space="preserve">under 2.2. and 2.1. and 2.3 </w:t>
      </w:r>
      <w:r w:rsidRPr="00223CBF">
        <w:rPr>
          <w:rFonts w:ascii="Cambria" w:hAnsi="Cambria" w:cs="Calibri"/>
          <w:sz w:val="20"/>
          <w:szCs w:val="20"/>
          <w:lang w:val="en-GB"/>
        </w:rPr>
        <w:t>were mutually reinforcing as a majority of persons seeking assistance under the VWP were women</w:t>
      </w:r>
      <w:r w:rsidR="00F058AB" w:rsidRPr="00223CBF">
        <w:rPr>
          <w:rFonts w:ascii="Cambria" w:hAnsi="Cambria" w:cs="Calibri"/>
          <w:sz w:val="20"/>
          <w:szCs w:val="20"/>
          <w:lang w:val="en-GB"/>
        </w:rPr>
        <w:t xml:space="preserve">. Moreover, major undertakings </w:t>
      </w:r>
      <w:r w:rsidRPr="00223CBF">
        <w:rPr>
          <w:rFonts w:ascii="Cambria" w:hAnsi="Cambria" w:cs="Calibri"/>
          <w:sz w:val="20"/>
          <w:szCs w:val="20"/>
          <w:lang w:val="en-GB"/>
        </w:rPr>
        <w:t xml:space="preserve">under the SGBV </w:t>
      </w:r>
      <w:r w:rsidR="00F058AB" w:rsidRPr="00223CBF">
        <w:rPr>
          <w:rFonts w:ascii="Cambria" w:hAnsi="Cambria" w:cs="Calibri"/>
          <w:sz w:val="20"/>
          <w:szCs w:val="20"/>
          <w:lang w:val="en-GB"/>
        </w:rPr>
        <w:t>Action Pl</w:t>
      </w:r>
      <w:r w:rsidRPr="00223CBF">
        <w:rPr>
          <w:rFonts w:ascii="Cambria" w:hAnsi="Cambria" w:cs="Calibri"/>
          <w:sz w:val="20"/>
          <w:szCs w:val="20"/>
          <w:lang w:val="en-GB"/>
        </w:rPr>
        <w:t>an informed the policy reform on identifying vulnerable categories of victims for special protection, to draft special laws on child victims and witnesses</w:t>
      </w:r>
      <w:r w:rsidR="00F058AB" w:rsidRPr="00223CBF">
        <w:rPr>
          <w:rFonts w:ascii="Cambria" w:hAnsi="Cambria" w:cs="Calibri"/>
          <w:sz w:val="20"/>
          <w:szCs w:val="20"/>
          <w:lang w:val="en-GB"/>
        </w:rPr>
        <w:t xml:space="preserve">. It also assisted </w:t>
      </w:r>
      <w:r w:rsidRPr="00223CBF">
        <w:rPr>
          <w:rFonts w:ascii="Cambria" w:hAnsi="Cambria" w:cs="Calibri"/>
          <w:sz w:val="20"/>
          <w:szCs w:val="20"/>
          <w:lang w:val="en-GB"/>
        </w:rPr>
        <w:t xml:space="preserve">to articulate a module on trauma informed care and positively influence judicial practices on awarding compensation and sentencing for </w:t>
      </w:r>
      <w:r w:rsidR="00F058AB" w:rsidRPr="00223CBF">
        <w:rPr>
          <w:rFonts w:ascii="Cambria" w:hAnsi="Cambria" w:cs="Calibri"/>
          <w:sz w:val="20"/>
          <w:szCs w:val="20"/>
          <w:lang w:val="en-GB"/>
        </w:rPr>
        <w:t>perpetrators of</w:t>
      </w:r>
      <w:r w:rsidRPr="00223CBF">
        <w:rPr>
          <w:rFonts w:ascii="Cambria" w:hAnsi="Cambria" w:cs="Calibri"/>
          <w:sz w:val="20"/>
          <w:szCs w:val="20"/>
          <w:lang w:val="en-GB"/>
        </w:rPr>
        <w:t xml:space="preserve"> violence. </w:t>
      </w:r>
    </w:p>
    <w:p w14:paraId="72AC6E82" w14:textId="3A4F6EFE" w:rsidR="00F058AB" w:rsidRPr="00223CBF" w:rsidRDefault="00F058AB" w:rsidP="000607E0">
      <w:pPr>
        <w:numPr>
          <w:ilvl w:val="0"/>
          <w:numId w:val="10"/>
        </w:numPr>
        <w:shd w:val="clear" w:color="auto" w:fill="ACCBF9" w:themeFill="background2"/>
        <w:spacing w:after="160" w:line="360" w:lineRule="auto"/>
        <w:contextualSpacing/>
        <w:jc w:val="both"/>
        <w:rPr>
          <w:rFonts w:ascii="Cambria" w:hAnsi="Cambria" w:cs="Calibri"/>
          <w:sz w:val="20"/>
          <w:szCs w:val="20"/>
          <w:lang w:val="en-GB"/>
        </w:rPr>
      </w:pPr>
      <w:r w:rsidRPr="00223CBF">
        <w:rPr>
          <w:rFonts w:ascii="Cambria" w:hAnsi="Cambria" w:cs="Calibri"/>
          <w:sz w:val="20"/>
          <w:szCs w:val="20"/>
          <w:lang w:val="en-GB"/>
        </w:rPr>
        <w:t xml:space="preserve">Classification of </w:t>
      </w:r>
      <w:r w:rsidR="00850748" w:rsidRPr="00223CBF">
        <w:rPr>
          <w:rFonts w:ascii="Cambria" w:hAnsi="Cambria" w:cs="Calibri"/>
          <w:sz w:val="20"/>
          <w:szCs w:val="20"/>
          <w:lang w:val="en-GB"/>
        </w:rPr>
        <w:t>activities</w:t>
      </w:r>
      <w:r w:rsidRPr="00223CBF">
        <w:rPr>
          <w:rFonts w:ascii="Cambria" w:hAnsi="Cambria" w:cs="Calibri"/>
          <w:sz w:val="20"/>
          <w:szCs w:val="20"/>
          <w:lang w:val="en-GB"/>
        </w:rPr>
        <w:t>, as with justice sector interventions relied upon existing relationships and initiatives supported through previous project phases</w:t>
      </w:r>
      <w:r w:rsidR="00850748" w:rsidRPr="00223CBF">
        <w:rPr>
          <w:rFonts w:ascii="Cambria" w:hAnsi="Cambria" w:cs="Calibri"/>
          <w:sz w:val="20"/>
          <w:szCs w:val="20"/>
          <w:lang w:val="en-GB"/>
        </w:rPr>
        <w:t>,</w:t>
      </w:r>
      <w:r w:rsidRPr="00223CBF">
        <w:rPr>
          <w:rFonts w:ascii="Cambria" w:hAnsi="Cambria" w:cs="Calibri"/>
          <w:sz w:val="20"/>
          <w:szCs w:val="20"/>
          <w:lang w:val="en-GB"/>
        </w:rPr>
        <w:t xml:space="preserve"> to ensure ongoing support for policy development and provision of gender centric services</w:t>
      </w:r>
    </w:p>
    <w:p w14:paraId="3B9A14C8" w14:textId="54574209" w:rsidR="00C210D6" w:rsidRPr="00223CBF" w:rsidRDefault="00C210D6" w:rsidP="000607E0">
      <w:pPr>
        <w:numPr>
          <w:ilvl w:val="0"/>
          <w:numId w:val="10"/>
        </w:numPr>
        <w:shd w:val="clear" w:color="auto" w:fill="ACCBF9" w:themeFill="background2"/>
        <w:spacing w:after="160" w:line="360" w:lineRule="auto"/>
        <w:contextualSpacing/>
        <w:jc w:val="both"/>
        <w:rPr>
          <w:rFonts w:ascii="Cambria" w:hAnsi="Cambria" w:cs="Calibri"/>
          <w:sz w:val="20"/>
          <w:szCs w:val="20"/>
          <w:lang w:val="en-GB"/>
        </w:rPr>
      </w:pPr>
      <w:r w:rsidRPr="00223CBF">
        <w:rPr>
          <w:rFonts w:ascii="Cambria" w:hAnsi="Cambria" w:cs="Calibri"/>
          <w:sz w:val="20"/>
          <w:szCs w:val="20"/>
          <w:lang w:val="en-GB"/>
        </w:rPr>
        <w:t xml:space="preserve">The primary </w:t>
      </w:r>
      <w:r w:rsidR="00F058AB" w:rsidRPr="00223CBF">
        <w:rPr>
          <w:rFonts w:ascii="Cambria" w:hAnsi="Cambria" w:cs="Calibri"/>
          <w:sz w:val="20"/>
          <w:szCs w:val="20"/>
          <w:lang w:val="en-GB"/>
        </w:rPr>
        <w:t xml:space="preserve">beneficiaries of the Outputs were MWCA and selected CSOs. MWCA was identified </w:t>
      </w:r>
      <w:r w:rsidR="008A4297" w:rsidRPr="00223CBF">
        <w:rPr>
          <w:rFonts w:ascii="Cambria" w:hAnsi="Cambria" w:cs="Calibri"/>
          <w:sz w:val="20"/>
          <w:szCs w:val="20"/>
          <w:lang w:val="en-GB"/>
        </w:rPr>
        <w:t xml:space="preserve">as the primary state institution responsible for enforcing the SGBV Action Plan.  Therefore, </w:t>
      </w:r>
      <w:r w:rsidR="00331FB6" w:rsidRPr="00223CBF">
        <w:rPr>
          <w:rFonts w:ascii="Cambria" w:hAnsi="Cambria" w:cs="Calibri"/>
          <w:sz w:val="20"/>
          <w:szCs w:val="20"/>
          <w:lang w:val="en-GB"/>
        </w:rPr>
        <w:t xml:space="preserve">technical assistance to the MWCA to operationalise the SGBV Action Plan </w:t>
      </w:r>
      <w:r w:rsidR="00850748" w:rsidRPr="00223CBF">
        <w:rPr>
          <w:rFonts w:ascii="Cambria" w:hAnsi="Cambria" w:cs="Calibri"/>
          <w:sz w:val="20"/>
          <w:szCs w:val="20"/>
          <w:lang w:val="en-GB"/>
        </w:rPr>
        <w:t>was</w:t>
      </w:r>
      <w:r w:rsidR="004D0F4B" w:rsidRPr="00223CBF">
        <w:rPr>
          <w:rFonts w:ascii="Cambria" w:hAnsi="Cambria" w:cs="Calibri"/>
          <w:sz w:val="20"/>
          <w:szCs w:val="20"/>
          <w:lang w:val="en-GB"/>
        </w:rPr>
        <w:t xml:space="preserve"> extended to formulate the new</w:t>
      </w:r>
      <w:r w:rsidR="00850748" w:rsidRPr="00223CBF">
        <w:rPr>
          <w:rFonts w:ascii="Cambria" w:hAnsi="Cambria" w:cs="Calibri"/>
          <w:sz w:val="20"/>
          <w:szCs w:val="20"/>
          <w:lang w:val="en-GB"/>
        </w:rPr>
        <w:t xml:space="preserve"> </w:t>
      </w:r>
      <w:r w:rsidR="004D0F4B" w:rsidRPr="00223CBF">
        <w:rPr>
          <w:rFonts w:ascii="Cambria" w:hAnsi="Cambria" w:cs="Calibri"/>
          <w:bCs/>
          <w:sz w:val="20"/>
          <w:szCs w:val="20"/>
        </w:rPr>
        <w:t xml:space="preserve">SGBV </w:t>
      </w:r>
      <w:r w:rsidR="00331FB6" w:rsidRPr="00223CBF">
        <w:rPr>
          <w:rFonts w:ascii="Cambria" w:hAnsi="Cambria" w:cs="Calibri"/>
          <w:bCs/>
          <w:sz w:val="20"/>
          <w:szCs w:val="20"/>
        </w:rPr>
        <w:t xml:space="preserve">plan for the next cycle. This includes a plan to build institutional capacity of MWCA (to strengthen its institutional role </w:t>
      </w:r>
      <w:r w:rsidR="00331FB6" w:rsidRPr="00223CBF">
        <w:rPr>
          <w:rFonts w:ascii="Cambria" w:hAnsi="Cambria" w:cs="Calibri"/>
          <w:bCs/>
          <w:sz w:val="20"/>
          <w:szCs w:val="20"/>
        </w:rPr>
        <w:lastRenderedPageBreak/>
        <w:t xml:space="preserve">as the national machinery for engagement on SGBV) and support to the </w:t>
      </w:r>
      <w:r w:rsidR="008A4297" w:rsidRPr="00223CBF">
        <w:rPr>
          <w:rFonts w:ascii="Cambria" w:hAnsi="Cambria" w:cs="Calibri"/>
          <w:bCs/>
          <w:sz w:val="20"/>
          <w:szCs w:val="20"/>
        </w:rPr>
        <w:t>N</w:t>
      </w:r>
      <w:r w:rsidR="00331FB6" w:rsidRPr="00223CBF">
        <w:rPr>
          <w:rFonts w:ascii="Cambria" w:hAnsi="Cambria" w:cs="Calibri"/>
          <w:bCs/>
          <w:sz w:val="20"/>
          <w:szCs w:val="20"/>
        </w:rPr>
        <w:t xml:space="preserve">ational </w:t>
      </w:r>
      <w:r w:rsidR="008A4297" w:rsidRPr="00223CBF">
        <w:rPr>
          <w:rFonts w:ascii="Cambria" w:hAnsi="Cambria" w:cs="Calibri"/>
          <w:bCs/>
          <w:sz w:val="20"/>
          <w:szCs w:val="20"/>
        </w:rPr>
        <w:t>C</w:t>
      </w:r>
      <w:r w:rsidR="00331FB6" w:rsidRPr="00223CBF">
        <w:rPr>
          <w:rFonts w:ascii="Cambria" w:hAnsi="Cambria" w:cs="Calibri"/>
          <w:bCs/>
          <w:sz w:val="20"/>
          <w:szCs w:val="20"/>
        </w:rPr>
        <w:t xml:space="preserve">ommittee on </w:t>
      </w:r>
      <w:r w:rsidR="008A4297" w:rsidRPr="00223CBF">
        <w:rPr>
          <w:rFonts w:ascii="Cambria" w:hAnsi="Cambria" w:cs="Calibri"/>
          <w:bCs/>
          <w:sz w:val="20"/>
          <w:szCs w:val="20"/>
        </w:rPr>
        <w:t>W</w:t>
      </w:r>
      <w:r w:rsidR="00331FB6" w:rsidRPr="00223CBF">
        <w:rPr>
          <w:rFonts w:ascii="Cambria" w:hAnsi="Cambria" w:cs="Calibri"/>
          <w:bCs/>
          <w:sz w:val="20"/>
          <w:szCs w:val="20"/>
        </w:rPr>
        <w:t>omen</w:t>
      </w:r>
      <w:r w:rsidR="00850748" w:rsidRPr="00223CBF">
        <w:rPr>
          <w:rFonts w:ascii="Cambria" w:hAnsi="Cambria" w:cs="Calibri"/>
          <w:bCs/>
          <w:sz w:val="20"/>
          <w:szCs w:val="20"/>
        </w:rPr>
        <w:t xml:space="preserve"> </w:t>
      </w:r>
      <w:r w:rsidR="008A4297" w:rsidRPr="00223CBF">
        <w:rPr>
          <w:rFonts w:ascii="Cambria" w:hAnsi="Cambria" w:cs="Calibri"/>
          <w:bCs/>
          <w:sz w:val="20"/>
          <w:szCs w:val="20"/>
        </w:rPr>
        <w:t xml:space="preserve">(NCW) </w:t>
      </w:r>
      <w:r w:rsidR="00331FB6" w:rsidRPr="00223CBF">
        <w:rPr>
          <w:rFonts w:ascii="Cambria" w:hAnsi="Cambria" w:cs="Calibri"/>
          <w:bCs/>
          <w:sz w:val="20"/>
          <w:szCs w:val="20"/>
        </w:rPr>
        <w:t>to monitor and identify gaps in implementation.</w:t>
      </w:r>
    </w:p>
    <w:p w14:paraId="0AE578F5" w14:textId="6779A513" w:rsidR="00331FB6" w:rsidRPr="00223CBF" w:rsidRDefault="004D0F4B" w:rsidP="000607E0">
      <w:pPr>
        <w:numPr>
          <w:ilvl w:val="0"/>
          <w:numId w:val="10"/>
        </w:numPr>
        <w:shd w:val="clear" w:color="auto" w:fill="ACCBF9" w:themeFill="background2"/>
        <w:spacing w:after="160" w:line="360" w:lineRule="auto"/>
        <w:contextualSpacing/>
        <w:jc w:val="both"/>
        <w:rPr>
          <w:rFonts w:ascii="Cambria" w:hAnsi="Cambria" w:cs="Calibri"/>
          <w:sz w:val="20"/>
          <w:szCs w:val="20"/>
          <w:lang w:val="en-GB"/>
        </w:rPr>
      </w:pPr>
      <w:r w:rsidRPr="00223CBF">
        <w:rPr>
          <w:rFonts w:ascii="Cambria" w:hAnsi="Cambria" w:cs="Calibri"/>
          <w:bCs/>
          <w:sz w:val="20"/>
          <w:szCs w:val="20"/>
        </w:rPr>
        <w:t>To respond to beneficiaries on the ground, the Output provided support to CSOs to expand protection to SG</w:t>
      </w:r>
      <w:r w:rsidR="008D2706">
        <w:rPr>
          <w:rFonts w:ascii="Cambria" w:hAnsi="Cambria" w:cs="Calibri"/>
          <w:bCs/>
          <w:sz w:val="20"/>
          <w:szCs w:val="20"/>
        </w:rPr>
        <w:t>B</w:t>
      </w:r>
      <w:r w:rsidRPr="00223CBF">
        <w:rPr>
          <w:rFonts w:ascii="Cambria" w:hAnsi="Cambria" w:cs="Calibri"/>
          <w:bCs/>
          <w:sz w:val="20"/>
          <w:szCs w:val="20"/>
        </w:rPr>
        <w:t>V victims</w:t>
      </w:r>
      <w:r w:rsidR="00CF7049">
        <w:rPr>
          <w:rFonts w:ascii="Cambria" w:hAnsi="Cambria" w:cs="Calibri"/>
          <w:bCs/>
          <w:sz w:val="20"/>
          <w:szCs w:val="20"/>
        </w:rPr>
        <w:t>,</w:t>
      </w:r>
      <w:r w:rsidRPr="00223CBF">
        <w:rPr>
          <w:rFonts w:ascii="Cambria" w:hAnsi="Cambria" w:cs="Calibri"/>
          <w:bCs/>
          <w:sz w:val="20"/>
          <w:szCs w:val="20"/>
        </w:rPr>
        <w:t xml:space="preserve"> by strengthening services provided by them and institutionali</w:t>
      </w:r>
      <w:r w:rsidR="008D2706">
        <w:rPr>
          <w:rFonts w:ascii="Cambria" w:hAnsi="Cambria" w:cs="Calibri"/>
          <w:bCs/>
          <w:sz w:val="20"/>
          <w:szCs w:val="20"/>
        </w:rPr>
        <w:t>s</w:t>
      </w:r>
      <w:r w:rsidRPr="00223CBF">
        <w:rPr>
          <w:rFonts w:ascii="Cambria" w:hAnsi="Cambria" w:cs="Calibri"/>
          <w:bCs/>
          <w:sz w:val="20"/>
          <w:szCs w:val="20"/>
        </w:rPr>
        <w:t xml:space="preserve">ing the </w:t>
      </w:r>
      <w:r w:rsidR="00AE7D3E">
        <w:rPr>
          <w:rFonts w:ascii="Cambria" w:hAnsi="Cambria" w:cs="Calibri"/>
          <w:bCs/>
          <w:sz w:val="20"/>
          <w:szCs w:val="20"/>
        </w:rPr>
        <w:t xml:space="preserve">UNDP </w:t>
      </w:r>
      <w:r w:rsidRPr="00223CBF">
        <w:rPr>
          <w:rFonts w:ascii="Cambria" w:hAnsi="Cambria" w:cs="Calibri"/>
          <w:bCs/>
          <w:sz w:val="20"/>
          <w:szCs w:val="20"/>
        </w:rPr>
        <w:t xml:space="preserve">referral </w:t>
      </w:r>
      <w:r w:rsidR="00331FB6" w:rsidRPr="00223CBF">
        <w:rPr>
          <w:rFonts w:ascii="Cambria" w:hAnsi="Cambria" w:cs="Calibri"/>
          <w:bCs/>
          <w:sz w:val="20"/>
          <w:szCs w:val="20"/>
        </w:rPr>
        <w:t>system for SGBV (</w:t>
      </w:r>
      <w:r w:rsidR="00AE7D3E">
        <w:rPr>
          <w:rFonts w:ascii="Cambria" w:hAnsi="Cambria" w:cs="Calibri"/>
          <w:bCs/>
          <w:sz w:val="20"/>
          <w:szCs w:val="20"/>
        </w:rPr>
        <w:t xml:space="preserve">Hereinafter referred to as the </w:t>
      </w:r>
      <w:r w:rsidR="00331FB6" w:rsidRPr="00223CBF">
        <w:rPr>
          <w:rFonts w:ascii="Cambria" w:hAnsi="Cambria" w:cs="Calibri"/>
          <w:bCs/>
          <w:sz w:val="20"/>
          <w:szCs w:val="20"/>
        </w:rPr>
        <w:t>referral pathway)</w:t>
      </w:r>
      <w:r w:rsidR="00850748" w:rsidRPr="00223CBF">
        <w:rPr>
          <w:rFonts w:ascii="Cambria" w:hAnsi="Cambria" w:cs="Calibri"/>
          <w:bCs/>
          <w:sz w:val="20"/>
          <w:szCs w:val="20"/>
        </w:rPr>
        <w:t xml:space="preserve">. </w:t>
      </w:r>
    </w:p>
    <w:p w14:paraId="0E819D73" w14:textId="77777777" w:rsidR="00182E57" w:rsidRDefault="00182E57" w:rsidP="000607E0">
      <w:pPr>
        <w:shd w:val="clear" w:color="auto" w:fill="ACCBF9" w:themeFill="background2"/>
        <w:spacing w:line="360" w:lineRule="auto"/>
        <w:contextualSpacing/>
        <w:jc w:val="both"/>
        <w:rPr>
          <w:rFonts w:ascii="Cambria" w:hAnsi="Cambria" w:cs="Arial"/>
          <w:color w:val="000000" w:themeColor="text1"/>
          <w:sz w:val="20"/>
          <w:szCs w:val="20"/>
        </w:rPr>
      </w:pPr>
    </w:p>
    <w:p w14:paraId="08FDE546" w14:textId="2C27938C" w:rsidR="00182E57" w:rsidRDefault="00182E57" w:rsidP="000507CA">
      <w:pPr>
        <w:spacing w:line="360" w:lineRule="auto"/>
        <w:contextualSpacing/>
        <w:jc w:val="both"/>
        <w:rPr>
          <w:rFonts w:ascii="Cambria" w:hAnsi="Cambria" w:cs="Arial"/>
          <w:color w:val="000000" w:themeColor="text1"/>
          <w:sz w:val="20"/>
          <w:szCs w:val="20"/>
        </w:rPr>
      </w:pPr>
    </w:p>
    <w:p w14:paraId="4A419435" w14:textId="0F515180" w:rsidR="00331FB6" w:rsidRPr="00223CBF" w:rsidRDefault="00331FB6" w:rsidP="000507CA">
      <w:pPr>
        <w:spacing w:line="360" w:lineRule="auto"/>
        <w:contextualSpacing/>
        <w:jc w:val="both"/>
        <w:rPr>
          <w:rFonts w:ascii="Cambria" w:hAnsi="Cambria" w:cs="Arial"/>
          <w:b/>
          <w:bCs/>
          <w:color w:val="000000" w:themeColor="text1"/>
          <w:sz w:val="20"/>
          <w:szCs w:val="20"/>
        </w:rPr>
      </w:pPr>
      <w:r w:rsidRPr="00223CBF">
        <w:rPr>
          <w:rFonts w:ascii="Cambria" w:hAnsi="Cambria" w:cs="Arial"/>
          <w:b/>
          <w:bCs/>
          <w:color w:val="000000" w:themeColor="text1"/>
          <w:sz w:val="20"/>
          <w:szCs w:val="20"/>
        </w:rPr>
        <w:t xml:space="preserve">EQ2. Effectiveness </w:t>
      </w:r>
    </w:p>
    <w:p w14:paraId="7D1B27EE" w14:textId="77777777" w:rsidR="000C0C73" w:rsidRPr="00223CBF" w:rsidRDefault="000C0C73" w:rsidP="004D0F4B">
      <w:pPr>
        <w:shd w:val="clear" w:color="auto" w:fill="92D050"/>
        <w:spacing w:line="360" w:lineRule="auto"/>
        <w:contextualSpacing/>
        <w:jc w:val="center"/>
        <w:rPr>
          <w:rFonts w:ascii="Cambria" w:hAnsi="Cambria" w:cs="Arial"/>
          <w:color w:val="000000" w:themeColor="text1"/>
          <w:sz w:val="20"/>
          <w:szCs w:val="20"/>
        </w:rPr>
      </w:pPr>
    </w:p>
    <w:p w14:paraId="2BBDBAAD" w14:textId="15D7C5C8" w:rsidR="00331FB6" w:rsidRPr="00223CBF" w:rsidRDefault="00331FB6" w:rsidP="004D0F4B">
      <w:pPr>
        <w:shd w:val="clear" w:color="auto" w:fill="92D050"/>
        <w:spacing w:line="360" w:lineRule="auto"/>
        <w:contextualSpacing/>
        <w:jc w:val="center"/>
        <w:rPr>
          <w:rFonts w:ascii="Cambria" w:hAnsi="Cambria" w:cs="Arial"/>
          <w:b/>
          <w:bCs/>
          <w:color w:val="000000" w:themeColor="text1"/>
          <w:sz w:val="20"/>
          <w:szCs w:val="20"/>
        </w:rPr>
      </w:pPr>
      <w:r w:rsidRPr="00223CBF">
        <w:rPr>
          <w:rFonts w:ascii="Cambria" w:hAnsi="Cambria" w:cs="Arial"/>
          <w:color w:val="000000" w:themeColor="text1"/>
          <w:sz w:val="20"/>
          <w:szCs w:val="20"/>
        </w:rPr>
        <w:t xml:space="preserve">Effectiveness refers to the </w:t>
      </w:r>
      <w:r w:rsidRPr="00223CBF">
        <w:rPr>
          <w:rFonts w:ascii="Cambria" w:hAnsi="Cambria" w:cs="Arial"/>
          <w:b/>
          <w:bCs/>
          <w:color w:val="000000" w:themeColor="text1"/>
          <w:sz w:val="20"/>
          <w:szCs w:val="20"/>
        </w:rPr>
        <w:t>extent to which the strategic interventions have achieved its overall and specific objectives</w:t>
      </w:r>
      <w:r w:rsidRPr="00223CBF">
        <w:rPr>
          <w:rFonts w:ascii="Cambria" w:hAnsi="Cambria" w:cs="Arial"/>
          <w:color w:val="000000" w:themeColor="text1"/>
          <w:sz w:val="20"/>
          <w:szCs w:val="20"/>
        </w:rPr>
        <w:t xml:space="preserve"> identified under the Outputs. It refers to the contribution it has made </w:t>
      </w:r>
      <w:r w:rsidRPr="00223CBF">
        <w:rPr>
          <w:rFonts w:ascii="Cambria" w:hAnsi="Cambria" w:cs="Arial"/>
          <w:b/>
          <w:bCs/>
          <w:color w:val="000000" w:themeColor="text1"/>
          <w:sz w:val="20"/>
          <w:szCs w:val="20"/>
        </w:rPr>
        <w:t>to reach targeted beneficiaries</w:t>
      </w:r>
      <w:r w:rsidRPr="00223CBF">
        <w:rPr>
          <w:rFonts w:ascii="Cambria" w:hAnsi="Cambria" w:cs="Arial"/>
          <w:color w:val="000000" w:themeColor="text1"/>
          <w:sz w:val="20"/>
          <w:szCs w:val="20"/>
        </w:rPr>
        <w:t xml:space="preserve"> including vulnerable communities and the effectiveness of the </w:t>
      </w:r>
      <w:r w:rsidRPr="00223CBF">
        <w:rPr>
          <w:rFonts w:ascii="Cambria" w:hAnsi="Cambria" w:cs="Arial"/>
          <w:b/>
          <w:bCs/>
          <w:color w:val="000000" w:themeColor="text1"/>
          <w:sz w:val="20"/>
          <w:szCs w:val="20"/>
        </w:rPr>
        <w:t>partner selection process.</w:t>
      </w:r>
    </w:p>
    <w:p w14:paraId="11CB47ED" w14:textId="77777777" w:rsidR="000C0C73" w:rsidRPr="00223CBF" w:rsidRDefault="000C0C73" w:rsidP="004D0F4B">
      <w:pPr>
        <w:shd w:val="clear" w:color="auto" w:fill="92D050"/>
        <w:spacing w:line="360" w:lineRule="auto"/>
        <w:contextualSpacing/>
        <w:jc w:val="center"/>
        <w:rPr>
          <w:rFonts w:ascii="Cambria" w:hAnsi="Cambria" w:cs="Arial"/>
          <w:color w:val="000000" w:themeColor="text1"/>
          <w:sz w:val="20"/>
          <w:szCs w:val="20"/>
        </w:rPr>
      </w:pPr>
    </w:p>
    <w:p w14:paraId="28AF4E6C" w14:textId="77777777" w:rsidR="00331FB6" w:rsidRPr="00223CBF" w:rsidRDefault="00331FB6" w:rsidP="000507CA">
      <w:pPr>
        <w:spacing w:line="360" w:lineRule="auto"/>
        <w:contextualSpacing/>
        <w:jc w:val="both"/>
        <w:rPr>
          <w:rFonts w:ascii="Cambria" w:hAnsi="Cambria" w:cs="Arial"/>
          <w:color w:val="000000" w:themeColor="text1"/>
          <w:sz w:val="20"/>
          <w:szCs w:val="20"/>
        </w:rPr>
      </w:pPr>
    </w:p>
    <w:p w14:paraId="68605B53" w14:textId="21122639" w:rsidR="00331FB6" w:rsidRPr="00A85B8E" w:rsidRDefault="00331FB6" w:rsidP="007C766E">
      <w:pPr>
        <w:pStyle w:val="ListParagraph"/>
        <w:numPr>
          <w:ilvl w:val="0"/>
          <w:numId w:val="31"/>
        </w:numPr>
        <w:spacing w:line="360" w:lineRule="auto"/>
        <w:jc w:val="both"/>
        <w:rPr>
          <w:rFonts w:ascii="Cambria" w:hAnsi="Cambria" w:cstheme="minorHAnsi"/>
          <w:b/>
          <w:color w:val="0070C0"/>
          <w:sz w:val="20"/>
          <w:szCs w:val="20"/>
          <w:lang w:val="en-GB"/>
        </w:rPr>
      </w:pPr>
      <w:r w:rsidRPr="00A85B8E">
        <w:rPr>
          <w:rFonts w:ascii="Cambria" w:hAnsi="Cambria" w:cstheme="minorHAnsi"/>
          <w:b/>
          <w:color w:val="0070C0"/>
          <w:sz w:val="20"/>
          <w:szCs w:val="20"/>
          <w:lang w:val="en-GB"/>
        </w:rPr>
        <w:t xml:space="preserve">The extent to which the strategies adopted achieved its objectives </w:t>
      </w:r>
    </w:p>
    <w:p w14:paraId="539C740A" w14:textId="40BEC263" w:rsidR="00331FB6" w:rsidRPr="00223CBF" w:rsidRDefault="00331FB6" w:rsidP="000507CA">
      <w:pPr>
        <w:spacing w:line="360" w:lineRule="auto"/>
        <w:jc w:val="both"/>
        <w:rPr>
          <w:rFonts w:ascii="Cambria" w:hAnsi="Cambria" w:cs="Arial"/>
          <w:color w:val="000000" w:themeColor="text1"/>
          <w:sz w:val="20"/>
          <w:szCs w:val="20"/>
        </w:rPr>
      </w:pPr>
      <w:r w:rsidRPr="00223CBF">
        <w:rPr>
          <w:rFonts w:ascii="Cambria" w:hAnsi="Cambria" w:cs="Arial"/>
          <w:color w:val="000000" w:themeColor="text1"/>
          <w:sz w:val="20"/>
          <w:szCs w:val="20"/>
        </w:rPr>
        <w:t>Initial detection of sectoral deficiencies and incapacities pushed for substantive support</w:t>
      </w:r>
      <w:r w:rsidR="00CF7049">
        <w:rPr>
          <w:rFonts w:ascii="Cambria" w:hAnsi="Cambria" w:cs="Arial"/>
          <w:color w:val="000000" w:themeColor="text1"/>
          <w:sz w:val="20"/>
          <w:szCs w:val="20"/>
        </w:rPr>
        <w:t>,</w:t>
      </w:r>
      <w:r w:rsidRPr="00223CBF">
        <w:rPr>
          <w:rFonts w:ascii="Cambria" w:hAnsi="Cambria" w:cs="Arial"/>
          <w:color w:val="000000" w:themeColor="text1"/>
          <w:sz w:val="20"/>
          <w:szCs w:val="20"/>
        </w:rPr>
        <w:t xml:space="preserve"> to improve the effectiveness of strategic interventions of services of selected justice sector partners. </w:t>
      </w:r>
    </w:p>
    <w:p w14:paraId="341C8B42" w14:textId="6D97448C" w:rsidR="00331FB6" w:rsidRPr="00223CBF" w:rsidRDefault="00331FB6" w:rsidP="000507CA">
      <w:pPr>
        <w:spacing w:line="360" w:lineRule="auto"/>
        <w:jc w:val="both"/>
        <w:rPr>
          <w:rFonts w:ascii="Cambria" w:hAnsi="Cambria" w:cs="Arial"/>
          <w:color w:val="000000" w:themeColor="text1"/>
          <w:spacing w:val="4"/>
          <w:sz w:val="20"/>
          <w:szCs w:val="20"/>
          <w:shd w:val="clear" w:color="auto" w:fill="FEFEFE"/>
        </w:rPr>
      </w:pPr>
      <w:r w:rsidRPr="00223CBF">
        <w:rPr>
          <w:rFonts w:ascii="Cambria" w:hAnsi="Cambria" w:cs="Arial"/>
          <w:color w:val="000000" w:themeColor="text1"/>
          <w:sz w:val="20"/>
          <w:szCs w:val="20"/>
        </w:rPr>
        <w:t>To improve policy dialogue and policy adoption</w:t>
      </w:r>
      <w:r w:rsidR="00CF7049">
        <w:rPr>
          <w:rFonts w:ascii="Cambria" w:hAnsi="Cambria" w:cs="Arial"/>
          <w:color w:val="000000" w:themeColor="text1"/>
          <w:sz w:val="20"/>
          <w:szCs w:val="20"/>
        </w:rPr>
        <w:t>,</w:t>
      </w:r>
      <w:r w:rsidRPr="00223CBF">
        <w:rPr>
          <w:rFonts w:ascii="Cambria" w:hAnsi="Cambria" w:cs="Arial"/>
          <w:color w:val="000000" w:themeColor="text1"/>
          <w:sz w:val="20"/>
          <w:szCs w:val="20"/>
        </w:rPr>
        <w:t xml:space="preserve"> the Portfolio as highlighted above invested in research and development. Complimentary support to strengthen institutional capacities and develop systems and processes to enable the operation of the VWP law</w:t>
      </w:r>
      <w:r w:rsidR="00CF7049">
        <w:rPr>
          <w:rFonts w:ascii="Cambria" w:hAnsi="Cambria" w:cs="Arial"/>
          <w:color w:val="000000" w:themeColor="text1"/>
          <w:sz w:val="20"/>
          <w:szCs w:val="20"/>
        </w:rPr>
        <w:t>,</w:t>
      </w:r>
      <w:r w:rsidRPr="00223CBF">
        <w:rPr>
          <w:rFonts w:ascii="Cambria" w:hAnsi="Cambria" w:cs="Arial"/>
          <w:color w:val="000000" w:themeColor="text1"/>
          <w:sz w:val="20"/>
          <w:szCs w:val="20"/>
        </w:rPr>
        <w:t xml:space="preserve"> was beneficial.</w:t>
      </w:r>
      <w:r w:rsidRPr="00223CBF">
        <w:rPr>
          <w:rFonts w:ascii="Cambria" w:hAnsi="Cambria" w:cs="Arial"/>
          <w:color w:val="000000" w:themeColor="text1"/>
          <w:spacing w:val="4"/>
          <w:sz w:val="20"/>
          <w:szCs w:val="20"/>
          <w:shd w:val="clear" w:color="auto" w:fill="FEFEFE"/>
        </w:rPr>
        <w:t xml:space="preserve"> IPs indicated the significant support and technical expertise to the Ministerial Committee</w:t>
      </w:r>
      <w:r w:rsidR="00CF7049">
        <w:rPr>
          <w:rFonts w:ascii="Cambria" w:hAnsi="Cambria" w:cs="Arial"/>
          <w:color w:val="000000" w:themeColor="text1"/>
          <w:spacing w:val="4"/>
          <w:sz w:val="20"/>
          <w:szCs w:val="20"/>
          <w:shd w:val="clear" w:color="auto" w:fill="FEFEFE"/>
        </w:rPr>
        <w:t>,</w:t>
      </w:r>
      <w:r w:rsidRPr="00223CBF">
        <w:rPr>
          <w:rFonts w:ascii="Cambria" w:hAnsi="Cambria" w:cs="Arial"/>
          <w:color w:val="000000" w:themeColor="text1"/>
          <w:spacing w:val="4"/>
          <w:sz w:val="20"/>
          <w:szCs w:val="20"/>
          <w:shd w:val="clear" w:color="auto" w:fill="FEFEFE"/>
        </w:rPr>
        <w:t xml:space="preserve"> to undertake the ‘magnanimous task’ of reviewing the </w:t>
      </w:r>
      <w:r w:rsidR="004D6A3A">
        <w:t>Assistance to and Protection of Victims of Crime and Witnesses Act</w:t>
      </w:r>
      <w:r w:rsidR="00C45939">
        <w:rPr>
          <w:rFonts w:ascii="Cambria" w:hAnsi="Cambria" w:cs="Arial"/>
          <w:color w:val="000000" w:themeColor="text1"/>
          <w:spacing w:val="4"/>
          <w:sz w:val="20"/>
          <w:szCs w:val="20"/>
          <w:shd w:val="clear" w:color="auto" w:fill="FEFEFE"/>
        </w:rPr>
        <w:t xml:space="preserve"> </w:t>
      </w:r>
      <w:r w:rsidR="004D6A3A">
        <w:rPr>
          <w:rFonts w:ascii="Cambria" w:hAnsi="Cambria" w:cs="Arial"/>
          <w:color w:val="000000" w:themeColor="text1"/>
          <w:spacing w:val="4"/>
          <w:sz w:val="20"/>
          <w:szCs w:val="20"/>
          <w:shd w:val="clear" w:color="auto" w:fill="FEFEFE"/>
        </w:rPr>
        <w:t>(</w:t>
      </w:r>
      <w:r w:rsidRPr="00223CBF">
        <w:rPr>
          <w:rFonts w:ascii="Cambria" w:hAnsi="Cambria" w:cs="Arial"/>
          <w:color w:val="000000" w:themeColor="text1"/>
          <w:spacing w:val="4"/>
          <w:sz w:val="20"/>
          <w:szCs w:val="20"/>
          <w:shd w:val="clear" w:color="auto" w:fill="FEFEFE"/>
        </w:rPr>
        <w:t>NVWP Act</w:t>
      </w:r>
      <w:r w:rsidR="004D6A3A">
        <w:rPr>
          <w:rFonts w:ascii="Cambria" w:hAnsi="Cambria" w:cs="Arial"/>
          <w:color w:val="000000" w:themeColor="text1"/>
          <w:spacing w:val="4"/>
          <w:sz w:val="20"/>
          <w:szCs w:val="20"/>
          <w:shd w:val="clear" w:color="auto" w:fill="FEFEFE"/>
        </w:rPr>
        <w:t xml:space="preserve">). The Committee </w:t>
      </w:r>
      <w:r w:rsidRPr="00223CBF">
        <w:rPr>
          <w:rFonts w:ascii="Cambria" w:hAnsi="Cambria" w:cs="Arial"/>
          <w:color w:val="000000" w:themeColor="text1"/>
          <w:spacing w:val="4"/>
          <w:sz w:val="20"/>
          <w:szCs w:val="20"/>
          <w:shd w:val="clear" w:color="auto" w:fill="FEFEFE"/>
        </w:rPr>
        <w:t>incorporate</w:t>
      </w:r>
      <w:r w:rsidR="004D6A3A">
        <w:rPr>
          <w:rFonts w:ascii="Cambria" w:hAnsi="Cambria" w:cs="Arial"/>
          <w:color w:val="000000" w:themeColor="text1"/>
          <w:spacing w:val="4"/>
          <w:sz w:val="20"/>
          <w:szCs w:val="20"/>
          <w:shd w:val="clear" w:color="auto" w:fill="FEFEFE"/>
        </w:rPr>
        <w:t>d</w:t>
      </w:r>
      <w:r w:rsidRPr="00223CBF">
        <w:rPr>
          <w:rFonts w:ascii="Cambria" w:hAnsi="Cambria" w:cs="Arial"/>
          <w:color w:val="000000" w:themeColor="text1"/>
          <w:spacing w:val="4"/>
          <w:sz w:val="20"/>
          <w:szCs w:val="20"/>
          <w:shd w:val="clear" w:color="auto" w:fill="FEFEFE"/>
        </w:rPr>
        <w:t xml:space="preserve"> international best practices</w:t>
      </w:r>
      <w:r w:rsidR="00CF7049">
        <w:rPr>
          <w:rFonts w:ascii="Cambria" w:hAnsi="Cambria" w:cs="Arial"/>
          <w:color w:val="000000" w:themeColor="text1"/>
          <w:spacing w:val="4"/>
          <w:sz w:val="20"/>
          <w:szCs w:val="20"/>
          <w:shd w:val="clear" w:color="auto" w:fill="FEFEFE"/>
        </w:rPr>
        <w:t>,</w:t>
      </w:r>
      <w:r w:rsidR="004D6A3A">
        <w:rPr>
          <w:rFonts w:ascii="Cambria" w:hAnsi="Cambria" w:cs="Arial"/>
          <w:color w:val="000000" w:themeColor="text1"/>
          <w:spacing w:val="4"/>
          <w:sz w:val="20"/>
          <w:szCs w:val="20"/>
          <w:shd w:val="clear" w:color="auto" w:fill="FEFEFE"/>
        </w:rPr>
        <w:t xml:space="preserve"> </w:t>
      </w:r>
      <w:r w:rsidRPr="00223CBF">
        <w:rPr>
          <w:rFonts w:ascii="Cambria" w:hAnsi="Cambria" w:cs="Arial"/>
          <w:color w:val="000000" w:themeColor="text1"/>
          <w:spacing w:val="4"/>
          <w:sz w:val="20"/>
          <w:szCs w:val="20"/>
          <w:shd w:val="clear" w:color="auto" w:fill="FEFEFE"/>
        </w:rPr>
        <w:t>rectify</w:t>
      </w:r>
      <w:r w:rsidR="004D6A3A">
        <w:rPr>
          <w:rFonts w:ascii="Cambria" w:hAnsi="Cambria" w:cs="Arial"/>
          <w:color w:val="000000" w:themeColor="text1"/>
          <w:spacing w:val="4"/>
          <w:sz w:val="20"/>
          <w:szCs w:val="20"/>
          <w:shd w:val="clear" w:color="auto" w:fill="FEFEFE"/>
        </w:rPr>
        <w:t>ing</w:t>
      </w:r>
      <w:r w:rsidRPr="00223CBF">
        <w:rPr>
          <w:rFonts w:ascii="Cambria" w:hAnsi="Cambria" w:cs="Arial"/>
          <w:color w:val="000000" w:themeColor="text1"/>
          <w:spacing w:val="4"/>
          <w:sz w:val="20"/>
          <w:szCs w:val="20"/>
          <w:shd w:val="clear" w:color="auto" w:fill="FEFEFE"/>
        </w:rPr>
        <w:t xml:space="preserve"> jurisprudential errors and</w:t>
      </w:r>
      <w:r w:rsidR="004D6A3A">
        <w:rPr>
          <w:rFonts w:ascii="Cambria" w:hAnsi="Cambria" w:cs="Arial"/>
          <w:color w:val="000000" w:themeColor="text1"/>
          <w:spacing w:val="4"/>
          <w:sz w:val="20"/>
          <w:szCs w:val="20"/>
          <w:shd w:val="clear" w:color="auto" w:fill="FEFEFE"/>
        </w:rPr>
        <w:t xml:space="preserve"> d</w:t>
      </w:r>
      <w:r w:rsidRPr="00223CBF">
        <w:rPr>
          <w:rFonts w:ascii="Cambria" w:hAnsi="Cambria" w:cs="Arial"/>
          <w:color w:val="000000" w:themeColor="text1"/>
          <w:spacing w:val="4"/>
          <w:sz w:val="20"/>
          <w:szCs w:val="20"/>
          <w:shd w:val="clear" w:color="auto" w:fill="FEFEFE"/>
        </w:rPr>
        <w:t>raft</w:t>
      </w:r>
      <w:r w:rsidR="004D6A3A">
        <w:rPr>
          <w:rFonts w:ascii="Cambria" w:hAnsi="Cambria" w:cs="Arial"/>
          <w:color w:val="000000" w:themeColor="text1"/>
          <w:spacing w:val="4"/>
          <w:sz w:val="20"/>
          <w:szCs w:val="20"/>
          <w:shd w:val="clear" w:color="auto" w:fill="FEFEFE"/>
        </w:rPr>
        <w:t>ed</w:t>
      </w:r>
      <w:r w:rsidRPr="00223CBF">
        <w:rPr>
          <w:rFonts w:ascii="Cambria" w:hAnsi="Cambria" w:cs="Arial"/>
          <w:color w:val="000000" w:themeColor="text1"/>
          <w:spacing w:val="4"/>
          <w:sz w:val="20"/>
          <w:szCs w:val="20"/>
          <w:shd w:val="clear" w:color="auto" w:fill="FEFEFE"/>
        </w:rPr>
        <w:t xml:space="preserve"> complimentary legislation on child victims and witnesses and whistleblower protection</w:t>
      </w:r>
      <w:r w:rsidR="004D6A3A">
        <w:rPr>
          <w:rFonts w:ascii="Cambria" w:hAnsi="Cambria" w:cs="Arial"/>
          <w:color w:val="000000" w:themeColor="text1"/>
          <w:spacing w:val="4"/>
          <w:sz w:val="20"/>
          <w:szCs w:val="20"/>
          <w:shd w:val="clear" w:color="auto" w:fill="FEFEFE"/>
        </w:rPr>
        <w:t xml:space="preserve">. The Committee was also supported to </w:t>
      </w:r>
      <w:r w:rsidRPr="00223CBF">
        <w:rPr>
          <w:rFonts w:ascii="Cambria" w:hAnsi="Cambria" w:cs="Arial"/>
          <w:color w:val="000000" w:themeColor="text1"/>
          <w:spacing w:val="4"/>
          <w:sz w:val="20"/>
          <w:szCs w:val="20"/>
          <w:shd w:val="clear" w:color="auto" w:fill="FEFEFE"/>
        </w:rPr>
        <w:t xml:space="preserve">devise a special compensation scheme, </w:t>
      </w:r>
      <w:r w:rsidR="004D6A3A">
        <w:rPr>
          <w:rFonts w:ascii="Cambria" w:hAnsi="Cambria" w:cs="Arial"/>
          <w:color w:val="000000" w:themeColor="text1"/>
          <w:spacing w:val="4"/>
          <w:sz w:val="20"/>
          <w:szCs w:val="20"/>
          <w:shd w:val="clear" w:color="auto" w:fill="FEFEFE"/>
        </w:rPr>
        <w:t xml:space="preserve">which was identified by KPIs </w:t>
      </w:r>
      <w:r w:rsidRPr="00223CBF">
        <w:rPr>
          <w:rFonts w:ascii="Cambria" w:hAnsi="Cambria" w:cs="Arial"/>
          <w:color w:val="000000" w:themeColor="text1"/>
          <w:spacing w:val="4"/>
          <w:sz w:val="20"/>
          <w:szCs w:val="20"/>
          <w:shd w:val="clear" w:color="auto" w:fill="FEFEFE"/>
        </w:rPr>
        <w:t>as significant contribution</w:t>
      </w:r>
      <w:r w:rsidR="002A3781" w:rsidRPr="00223CBF">
        <w:rPr>
          <w:rFonts w:ascii="Cambria" w:hAnsi="Cambria" w:cs="Arial"/>
          <w:color w:val="000000" w:themeColor="text1"/>
          <w:spacing w:val="4"/>
          <w:sz w:val="20"/>
          <w:szCs w:val="20"/>
          <w:shd w:val="clear" w:color="auto" w:fill="FEFEFE"/>
        </w:rPr>
        <w:t>s</w:t>
      </w:r>
      <w:r w:rsidRPr="00223CBF">
        <w:rPr>
          <w:rFonts w:ascii="Cambria" w:hAnsi="Cambria" w:cs="Arial"/>
          <w:color w:val="000000" w:themeColor="text1"/>
          <w:spacing w:val="4"/>
          <w:sz w:val="20"/>
          <w:szCs w:val="20"/>
          <w:shd w:val="clear" w:color="auto" w:fill="FEFEFE"/>
        </w:rPr>
        <w:t xml:space="preserve"> towards </w:t>
      </w:r>
      <w:r w:rsidR="005C7DD8">
        <w:rPr>
          <w:rFonts w:ascii="Cambria" w:hAnsi="Cambria" w:cs="Arial"/>
          <w:color w:val="000000" w:themeColor="text1"/>
          <w:spacing w:val="4"/>
          <w:sz w:val="20"/>
          <w:szCs w:val="20"/>
          <w:shd w:val="clear" w:color="auto" w:fill="FEFEFE"/>
        </w:rPr>
        <w:t>VWP</w:t>
      </w:r>
      <w:r w:rsidRPr="00223CBF">
        <w:rPr>
          <w:rFonts w:ascii="Cambria" w:hAnsi="Cambria" w:cs="Arial"/>
          <w:color w:val="000000" w:themeColor="text1"/>
          <w:spacing w:val="4"/>
          <w:sz w:val="20"/>
          <w:szCs w:val="20"/>
          <w:shd w:val="clear" w:color="auto" w:fill="FEFEFE"/>
        </w:rPr>
        <w:t>.</w:t>
      </w:r>
    </w:p>
    <w:p w14:paraId="461744D5" w14:textId="1478FD94" w:rsidR="00331FB6" w:rsidRPr="00223CBF" w:rsidRDefault="00331FB6" w:rsidP="000507CA">
      <w:pPr>
        <w:spacing w:line="360" w:lineRule="auto"/>
        <w:jc w:val="both"/>
        <w:rPr>
          <w:rFonts w:ascii="Cambria" w:hAnsi="Cambria" w:cs="Calibri"/>
          <w:bCs/>
          <w:color w:val="000000" w:themeColor="text1"/>
          <w:sz w:val="20"/>
          <w:szCs w:val="20"/>
        </w:rPr>
      </w:pPr>
      <w:r w:rsidRPr="00223CBF">
        <w:rPr>
          <w:rFonts w:ascii="Cambria" w:hAnsi="Cambria" w:cs="Arial"/>
          <w:color w:val="000000" w:themeColor="text1"/>
          <w:spacing w:val="4"/>
          <w:sz w:val="20"/>
          <w:szCs w:val="20"/>
          <w:shd w:val="clear" w:color="auto" w:fill="FEFEFE"/>
        </w:rPr>
        <w:t>To operationalise the law, provision was made to improve the systems and processes and coordination mechanisms</w:t>
      </w:r>
      <w:r w:rsidR="00CF7049">
        <w:rPr>
          <w:rFonts w:ascii="Cambria" w:hAnsi="Cambria" w:cs="Arial"/>
          <w:color w:val="000000" w:themeColor="text1"/>
          <w:spacing w:val="4"/>
          <w:sz w:val="20"/>
          <w:szCs w:val="20"/>
          <w:shd w:val="clear" w:color="auto" w:fill="FEFEFE"/>
        </w:rPr>
        <w:t>. This was done</w:t>
      </w:r>
      <w:r w:rsidRPr="00223CBF">
        <w:rPr>
          <w:rFonts w:ascii="Cambria" w:hAnsi="Cambria" w:cs="Arial"/>
          <w:color w:val="000000" w:themeColor="text1"/>
          <w:spacing w:val="4"/>
          <w:sz w:val="20"/>
          <w:szCs w:val="20"/>
          <w:shd w:val="clear" w:color="auto" w:fill="FEFEFE"/>
        </w:rPr>
        <w:t xml:space="preserve"> by introducing a hotline, drafting SOPs/Protection Guidelines for the Police Protection Division (PPD)</w:t>
      </w:r>
      <w:r w:rsidRPr="00223CBF">
        <w:rPr>
          <w:rFonts w:ascii="Cambria" w:hAnsi="Cambria" w:cs="Calibri"/>
          <w:color w:val="000000" w:themeColor="text1"/>
          <w:sz w:val="20"/>
          <w:szCs w:val="20"/>
        </w:rPr>
        <w:t>,</w:t>
      </w:r>
      <w:r w:rsidRPr="00223CBF">
        <w:rPr>
          <w:rFonts w:ascii="Cambria" w:hAnsi="Cambria" w:cs="Calibri"/>
          <w:bCs/>
          <w:color w:val="000000" w:themeColor="text1"/>
          <w:sz w:val="20"/>
          <w:szCs w:val="20"/>
        </w:rPr>
        <w:t xml:space="preserve"> guidelines for awarding compensation, </w:t>
      </w:r>
      <w:bookmarkStart w:id="45" w:name="_Hlk56515943"/>
      <w:r w:rsidR="00CF7049" w:rsidRPr="00223CBF">
        <w:rPr>
          <w:rFonts w:ascii="Cambria" w:hAnsi="Cambria" w:cs="Calibri"/>
          <w:bCs/>
          <w:color w:val="000000" w:themeColor="text1"/>
          <w:sz w:val="20"/>
          <w:szCs w:val="20"/>
        </w:rPr>
        <w:t>streamlining appointments</w:t>
      </w:r>
      <w:r w:rsidRPr="00223CBF">
        <w:rPr>
          <w:rFonts w:ascii="Cambria" w:hAnsi="Cambria" w:cs="Calibri"/>
          <w:bCs/>
          <w:color w:val="000000" w:themeColor="text1"/>
          <w:sz w:val="20"/>
          <w:szCs w:val="20"/>
        </w:rPr>
        <w:t xml:space="preserve"> to the PPD through the NPC to ensure independence in the appointment process,</w:t>
      </w:r>
      <w:bookmarkEnd w:id="45"/>
      <w:r w:rsidRPr="00223CBF">
        <w:rPr>
          <w:rFonts w:ascii="Cambria" w:hAnsi="Cambria" w:cs="Calibri"/>
          <w:bCs/>
          <w:color w:val="000000" w:themeColor="text1"/>
          <w:sz w:val="20"/>
          <w:szCs w:val="20"/>
        </w:rPr>
        <w:t xml:space="preserve"> forging partnerships with relevant justice sector partners such as the LAC and the NVWA and promoting victim and gender centric approach to service delivery</w:t>
      </w:r>
      <w:r w:rsidR="00CF7049">
        <w:rPr>
          <w:rFonts w:ascii="Cambria" w:hAnsi="Cambria" w:cs="Calibri"/>
          <w:bCs/>
          <w:color w:val="000000" w:themeColor="text1"/>
          <w:sz w:val="20"/>
          <w:szCs w:val="20"/>
        </w:rPr>
        <w:t>,</w:t>
      </w:r>
      <w:r w:rsidRPr="00223CBF">
        <w:rPr>
          <w:rFonts w:ascii="Cambria" w:hAnsi="Cambria" w:cs="Calibri"/>
          <w:bCs/>
          <w:color w:val="000000" w:themeColor="text1"/>
          <w:sz w:val="20"/>
          <w:szCs w:val="20"/>
        </w:rPr>
        <w:t xml:space="preserve"> through continuous capacity and skills development of various stakeholders. </w:t>
      </w:r>
    </w:p>
    <w:p w14:paraId="05B881C3" w14:textId="00A4CAC5" w:rsidR="00331FB6" w:rsidRPr="00223CBF" w:rsidRDefault="00331FB6" w:rsidP="000507CA">
      <w:pPr>
        <w:spacing w:line="360" w:lineRule="auto"/>
        <w:jc w:val="both"/>
        <w:rPr>
          <w:rFonts w:ascii="Cambria" w:hAnsi="Cambria" w:cs="Calibri"/>
          <w:bCs/>
          <w:color w:val="000000" w:themeColor="text1"/>
          <w:sz w:val="20"/>
          <w:szCs w:val="20"/>
        </w:rPr>
      </w:pPr>
      <w:r w:rsidRPr="00223CBF">
        <w:rPr>
          <w:rFonts w:ascii="Cambria" w:hAnsi="Cambria" w:cs="Calibri"/>
          <w:bCs/>
          <w:color w:val="000000" w:themeColor="text1"/>
          <w:sz w:val="20"/>
          <w:szCs w:val="20"/>
        </w:rPr>
        <w:lastRenderedPageBreak/>
        <w:t>IPs acknowledged the relevance and effectiveness of the series of public consultations cum sensiti</w:t>
      </w:r>
      <w:r w:rsidR="00503C65">
        <w:rPr>
          <w:rFonts w:ascii="Cambria" w:hAnsi="Cambria" w:cs="Calibri"/>
          <w:bCs/>
          <w:color w:val="000000" w:themeColor="text1"/>
          <w:sz w:val="20"/>
          <w:szCs w:val="20"/>
        </w:rPr>
        <w:t>s</w:t>
      </w:r>
      <w:r w:rsidRPr="00223CBF">
        <w:rPr>
          <w:rFonts w:ascii="Cambria" w:hAnsi="Cambria" w:cs="Calibri"/>
          <w:bCs/>
          <w:color w:val="000000" w:themeColor="text1"/>
          <w:sz w:val="20"/>
          <w:szCs w:val="20"/>
        </w:rPr>
        <w:t>ation/awareness</w:t>
      </w:r>
      <w:r w:rsidR="00503C65">
        <w:rPr>
          <w:rStyle w:val="FootnoteReference"/>
          <w:rFonts w:ascii="Cambria" w:hAnsi="Cambria" w:cs="Calibri"/>
          <w:bCs/>
          <w:color w:val="000000" w:themeColor="text1"/>
          <w:sz w:val="20"/>
          <w:szCs w:val="20"/>
        </w:rPr>
        <w:footnoteReference w:id="60"/>
      </w:r>
      <w:r w:rsidRPr="00223CBF">
        <w:rPr>
          <w:rFonts w:ascii="Cambria" w:hAnsi="Cambria" w:cs="Calibri"/>
          <w:bCs/>
          <w:color w:val="000000" w:themeColor="text1"/>
          <w:sz w:val="20"/>
          <w:szCs w:val="20"/>
        </w:rPr>
        <w:t>, held to change the mindset of law makers, law enforcement authorities, the Bar and victims and witnesses themselves, to direct focus on Victim and Witnesses as opposed to the traditional criminal justice focus of punishing the perpetrator. Although lack of partner reporting and feedback dilutes the evaluation of effectiveness, beneficiary perception was positive</w:t>
      </w:r>
      <w:r w:rsidR="00CF7049">
        <w:rPr>
          <w:rFonts w:ascii="Cambria" w:hAnsi="Cambria" w:cs="Calibri"/>
          <w:bCs/>
          <w:color w:val="000000" w:themeColor="text1"/>
          <w:sz w:val="20"/>
          <w:szCs w:val="20"/>
        </w:rPr>
        <w:t>,</w:t>
      </w:r>
      <w:r w:rsidRPr="00223CBF">
        <w:rPr>
          <w:rFonts w:ascii="Cambria" w:hAnsi="Cambria" w:cs="Calibri"/>
          <w:bCs/>
          <w:color w:val="000000" w:themeColor="text1"/>
          <w:sz w:val="20"/>
          <w:szCs w:val="20"/>
        </w:rPr>
        <w:t xml:space="preserve"> as it also enabled feedback on practical and implementation realities to be absorbed by the law-making process. </w:t>
      </w:r>
    </w:p>
    <w:p w14:paraId="1256DC47" w14:textId="5B1A0D1C" w:rsidR="00331FB6" w:rsidRPr="00223CBF" w:rsidRDefault="00331FB6" w:rsidP="000507CA">
      <w:pPr>
        <w:spacing w:line="360" w:lineRule="auto"/>
        <w:jc w:val="both"/>
        <w:rPr>
          <w:rFonts w:ascii="Cambria" w:hAnsi="Cambria" w:cs="Calibri"/>
          <w:bCs/>
          <w:color w:val="000000" w:themeColor="text1"/>
          <w:sz w:val="20"/>
          <w:szCs w:val="20"/>
        </w:rPr>
      </w:pPr>
      <w:r w:rsidRPr="00223CBF">
        <w:rPr>
          <w:rFonts w:ascii="Cambria" w:hAnsi="Cambria" w:cs="Calibri"/>
          <w:bCs/>
          <w:color w:val="000000" w:themeColor="text1"/>
          <w:sz w:val="20"/>
          <w:szCs w:val="20"/>
        </w:rPr>
        <w:t>The mode of communication, a model adopted through lessons learned in the aftermath of the Tsunami to promote the Tsunami Relief Package and the use of a combination of mainstream and traditional forum theatre/art was successful</w:t>
      </w:r>
      <w:r w:rsidR="00CF7049">
        <w:rPr>
          <w:rFonts w:ascii="Cambria" w:hAnsi="Cambria" w:cs="Calibri"/>
          <w:bCs/>
          <w:color w:val="000000" w:themeColor="text1"/>
          <w:sz w:val="20"/>
          <w:szCs w:val="20"/>
        </w:rPr>
        <w:t>,</w:t>
      </w:r>
      <w:r w:rsidRPr="00223CBF">
        <w:rPr>
          <w:rFonts w:ascii="Cambria" w:hAnsi="Cambria" w:cs="Calibri"/>
          <w:bCs/>
          <w:color w:val="000000" w:themeColor="text1"/>
          <w:sz w:val="20"/>
          <w:szCs w:val="20"/>
        </w:rPr>
        <w:t xml:space="preserve"> according to IP interviews</w:t>
      </w:r>
      <w:r w:rsidR="00CF7049">
        <w:rPr>
          <w:rFonts w:ascii="Cambria" w:hAnsi="Cambria" w:cs="Calibri"/>
          <w:bCs/>
          <w:color w:val="000000" w:themeColor="text1"/>
          <w:sz w:val="20"/>
          <w:szCs w:val="20"/>
        </w:rPr>
        <w:t>,</w:t>
      </w:r>
      <w:r w:rsidRPr="00223CBF">
        <w:rPr>
          <w:rFonts w:ascii="Cambria" w:hAnsi="Cambria" w:cs="Calibri"/>
          <w:bCs/>
          <w:color w:val="000000" w:themeColor="text1"/>
          <w:sz w:val="20"/>
          <w:szCs w:val="20"/>
        </w:rPr>
        <w:t xml:space="preserve"> to raise the profile of the Authority and increase the number of inquiries received by the Authority.   </w:t>
      </w:r>
    </w:p>
    <w:p w14:paraId="294D3961" w14:textId="70A05867" w:rsidR="00331FB6" w:rsidRPr="00223CBF" w:rsidRDefault="00331FB6" w:rsidP="000507CA">
      <w:pPr>
        <w:spacing w:line="360" w:lineRule="auto"/>
        <w:jc w:val="both"/>
        <w:rPr>
          <w:rFonts w:ascii="Cambria" w:hAnsi="Cambria" w:cs="Calibri"/>
          <w:bCs/>
          <w:color w:val="FF0000"/>
          <w:sz w:val="20"/>
          <w:szCs w:val="20"/>
          <w:lang w:val="en-GB"/>
        </w:rPr>
      </w:pPr>
      <w:r w:rsidRPr="00223CBF">
        <w:rPr>
          <w:rFonts w:ascii="Cambria" w:hAnsi="Cambria" w:cs="Arial"/>
          <w:color w:val="000000" w:themeColor="text1"/>
          <w:spacing w:val="4"/>
          <w:sz w:val="20"/>
          <w:szCs w:val="20"/>
          <w:shd w:val="clear" w:color="auto" w:fill="FEFEFE"/>
        </w:rPr>
        <w:t>However, it was also notable that whilst majority of interventions were pre planned</w:t>
      </w:r>
      <w:r w:rsidR="00CF7049">
        <w:rPr>
          <w:rFonts w:ascii="Cambria" w:hAnsi="Cambria" w:cs="Arial"/>
          <w:color w:val="000000" w:themeColor="text1"/>
          <w:spacing w:val="4"/>
          <w:sz w:val="20"/>
          <w:szCs w:val="20"/>
          <w:shd w:val="clear" w:color="auto" w:fill="FEFEFE"/>
        </w:rPr>
        <w:t>,</w:t>
      </w:r>
      <w:r w:rsidRPr="00223CBF">
        <w:rPr>
          <w:rFonts w:ascii="Cambria" w:hAnsi="Cambria" w:cs="Arial"/>
          <w:color w:val="000000" w:themeColor="text1"/>
          <w:spacing w:val="4"/>
          <w:sz w:val="20"/>
          <w:szCs w:val="20"/>
          <w:shd w:val="clear" w:color="auto" w:fill="FEFEFE"/>
        </w:rPr>
        <w:t xml:space="preserve"> others such as ad hoc assistance to the Authority to handle the backlog of cases as a result of advocacy and outreach was reactionary. To maximise relevance and effectiveness, it is vital to engage in a </w:t>
      </w:r>
      <w:r w:rsidRPr="00223CBF">
        <w:rPr>
          <w:rFonts w:ascii="Cambria" w:hAnsi="Cambria" w:cs="Calibri"/>
          <w:bCs/>
          <w:sz w:val="20"/>
          <w:szCs w:val="20"/>
          <w:lang w:val="en-GB"/>
        </w:rPr>
        <w:t>comprehensive and participatory development needs identification process, which will be beneficial for the Outputs during the second phase of the Portfolio</w:t>
      </w:r>
      <w:r w:rsidR="00CF7049">
        <w:rPr>
          <w:rFonts w:ascii="Cambria" w:hAnsi="Cambria" w:cs="Calibri"/>
          <w:bCs/>
          <w:sz w:val="20"/>
          <w:szCs w:val="20"/>
          <w:lang w:val="en-GB"/>
        </w:rPr>
        <w:t>,</w:t>
      </w:r>
      <w:r w:rsidRPr="00223CBF">
        <w:rPr>
          <w:rFonts w:ascii="Cambria" w:hAnsi="Cambria" w:cs="Calibri"/>
          <w:bCs/>
          <w:sz w:val="20"/>
          <w:szCs w:val="20"/>
          <w:lang w:val="en-GB"/>
        </w:rPr>
        <w:t xml:space="preserve"> to increase impact and sustainability</w:t>
      </w:r>
      <w:r w:rsidR="00503C65">
        <w:rPr>
          <w:rFonts w:ascii="Cambria" w:hAnsi="Cambria" w:cs="Calibri"/>
          <w:bCs/>
          <w:sz w:val="20"/>
          <w:szCs w:val="20"/>
          <w:lang w:val="en-GB"/>
        </w:rPr>
        <w:t xml:space="preserve">. </w:t>
      </w:r>
      <w:r w:rsidR="002A3781" w:rsidRPr="00223CBF">
        <w:rPr>
          <w:rFonts w:ascii="Cambria" w:hAnsi="Cambria" w:cs="Calibri"/>
          <w:bCs/>
          <w:sz w:val="20"/>
          <w:szCs w:val="20"/>
          <w:lang w:val="en-GB"/>
        </w:rPr>
        <w:t xml:space="preserve"> It </w:t>
      </w:r>
      <w:r w:rsidRPr="00223CBF">
        <w:rPr>
          <w:rFonts w:ascii="Cambria" w:hAnsi="Cambria" w:cs="Calibri"/>
          <w:bCs/>
          <w:sz w:val="20"/>
          <w:szCs w:val="20"/>
          <w:lang w:val="en-GB"/>
        </w:rPr>
        <w:t xml:space="preserve">will also provide a necessary platform to </w:t>
      </w:r>
      <w:r w:rsidR="00503C65">
        <w:rPr>
          <w:rFonts w:ascii="Cambria" w:hAnsi="Cambria" w:cs="Calibri"/>
          <w:bCs/>
          <w:sz w:val="20"/>
          <w:szCs w:val="20"/>
          <w:lang w:val="en-GB"/>
        </w:rPr>
        <w:t xml:space="preserve">weave in the </w:t>
      </w:r>
      <w:r w:rsidRPr="00223CBF">
        <w:rPr>
          <w:rFonts w:ascii="Cambria" w:hAnsi="Cambria" w:cs="Calibri"/>
          <w:bCs/>
          <w:sz w:val="20"/>
          <w:szCs w:val="20"/>
          <w:lang w:val="en-GB"/>
        </w:rPr>
        <w:t xml:space="preserve">inception work </w:t>
      </w:r>
      <w:r w:rsidR="00503C65">
        <w:rPr>
          <w:rFonts w:ascii="Cambria" w:hAnsi="Cambria" w:cs="Calibri"/>
          <w:bCs/>
          <w:sz w:val="20"/>
          <w:szCs w:val="20"/>
          <w:lang w:val="en-GB"/>
        </w:rPr>
        <w:t xml:space="preserve">of the Outputs </w:t>
      </w:r>
      <w:r w:rsidRPr="00223CBF">
        <w:rPr>
          <w:rFonts w:ascii="Cambria" w:hAnsi="Cambria" w:cs="Calibri"/>
          <w:bCs/>
          <w:sz w:val="20"/>
          <w:szCs w:val="20"/>
          <w:lang w:val="en-GB"/>
        </w:rPr>
        <w:t xml:space="preserve">into </w:t>
      </w:r>
      <w:r w:rsidR="00503C65">
        <w:rPr>
          <w:rFonts w:ascii="Cambria" w:hAnsi="Cambria" w:cs="Calibri"/>
          <w:bCs/>
          <w:sz w:val="20"/>
          <w:szCs w:val="20"/>
          <w:lang w:val="en-GB"/>
        </w:rPr>
        <w:t xml:space="preserve">the </w:t>
      </w:r>
      <w:r w:rsidRPr="00223CBF">
        <w:rPr>
          <w:rFonts w:ascii="Cambria" w:hAnsi="Cambria" w:cs="Calibri"/>
          <w:bCs/>
          <w:sz w:val="20"/>
          <w:szCs w:val="20"/>
          <w:lang w:val="en-GB"/>
        </w:rPr>
        <w:t xml:space="preserve">broader justice sector framework. </w:t>
      </w:r>
    </w:p>
    <w:p w14:paraId="03A95DC7" w14:textId="526C5869" w:rsidR="0077715C" w:rsidRPr="00223CBF" w:rsidRDefault="0077715C" w:rsidP="0077715C">
      <w:pPr>
        <w:spacing w:line="360" w:lineRule="auto"/>
        <w:contextualSpacing/>
        <w:jc w:val="both"/>
        <w:rPr>
          <w:rFonts w:ascii="Cambria" w:hAnsi="Cambria" w:cs="Arial"/>
          <w:color w:val="000000" w:themeColor="text1"/>
          <w:sz w:val="20"/>
          <w:szCs w:val="20"/>
        </w:rPr>
      </w:pPr>
      <w:r w:rsidRPr="00223CBF">
        <w:rPr>
          <w:rFonts w:ascii="Cambria" w:hAnsi="Cambria" w:cs="Calibri"/>
          <w:bCs/>
          <w:sz w:val="20"/>
          <w:szCs w:val="20"/>
          <w:lang w:val="en-GB"/>
        </w:rPr>
        <w:t xml:space="preserve">Moreover, there were few obstacles in evaluating the effectiveness of the interventions under the Outputs relating to strengthening state and non-state justice sector actors to deliver victim centric services on TJ by the OMP. Further to a </w:t>
      </w:r>
      <w:r w:rsidRPr="00223CBF">
        <w:rPr>
          <w:rFonts w:ascii="Cambria" w:hAnsi="Cambria" w:cs="Arial"/>
          <w:color w:val="000000" w:themeColor="text1"/>
          <w:sz w:val="20"/>
          <w:szCs w:val="20"/>
        </w:rPr>
        <w:t xml:space="preserve">policy decision taken by the UNCO to implement all TJ initiatives through the OHCHR via its administrative arm </w:t>
      </w:r>
      <w:r>
        <w:rPr>
          <w:rFonts w:ascii="Cambria" w:hAnsi="Cambria" w:cs="Arial"/>
          <w:color w:val="000000" w:themeColor="text1"/>
          <w:sz w:val="20"/>
          <w:szCs w:val="20"/>
        </w:rPr>
        <w:t>United Nations Office for Project Services in Sri Lanka (</w:t>
      </w:r>
      <w:r w:rsidRPr="00223CBF">
        <w:rPr>
          <w:rFonts w:ascii="Cambria" w:hAnsi="Cambria" w:cs="Arial"/>
          <w:color w:val="000000" w:themeColor="text1"/>
          <w:sz w:val="20"/>
          <w:szCs w:val="20"/>
        </w:rPr>
        <w:t>UNOPS</w:t>
      </w:r>
      <w:r>
        <w:rPr>
          <w:rFonts w:ascii="Cambria" w:hAnsi="Cambria" w:cs="Arial"/>
          <w:color w:val="000000" w:themeColor="text1"/>
          <w:sz w:val="20"/>
          <w:szCs w:val="20"/>
        </w:rPr>
        <w:t>)</w:t>
      </w:r>
      <w:r w:rsidRPr="00223CBF">
        <w:rPr>
          <w:rFonts w:ascii="Cambria" w:hAnsi="Cambria" w:cs="Arial"/>
          <w:color w:val="000000" w:themeColor="text1"/>
          <w:sz w:val="20"/>
          <w:szCs w:val="20"/>
        </w:rPr>
        <w:t>, resulted in dual reporting.  Therefore, it was observed that there was limited reporting on activities relating to TJ under Pillar Two in the annual reports and quarterly reports produced by the UNDP for MTE. Further, TJ interventions were broadly linked to interventions identified under Pillar three</w:t>
      </w:r>
      <w:r w:rsidR="00CF7049">
        <w:rPr>
          <w:rFonts w:ascii="Cambria" w:hAnsi="Cambria" w:cs="Arial"/>
          <w:color w:val="000000" w:themeColor="text1"/>
          <w:sz w:val="20"/>
          <w:szCs w:val="20"/>
        </w:rPr>
        <w:t>,</w:t>
      </w:r>
      <w:r w:rsidRPr="00223CBF">
        <w:rPr>
          <w:rFonts w:ascii="Cambria" w:hAnsi="Cambria" w:cs="Arial"/>
          <w:color w:val="000000" w:themeColor="text1"/>
          <w:sz w:val="20"/>
          <w:szCs w:val="20"/>
        </w:rPr>
        <w:t xml:space="preserve"> public sector and local governance related interventions on peacebuilding and reconciliation and responsive institutions that were excluded from the MTE. </w:t>
      </w:r>
    </w:p>
    <w:p w14:paraId="7B54B57B" w14:textId="77777777" w:rsidR="00331FB6" w:rsidRPr="00223CBF" w:rsidRDefault="00331FB6" w:rsidP="000507CA">
      <w:pPr>
        <w:spacing w:line="360" w:lineRule="auto"/>
        <w:contextualSpacing/>
        <w:jc w:val="both"/>
        <w:rPr>
          <w:rFonts w:ascii="Cambria" w:hAnsi="Cambria" w:cs="Arial"/>
          <w:color w:val="000000" w:themeColor="text1"/>
          <w:sz w:val="20"/>
          <w:szCs w:val="20"/>
        </w:rPr>
      </w:pPr>
    </w:p>
    <w:p w14:paraId="767331C1" w14:textId="77777777" w:rsidR="0077715C" w:rsidRPr="0077715C" w:rsidRDefault="0077715C" w:rsidP="0077715C">
      <w:pPr>
        <w:spacing w:line="360" w:lineRule="auto"/>
        <w:jc w:val="both"/>
        <w:rPr>
          <w:rFonts w:ascii="Cambria" w:hAnsi="Cambria" w:cs="Arial"/>
          <w:color w:val="000000" w:themeColor="text1"/>
          <w:sz w:val="20"/>
          <w:szCs w:val="20"/>
        </w:rPr>
      </w:pPr>
      <w:r w:rsidRPr="0077715C">
        <w:rPr>
          <w:rFonts w:ascii="Cambria" w:hAnsi="Cambria" w:cs="Arial"/>
          <w:color w:val="000000" w:themeColor="text1"/>
          <w:sz w:val="20"/>
          <w:szCs w:val="20"/>
        </w:rPr>
        <w:t xml:space="preserve">Based on interviews with UNDP and KPIs it may be observed that separation of responsibilities is intentional rather than accidental due to the apolitical stance taken by UNDP in development and governance work in comparison to the OHCHR given their specific mandate. KPIs also highlighted the risks involved in overemphasizing the duality of the roles of agencies under ‘One UN’ policy for perceived conflict in principles and approaches.   </w:t>
      </w:r>
    </w:p>
    <w:p w14:paraId="3C48A7A2" w14:textId="21888AB0" w:rsidR="0077715C" w:rsidRPr="0077715C" w:rsidRDefault="0077715C" w:rsidP="0077715C">
      <w:pPr>
        <w:spacing w:line="360" w:lineRule="auto"/>
        <w:jc w:val="both"/>
        <w:rPr>
          <w:rFonts w:ascii="Cambria" w:eastAsia="Times New Roman" w:hAnsi="Cambria" w:cs="Times New Roman"/>
          <w:sz w:val="20"/>
          <w:szCs w:val="20"/>
          <w:lang w:bidi="ta-LK"/>
        </w:rPr>
      </w:pPr>
      <w:r w:rsidRPr="0077715C">
        <w:rPr>
          <w:rFonts w:ascii="Cambria" w:hAnsi="Cambria" w:cs="Arial"/>
          <w:color w:val="000000" w:themeColor="text1"/>
          <w:sz w:val="20"/>
          <w:szCs w:val="20"/>
        </w:rPr>
        <w:lastRenderedPageBreak/>
        <w:t>The MTE was unable to make conclusive remarks on effectiveness, as most of these initiatives are currently at an inception phase and therefore cannot be subjected to a test on effectiveness and impact. Although some surveys have been completed, they are yet to be incorporated within the overall plan for strategic development, whilst others have been delayed due to the Covid 19 pandemic.</w:t>
      </w:r>
      <w:r>
        <w:rPr>
          <w:rStyle w:val="FootnoteReference"/>
          <w:rFonts w:ascii="Cambria" w:hAnsi="Cambria" w:cs="Arial"/>
          <w:color w:val="000000" w:themeColor="text1"/>
          <w:sz w:val="20"/>
          <w:szCs w:val="20"/>
        </w:rPr>
        <w:footnoteReference w:id="61"/>
      </w:r>
      <w:r w:rsidRPr="0077715C">
        <w:rPr>
          <w:rFonts w:ascii="Cambria" w:hAnsi="Cambria" w:cs="Arial"/>
          <w:color w:val="000000" w:themeColor="text1"/>
          <w:sz w:val="20"/>
          <w:szCs w:val="20"/>
        </w:rPr>
        <w:t xml:space="preserve"> Amended law on Victims and Witnesses are currently in review phase</w:t>
      </w:r>
      <w:r w:rsidR="00CF7049">
        <w:rPr>
          <w:rFonts w:ascii="Cambria" w:hAnsi="Cambria" w:cs="Arial"/>
          <w:color w:val="000000" w:themeColor="text1"/>
          <w:sz w:val="20"/>
          <w:szCs w:val="20"/>
        </w:rPr>
        <w:t>,</w:t>
      </w:r>
      <w:r w:rsidRPr="0077715C">
        <w:rPr>
          <w:rFonts w:ascii="Cambria" w:hAnsi="Cambria" w:cs="Arial"/>
          <w:color w:val="000000" w:themeColor="text1"/>
          <w:sz w:val="20"/>
          <w:szCs w:val="20"/>
        </w:rPr>
        <w:t xml:space="preserve"> although UNDP has supported this phase too to accelerate its enactment in parliament. </w:t>
      </w:r>
    </w:p>
    <w:p w14:paraId="4A53C8B1" w14:textId="2BCB9933" w:rsidR="0077715C" w:rsidRPr="0077715C" w:rsidRDefault="0077715C" w:rsidP="0077715C">
      <w:pPr>
        <w:spacing w:line="360" w:lineRule="auto"/>
        <w:jc w:val="both"/>
        <w:rPr>
          <w:rFonts w:ascii="Cambria" w:hAnsi="Cambria" w:cs="Arial"/>
          <w:color w:val="000000" w:themeColor="text1"/>
          <w:sz w:val="20"/>
          <w:szCs w:val="20"/>
        </w:rPr>
      </w:pPr>
      <w:r w:rsidRPr="0077715C">
        <w:rPr>
          <w:rFonts w:ascii="Cambria" w:eastAsia="Times New Roman" w:hAnsi="Cambria" w:cs="Times New Roman"/>
          <w:sz w:val="20"/>
          <w:szCs w:val="20"/>
          <w:lang w:bidi="ta-LK"/>
        </w:rPr>
        <w:t>The Hotline introduced for the NAVWP</w:t>
      </w:r>
      <w:r w:rsidR="00CF7049">
        <w:rPr>
          <w:rFonts w:ascii="Cambria" w:eastAsia="Times New Roman" w:hAnsi="Cambria" w:cs="Times New Roman"/>
          <w:sz w:val="20"/>
          <w:szCs w:val="20"/>
          <w:lang w:bidi="ta-LK"/>
        </w:rPr>
        <w:t>,</w:t>
      </w:r>
      <w:r w:rsidRPr="0077715C">
        <w:rPr>
          <w:rFonts w:ascii="Cambria" w:eastAsia="Times New Roman" w:hAnsi="Cambria" w:cs="Times New Roman"/>
          <w:sz w:val="20"/>
          <w:szCs w:val="20"/>
          <w:lang w:bidi="ta-LK"/>
        </w:rPr>
        <w:t xml:space="preserve"> which would enable a systematic complaints mechanism for the public is still in early stages of development. The Board of the Authority was suspended after the Presidential election in 2019 and was only recently appointed</w:t>
      </w:r>
      <w:r w:rsidR="00CF7049">
        <w:rPr>
          <w:rFonts w:ascii="Cambria" w:eastAsia="Times New Roman" w:hAnsi="Cambria" w:cs="Times New Roman"/>
          <w:sz w:val="20"/>
          <w:szCs w:val="20"/>
          <w:lang w:bidi="ta-LK"/>
        </w:rPr>
        <w:t>,</w:t>
      </w:r>
      <w:r w:rsidRPr="0077715C">
        <w:rPr>
          <w:rFonts w:ascii="Cambria" w:eastAsia="Times New Roman" w:hAnsi="Cambria" w:cs="Times New Roman"/>
          <w:sz w:val="20"/>
          <w:szCs w:val="20"/>
          <w:lang w:bidi="ta-LK"/>
        </w:rPr>
        <w:t xml:space="preserve"> barring decision making and acceleration of activities. T</w:t>
      </w:r>
      <w:r w:rsidRPr="0077715C">
        <w:rPr>
          <w:rFonts w:ascii="Cambria" w:hAnsi="Cambria" w:cs="Arial"/>
          <w:color w:val="000000" w:themeColor="text1"/>
          <w:sz w:val="20"/>
          <w:szCs w:val="20"/>
        </w:rPr>
        <w:t>he Module on Trauma informed care</w:t>
      </w:r>
      <w:r w:rsidR="00CF7049">
        <w:rPr>
          <w:rFonts w:ascii="Cambria" w:hAnsi="Cambria" w:cs="Arial"/>
          <w:color w:val="000000" w:themeColor="text1"/>
          <w:sz w:val="20"/>
          <w:szCs w:val="20"/>
        </w:rPr>
        <w:t>,</w:t>
      </w:r>
      <w:r w:rsidRPr="0077715C">
        <w:rPr>
          <w:rFonts w:ascii="Cambria" w:hAnsi="Cambria" w:cs="Arial"/>
          <w:color w:val="000000" w:themeColor="text1"/>
          <w:sz w:val="20"/>
          <w:szCs w:val="20"/>
        </w:rPr>
        <w:t xml:space="preserve"> which was being developed to establish a coordination mechanism between law enforcement and clinical psychiatrists on responding to the needs of victims of crime</w:t>
      </w:r>
      <w:r w:rsidR="00CF7049">
        <w:rPr>
          <w:rFonts w:ascii="Cambria" w:hAnsi="Cambria" w:cs="Arial"/>
          <w:color w:val="000000" w:themeColor="text1"/>
          <w:sz w:val="20"/>
          <w:szCs w:val="20"/>
        </w:rPr>
        <w:t>,</w:t>
      </w:r>
      <w:r w:rsidRPr="0077715C">
        <w:rPr>
          <w:rFonts w:ascii="Cambria" w:hAnsi="Cambria" w:cs="Arial"/>
          <w:color w:val="000000" w:themeColor="text1"/>
          <w:sz w:val="20"/>
          <w:szCs w:val="20"/>
        </w:rPr>
        <w:t xml:space="preserve"> is currently pending. </w:t>
      </w:r>
    </w:p>
    <w:p w14:paraId="0B471C26" w14:textId="3CC0F77E" w:rsidR="0077715C" w:rsidRPr="0077715C" w:rsidRDefault="0077715C" w:rsidP="0077715C">
      <w:pPr>
        <w:spacing w:line="360" w:lineRule="auto"/>
        <w:jc w:val="both"/>
        <w:rPr>
          <w:rFonts w:ascii="Cambria" w:hAnsi="Cambria" w:cs="Calibri"/>
          <w:bCs/>
          <w:color w:val="000000" w:themeColor="text1"/>
          <w:sz w:val="20"/>
          <w:szCs w:val="20"/>
        </w:rPr>
      </w:pPr>
      <w:r w:rsidRPr="0077715C">
        <w:rPr>
          <w:rFonts w:ascii="Cambria" w:hAnsi="Cambria" w:cs="Calibri"/>
          <w:bCs/>
          <w:color w:val="000000" w:themeColor="text1"/>
          <w:sz w:val="20"/>
          <w:szCs w:val="20"/>
        </w:rPr>
        <w:t>As in Pillar One, there was consensus among IPs with regard to the role and capacity of UNDP to influence policy development</w:t>
      </w:r>
      <w:r w:rsidR="00CF7049">
        <w:rPr>
          <w:rFonts w:ascii="Cambria" w:hAnsi="Cambria" w:cs="Calibri"/>
          <w:bCs/>
          <w:color w:val="000000" w:themeColor="text1"/>
          <w:sz w:val="20"/>
          <w:szCs w:val="20"/>
        </w:rPr>
        <w:t>,</w:t>
      </w:r>
      <w:r w:rsidRPr="0077715C">
        <w:rPr>
          <w:rFonts w:ascii="Cambria" w:hAnsi="Cambria" w:cs="Calibri"/>
          <w:bCs/>
          <w:color w:val="000000" w:themeColor="text1"/>
          <w:sz w:val="20"/>
          <w:szCs w:val="20"/>
        </w:rPr>
        <w:t xml:space="preserve"> through partnerships and collaboration and the role played by technical specialists being instrumental in furthering and advancing the reform agenda.  </w:t>
      </w:r>
    </w:p>
    <w:p w14:paraId="49C71DC8" w14:textId="6A85F0E9" w:rsidR="00331FB6" w:rsidRPr="00D03A2B" w:rsidRDefault="00331FB6" w:rsidP="007C766E">
      <w:pPr>
        <w:pStyle w:val="ListParagraph"/>
        <w:numPr>
          <w:ilvl w:val="0"/>
          <w:numId w:val="31"/>
        </w:numPr>
        <w:spacing w:before="180" w:after="180" w:line="360" w:lineRule="auto"/>
        <w:jc w:val="both"/>
        <w:rPr>
          <w:rFonts w:ascii="Cambria" w:hAnsi="Cambria" w:cs="Calibri"/>
          <w:b/>
          <w:color w:val="0070C0"/>
          <w:sz w:val="20"/>
          <w:szCs w:val="20"/>
          <w:lang w:val="en-GB"/>
        </w:rPr>
      </w:pPr>
      <w:r w:rsidRPr="00D03A2B">
        <w:rPr>
          <w:rFonts w:ascii="Cambria" w:hAnsi="Cambria" w:cs="Calibri"/>
          <w:b/>
          <w:color w:val="0070C0"/>
          <w:sz w:val="20"/>
          <w:szCs w:val="20"/>
          <w:lang w:val="en-GB"/>
        </w:rPr>
        <w:t>The effectiveness of the partner selection process.</w:t>
      </w:r>
    </w:p>
    <w:p w14:paraId="76CE6DED" w14:textId="1F89485B" w:rsidR="00331FB6" w:rsidRPr="00223CBF" w:rsidRDefault="00331FB6" w:rsidP="000507CA">
      <w:pPr>
        <w:spacing w:line="360" w:lineRule="auto"/>
        <w:jc w:val="both"/>
        <w:rPr>
          <w:rFonts w:ascii="Cambria" w:hAnsi="Cambria"/>
          <w:color w:val="000000" w:themeColor="text1"/>
          <w:sz w:val="20"/>
          <w:szCs w:val="20"/>
        </w:rPr>
      </w:pPr>
      <w:r w:rsidRPr="00223CBF">
        <w:rPr>
          <w:rFonts w:ascii="Cambria" w:hAnsi="Cambria"/>
          <w:color w:val="000000" w:themeColor="text1"/>
          <w:sz w:val="20"/>
          <w:szCs w:val="20"/>
        </w:rPr>
        <w:t xml:space="preserve">The early selection of interventions also determined the strategy adopted for partner engagement. UNDP engagement with governance institutions especially justice sector institutions pre dates the Portfolio. Previous Rule of Law and Access to Justice projects targeted a broad range of justice sector actors including the relevant line ministries, Judiciary and Judicial Service Commission (JSC), AGD, LDD, Government Analyst’s </w:t>
      </w:r>
      <w:r w:rsidR="00F25DF1">
        <w:rPr>
          <w:rFonts w:ascii="Cambria" w:hAnsi="Cambria"/>
          <w:color w:val="000000" w:themeColor="text1"/>
          <w:sz w:val="20"/>
          <w:szCs w:val="20"/>
        </w:rPr>
        <w:t>D</w:t>
      </w:r>
      <w:r w:rsidRPr="00223CBF">
        <w:rPr>
          <w:rFonts w:ascii="Cambria" w:hAnsi="Cambria"/>
          <w:color w:val="000000" w:themeColor="text1"/>
          <w:sz w:val="20"/>
          <w:szCs w:val="20"/>
        </w:rPr>
        <w:t>epartment (GAD), Judicial Medical Officers (JMOs), BASL and LAC, police department, divisional secretaries and Grama Niladharis (GNs) and CSOs</w:t>
      </w:r>
      <w:r w:rsidR="00461DC9" w:rsidRPr="00223CBF">
        <w:rPr>
          <w:rFonts w:ascii="Cambria" w:hAnsi="Cambria"/>
          <w:color w:val="000000" w:themeColor="text1"/>
          <w:sz w:val="20"/>
          <w:szCs w:val="20"/>
        </w:rPr>
        <w:t xml:space="preserve">. The projects </w:t>
      </w:r>
      <w:r w:rsidR="009218E5" w:rsidRPr="00223CBF">
        <w:rPr>
          <w:rFonts w:ascii="Cambria" w:hAnsi="Cambria"/>
          <w:color w:val="000000" w:themeColor="text1"/>
          <w:sz w:val="20"/>
          <w:szCs w:val="20"/>
        </w:rPr>
        <w:t>provided</w:t>
      </w:r>
      <w:r w:rsidRPr="00223CBF">
        <w:rPr>
          <w:rFonts w:ascii="Cambria" w:hAnsi="Cambria"/>
          <w:color w:val="000000" w:themeColor="text1"/>
          <w:sz w:val="20"/>
          <w:szCs w:val="20"/>
        </w:rPr>
        <w:t xml:space="preserve"> a holistic approach to justice sector reforms</w:t>
      </w:r>
      <w:r w:rsidR="00CF7049">
        <w:rPr>
          <w:rFonts w:ascii="Cambria" w:hAnsi="Cambria"/>
          <w:color w:val="000000" w:themeColor="text1"/>
          <w:sz w:val="20"/>
          <w:szCs w:val="20"/>
        </w:rPr>
        <w:t>,</w:t>
      </w:r>
      <w:r w:rsidRPr="00223CBF">
        <w:rPr>
          <w:rFonts w:ascii="Cambria" w:hAnsi="Cambria"/>
          <w:color w:val="000000" w:themeColor="text1"/>
          <w:sz w:val="20"/>
          <w:szCs w:val="20"/>
        </w:rPr>
        <w:t xml:space="preserve"> including policy development, </w:t>
      </w:r>
      <w:r w:rsidR="00F537B1">
        <w:rPr>
          <w:rFonts w:ascii="Cambria" w:hAnsi="Cambria"/>
          <w:color w:val="000000" w:themeColor="text1"/>
          <w:sz w:val="20"/>
          <w:szCs w:val="20"/>
        </w:rPr>
        <w:t>i</w:t>
      </w:r>
      <w:r w:rsidRPr="00223CBF">
        <w:rPr>
          <w:rFonts w:ascii="Cambria" w:hAnsi="Cambria"/>
          <w:color w:val="000000" w:themeColor="text1"/>
          <w:sz w:val="20"/>
          <w:szCs w:val="20"/>
        </w:rPr>
        <w:t>nstitutional and capacity development, accessible legal aid and awareness raising. Contrastingly, the focus of the Outputs has been limited to selected justice sector partners</w:t>
      </w:r>
      <w:r w:rsidR="00CF7049">
        <w:rPr>
          <w:rFonts w:ascii="Cambria" w:hAnsi="Cambria"/>
          <w:color w:val="000000" w:themeColor="text1"/>
          <w:sz w:val="20"/>
          <w:szCs w:val="20"/>
        </w:rPr>
        <w:t>,</w:t>
      </w:r>
      <w:r w:rsidRPr="00223CBF">
        <w:rPr>
          <w:rFonts w:ascii="Cambria" w:hAnsi="Cambria"/>
          <w:color w:val="000000" w:themeColor="text1"/>
          <w:sz w:val="20"/>
          <w:szCs w:val="20"/>
        </w:rPr>
        <w:t xml:space="preserve"> in comparison to its multi partner approach availed in previous access to justice reform projects. </w:t>
      </w:r>
    </w:p>
    <w:p w14:paraId="26BDC0FB" w14:textId="31C6FB2D" w:rsidR="00E5486D" w:rsidRPr="00223CBF" w:rsidRDefault="00461DC9" w:rsidP="000E5D2C">
      <w:pPr>
        <w:spacing w:line="360" w:lineRule="auto"/>
        <w:jc w:val="both"/>
        <w:rPr>
          <w:rFonts w:ascii="Cambria" w:hAnsi="Cambria"/>
          <w:sz w:val="20"/>
          <w:szCs w:val="20"/>
          <w:lang w:val="en-GB"/>
        </w:rPr>
      </w:pPr>
      <w:r w:rsidRPr="00223CBF">
        <w:rPr>
          <w:rFonts w:ascii="Cambria" w:hAnsi="Cambria" w:cs="Arial"/>
          <w:color w:val="000000" w:themeColor="text1"/>
          <w:sz w:val="20"/>
          <w:szCs w:val="20"/>
        </w:rPr>
        <w:t>According to discussions with UNDP, t</w:t>
      </w:r>
      <w:r w:rsidR="00331FB6" w:rsidRPr="00223CBF">
        <w:rPr>
          <w:rFonts w:ascii="Cambria" w:hAnsi="Cambria" w:cs="Arial"/>
          <w:color w:val="000000" w:themeColor="text1"/>
          <w:sz w:val="20"/>
          <w:szCs w:val="20"/>
        </w:rPr>
        <w:t>his was partly owing to donor response and focus emphasi</w:t>
      </w:r>
      <w:r w:rsidR="000E5D2C">
        <w:rPr>
          <w:rFonts w:ascii="Cambria" w:hAnsi="Cambria" w:cs="Arial"/>
          <w:color w:val="000000" w:themeColor="text1"/>
          <w:sz w:val="20"/>
          <w:szCs w:val="20"/>
        </w:rPr>
        <w:t>s</w:t>
      </w:r>
      <w:r w:rsidR="00331FB6" w:rsidRPr="00223CBF">
        <w:rPr>
          <w:rFonts w:ascii="Cambria" w:hAnsi="Cambria" w:cs="Arial"/>
          <w:color w:val="000000" w:themeColor="text1"/>
          <w:sz w:val="20"/>
          <w:szCs w:val="20"/>
        </w:rPr>
        <w:t>ing on TJ mechanisms as opposed to a justice sector delivery. This however, denied the opportunity of conducting a comprehensive mapping of existing justice sector initiatives</w:t>
      </w:r>
      <w:r w:rsidR="00CF7049">
        <w:rPr>
          <w:rFonts w:ascii="Cambria" w:hAnsi="Cambria" w:cs="Arial"/>
          <w:color w:val="000000" w:themeColor="text1"/>
          <w:sz w:val="20"/>
          <w:szCs w:val="20"/>
        </w:rPr>
        <w:t>,</w:t>
      </w:r>
      <w:r w:rsidR="00331FB6" w:rsidRPr="00223CBF">
        <w:rPr>
          <w:rFonts w:ascii="Cambria" w:hAnsi="Cambria" w:cs="Arial"/>
          <w:color w:val="000000" w:themeColor="text1"/>
          <w:sz w:val="20"/>
          <w:szCs w:val="20"/>
        </w:rPr>
        <w:t xml:space="preserve"> either with support of UNDP or other DPs</w:t>
      </w:r>
      <w:r w:rsidR="00F537B1">
        <w:rPr>
          <w:rFonts w:ascii="Cambria" w:hAnsi="Cambria" w:cs="Arial"/>
          <w:color w:val="000000" w:themeColor="text1"/>
          <w:sz w:val="20"/>
          <w:szCs w:val="20"/>
        </w:rPr>
        <w:t>,</w:t>
      </w:r>
      <w:r w:rsidR="00331FB6" w:rsidRPr="00223CBF">
        <w:rPr>
          <w:rFonts w:ascii="Cambria" w:hAnsi="Cambria" w:cs="Arial"/>
          <w:color w:val="000000" w:themeColor="text1"/>
          <w:sz w:val="20"/>
          <w:szCs w:val="20"/>
        </w:rPr>
        <w:t xml:space="preserve"> to formulate a comprehensive policy and strategy towards justice sector reforms</w:t>
      </w:r>
      <w:r w:rsidR="00CF7049">
        <w:rPr>
          <w:rFonts w:ascii="Cambria" w:hAnsi="Cambria" w:cs="Arial"/>
          <w:color w:val="000000" w:themeColor="text1"/>
          <w:sz w:val="20"/>
          <w:szCs w:val="20"/>
        </w:rPr>
        <w:t>,</w:t>
      </w:r>
      <w:r w:rsidR="00331FB6" w:rsidRPr="00223CBF">
        <w:rPr>
          <w:rFonts w:ascii="Cambria" w:hAnsi="Cambria" w:cs="Arial"/>
          <w:color w:val="000000" w:themeColor="text1"/>
          <w:sz w:val="20"/>
          <w:szCs w:val="20"/>
        </w:rPr>
        <w:t xml:space="preserve"> to promote rule of law and access to justice.</w:t>
      </w:r>
    </w:p>
    <w:p w14:paraId="5EA76D87" w14:textId="77777777" w:rsidR="0077715C" w:rsidRPr="00223CBF" w:rsidRDefault="0077715C" w:rsidP="0077715C">
      <w:pPr>
        <w:shd w:val="clear" w:color="auto" w:fill="D3E5F6" w:themeFill="accent3" w:themeFillTint="33"/>
        <w:spacing w:line="360" w:lineRule="auto"/>
        <w:contextualSpacing/>
        <w:jc w:val="both"/>
        <w:rPr>
          <w:rFonts w:ascii="Cambria" w:hAnsi="Cambria" w:cs="Calibri"/>
          <w:b/>
          <w:color w:val="000000" w:themeColor="text1"/>
          <w:sz w:val="20"/>
          <w:szCs w:val="20"/>
          <w:lang w:val="en-GB"/>
        </w:rPr>
      </w:pPr>
      <w:r w:rsidRPr="00223CBF">
        <w:rPr>
          <w:rFonts w:ascii="Cambria" w:hAnsi="Cambria" w:cs="Calibri"/>
          <w:b/>
          <w:sz w:val="20"/>
          <w:szCs w:val="20"/>
          <w:lang w:val="en-GB"/>
        </w:rPr>
        <w:lastRenderedPageBreak/>
        <w:t xml:space="preserve">Output 2.2.  </w:t>
      </w:r>
      <w:r w:rsidRPr="00223CBF">
        <w:rPr>
          <w:rFonts w:ascii="Cambria" w:hAnsi="Cambria" w:cs="Calibri"/>
          <w:b/>
          <w:color w:val="000000" w:themeColor="text1"/>
          <w:sz w:val="20"/>
          <w:szCs w:val="20"/>
          <w:lang w:val="en-GB"/>
        </w:rPr>
        <w:t xml:space="preserve">State and non-state justice sector actors strengthened to deliver victim-centric services on areas including SGBV, victims and witness protection, and transitional justice and Outputs </w:t>
      </w:r>
    </w:p>
    <w:p w14:paraId="5821AE08" w14:textId="77777777" w:rsidR="0077715C" w:rsidRPr="00223CBF" w:rsidRDefault="0077715C" w:rsidP="0077715C">
      <w:pPr>
        <w:shd w:val="clear" w:color="auto" w:fill="D3E5F6" w:themeFill="accent3" w:themeFillTint="33"/>
        <w:spacing w:line="360" w:lineRule="auto"/>
        <w:contextualSpacing/>
        <w:jc w:val="both"/>
        <w:rPr>
          <w:rFonts w:ascii="Cambria" w:hAnsi="Cambria" w:cs="Calibri"/>
          <w:color w:val="000000" w:themeColor="text1"/>
          <w:sz w:val="20"/>
          <w:szCs w:val="20"/>
          <w:lang w:val="en-GB"/>
        </w:rPr>
      </w:pPr>
    </w:p>
    <w:p w14:paraId="1F1E4884" w14:textId="399EB1E8" w:rsidR="0077715C" w:rsidRPr="00223CBF" w:rsidRDefault="0077715C" w:rsidP="0077715C">
      <w:pPr>
        <w:numPr>
          <w:ilvl w:val="0"/>
          <w:numId w:val="13"/>
        </w:numPr>
        <w:shd w:val="clear" w:color="auto" w:fill="D3E5F6" w:themeFill="accent3" w:themeFillTint="33"/>
        <w:spacing w:before="180" w:after="180" w:line="360" w:lineRule="auto"/>
        <w:contextualSpacing/>
        <w:jc w:val="both"/>
        <w:rPr>
          <w:rFonts w:ascii="Cambria" w:hAnsi="Cambria" w:cs="Calibri"/>
          <w:bCs/>
          <w:sz w:val="20"/>
          <w:szCs w:val="20"/>
          <w:lang w:val="en-GB"/>
        </w:rPr>
      </w:pPr>
      <w:r w:rsidRPr="00223CBF">
        <w:rPr>
          <w:rFonts w:ascii="Cambria" w:hAnsi="Cambria" w:cs="Calibri"/>
          <w:bCs/>
          <w:sz w:val="20"/>
          <w:szCs w:val="20"/>
          <w:lang w:val="en-GB"/>
        </w:rPr>
        <w:t xml:space="preserve">Based on the responses received from IPs, there is perceived value in extensive support afforded to strengthen delivery of services of state and non-state actors. As mentioned above, support was holistic and deliberately aimed at gaps identified under the SGBV Plan and the Strategic </w:t>
      </w:r>
      <w:r>
        <w:rPr>
          <w:rFonts w:ascii="Cambria" w:hAnsi="Cambria" w:cs="Calibri"/>
          <w:bCs/>
          <w:sz w:val="20"/>
          <w:szCs w:val="20"/>
          <w:lang w:val="en-GB"/>
        </w:rPr>
        <w:t>A</w:t>
      </w:r>
      <w:r w:rsidRPr="00223CBF">
        <w:rPr>
          <w:rFonts w:ascii="Cambria" w:hAnsi="Cambria" w:cs="Calibri"/>
          <w:bCs/>
          <w:sz w:val="20"/>
          <w:szCs w:val="20"/>
          <w:lang w:val="en-GB"/>
        </w:rPr>
        <w:t xml:space="preserve">ction </w:t>
      </w:r>
      <w:r>
        <w:rPr>
          <w:rFonts w:ascii="Cambria" w:hAnsi="Cambria" w:cs="Calibri"/>
          <w:bCs/>
          <w:sz w:val="20"/>
          <w:szCs w:val="20"/>
          <w:lang w:val="en-GB"/>
        </w:rPr>
        <w:t>P</w:t>
      </w:r>
      <w:r w:rsidRPr="00223CBF">
        <w:rPr>
          <w:rFonts w:ascii="Cambria" w:hAnsi="Cambria" w:cs="Calibri"/>
          <w:bCs/>
          <w:sz w:val="20"/>
          <w:szCs w:val="20"/>
          <w:lang w:val="en-GB"/>
        </w:rPr>
        <w:t>lan developed by the MWCA</w:t>
      </w:r>
      <w:r w:rsidR="00CF7049">
        <w:rPr>
          <w:rFonts w:ascii="Cambria" w:hAnsi="Cambria" w:cs="Calibri"/>
          <w:bCs/>
          <w:sz w:val="20"/>
          <w:szCs w:val="20"/>
          <w:lang w:val="en-GB"/>
        </w:rPr>
        <w:t>,</w:t>
      </w:r>
      <w:r w:rsidRPr="00223CBF">
        <w:rPr>
          <w:rFonts w:ascii="Cambria" w:hAnsi="Cambria" w:cs="Calibri"/>
          <w:bCs/>
          <w:sz w:val="20"/>
          <w:szCs w:val="20"/>
          <w:lang w:val="en-GB"/>
        </w:rPr>
        <w:t xml:space="preserve"> with significant input from UNDP technical specialist. </w:t>
      </w:r>
    </w:p>
    <w:p w14:paraId="67D0C119" w14:textId="033FE89E" w:rsidR="0077715C" w:rsidRPr="00223CBF" w:rsidRDefault="0077715C" w:rsidP="0077715C">
      <w:pPr>
        <w:numPr>
          <w:ilvl w:val="0"/>
          <w:numId w:val="13"/>
        </w:numPr>
        <w:shd w:val="clear" w:color="auto" w:fill="D3E5F6" w:themeFill="accent3" w:themeFillTint="33"/>
        <w:spacing w:before="180" w:after="180" w:line="360" w:lineRule="auto"/>
        <w:contextualSpacing/>
        <w:jc w:val="both"/>
        <w:rPr>
          <w:rFonts w:ascii="Cambria" w:hAnsi="Cambria" w:cs="Calibri"/>
          <w:bCs/>
          <w:sz w:val="20"/>
          <w:szCs w:val="20"/>
          <w:lang w:val="en-GB"/>
        </w:rPr>
      </w:pPr>
      <w:r w:rsidRPr="00223CBF">
        <w:rPr>
          <w:rFonts w:ascii="Cambria" w:hAnsi="Cambria" w:cs="Calibri"/>
          <w:bCs/>
          <w:sz w:val="20"/>
          <w:szCs w:val="20"/>
          <w:lang w:val="en-GB"/>
        </w:rPr>
        <w:t>Institutional, process and systems developments were directly targeted by the Portfolio towards the MWCA</w:t>
      </w:r>
      <w:r w:rsidR="00CF7049">
        <w:rPr>
          <w:rFonts w:ascii="Cambria" w:hAnsi="Cambria" w:cs="Calibri"/>
          <w:bCs/>
          <w:sz w:val="20"/>
          <w:szCs w:val="20"/>
          <w:lang w:val="en-GB"/>
        </w:rPr>
        <w:t>,</w:t>
      </w:r>
      <w:r w:rsidRPr="00223CBF">
        <w:rPr>
          <w:rFonts w:ascii="Cambria" w:hAnsi="Cambria" w:cs="Calibri"/>
          <w:bCs/>
          <w:sz w:val="20"/>
          <w:szCs w:val="20"/>
          <w:lang w:val="en-GB"/>
        </w:rPr>
        <w:t xml:space="preserve"> to operationalise the Action Plan by strengthening the different units of the Ministry</w:t>
      </w:r>
      <w:r w:rsidR="00CF7049">
        <w:rPr>
          <w:rFonts w:ascii="Cambria" w:hAnsi="Cambria" w:cs="Calibri"/>
          <w:bCs/>
          <w:sz w:val="20"/>
          <w:szCs w:val="20"/>
          <w:lang w:val="en-GB"/>
        </w:rPr>
        <w:t>,</w:t>
      </w:r>
      <w:r w:rsidRPr="00223CBF">
        <w:rPr>
          <w:rFonts w:ascii="Cambria" w:hAnsi="Cambria" w:cs="Calibri"/>
          <w:bCs/>
          <w:sz w:val="20"/>
          <w:szCs w:val="20"/>
          <w:lang w:val="en-GB"/>
        </w:rPr>
        <w:t xml:space="preserve"> including the National Committee on Women to collect, collate, report and monitor the progress of Outputs under the SGBV Plan by the 9 sectoral committees.</w:t>
      </w:r>
    </w:p>
    <w:p w14:paraId="4E8CD16B" w14:textId="30AA5018" w:rsidR="0077715C" w:rsidRPr="00223CBF" w:rsidRDefault="0077715C" w:rsidP="0077715C">
      <w:pPr>
        <w:numPr>
          <w:ilvl w:val="0"/>
          <w:numId w:val="13"/>
        </w:numPr>
        <w:shd w:val="clear" w:color="auto" w:fill="D3E5F6" w:themeFill="accent3" w:themeFillTint="33"/>
        <w:spacing w:before="180" w:after="180" w:line="360" w:lineRule="auto"/>
        <w:contextualSpacing/>
        <w:jc w:val="both"/>
        <w:rPr>
          <w:rFonts w:ascii="Cambria" w:hAnsi="Cambria" w:cs="Calibri"/>
          <w:bCs/>
          <w:sz w:val="20"/>
          <w:szCs w:val="20"/>
          <w:lang w:val="en-GB"/>
        </w:rPr>
      </w:pPr>
      <w:r w:rsidRPr="00223CBF">
        <w:rPr>
          <w:rFonts w:ascii="Cambria" w:hAnsi="Cambria" w:cs="Calibri"/>
          <w:bCs/>
          <w:sz w:val="20"/>
          <w:szCs w:val="20"/>
          <w:lang w:val="en-GB"/>
        </w:rPr>
        <w:t>The Output continued to resource and reinforce the development of strategic planning of the MWCA. The SGBV Plan</w:t>
      </w:r>
      <w:r w:rsidR="00CF7049">
        <w:rPr>
          <w:rFonts w:ascii="Cambria" w:hAnsi="Cambria" w:cs="Calibri"/>
          <w:bCs/>
          <w:sz w:val="20"/>
          <w:szCs w:val="20"/>
          <w:lang w:val="en-GB"/>
        </w:rPr>
        <w:t>,</w:t>
      </w:r>
      <w:r w:rsidRPr="00223CBF">
        <w:rPr>
          <w:rFonts w:ascii="Cambria" w:hAnsi="Cambria" w:cs="Calibri"/>
          <w:bCs/>
          <w:sz w:val="20"/>
          <w:szCs w:val="20"/>
          <w:lang w:val="en-GB"/>
        </w:rPr>
        <w:t xml:space="preserve"> which is due to expire in December 2020 is currently being reviewed taking into consideration international best practices and standards and lessons learned</w:t>
      </w:r>
      <w:r w:rsidR="00CF7049">
        <w:rPr>
          <w:rFonts w:ascii="Cambria" w:hAnsi="Cambria" w:cs="Calibri"/>
          <w:bCs/>
          <w:sz w:val="20"/>
          <w:szCs w:val="20"/>
          <w:lang w:val="en-GB"/>
        </w:rPr>
        <w:t>,</w:t>
      </w:r>
      <w:r w:rsidRPr="00223CBF">
        <w:rPr>
          <w:rFonts w:ascii="Cambria" w:hAnsi="Cambria" w:cs="Calibri"/>
          <w:bCs/>
          <w:sz w:val="20"/>
          <w:szCs w:val="20"/>
          <w:lang w:val="en-GB"/>
        </w:rPr>
        <w:t xml:space="preserve"> to reduce risks imposed by the pandemic. </w:t>
      </w:r>
    </w:p>
    <w:p w14:paraId="0B4AE0F2" w14:textId="62B9ABAB" w:rsidR="0077715C" w:rsidRPr="00223CBF" w:rsidRDefault="0077715C" w:rsidP="000607E0">
      <w:pPr>
        <w:numPr>
          <w:ilvl w:val="0"/>
          <w:numId w:val="13"/>
        </w:numPr>
        <w:shd w:val="clear" w:color="auto" w:fill="85B2F6" w:themeFill="background2" w:themeFillShade="E6"/>
        <w:spacing w:before="180" w:after="180" w:line="360" w:lineRule="auto"/>
        <w:contextualSpacing/>
        <w:jc w:val="both"/>
        <w:rPr>
          <w:rFonts w:ascii="Cambria" w:hAnsi="Cambria" w:cs="Calibri"/>
          <w:bCs/>
          <w:sz w:val="20"/>
          <w:szCs w:val="20"/>
          <w:lang w:val="en-GB"/>
        </w:rPr>
      </w:pPr>
      <w:r w:rsidRPr="00223CBF">
        <w:rPr>
          <w:rFonts w:ascii="Cambria" w:hAnsi="Cambria" w:cs="Calibri"/>
          <w:bCs/>
          <w:sz w:val="20"/>
          <w:szCs w:val="20"/>
          <w:lang w:val="en-GB"/>
        </w:rPr>
        <w:t>The Portfolio has been successful in building coordination and referral mechanism</w:t>
      </w:r>
      <w:r>
        <w:rPr>
          <w:rFonts w:ascii="Cambria" w:hAnsi="Cambria" w:cs="Calibri"/>
          <w:bCs/>
          <w:sz w:val="20"/>
          <w:szCs w:val="20"/>
          <w:lang w:val="en-GB"/>
        </w:rPr>
        <w:t>s</w:t>
      </w:r>
      <w:r w:rsidR="00CF7049">
        <w:rPr>
          <w:rFonts w:ascii="Cambria" w:hAnsi="Cambria" w:cs="Calibri"/>
          <w:bCs/>
          <w:sz w:val="20"/>
          <w:szCs w:val="20"/>
          <w:lang w:val="en-GB"/>
        </w:rPr>
        <w:t>,</w:t>
      </w:r>
      <w:r w:rsidRPr="00223CBF">
        <w:rPr>
          <w:rFonts w:ascii="Cambria" w:hAnsi="Cambria" w:cs="Calibri"/>
          <w:bCs/>
          <w:sz w:val="20"/>
          <w:szCs w:val="20"/>
          <w:lang w:val="en-GB"/>
        </w:rPr>
        <w:t xml:space="preserve"> bridging a gap between the national state institutions, regional state institutions and CSOs. For example, the referral pathway, which was </w:t>
      </w:r>
      <w:r>
        <w:rPr>
          <w:rFonts w:ascii="Cambria" w:hAnsi="Cambria" w:cs="Calibri"/>
          <w:bCs/>
          <w:sz w:val="20"/>
          <w:szCs w:val="20"/>
          <w:lang w:val="en-GB"/>
        </w:rPr>
        <w:t xml:space="preserve">formulated </w:t>
      </w:r>
      <w:r w:rsidRPr="00223CBF">
        <w:rPr>
          <w:rFonts w:ascii="Cambria" w:hAnsi="Cambria" w:cs="Calibri"/>
          <w:bCs/>
          <w:sz w:val="20"/>
          <w:szCs w:val="20"/>
          <w:lang w:val="en-GB"/>
        </w:rPr>
        <w:t xml:space="preserve">in 2014 </w:t>
      </w:r>
      <w:r w:rsidR="00CF7049">
        <w:rPr>
          <w:rFonts w:ascii="Cambria" w:hAnsi="Cambria" w:cs="Calibri"/>
          <w:bCs/>
          <w:sz w:val="20"/>
          <w:szCs w:val="20"/>
          <w:lang w:val="en-GB"/>
        </w:rPr>
        <w:t>with</w:t>
      </w:r>
      <w:r w:rsidRPr="00223CBF">
        <w:rPr>
          <w:rFonts w:ascii="Cambria" w:hAnsi="Cambria" w:cs="Calibri"/>
          <w:bCs/>
          <w:sz w:val="20"/>
          <w:szCs w:val="20"/>
          <w:lang w:val="en-GB"/>
        </w:rPr>
        <w:t xml:space="preserve"> UNDP support</w:t>
      </w:r>
      <w:r w:rsidR="00CF7049">
        <w:rPr>
          <w:rFonts w:ascii="Cambria" w:hAnsi="Cambria" w:cs="Calibri"/>
          <w:bCs/>
          <w:sz w:val="20"/>
          <w:szCs w:val="20"/>
          <w:lang w:val="en-GB"/>
        </w:rPr>
        <w:t>,</w:t>
      </w:r>
      <w:r w:rsidRPr="00223CBF">
        <w:rPr>
          <w:rFonts w:ascii="Cambria" w:hAnsi="Cambria" w:cs="Calibri"/>
          <w:bCs/>
          <w:sz w:val="20"/>
          <w:szCs w:val="20"/>
          <w:lang w:val="en-GB"/>
        </w:rPr>
        <w:t xml:space="preserve"> has been updated and institutionalised through the Portfolio. The pathway provides a comprehensive roadmap to identify, intervene and provide essential services to survivors of SGBV</w:t>
      </w:r>
      <w:r w:rsidR="00A033EE">
        <w:rPr>
          <w:rFonts w:ascii="Cambria" w:hAnsi="Cambria" w:cs="Calibri"/>
          <w:bCs/>
          <w:sz w:val="20"/>
          <w:szCs w:val="20"/>
          <w:lang w:val="en-GB"/>
        </w:rPr>
        <w:t>,</w:t>
      </w:r>
      <w:r w:rsidRPr="00223CBF">
        <w:rPr>
          <w:rFonts w:ascii="Cambria" w:hAnsi="Cambria" w:cs="Calibri"/>
          <w:bCs/>
          <w:sz w:val="20"/>
          <w:szCs w:val="20"/>
          <w:lang w:val="en-GB"/>
        </w:rPr>
        <w:t xml:space="preserve"> at the District and Divisional level by multi stakeholder engagement.</w:t>
      </w:r>
    </w:p>
    <w:p w14:paraId="49FAA994" w14:textId="77777777" w:rsidR="0077715C" w:rsidRDefault="0077715C" w:rsidP="000607E0">
      <w:pPr>
        <w:shd w:val="clear" w:color="auto" w:fill="85B2F6" w:themeFill="background2" w:themeFillShade="E6"/>
        <w:spacing w:before="180" w:after="180" w:line="360" w:lineRule="auto"/>
        <w:contextualSpacing/>
        <w:jc w:val="both"/>
        <w:rPr>
          <w:rFonts w:ascii="Cambria" w:hAnsi="Cambria" w:cs="Calibri"/>
          <w:bCs/>
          <w:sz w:val="20"/>
          <w:szCs w:val="20"/>
          <w:lang w:val="en-GB"/>
        </w:rPr>
      </w:pPr>
    </w:p>
    <w:p w14:paraId="675E3240" w14:textId="77777777" w:rsidR="0077715C" w:rsidRDefault="0077715C" w:rsidP="0077715C">
      <w:pPr>
        <w:shd w:val="clear" w:color="auto" w:fill="FFFFFF" w:themeFill="background1"/>
        <w:spacing w:before="180" w:after="180" w:line="360" w:lineRule="auto"/>
        <w:ind w:left="360"/>
        <w:contextualSpacing/>
        <w:jc w:val="both"/>
        <w:rPr>
          <w:rFonts w:ascii="Cambria" w:hAnsi="Cambria" w:cs="Calibri"/>
          <w:bCs/>
          <w:sz w:val="20"/>
          <w:szCs w:val="20"/>
          <w:lang w:val="en-GB"/>
        </w:rPr>
      </w:pPr>
    </w:p>
    <w:p w14:paraId="23BABF35" w14:textId="48942F5D" w:rsidR="0077715C" w:rsidRDefault="0077715C" w:rsidP="0077715C">
      <w:pPr>
        <w:pStyle w:val="ListParagraph"/>
        <w:shd w:val="clear" w:color="auto" w:fill="FFFFFF" w:themeFill="background1"/>
        <w:rPr>
          <w:rFonts w:ascii="Cambria" w:hAnsi="Cambria" w:cs="Calibri"/>
          <w:bCs/>
          <w:sz w:val="20"/>
          <w:szCs w:val="20"/>
          <w:lang w:val="en-GB"/>
        </w:rPr>
      </w:pPr>
      <w:r>
        <w:rPr>
          <w:rFonts w:ascii="Cambria" w:hAnsi="Cambria" w:cs="Arial"/>
          <w:b/>
          <w:bCs/>
          <w:noProof/>
          <w:sz w:val="20"/>
          <w:szCs w:val="20"/>
        </w:rPr>
        <w:lastRenderedPageBreak/>
        <w:drawing>
          <wp:anchor distT="0" distB="0" distL="114300" distR="114300" simplePos="0" relativeHeight="251667456" behindDoc="1" locked="0" layoutInCell="1" allowOverlap="1" wp14:anchorId="7B182A10" wp14:editId="625C45A0">
            <wp:simplePos x="0" y="0"/>
            <wp:positionH relativeFrom="column">
              <wp:posOffset>-575310</wp:posOffset>
            </wp:positionH>
            <wp:positionV relativeFrom="paragraph">
              <wp:posOffset>170979</wp:posOffset>
            </wp:positionV>
            <wp:extent cx="7096125" cy="4274185"/>
            <wp:effectExtent l="0" t="0" r="3175" b="5715"/>
            <wp:wrapTight wrapText="bothSides">
              <wp:wrapPolygon edited="0">
                <wp:start x="0" y="0"/>
                <wp:lineTo x="0" y="21565"/>
                <wp:lineTo x="21571" y="21565"/>
                <wp:lineTo x="21571" y="0"/>
                <wp:lineTo x="0" y="0"/>
              </wp:wrapPolygon>
            </wp:wrapTight>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096125" cy="4274185"/>
                    </a:xfrm>
                    <a:prstGeom prst="rect">
                      <a:avLst/>
                    </a:prstGeom>
                  </pic:spPr>
                </pic:pic>
              </a:graphicData>
            </a:graphic>
            <wp14:sizeRelH relativeFrom="page">
              <wp14:pctWidth>0</wp14:pctWidth>
            </wp14:sizeRelH>
            <wp14:sizeRelV relativeFrom="page">
              <wp14:pctHeight>0</wp14:pctHeight>
            </wp14:sizeRelV>
          </wp:anchor>
        </w:drawing>
      </w:r>
    </w:p>
    <w:p w14:paraId="49C9F189" w14:textId="0B3B5B49" w:rsidR="0077715C" w:rsidRPr="0077715C" w:rsidRDefault="0077715C" w:rsidP="0077715C">
      <w:pPr>
        <w:pStyle w:val="ListParagraph"/>
        <w:numPr>
          <w:ilvl w:val="0"/>
          <w:numId w:val="13"/>
        </w:numPr>
        <w:shd w:val="clear" w:color="auto" w:fill="D3E5F6" w:themeFill="accent3" w:themeFillTint="33"/>
        <w:spacing w:before="180" w:after="180" w:line="360" w:lineRule="auto"/>
        <w:jc w:val="both"/>
        <w:rPr>
          <w:rFonts w:ascii="Cambria" w:hAnsi="Cambria" w:cs="Calibri"/>
          <w:bCs/>
          <w:sz w:val="20"/>
          <w:szCs w:val="20"/>
          <w:lang w:val="en-GB"/>
        </w:rPr>
      </w:pPr>
      <w:r w:rsidRPr="0077715C">
        <w:rPr>
          <w:rFonts w:ascii="Cambria" w:hAnsi="Cambria" w:cs="Calibri"/>
          <w:bCs/>
          <w:sz w:val="20"/>
          <w:szCs w:val="20"/>
          <w:lang w:val="en-GB"/>
        </w:rPr>
        <w:t>A simple strategy to successfully implement the referral pathway, the Output combined institutional strengthening and process development with extensive skills enhancement</w:t>
      </w:r>
      <w:r w:rsidR="00A033EE">
        <w:rPr>
          <w:rFonts w:ascii="Cambria" w:hAnsi="Cambria" w:cs="Calibri"/>
          <w:bCs/>
          <w:sz w:val="20"/>
          <w:szCs w:val="20"/>
          <w:lang w:val="en-GB"/>
        </w:rPr>
        <w:t>,</w:t>
      </w:r>
      <w:r w:rsidRPr="0077715C">
        <w:rPr>
          <w:rFonts w:ascii="Cambria" w:hAnsi="Cambria" w:cs="Calibri"/>
          <w:bCs/>
          <w:sz w:val="20"/>
          <w:szCs w:val="20"/>
          <w:lang w:val="en-GB"/>
        </w:rPr>
        <w:t xml:space="preserve"> through para legal training for Women Development Officers (WDOs) and CSOs. To increase effectiveness of interventions through efficient coordination and referral, support also extended to building coordination mechanisms</w:t>
      </w:r>
      <w:r w:rsidR="00A033EE">
        <w:rPr>
          <w:rFonts w:ascii="Cambria" w:hAnsi="Cambria" w:cs="Calibri"/>
          <w:bCs/>
          <w:sz w:val="20"/>
          <w:szCs w:val="20"/>
          <w:lang w:val="en-GB"/>
        </w:rPr>
        <w:t>,</w:t>
      </w:r>
      <w:r w:rsidRPr="0077715C">
        <w:rPr>
          <w:rFonts w:ascii="Cambria" w:hAnsi="Cambria" w:cs="Calibri"/>
          <w:bCs/>
          <w:sz w:val="20"/>
          <w:szCs w:val="20"/>
          <w:lang w:val="en-GB"/>
        </w:rPr>
        <w:t xml:space="preserve"> between the MWCA and regional state bodies such as the district and divisional secretariats. </w:t>
      </w:r>
    </w:p>
    <w:p w14:paraId="08F823A1" w14:textId="77777777" w:rsidR="0077715C" w:rsidRPr="00223CBF" w:rsidRDefault="0077715C" w:rsidP="0077715C">
      <w:pPr>
        <w:numPr>
          <w:ilvl w:val="0"/>
          <w:numId w:val="13"/>
        </w:numPr>
        <w:shd w:val="clear" w:color="auto" w:fill="D3E5F6" w:themeFill="accent3" w:themeFillTint="33"/>
        <w:spacing w:after="0" w:line="360" w:lineRule="auto"/>
        <w:contextualSpacing/>
        <w:jc w:val="both"/>
        <w:rPr>
          <w:rFonts w:ascii="Cambria" w:hAnsi="Cambria" w:cs="Calibri"/>
          <w:bCs/>
          <w:sz w:val="20"/>
          <w:szCs w:val="20"/>
        </w:rPr>
      </w:pPr>
      <w:r w:rsidRPr="00223CBF">
        <w:rPr>
          <w:rFonts w:ascii="Cambria" w:hAnsi="Cambria" w:cs="Calibri"/>
          <w:bCs/>
          <w:sz w:val="20"/>
          <w:szCs w:val="20"/>
        </w:rPr>
        <w:t xml:space="preserve">To improve effectiveness, the Output simultaneously targeted strengthening the capacities of CSOs to respond </w:t>
      </w:r>
      <w:r>
        <w:rPr>
          <w:rFonts w:ascii="Cambria" w:hAnsi="Cambria" w:cs="Calibri"/>
          <w:bCs/>
          <w:sz w:val="20"/>
          <w:szCs w:val="20"/>
        </w:rPr>
        <w:t xml:space="preserve">to </w:t>
      </w:r>
      <w:r w:rsidRPr="00223CBF">
        <w:rPr>
          <w:rFonts w:ascii="Cambria" w:hAnsi="Cambria" w:cs="Calibri"/>
          <w:bCs/>
          <w:sz w:val="20"/>
          <w:szCs w:val="20"/>
        </w:rPr>
        <w:t xml:space="preserve">beneficiaries. CSO engagement is primarily through three selected CSOs, namely Women in Need (WIN), OfERR Ceylon and Women’s </w:t>
      </w:r>
      <w:r>
        <w:rPr>
          <w:rFonts w:ascii="Cambria" w:hAnsi="Cambria" w:cs="Calibri"/>
          <w:bCs/>
          <w:sz w:val="20"/>
          <w:szCs w:val="20"/>
        </w:rPr>
        <w:t>D</w:t>
      </w:r>
      <w:r w:rsidRPr="00223CBF">
        <w:rPr>
          <w:rFonts w:ascii="Cambria" w:hAnsi="Cambria" w:cs="Calibri"/>
          <w:bCs/>
          <w:sz w:val="20"/>
          <w:szCs w:val="20"/>
        </w:rPr>
        <w:t xml:space="preserve">evelopment Centre (WDC) with a geographic presence in 15 districts in the country. Community outreach and advocacy strategy of the Output was by strengthening CSOs to provide victim and gender centric services to communities. This modem was not only employed to implement UNDP core activities, but also community outreach programmes of the MWCA as well. Capacity building was supported to provide psychological counselling, legal aid and shelter support for SGBV </w:t>
      </w:r>
      <w:r w:rsidRPr="00223CBF">
        <w:rPr>
          <w:rFonts w:ascii="Cambria" w:hAnsi="Cambria" w:cs="Calibri"/>
          <w:bCs/>
          <w:sz w:val="20"/>
          <w:szCs w:val="20"/>
        </w:rPr>
        <w:lastRenderedPageBreak/>
        <w:t>survivors. UNDP also supports CSOs to engage with the governance machinery within the region through the referral pathway.</w:t>
      </w:r>
      <w:r w:rsidRPr="00223CBF">
        <w:rPr>
          <w:rStyle w:val="FootnoteReference"/>
          <w:rFonts w:ascii="Cambria" w:hAnsi="Cambria" w:cs="Calibri"/>
          <w:bCs/>
          <w:sz w:val="20"/>
          <w:szCs w:val="20"/>
        </w:rPr>
        <w:footnoteReference w:id="62"/>
      </w:r>
    </w:p>
    <w:p w14:paraId="327B88CB" w14:textId="7E7F89E6" w:rsidR="0077715C" w:rsidRPr="00223CBF" w:rsidRDefault="0077715C" w:rsidP="000607E0">
      <w:pPr>
        <w:numPr>
          <w:ilvl w:val="0"/>
          <w:numId w:val="13"/>
        </w:numPr>
        <w:shd w:val="clear" w:color="auto" w:fill="85B2F6" w:themeFill="background2" w:themeFillShade="E6"/>
        <w:spacing w:after="0" w:line="360" w:lineRule="auto"/>
        <w:contextualSpacing/>
        <w:jc w:val="both"/>
        <w:rPr>
          <w:rFonts w:ascii="Cambria" w:hAnsi="Cambria" w:cs="Calibri"/>
          <w:bCs/>
          <w:sz w:val="20"/>
          <w:szCs w:val="20"/>
        </w:rPr>
      </w:pPr>
      <w:r w:rsidRPr="00223CBF">
        <w:rPr>
          <w:rFonts w:ascii="Cambria" w:hAnsi="Cambria" w:cs="Calibri"/>
          <w:bCs/>
          <w:sz w:val="20"/>
          <w:szCs w:val="20"/>
        </w:rPr>
        <w:t>OfERR provides a good example of supporting coordination and cooperation at different levels. Through Portfolio support OfERR strengthens the existing village level committees consisting of state actors and village leaders to discuss, identify and resolve issues</w:t>
      </w:r>
      <w:r w:rsidR="00A033EE">
        <w:rPr>
          <w:rFonts w:ascii="Cambria" w:hAnsi="Cambria" w:cs="Calibri"/>
          <w:bCs/>
          <w:sz w:val="20"/>
          <w:szCs w:val="20"/>
        </w:rPr>
        <w:t>,</w:t>
      </w:r>
      <w:r w:rsidRPr="00223CBF">
        <w:rPr>
          <w:rFonts w:ascii="Cambria" w:hAnsi="Cambria" w:cs="Calibri"/>
          <w:bCs/>
          <w:sz w:val="20"/>
          <w:szCs w:val="20"/>
        </w:rPr>
        <w:t xml:space="preserve"> particularly relating to women and children and fortifies the referral mechanism to the DS, police and other relevant state institutions to provide redress. Through these initiatives they have been successful in dealing with child marriage/cohabitation in Vavuniya</w:t>
      </w:r>
      <w:r w:rsidR="00A033EE">
        <w:rPr>
          <w:rFonts w:ascii="Cambria" w:hAnsi="Cambria" w:cs="Calibri"/>
          <w:bCs/>
          <w:sz w:val="20"/>
          <w:szCs w:val="20"/>
        </w:rPr>
        <w:t>,</w:t>
      </w:r>
      <w:r w:rsidRPr="00223CBF">
        <w:rPr>
          <w:rFonts w:ascii="Cambria" w:hAnsi="Cambria" w:cs="Calibri"/>
          <w:bCs/>
          <w:sz w:val="20"/>
          <w:szCs w:val="20"/>
        </w:rPr>
        <w:t xml:space="preserve"> by educating women and elders as well </w:t>
      </w:r>
      <w:r>
        <w:rPr>
          <w:rFonts w:ascii="Cambria" w:hAnsi="Cambria" w:cs="Calibri"/>
          <w:bCs/>
          <w:sz w:val="20"/>
          <w:szCs w:val="20"/>
        </w:rPr>
        <w:t xml:space="preserve">as </w:t>
      </w:r>
      <w:r w:rsidRPr="00223CBF">
        <w:rPr>
          <w:rFonts w:ascii="Cambria" w:hAnsi="Cambria" w:cs="Calibri"/>
          <w:bCs/>
          <w:sz w:val="20"/>
          <w:szCs w:val="20"/>
        </w:rPr>
        <w:t xml:space="preserve">convincing state institutions to withhold compensatory schemes for families that encourage child marriage.  </w:t>
      </w:r>
    </w:p>
    <w:p w14:paraId="483B9B27" w14:textId="38652FB5" w:rsidR="0077715C" w:rsidRPr="00223CBF" w:rsidRDefault="0077715C" w:rsidP="000607E0">
      <w:pPr>
        <w:numPr>
          <w:ilvl w:val="0"/>
          <w:numId w:val="13"/>
        </w:numPr>
        <w:shd w:val="clear" w:color="auto" w:fill="85B2F6" w:themeFill="background2" w:themeFillShade="E6"/>
        <w:spacing w:before="180" w:after="180" w:line="360" w:lineRule="auto"/>
        <w:contextualSpacing/>
        <w:jc w:val="both"/>
        <w:rPr>
          <w:rFonts w:ascii="Cambria" w:hAnsi="Cambria" w:cs="Calibri"/>
          <w:bCs/>
          <w:sz w:val="20"/>
          <w:szCs w:val="20"/>
          <w:lang w:val="en-GB"/>
        </w:rPr>
      </w:pPr>
      <w:r w:rsidRPr="00223CBF">
        <w:rPr>
          <w:rFonts w:ascii="Cambria" w:hAnsi="Cambria" w:cs="Calibri"/>
          <w:bCs/>
          <w:sz w:val="20"/>
          <w:szCs w:val="20"/>
          <w:lang w:val="en-GB"/>
        </w:rPr>
        <w:t>CSO engagement, which is plainly lacking in Pillar One is remedied by Pillar two, particularly under this Output. KPIs positively endorsed the strategy adopted by the Portfolio to strengthening the core services, competence, delivery and outreach of CSOs to deliver gender sensitive and victim centric services to traditionally excluded vulnerable groups. The strategy acknowledges the traditional role played by CSOs in providing an invaluable service by linking government and communities and DPs and communities. The strategy adopted under the overarching framework of the SGBV Plan</w:t>
      </w:r>
      <w:r w:rsidR="00A033EE">
        <w:rPr>
          <w:rFonts w:ascii="Cambria" w:hAnsi="Cambria" w:cs="Calibri"/>
          <w:bCs/>
          <w:sz w:val="20"/>
          <w:szCs w:val="20"/>
          <w:lang w:val="en-GB"/>
        </w:rPr>
        <w:t>,</w:t>
      </w:r>
      <w:r w:rsidRPr="00223CBF">
        <w:rPr>
          <w:rFonts w:ascii="Cambria" w:hAnsi="Cambria" w:cs="Calibri"/>
          <w:bCs/>
          <w:sz w:val="20"/>
          <w:szCs w:val="20"/>
          <w:lang w:val="en-GB"/>
        </w:rPr>
        <w:t xml:space="preserve"> also as KPI discussions highlight</w:t>
      </w:r>
      <w:r w:rsidR="00A033EE">
        <w:rPr>
          <w:rFonts w:ascii="Cambria" w:hAnsi="Cambria" w:cs="Calibri"/>
          <w:bCs/>
          <w:sz w:val="20"/>
          <w:szCs w:val="20"/>
          <w:lang w:val="en-GB"/>
        </w:rPr>
        <w:t>,</w:t>
      </w:r>
      <w:r w:rsidRPr="00223CBF">
        <w:rPr>
          <w:rFonts w:ascii="Cambria" w:hAnsi="Cambria" w:cs="Calibri"/>
          <w:bCs/>
          <w:sz w:val="20"/>
          <w:szCs w:val="20"/>
          <w:lang w:val="en-GB"/>
        </w:rPr>
        <w:t xml:space="preserve"> reinforces the role of CSOs as a crucial partner in monitoring and implementing the SDGs. </w:t>
      </w:r>
    </w:p>
    <w:p w14:paraId="31BC04FB" w14:textId="1CE402B4" w:rsidR="0077715C" w:rsidRPr="00223CBF" w:rsidRDefault="0077715C" w:rsidP="0077715C">
      <w:pPr>
        <w:numPr>
          <w:ilvl w:val="0"/>
          <w:numId w:val="13"/>
        </w:numPr>
        <w:shd w:val="clear" w:color="auto" w:fill="D3E5F6" w:themeFill="accent3" w:themeFillTint="33"/>
        <w:spacing w:before="180" w:after="180" w:line="360" w:lineRule="auto"/>
        <w:contextualSpacing/>
        <w:jc w:val="both"/>
        <w:rPr>
          <w:rFonts w:ascii="Cambria" w:hAnsi="Cambria" w:cs="Calibri"/>
          <w:bCs/>
          <w:sz w:val="20"/>
          <w:szCs w:val="20"/>
          <w:lang w:val="en-GB"/>
        </w:rPr>
      </w:pPr>
      <w:r w:rsidRPr="00223CBF">
        <w:rPr>
          <w:rFonts w:ascii="Cambria" w:hAnsi="Cambria" w:cs="Calibri"/>
          <w:bCs/>
          <w:sz w:val="20"/>
          <w:szCs w:val="20"/>
          <w:lang w:val="en-GB"/>
        </w:rPr>
        <w:t>The human right based approach</w:t>
      </w:r>
      <w:r w:rsidR="00A033EE">
        <w:rPr>
          <w:rFonts w:ascii="Cambria" w:hAnsi="Cambria" w:cs="Calibri"/>
          <w:bCs/>
          <w:sz w:val="20"/>
          <w:szCs w:val="20"/>
          <w:lang w:val="en-GB"/>
        </w:rPr>
        <w:t>,</w:t>
      </w:r>
      <w:r w:rsidRPr="00223CBF">
        <w:rPr>
          <w:rFonts w:ascii="Cambria" w:hAnsi="Cambria" w:cs="Calibri"/>
          <w:bCs/>
          <w:sz w:val="20"/>
          <w:szCs w:val="20"/>
          <w:lang w:val="en-GB"/>
        </w:rPr>
        <w:t xml:space="preserve"> followed by the Output activities that focuses on engagement with CSOs to provide protection services such as psychological counselling, legal advice and court representation, documentation services, shelter facilities, vocational training and skills development and referral services to empower women and create a demand driven rights culture, augmented by simultaneous support to state institutions to improve inclusiveness and responsiveness is effective and has positively contributed towards impact. </w:t>
      </w:r>
    </w:p>
    <w:p w14:paraId="1517D48C" w14:textId="77777777" w:rsidR="0077715C" w:rsidRPr="00223CBF" w:rsidRDefault="0077715C" w:rsidP="0077715C">
      <w:pPr>
        <w:shd w:val="clear" w:color="auto" w:fill="D3E5F6" w:themeFill="accent3" w:themeFillTint="33"/>
        <w:spacing w:line="360" w:lineRule="auto"/>
        <w:jc w:val="both"/>
        <w:rPr>
          <w:rFonts w:ascii="Cambria" w:hAnsi="Cambria" w:cs="Calibri"/>
          <w:b/>
          <w:sz w:val="20"/>
          <w:szCs w:val="20"/>
          <w:lang w:val="en-GB"/>
        </w:rPr>
      </w:pPr>
    </w:p>
    <w:p w14:paraId="4E41BDA6" w14:textId="77777777" w:rsidR="0077715C" w:rsidRPr="00223CBF" w:rsidRDefault="0077715C" w:rsidP="0077715C">
      <w:pPr>
        <w:shd w:val="clear" w:color="auto" w:fill="D3E5F6" w:themeFill="accent3" w:themeFillTint="33"/>
        <w:spacing w:line="360" w:lineRule="auto"/>
        <w:jc w:val="both"/>
        <w:rPr>
          <w:rFonts w:ascii="Cambria" w:hAnsi="Cambria" w:cs="Calibri"/>
          <w:b/>
          <w:sz w:val="20"/>
          <w:szCs w:val="20"/>
          <w:lang w:val="en-GB"/>
        </w:rPr>
      </w:pPr>
      <w:r w:rsidRPr="00223CBF">
        <w:rPr>
          <w:rFonts w:ascii="Cambria" w:hAnsi="Cambria" w:cs="Calibri"/>
          <w:b/>
          <w:sz w:val="20"/>
          <w:szCs w:val="20"/>
          <w:lang w:val="en-GB"/>
        </w:rPr>
        <w:t>Partner Selection Process</w:t>
      </w:r>
    </w:p>
    <w:p w14:paraId="315FAB4E" w14:textId="724885F5" w:rsidR="0077715C" w:rsidRDefault="0077715C" w:rsidP="000607E0">
      <w:pPr>
        <w:numPr>
          <w:ilvl w:val="0"/>
          <w:numId w:val="12"/>
        </w:numPr>
        <w:shd w:val="clear" w:color="auto" w:fill="85B2F6" w:themeFill="background2" w:themeFillShade="E6"/>
        <w:spacing w:before="180" w:after="180" w:line="360" w:lineRule="auto"/>
        <w:jc w:val="both"/>
        <w:rPr>
          <w:rFonts w:ascii="Cambria" w:hAnsi="Cambria" w:cs="Calibri"/>
          <w:bCs/>
          <w:sz w:val="20"/>
          <w:szCs w:val="20"/>
          <w:lang w:val="en-GB"/>
        </w:rPr>
      </w:pPr>
      <w:r w:rsidRPr="00223CBF">
        <w:rPr>
          <w:rFonts w:ascii="Cambria" w:hAnsi="Cambria" w:cs="Calibri"/>
          <w:bCs/>
          <w:sz w:val="20"/>
          <w:szCs w:val="20"/>
          <w:lang w:val="en-GB"/>
        </w:rPr>
        <w:t>During the inception phase of the Portfolio</w:t>
      </w:r>
      <w:r w:rsidR="00A033EE">
        <w:rPr>
          <w:rFonts w:ascii="Cambria" w:hAnsi="Cambria" w:cs="Calibri"/>
          <w:bCs/>
          <w:sz w:val="20"/>
          <w:szCs w:val="20"/>
          <w:lang w:val="en-GB"/>
        </w:rPr>
        <w:t>,</w:t>
      </w:r>
      <w:r w:rsidRPr="00223CBF">
        <w:rPr>
          <w:rFonts w:ascii="Cambria" w:hAnsi="Cambria" w:cs="Calibri"/>
          <w:bCs/>
          <w:sz w:val="20"/>
          <w:szCs w:val="20"/>
          <w:lang w:val="en-GB"/>
        </w:rPr>
        <w:t xml:space="preserve"> an online application process was initiated to identify and select CSO</w:t>
      </w:r>
      <w:r>
        <w:rPr>
          <w:rFonts w:ascii="Cambria" w:hAnsi="Cambria" w:cs="Calibri"/>
          <w:bCs/>
          <w:sz w:val="20"/>
          <w:szCs w:val="20"/>
          <w:lang w:val="en-GB"/>
        </w:rPr>
        <w:t xml:space="preserve"> </w:t>
      </w:r>
      <w:r w:rsidRPr="00223CBF">
        <w:rPr>
          <w:rFonts w:ascii="Cambria" w:hAnsi="Cambria" w:cs="Calibri"/>
          <w:bCs/>
          <w:sz w:val="20"/>
          <w:szCs w:val="20"/>
          <w:lang w:val="en-GB"/>
        </w:rPr>
        <w:t>partner</w:t>
      </w:r>
      <w:r>
        <w:rPr>
          <w:rFonts w:ascii="Cambria" w:hAnsi="Cambria" w:cs="Calibri"/>
          <w:bCs/>
          <w:sz w:val="20"/>
          <w:szCs w:val="20"/>
          <w:lang w:val="en-GB"/>
        </w:rPr>
        <w:t xml:space="preserve">s. </w:t>
      </w:r>
    </w:p>
    <w:p w14:paraId="4B156B63" w14:textId="63480EA6" w:rsidR="0077715C" w:rsidRPr="0077715C" w:rsidRDefault="0077715C" w:rsidP="000607E0">
      <w:pPr>
        <w:numPr>
          <w:ilvl w:val="0"/>
          <w:numId w:val="12"/>
        </w:numPr>
        <w:shd w:val="clear" w:color="auto" w:fill="85B2F6" w:themeFill="background2" w:themeFillShade="E6"/>
        <w:spacing w:before="180" w:after="180" w:line="360" w:lineRule="auto"/>
        <w:jc w:val="both"/>
        <w:rPr>
          <w:rFonts w:ascii="Cambria" w:hAnsi="Cambria" w:cs="Calibri"/>
          <w:bCs/>
          <w:sz w:val="20"/>
          <w:szCs w:val="20"/>
          <w:lang w:val="en-GB"/>
        </w:rPr>
      </w:pPr>
      <w:r w:rsidRPr="00223CBF">
        <w:rPr>
          <w:rFonts w:ascii="Cambria" w:hAnsi="Cambria" w:cs="Calibri"/>
          <w:bCs/>
          <w:sz w:val="20"/>
          <w:szCs w:val="20"/>
          <w:lang w:val="en-GB"/>
        </w:rPr>
        <w:t>D</w:t>
      </w:r>
      <w:r w:rsidRPr="0077715C">
        <w:rPr>
          <w:rFonts w:ascii="Cambria" w:hAnsi="Cambria" w:cs="Calibri"/>
          <w:bCs/>
          <w:sz w:val="20"/>
          <w:szCs w:val="20"/>
          <w:lang w:val="en-GB"/>
        </w:rPr>
        <w:t>iscussions with UNDP</w:t>
      </w:r>
      <w:r w:rsidR="00A033EE">
        <w:rPr>
          <w:rFonts w:ascii="Cambria" w:hAnsi="Cambria" w:cs="Calibri"/>
          <w:bCs/>
          <w:sz w:val="20"/>
          <w:szCs w:val="20"/>
          <w:lang w:val="en-GB"/>
        </w:rPr>
        <w:t>,</w:t>
      </w:r>
      <w:r w:rsidRPr="0077715C">
        <w:rPr>
          <w:rFonts w:ascii="Cambria" w:hAnsi="Cambria" w:cs="Calibri"/>
          <w:bCs/>
          <w:sz w:val="20"/>
          <w:szCs w:val="20"/>
          <w:lang w:val="en-GB"/>
        </w:rPr>
        <w:t xml:space="preserve"> indicated the challenges faced by the team in the application process as most CSOs were unable to access or comply with the online application criteria, or simply did not have the technical capacity, language capacity or knowhow to submit their interests through an online process. This hindered </w:t>
      </w:r>
      <w:r w:rsidRPr="0077715C">
        <w:rPr>
          <w:rFonts w:ascii="Cambria" w:hAnsi="Cambria" w:cs="Calibri"/>
          <w:bCs/>
          <w:sz w:val="20"/>
          <w:szCs w:val="20"/>
          <w:lang w:val="en-GB"/>
        </w:rPr>
        <w:lastRenderedPageBreak/>
        <w:t xml:space="preserve">a robust system of selection based on merit, experience and capacity of CSOs to reach ground level organisations. </w:t>
      </w:r>
    </w:p>
    <w:p w14:paraId="0FC585E4" w14:textId="5E66DFE1" w:rsidR="0077715C" w:rsidRPr="00223CBF" w:rsidRDefault="0077715C" w:rsidP="0077715C">
      <w:pPr>
        <w:numPr>
          <w:ilvl w:val="0"/>
          <w:numId w:val="12"/>
        </w:numPr>
        <w:shd w:val="clear" w:color="auto" w:fill="D3E5F6" w:themeFill="accent3" w:themeFillTint="33"/>
        <w:spacing w:before="180" w:after="180" w:line="360" w:lineRule="auto"/>
        <w:jc w:val="both"/>
        <w:rPr>
          <w:rFonts w:ascii="Cambria" w:hAnsi="Cambria" w:cs="Calibri"/>
          <w:bCs/>
          <w:sz w:val="20"/>
          <w:szCs w:val="20"/>
          <w:lang w:val="en-GB"/>
        </w:rPr>
      </w:pPr>
      <w:r w:rsidRPr="00223CBF">
        <w:rPr>
          <w:rFonts w:ascii="Cambria" w:hAnsi="Cambria" w:cs="Calibri"/>
          <w:bCs/>
          <w:sz w:val="20"/>
          <w:szCs w:val="20"/>
          <w:lang w:val="en-GB"/>
        </w:rPr>
        <w:t>However, this challenge was mitigated to some extent by the evaluation process adopted and by relying on longstanding successful partnerships with CSOs. It is noteworthy that</w:t>
      </w:r>
      <w:r w:rsidR="00A033EE">
        <w:rPr>
          <w:rFonts w:ascii="Cambria" w:hAnsi="Cambria" w:cs="Calibri"/>
          <w:bCs/>
          <w:sz w:val="20"/>
          <w:szCs w:val="20"/>
          <w:lang w:val="en-GB"/>
        </w:rPr>
        <w:t>,</w:t>
      </w:r>
      <w:r w:rsidRPr="00223CBF">
        <w:rPr>
          <w:rFonts w:ascii="Cambria" w:hAnsi="Cambria" w:cs="Calibri"/>
          <w:bCs/>
          <w:sz w:val="20"/>
          <w:szCs w:val="20"/>
          <w:lang w:val="en-GB"/>
        </w:rPr>
        <w:t xml:space="preserve"> all three CSOs identified by the Output either have extensive experience and expertise working on women’s issues particularly, on SGBV or extensive reach through regional offices and coordinators and linkages to grassroot level organisations or extensive range of services provided or extensive experience working with state institutions and relevant line Ministries. </w:t>
      </w:r>
    </w:p>
    <w:p w14:paraId="27AE35E6" w14:textId="2BA791F5" w:rsidR="0077715C" w:rsidRPr="00223CBF" w:rsidRDefault="0077715C" w:rsidP="0077715C">
      <w:pPr>
        <w:numPr>
          <w:ilvl w:val="0"/>
          <w:numId w:val="12"/>
        </w:numPr>
        <w:shd w:val="clear" w:color="auto" w:fill="D3E5F6" w:themeFill="accent3" w:themeFillTint="33"/>
        <w:spacing w:before="180" w:after="180" w:line="360" w:lineRule="auto"/>
        <w:jc w:val="both"/>
        <w:rPr>
          <w:rFonts w:ascii="Cambria" w:hAnsi="Cambria" w:cs="Calibri"/>
          <w:bCs/>
          <w:sz w:val="20"/>
          <w:szCs w:val="20"/>
          <w:lang w:val="en-GB"/>
        </w:rPr>
      </w:pPr>
      <w:r w:rsidRPr="00223CBF">
        <w:rPr>
          <w:rFonts w:ascii="Cambria" w:hAnsi="Cambria" w:cs="Calibri"/>
          <w:bCs/>
          <w:sz w:val="20"/>
          <w:szCs w:val="20"/>
          <w:lang w:val="en-GB"/>
        </w:rPr>
        <w:t>However, although CSOs selected are strong victim centric organisations that has a strong geographical and institutional presence in the periphery (covers 15 districts)</w:t>
      </w:r>
      <w:r w:rsidR="00A033EE">
        <w:rPr>
          <w:rFonts w:ascii="Cambria" w:hAnsi="Cambria" w:cs="Calibri"/>
          <w:bCs/>
          <w:sz w:val="20"/>
          <w:szCs w:val="20"/>
          <w:lang w:val="en-GB"/>
        </w:rPr>
        <w:t>,</w:t>
      </w:r>
      <w:r w:rsidRPr="00223CBF">
        <w:rPr>
          <w:rFonts w:ascii="Cambria" w:hAnsi="Cambria" w:cs="Calibri"/>
          <w:bCs/>
          <w:sz w:val="20"/>
          <w:szCs w:val="20"/>
          <w:lang w:val="en-GB"/>
        </w:rPr>
        <w:t xml:space="preserve"> the portfolio will benefit from a review of mapping of CSOs in relevant areas. This will enable them to categorise new vulnerable groups or ‘new vulnerabilities’ due to increase in cyber-crimes and communities affected and victims re victimised by the pandemic. </w:t>
      </w:r>
    </w:p>
    <w:p w14:paraId="615689A0" w14:textId="569727F6" w:rsidR="0077715C" w:rsidRPr="006C13CC" w:rsidRDefault="0077715C" w:rsidP="0077715C">
      <w:pPr>
        <w:numPr>
          <w:ilvl w:val="0"/>
          <w:numId w:val="12"/>
        </w:numPr>
        <w:shd w:val="clear" w:color="auto" w:fill="D3E5F6" w:themeFill="accent3" w:themeFillTint="33"/>
        <w:spacing w:before="180" w:after="180" w:line="360" w:lineRule="auto"/>
        <w:jc w:val="both"/>
        <w:rPr>
          <w:rFonts w:ascii="Cambria" w:hAnsi="Cambria" w:cs="Calibri"/>
          <w:bCs/>
          <w:sz w:val="20"/>
          <w:szCs w:val="20"/>
          <w:lang w:val="en-GB"/>
        </w:rPr>
      </w:pPr>
      <w:bookmarkStart w:id="46" w:name="_Hlk59119359"/>
      <w:r w:rsidRPr="00223CBF">
        <w:rPr>
          <w:rFonts w:ascii="Cambria" w:hAnsi="Cambria" w:cs="Calibri"/>
          <w:bCs/>
          <w:sz w:val="20"/>
          <w:szCs w:val="20"/>
          <w:lang w:val="en-GB"/>
        </w:rPr>
        <w:t>The Portfolio overall could benefit from the study on ‘</w:t>
      </w:r>
      <w:r w:rsidRPr="00223CBF">
        <w:rPr>
          <w:rFonts w:ascii="Cambria" w:hAnsi="Cambria" w:cs="Calibri"/>
          <w:bCs/>
          <w:i/>
          <w:iCs/>
          <w:sz w:val="20"/>
          <w:szCs w:val="20"/>
          <w:lang w:val="en-GB"/>
        </w:rPr>
        <w:t>Civil Society Engagement Strategy for the UN Country Team Sri Lanka: Inclusive Engagement of Civil Society in SDG Implementation and Monitoring Processes’</w:t>
      </w:r>
      <w:r w:rsidRPr="00223CBF">
        <w:rPr>
          <w:rFonts w:ascii="Cambria" w:hAnsi="Cambria" w:cs="Calibri"/>
          <w:bCs/>
          <w:sz w:val="20"/>
          <w:szCs w:val="20"/>
          <w:lang w:val="en-GB"/>
        </w:rPr>
        <w:t xml:space="preserve"> developed in December 2019. The report discloses the UN-CSO engagement strategy</w:t>
      </w:r>
      <w:r w:rsidR="00A033EE">
        <w:rPr>
          <w:rFonts w:ascii="Cambria" w:hAnsi="Cambria" w:cs="Calibri"/>
          <w:bCs/>
          <w:sz w:val="20"/>
          <w:szCs w:val="20"/>
          <w:lang w:val="en-GB"/>
        </w:rPr>
        <w:t>,</w:t>
      </w:r>
      <w:r w:rsidRPr="00223CBF">
        <w:rPr>
          <w:rFonts w:ascii="Cambria" w:hAnsi="Cambria" w:cs="Calibri"/>
          <w:bCs/>
          <w:sz w:val="20"/>
          <w:szCs w:val="20"/>
          <w:lang w:val="en-GB"/>
        </w:rPr>
        <w:t xml:space="preserve"> to establish clear engagement platforms, enhance CSO capacities, regularise internal UN mechanisms and CSO mapping</w:t>
      </w:r>
      <w:r>
        <w:rPr>
          <w:rFonts w:ascii="Cambria" w:hAnsi="Cambria" w:cs="Calibri"/>
          <w:bCs/>
          <w:sz w:val="20"/>
          <w:szCs w:val="20"/>
          <w:lang w:val="en-GB"/>
        </w:rPr>
        <w:t xml:space="preserve"> </w:t>
      </w:r>
      <w:r w:rsidRPr="00223CBF">
        <w:rPr>
          <w:rFonts w:ascii="Cambria" w:hAnsi="Cambria" w:cs="Calibri"/>
          <w:bCs/>
          <w:sz w:val="20"/>
          <w:szCs w:val="20"/>
          <w:lang w:val="en-GB"/>
        </w:rPr>
        <w:t xml:space="preserve">to </w:t>
      </w:r>
      <w:r w:rsidRPr="006C13CC">
        <w:rPr>
          <w:rFonts w:ascii="Cambria" w:hAnsi="Cambria" w:cs="Calibri"/>
          <w:bCs/>
          <w:sz w:val="20"/>
          <w:szCs w:val="20"/>
          <w:lang w:val="en-GB"/>
        </w:rPr>
        <w:t>enforce SDGs in Sri Lanka.</w:t>
      </w:r>
    </w:p>
    <w:bookmarkEnd w:id="46"/>
    <w:p w14:paraId="4FEAAD7E" w14:textId="0F13CB66" w:rsidR="0077715C" w:rsidRPr="006C13CC" w:rsidRDefault="0077715C" w:rsidP="0077715C">
      <w:pPr>
        <w:numPr>
          <w:ilvl w:val="0"/>
          <w:numId w:val="11"/>
        </w:numPr>
        <w:shd w:val="clear" w:color="auto" w:fill="D3E5F6" w:themeFill="accent3" w:themeFillTint="33"/>
        <w:spacing w:before="180" w:after="180" w:line="360" w:lineRule="auto"/>
        <w:jc w:val="both"/>
        <w:rPr>
          <w:rFonts w:ascii="Cambria" w:hAnsi="Cambria" w:cs="Calibri"/>
          <w:bCs/>
          <w:sz w:val="20"/>
          <w:szCs w:val="20"/>
          <w:lang w:val="en-GB"/>
        </w:rPr>
      </w:pPr>
      <w:r w:rsidRPr="006C13CC">
        <w:rPr>
          <w:rFonts w:ascii="Cambria" w:hAnsi="Cambria" w:cs="Calibri"/>
          <w:bCs/>
          <w:sz w:val="20"/>
          <w:szCs w:val="20"/>
          <w:lang w:val="en-GB"/>
        </w:rPr>
        <w:t>Legal protection envisaged by the Outcome for SGBV survivors</w:t>
      </w:r>
      <w:r w:rsidR="00A033EE">
        <w:rPr>
          <w:rFonts w:ascii="Cambria" w:hAnsi="Cambria" w:cs="Calibri"/>
          <w:bCs/>
          <w:sz w:val="20"/>
          <w:szCs w:val="20"/>
          <w:lang w:val="en-GB"/>
        </w:rPr>
        <w:t>,</w:t>
      </w:r>
      <w:r w:rsidRPr="006C13CC">
        <w:rPr>
          <w:rFonts w:ascii="Cambria" w:hAnsi="Cambria" w:cs="Calibri"/>
          <w:bCs/>
          <w:sz w:val="20"/>
          <w:szCs w:val="20"/>
          <w:lang w:val="en-GB"/>
        </w:rPr>
        <w:t xml:space="preserve"> also include a strong component of access to free and quality legal aid services and shelter facilities through CSOs. The Output further assist shelter facilities operated by the MWCA to fill in an important gap in the system of VWP. Limited information from annual and quarterly reports on results indicate the increase in number of cases relating to domestic violence, etc. due to increased support to CSOs providing these services. Although it is challenging to evaluate the substantive effectiveness of these services</w:t>
      </w:r>
      <w:r w:rsidR="00A033EE">
        <w:rPr>
          <w:rFonts w:ascii="Cambria" w:hAnsi="Cambria" w:cs="Calibri"/>
          <w:bCs/>
          <w:sz w:val="20"/>
          <w:szCs w:val="20"/>
          <w:lang w:val="en-GB"/>
        </w:rPr>
        <w:t>,</w:t>
      </w:r>
      <w:r w:rsidRPr="006C13CC">
        <w:rPr>
          <w:rFonts w:ascii="Cambria" w:hAnsi="Cambria" w:cs="Calibri"/>
          <w:bCs/>
          <w:sz w:val="20"/>
          <w:szCs w:val="20"/>
          <w:lang w:val="en-GB"/>
        </w:rPr>
        <w:t xml:space="preserve"> due to lack of reporting or inadequate data from IPs, it can be observed that by strengthening the existing functions and services of CSOs and their expertise and presence within regions, the Output was able to maximise the effectiveness of the targeted activities and targeted beneficiaries. It was noted that UNDP could benefit from previous surveys and mapping done through former A2J projects namely ‘</w:t>
      </w:r>
      <w:r w:rsidRPr="00A033EE">
        <w:rPr>
          <w:rFonts w:ascii="Cambria" w:hAnsi="Cambria" w:cs="Calibri"/>
          <w:bCs/>
          <w:sz w:val="20"/>
          <w:szCs w:val="20"/>
          <w:lang w:val="en-GB"/>
        </w:rPr>
        <w:t xml:space="preserve">The </w:t>
      </w:r>
      <w:r w:rsidRPr="00A033EE">
        <w:rPr>
          <w:rFonts w:ascii="Cambria" w:hAnsi="Cambria" w:cs="Open Sans"/>
          <w:sz w:val="20"/>
          <w:szCs w:val="20"/>
          <w:bdr w:val="none" w:sz="0" w:space="0" w:color="auto" w:frame="1"/>
          <w:shd w:val="clear" w:color="auto" w:fill="BCD9DE" w:themeFill="accent5" w:themeFillTint="66"/>
        </w:rPr>
        <w:t xml:space="preserve">Legal Aid Sector in Sri Lanka: Searching for Sustainable Solutions’ which, </w:t>
      </w:r>
      <w:r w:rsidRPr="00A033EE">
        <w:rPr>
          <w:rFonts w:ascii="Cambria" w:hAnsi="Cambria" w:cs="Open Sans"/>
          <w:sz w:val="20"/>
          <w:szCs w:val="20"/>
          <w:shd w:val="clear" w:color="auto" w:fill="BCD9DE" w:themeFill="accent5" w:themeFillTint="66"/>
        </w:rPr>
        <w:t>provides a comprehensive map of Sri Lanka’s legal aid system</w:t>
      </w:r>
      <w:r w:rsidRPr="00A033EE">
        <w:rPr>
          <w:rFonts w:ascii="Cambria" w:hAnsi="Cambria" w:cs="Calibri"/>
          <w:bCs/>
          <w:sz w:val="20"/>
          <w:szCs w:val="20"/>
          <w:shd w:val="clear" w:color="auto" w:fill="BCD9DE" w:themeFill="accent5" w:themeFillTint="66"/>
          <w:lang w:val="en-GB"/>
        </w:rPr>
        <w:t xml:space="preserve"> to identify legal aid providers at community level</w:t>
      </w:r>
      <w:r w:rsidRPr="00A033EE">
        <w:rPr>
          <w:rFonts w:ascii="Cambria" w:hAnsi="Cambria" w:cs="Calibri"/>
          <w:bCs/>
          <w:sz w:val="20"/>
          <w:szCs w:val="20"/>
          <w:lang w:val="en-GB"/>
        </w:rPr>
        <w:t>. To increase effectiveness the Output would benefit from institutionalising partnership for greater collaboration with MOUs</w:t>
      </w:r>
      <w:r w:rsidRPr="006C13CC">
        <w:rPr>
          <w:rFonts w:ascii="Cambria" w:hAnsi="Cambria" w:cs="Calibri"/>
          <w:bCs/>
          <w:sz w:val="20"/>
          <w:szCs w:val="20"/>
          <w:lang w:val="en-GB"/>
        </w:rPr>
        <w:t xml:space="preserve"> with established legal aid organisations such as the LAC.</w:t>
      </w:r>
    </w:p>
    <w:p w14:paraId="4B4A7567" w14:textId="648C36A9" w:rsidR="00331FB6" w:rsidRPr="00223CBF" w:rsidRDefault="00331FB6" w:rsidP="000507CA">
      <w:pPr>
        <w:spacing w:line="360" w:lineRule="auto"/>
        <w:jc w:val="both"/>
        <w:rPr>
          <w:rFonts w:ascii="Cambria" w:hAnsi="Cambria"/>
          <w:sz w:val="20"/>
          <w:szCs w:val="20"/>
        </w:rPr>
      </w:pPr>
    </w:p>
    <w:p w14:paraId="0286D32D" w14:textId="5F795036" w:rsidR="00331FB6" w:rsidRPr="00223CBF" w:rsidRDefault="00331FB6" w:rsidP="000507CA">
      <w:pPr>
        <w:spacing w:line="360" w:lineRule="auto"/>
        <w:jc w:val="both"/>
        <w:rPr>
          <w:rFonts w:ascii="Cambria" w:hAnsi="Cambria"/>
          <w:b/>
          <w:bCs/>
          <w:sz w:val="20"/>
          <w:szCs w:val="20"/>
        </w:rPr>
      </w:pPr>
      <w:r w:rsidRPr="00223CBF">
        <w:rPr>
          <w:rFonts w:ascii="Cambria" w:hAnsi="Cambria"/>
          <w:b/>
          <w:bCs/>
          <w:sz w:val="20"/>
          <w:szCs w:val="20"/>
        </w:rPr>
        <w:lastRenderedPageBreak/>
        <w:t>EQ3. Efficien</w:t>
      </w:r>
      <w:r w:rsidR="00461DC9" w:rsidRPr="00223CBF">
        <w:rPr>
          <w:rFonts w:ascii="Cambria" w:hAnsi="Cambria"/>
          <w:b/>
          <w:bCs/>
          <w:sz w:val="20"/>
          <w:szCs w:val="20"/>
        </w:rPr>
        <w:t xml:space="preserve">cy </w:t>
      </w:r>
      <w:r w:rsidRPr="00223CBF">
        <w:rPr>
          <w:rFonts w:ascii="Cambria" w:hAnsi="Cambria"/>
          <w:b/>
          <w:bCs/>
          <w:sz w:val="20"/>
          <w:szCs w:val="20"/>
        </w:rPr>
        <w:t xml:space="preserve"> </w:t>
      </w:r>
    </w:p>
    <w:p w14:paraId="667D5769" w14:textId="77777777" w:rsidR="000C0C73" w:rsidRPr="00223CBF" w:rsidRDefault="000C0C73" w:rsidP="00E5486D">
      <w:pPr>
        <w:shd w:val="clear" w:color="auto" w:fill="92D050"/>
        <w:spacing w:line="360" w:lineRule="auto"/>
        <w:jc w:val="center"/>
        <w:rPr>
          <w:rFonts w:ascii="Cambria" w:hAnsi="Cambria" w:cs="Arial"/>
          <w:sz w:val="20"/>
          <w:szCs w:val="20"/>
        </w:rPr>
      </w:pPr>
    </w:p>
    <w:p w14:paraId="48F54DAF" w14:textId="718F4DE8" w:rsidR="00331FB6" w:rsidRPr="00223CBF" w:rsidRDefault="00331FB6" w:rsidP="00E5486D">
      <w:pPr>
        <w:shd w:val="clear" w:color="auto" w:fill="92D050"/>
        <w:spacing w:line="360" w:lineRule="auto"/>
        <w:jc w:val="center"/>
        <w:rPr>
          <w:rFonts w:ascii="Cambria" w:hAnsi="Cambria" w:cs="Arial"/>
          <w:sz w:val="20"/>
          <w:szCs w:val="20"/>
        </w:rPr>
      </w:pPr>
      <w:r w:rsidRPr="00223CBF">
        <w:rPr>
          <w:rFonts w:ascii="Cambria" w:hAnsi="Cambria" w:cs="Arial"/>
          <w:sz w:val="20"/>
          <w:szCs w:val="20"/>
        </w:rPr>
        <w:t xml:space="preserve">Efficiency looks at the extent to which the Portfolio has used the </w:t>
      </w:r>
      <w:r w:rsidRPr="00223CBF">
        <w:rPr>
          <w:rFonts w:ascii="Cambria" w:hAnsi="Cambria" w:cs="Arial"/>
          <w:b/>
          <w:bCs/>
          <w:sz w:val="20"/>
          <w:szCs w:val="20"/>
        </w:rPr>
        <w:t>most effective methods</w:t>
      </w:r>
      <w:r w:rsidRPr="00223CBF">
        <w:rPr>
          <w:rFonts w:ascii="Cambria" w:hAnsi="Cambria" w:cs="Arial"/>
          <w:sz w:val="20"/>
          <w:szCs w:val="20"/>
        </w:rPr>
        <w:t xml:space="preserve"> to achieve planned outcomes/outputs under each of Pillars One and Two. Efficiency also refers to the</w:t>
      </w:r>
      <w:r w:rsidRPr="00223CBF">
        <w:rPr>
          <w:rFonts w:ascii="Cambria" w:hAnsi="Cambria" w:cs="Arial"/>
          <w:b/>
          <w:bCs/>
          <w:sz w:val="20"/>
          <w:szCs w:val="20"/>
        </w:rPr>
        <w:t xml:space="preserve"> adequacy of the structures and modalities</w:t>
      </w:r>
      <w:r w:rsidRPr="00223CBF">
        <w:rPr>
          <w:rFonts w:ascii="Cambria" w:hAnsi="Cambria" w:cs="Arial"/>
          <w:sz w:val="20"/>
          <w:szCs w:val="20"/>
        </w:rPr>
        <w:t xml:space="preserve"> of the Portfolio to maximize financial and human resources cost and visibility of </w:t>
      </w:r>
      <w:r w:rsidRPr="00223CBF">
        <w:rPr>
          <w:rFonts w:ascii="Cambria" w:hAnsi="Cambria" w:cs="Arial"/>
          <w:b/>
          <w:bCs/>
          <w:sz w:val="20"/>
          <w:szCs w:val="20"/>
        </w:rPr>
        <w:t xml:space="preserve">best practices </w:t>
      </w:r>
      <w:r w:rsidRPr="00223CBF">
        <w:rPr>
          <w:rFonts w:ascii="Cambria" w:hAnsi="Cambria" w:cs="Arial"/>
          <w:sz w:val="20"/>
          <w:szCs w:val="20"/>
        </w:rPr>
        <w:t>in cost efficiency.</w:t>
      </w:r>
    </w:p>
    <w:p w14:paraId="42EF3945" w14:textId="77777777" w:rsidR="0077715C" w:rsidRPr="0077715C" w:rsidRDefault="0077715C" w:rsidP="0077715C">
      <w:pPr>
        <w:spacing w:before="180" w:after="180" w:line="360" w:lineRule="auto"/>
        <w:jc w:val="both"/>
        <w:rPr>
          <w:rFonts w:ascii="Cambria" w:hAnsi="Cambria" w:cstheme="minorHAnsi"/>
          <w:b/>
          <w:color w:val="0070C0"/>
          <w:sz w:val="20"/>
          <w:szCs w:val="20"/>
          <w:lang w:val="en-GB"/>
        </w:rPr>
      </w:pPr>
    </w:p>
    <w:p w14:paraId="05B21E04" w14:textId="01EC112A" w:rsidR="00331FB6" w:rsidRPr="00345AC4" w:rsidRDefault="00331FB6" w:rsidP="007C766E">
      <w:pPr>
        <w:pStyle w:val="ListParagraph"/>
        <w:numPr>
          <w:ilvl w:val="0"/>
          <w:numId w:val="32"/>
        </w:numPr>
        <w:spacing w:before="180" w:after="180" w:line="360" w:lineRule="auto"/>
        <w:jc w:val="both"/>
        <w:rPr>
          <w:rFonts w:ascii="Cambria" w:hAnsi="Cambria" w:cstheme="minorHAnsi"/>
          <w:b/>
          <w:color w:val="0070C0"/>
          <w:sz w:val="20"/>
          <w:szCs w:val="20"/>
          <w:lang w:val="en-GB"/>
        </w:rPr>
      </w:pPr>
      <w:r w:rsidRPr="00345AC4">
        <w:rPr>
          <w:rFonts w:ascii="Cambria" w:hAnsi="Cambria" w:cstheme="minorHAnsi"/>
          <w:b/>
          <w:color w:val="0070C0"/>
          <w:sz w:val="20"/>
          <w:szCs w:val="20"/>
          <w:lang w:val="en-GB"/>
        </w:rPr>
        <w:t xml:space="preserve">The extent to which the Outputs have used the most effective methods to achieve planned objectives and best practices </w:t>
      </w:r>
    </w:p>
    <w:p w14:paraId="03ABFF32" w14:textId="70C95975" w:rsidR="0077715C" w:rsidRPr="0077715C" w:rsidRDefault="0077715C" w:rsidP="00431E5B">
      <w:pPr>
        <w:spacing w:line="360" w:lineRule="auto"/>
        <w:jc w:val="both"/>
        <w:rPr>
          <w:rFonts w:ascii="Cambria" w:hAnsi="Cambria" w:cs="Calibri"/>
          <w:b/>
          <w:sz w:val="20"/>
          <w:szCs w:val="20"/>
          <w:lang w:val="en-GB"/>
        </w:rPr>
      </w:pPr>
      <w:r w:rsidRPr="0077715C">
        <w:rPr>
          <w:rFonts w:ascii="Cambria" w:hAnsi="Cambria" w:cs="Calibri"/>
          <w:b/>
          <w:sz w:val="20"/>
          <w:szCs w:val="20"/>
          <w:lang w:val="en-GB"/>
        </w:rPr>
        <w:t xml:space="preserve">Flexibility in allocation of resources: </w:t>
      </w:r>
      <w:r w:rsidRPr="0077715C">
        <w:rPr>
          <w:rFonts w:ascii="Cambria" w:hAnsi="Cambria" w:cs="Calibri"/>
          <w:bCs/>
          <w:sz w:val="20"/>
          <w:szCs w:val="20"/>
          <w:lang w:val="en-GB"/>
        </w:rPr>
        <w:t xml:space="preserve">Feedback received identified the Output as being efficient in its flexibility in reallocation of resources to address emerging needs fittingly as seen from the strategic interventions identified and supported if and when they were required.  </w:t>
      </w:r>
      <w:r w:rsidRPr="00962783">
        <w:rPr>
          <w:rFonts w:ascii="Cambria" w:hAnsi="Cambria" w:cs="Calibri"/>
          <w:bCs/>
          <w:sz w:val="20"/>
          <w:szCs w:val="20"/>
          <w:lang w:val="en-GB"/>
        </w:rPr>
        <w:t xml:space="preserve">Further allocation of resources to support linked interventions to push the Victim and Witness protection reforms through identifying several other partners in the justice sector including, LDD, AGD, police, universities, psychiatrists, government officials in the periphery, LAC and BASL, etc., and </w:t>
      </w:r>
      <w:r w:rsidR="00962783" w:rsidRPr="00962783">
        <w:rPr>
          <w:rFonts w:ascii="Cambria" w:hAnsi="Cambria" w:cs="Calibri"/>
          <w:bCs/>
          <w:sz w:val="20"/>
          <w:szCs w:val="20"/>
          <w:lang w:val="en-GB"/>
        </w:rPr>
        <w:t xml:space="preserve">by </w:t>
      </w:r>
      <w:r w:rsidRPr="00962783">
        <w:rPr>
          <w:rFonts w:ascii="Cambria" w:hAnsi="Cambria" w:cs="Calibri"/>
          <w:bCs/>
          <w:sz w:val="20"/>
          <w:szCs w:val="20"/>
          <w:lang w:val="en-GB"/>
        </w:rPr>
        <w:t>renew</w:t>
      </w:r>
      <w:r w:rsidR="00962783" w:rsidRPr="00962783">
        <w:rPr>
          <w:rFonts w:ascii="Cambria" w:hAnsi="Cambria" w:cs="Calibri"/>
          <w:bCs/>
          <w:sz w:val="20"/>
          <w:szCs w:val="20"/>
          <w:lang w:val="en-GB"/>
        </w:rPr>
        <w:t xml:space="preserve">ing </w:t>
      </w:r>
      <w:r w:rsidRPr="00962783">
        <w:rPr>
          <w:rFonts w:ascii="Cambria" w:hAnsi="Cambria" w:cs="Calibri"/>
          <w:bCs/>
          <w:sz w:val="20"/>
          <w:szCs w:val="20"/>
          <w:lang w:val="en-GB"/>
        </w:rPr>
        <w:t>and extend</w:t>
      </w:r>
      <w:r w:rsidR="00962783" w:rsidRPr="00962783">
        <w:rPr>
          <w:rFonts w:ascii="Cambria" w:hAnsi="Cambria" w:cs="Calibri"/>
          <w:bCs/>
          <w:sz w:val="20"/>
          <w:szCs w:val="20"/>
          <w:lang w:val="en-GB"/>
        </w:rPr>
        <w:t xml:space="preserve">ing </w:t>
      </w:r>
      <w:r w:rsidRPr="00962783">
        <w:rPr>
          <w:rFonts w:ascii="Cambria" w:hAnsi="Cambria" w:cs="Calibri"/>
          <w:bCs/>
          <w:sz w:val="20"/>
          <w:szCs w:val="20"/>
          <w:lang w:val="en-GB"/>
        </w:rPr>
        <w:t xml:space="preserve">partnerships formed through </w:t>
      </w:r>
      <w:r w:rsidR="00962783" w:rsidRPr="00962783">
        <w:rPr>
          <w:rFonts w:ascii="Cambria" w:hAnsi="Cambria" w:cs="Calibri"/>
          <w:bCs/>
          <w:sz w:val="20"/>
          <w:szCs w:val="20"/>
          <w:lang w:val="en-GB"/>
        </w:rPr>
        <w:t xml:space="preserve">former </w:t>
      </w:r>
      <w:r w:rsidRPr="00962783">
        <w:rPr>
          <w:rFonts w:ascii="Cambria" w:hAnsi="Cambria" w:cs="Calibri"/>
          <w:bCs/>
          <w:sz w:val="20"/>
          <w:szCs w:val="20"/>
          <w:lang w:val="en-GB"/>
        </w:rPr>
        <w:t xml:space="preserve">A2J initiatives </w:t>
      </w:r>
      <w:r w:rsidR="00962783" w:rsidRPr="00962783">
        <w:rPr>
          <w:rFonts w:ascii="Cambria" w:hAnsi="Cambria" w:cs="Calibri"/>
          <w:bCs/>
          <w:sz w:val="20"/>
          <w:szCs w:val="20"/>
          <w:lang w:val="en-GB"/>
        </w:rPr>
        <w:t xml:space="preserve">secured </w:t>
      </w:r>
      <w:r w:rsidRPr="00962783">
        <w:rPr>
          <w:rFonts w:ascii="Cambria" w:hAnsi="Cambria" w:cs="Calibri"/>
          <w:bCs/>
          <w:sz w:val="20"/>
          <w:szCs w:val="20"/>
          <w:lang w:val="en-GB"/>
        </w:rPr>
        <w:t>support for the second phase of the project for potential areas for collaboration. Moreover, extended partnerships also resulted</w:t>
      </w:r>
      <w:r w:rsidRPr="0077715C">
        <w:rPr>
          <w:rFonts w:ascii="Cambria" w:hAnsi="Cambria" w:cs="Calibri"/>
          <w:bCs/>
          <w:sz w:val="20"/>
          <w:szCs w:val="20"/>
          <w:lang w:val="en-GB"/>
        </w:rPr>
        <w:t xml:space="preserve"> in recognition of other crucial areas of further intervention in the second phase such as, ensuring greater access to affordable quality legal aid, launching the national legal aid policy and focusing on community mediation, which is considered as a well-established cost effective and popular form of dispute resolution.</w:t>
      </w:r>
    </w:p>
    <w:p w14:paraId="43B9E138" w14:textId="5074BABB" w:rsidR="00331FB6" w:rsidRPr="00345AC4" w:rsidRDefault="00331FB6" w:rsidP="007C766E">
      <w:pPr>
        <w:pStyle w:val="ListParagraph"/>
        <w:numPr>
          <w:ilvl w:val="0"/>
          <w:numId w:val="32"/>
        </w:numPr>
        <w:spacing w:before="180" w:after="180" w:line="360" w:lineRule="auto"/>
        <w:jc w:val="both"/>
        <w:rPr>
          <w:rFonts w:ascii="Cambria" w:hAnsi="Cambria" w:cstheme="minorHAnsi"/>
          <w:b/>
          <w:color w:val="0070C0"/>
          <w:sz w:val="20"/>
          <w:szCs w:val="20"/>
          <w:lang w:val="en-GB"/>
        </w:rPr>
      </w:pPr>
      <w:r w:rsidRPr="00345AC4">
        <w:rPr>
          <w:rFonts w:ascii="Cambria" w:hAnsi="Cambria" w:cstheme="minorHAnsi"/>
          <w:b/>
          <w:color w:val="0070C0"/>
          <w:sz w:val="20"/>
          <w:szCs w:val="20"/>
          <w:lang w:val="en-GB"/>
        </w:rPr>
        <w:t xml:space="preserve">The adequacy of Structures and Modalities to maximise efficiency </w:t>
      </w:r>
    </w:p>
    <w:p w14:paraId="4D01F796" w14:textId="0D74F070" w:rsidR="00331FB6" w:rsidRPr="00223CBF" w:rsidRDefault="00331FB6" w:rsidP="000507CA">
      <w:pPr>
        <w:spacing w:line="360" w:lineRule="auto"/>
        <w:jc w:val="both"/>
        <w:rPr>
          <w:rFonts w:ascii="Cambria" w:hAnsi="Cambria" w:cs="Calibri"/>
          <w:bCs/>
          <w:sz w:val="20"/>
          <w:szCs w:val="20"/>
          <w:lang w:val="en-GB"/>
        </w:rPr>
      </w:pPr>
      <w:r w:rsidRPr="00223CBF">
        <w:rPr>
          <w:rFonts w:ascii="Cambria" w:hAnsi="Cambria" w:cs="Calibri"/>
          <w:bCs/>
          <w:sz w:val="20"/>
          <w:szCs w:val="20"/>
          <w:lang w:val="en-GB"/>
        </w:rPr>
        <w:t>Introducing international standards and best practices into the law and strengthening it by building strong partnerships between state and independent institutions such as the NVWPA, PPD of the police and the NPC and providing additional services to draft V</w:t>
      </w:r>
      <w:r w:rsidR="00E90381" w:rsidRPr="00223CBF">
        <w:rPr>
          <w:rFonts w:ascii="Cambria" w:hAnsi="Cambria" w:cs="Calibri"/>
          <w:bCs/>
          <w:sz w:val="20"/>
          <w:szCs w:val="20"/>
          <w:lang w:val="en-GB"/>
        </w:rPr>
        <w:t>ictim Impact Statements (V</w:t>
      </w:r>
      <w:r w:rsidRPr="00223CBF">
        <w:rPr>
          <w:rFonts w:ascii="Cambria" w:hAnsi="Cambria" w:cs="Calibri"/>
          <w:bCs/>
          <w:sz w:val="20"/>
          <w:szCs w:val="20"/>
          <w:lang w:val="en-GB"/>
        </w:rPr>
        <w:t>ISs</w:t>
      </w:r>
      <w:r w:rsidR="00E90381" w:rsidRPr="00223CBF">
        <w:rPr>
          <w:rFonts w:ascii="Cambria" w:hAnsi="Cambria" w:cs="Calibri"/>
          <w:bCs/>
          <w:sz w:val="20"/>
          <w:szCs w:val="20"/>
          <w:lang w:val="en-GB"/>
        </w:rPr>
        <w:t>)</w:t>
      </w:r>
      <w:r w:rsidRPr="00223CBF">
        <w:rPr>
          <w:rFonts w:ascii="Cambria" w:hAnsi="Cambria" w:cs="Calibri"/>
          <w:bCs/>
          <w:sz w:val="20"/>
          <w:szCs w:val="20"/>
          <w:lang w:val="en-GB"/>
        </w:rPr>
        <w:t xml:space="preserve"> for compensation</w:t>
      </w:r>
      <w:r w:rsidR="00E90381" w:rsidRPr="00223CBF">
        <w:rPr>
          <w:rFonts w:ascii="Cambria" w:hAnsi="Cambria" w:cs="Calibri"/>
          <w:bCs/>
          <w:sz w:val="20"/>
          <w:szCs w:val="20"/>
          <w:lang w:val="en-GB"/>
        </w:rPr>
        <w:t>,</w:t>
      </w:r>
      <w:r w:rsidRPr="00223CBF">
        <w:rPr>
          <w:rFonts w:ascii="Cambria" w:hAnsi="Cambria" w:cs="Calibri"/>
          <w:bCs/>
          <w:sz w:val="20"/>
          <w:szCs w:val="20"/>
          <w:lang w:val="en-GB"/>
        </w:rPr>
        <w:t xml:space="preserve"> strengthen</w:t>
      </w:r>
      <w:r w:rsidR="00E90381" w:rsidRPr="00223CBF">
        <w:rPr>
          <w:rFonts w:ascii="Cambria" w:hAnsi="Cambria" w:cs="Calibri"/>
          <w:bCs/>
          <w:sz w:val="20"/>
          <w:szCs w:val="20"/>
          <w:lang w:val="en-GB"/>
        </w:rPr>
        <w:t xml:space="preserve">ing </w:t>
      </w:r>
      <w:r w:rsidRPr="00223CBF">
        <w:rPr>
          <w:rFonts w:ascii="Cambria" w:hAnsi="Cambria" w:cs="Calibri"/>
          <w:bCs/>
          <w:sz w:val="20"/>
          <w:szCs w:val="20"/>
          <w:lang w:val="en-GB"/>
        </w:rPr>
        <w:t>the independence and transparency of the mechanisms</w:t>
      </w:r>
      <w:r w:rsidR="00E90381" w:rsidRPr="00223CBF">
        <w:rPr>
          <w:rFonts w:ascii="Cambria" w:hAnsi="Cambria" w:cs="Calibri"/>
          <w:bCs/>
          <w:sz w:val="20"/>
          <w:szCs w:val="20"/>
          <w:lang w:val="en-GB"/>
        </w:rPr>
        <w:t xml:space="preserve"> w</w:t>
      </w:r>
      <w:r w:rsidRPr="00223CBF">
        <w:rPr>
          <w:rFonts w:ascii="Cambria" w:hAnsi="Cambria" w:cs="Calibri"/>
          <w:bCs/>
          <w:sz w:val="20"/>
          <w:szCs w:val="20"/>
          <w:lang w:val="en-GB"/>
        </w:rPr>
        <w:t xml:space="preserve">as identified as a positive approach, maximising efficiency. </w:t>
      </w:r>
    </w:p>
    <w:p w14:paraId="7C8D88E8" w14:textId="77777777" w:rsidR="0077715C" w:rsidRPr="00223CBF" w:rsidRDefault="0077715C" w:rsidP="0077715C">
      <w:pPr>
        <w:shd w:val="clear" w:color="auto" w:fill="D3E5F6" w:themeFill="accent3" w:themeFillTint="33"/>
        <w:spacing w:line="360" w:lineRule="auto"/>
        <w:contextualSpacing/>
        <w:jc w:val="both"/>
        <w:rPr>
          <w:rFonts w:ascii="Cambria" w:hAnsi="Cambria" w:cs="Calibri"/>
          <w:b/>
          <w:color w:val="000000" w:themeColor="text1"/>
          <w:sz w:val="20"/>
          <w:szCs w:val="20"/>
          <w:lang w:val="en-GB"/>
        </w:rPr>
      </w:pPr>
      <w:bookmarkStart w:id="47" w:name="_Hlk55818811"/>
      <w:r w:rsidRPr="00223CBF">
        <w:rPr>
          <w:rFonts w:ascii="Cambria" w:hAnsi="Cambria" w:cs="Calibri"/>
          <w:b/>
          <w:sz w:val="20"/>
          <w:szCs w:val="20"/>
          <w:lang w:val="en-GB"/>
        </w:rPr>
        <w:t xml:space="preserve">Output 2.2.  </w:t>
      </w:r>
      <w:r w:rsidRPr="00223CBF">
        <w:rPr>
          <w:rFonts w:ascii="Cambria" w:hAnsi="Cambria" w:cs="Calibri"/>
          <w:b/>
          <w:color w:val="000000" w:themeColor="text1"/>
          <w:sz w:val="20"/>
          <w:szCs w:val="20"/>
          <w:lang w:val="en-GB"/>
        </w:rPr>
        <w:t>State and non-state justice sector actors strengthened to deliver victim-centric services on areas including SGBV, victims and witness protection, and transitional justice</w:t>
      </w:r>
    </w:p>
    <w:p w14:paraId="5CCA2FC7" w14:textId="77777777" w:rsidR="0077715C" w:rsidRPr="00223CBF" w:rsidRDefault="0077715C" w:rsidP="0077715C">
      <w:pPr>
        <w:shd w:val="clear" w:color="auto" w:fill="D3E5F6" w:themeFill="accent3" w:themeFillTint="33"/>
        <w:spacing w:line="360" w:lineRule="auto"/>
        <w:contextualSpacing/>
        <w:jc w:val="both"/>
        <w:rPr>
          <w:rFonts w:ascii="Cambria" w:hAnsi="Cambria" w:cs="Calibri"/>
          <w:b/>
          <w:color w:val="000000" w:themeColor="text1"/>
          <w:sz w:val="20"/>
          <w:szCs w:val="20"/>
          <w:lang w:val="en-GB"/>
        </w:rPr>
      </w:pPr>
    </w:p>
    <w:p w14:paraId="5397DD1A" w14:textId="770A9546" w:rsidR="0077715C" w:rsidRPr="00223CBF" w:rsidRDefault="0077715C" w:rsidP="0077715C">
      <w:pPr>
        <w:pStyle w:val="ListParagraph"/>
        <w:numPr>
          <w:ilvl w:val="0"/>
          <w:numId w:val="27"/>
        </w:numPr>
        <w:shd w:val="clear" w:color="auto" w:fill="D3E5F6" w:themeFill="accent3" w:themeFillTint="33"/>
        <w:spacing w:line="360" w:lineRule="auto"/>
        <w:jc w:val="both"/>
        <w:rPr>
          <w:rFonts w:ascii="Cambria" w:hAnsi="Cambria" w:cs="Calibri"/>
          <w:bCs/>
          <w:sz w:val="20"/>
          <w:szCs w:val="20"/>
          <w:lang w:val="en-GB"/>
        </w:rPr>
      </w:pPr>
      <w:r w:rsidRPr="00223CBF">
        <w:rPr>
          <w:rFonts w:ascii="Cambria" w:hAnsi="Cambria" w:cs="Calibri"/>
          <w:bCs/>
          <w:sz w:val="20"/>
          <w:szCs w:val="20"/>
          <w:lang w:val="en-GB"/>
        </w:rPr>
        <w:t>The support to institutionalise the referral pathway</w:t>
      </w:r>
      <w:r w:rsidR="00A033EE">
        <w:rPr>
          <w:rFonts w:ascii="Cambria" w:hAnsi="Cambria" w:cs="Calibri"/>
          <w:bCs/>
          <w:sz w:val="20"/>
          <w:szCs w:val="20"/>
          <w:lang w:val="en-GB"/>
        </w:rPr>
        <w:t>,</w:t>
      </w:r>
      <w:r w:rsidRPr="00223CBF">
        <w:rPr>
          <w:rFonts w:ascii="Cambria" w:hAnsi="Cambria" w:cs="Calibri"/>
          <w:bCs/>
          <w:sz w:val="20"/>
          <w:szCs w:val="20"/>
          <w:lang w:val="en-GB"/>
        </w:rPr>
        <w:t xml:space="preserve"> according to KPI interviews</w:t>
      </w:r>
      <w:r w:rsidR="00A033EE">
        <w:rPr>
          <w:rFonts w:ascii="Cambria" w:hAnsi="Cambria" w:cs="Calibri"/>
          <w:bCs/>
          <w:sz w:val="20"/>
          <w:szCs w:val="20"/>
          <w:lang w:val="en-GB"/>
        </w:rPr>
        <w:t>,</w:t>
      </w:r>
      <w:r w:rsidRPr="00223CBF">
        <w:rPr>
          <w:rFonts w:ascii="Cambria" w:hAnsi="Cambria" w:cs="Calibri"/>
          <w:bCs/>
          <w:sz w:val="20"/>
          <w:szCs w:val="20"/>
          <w:lang w:val="en-GB"/>
        </w:rPr>
        <w:t xml:space="preserve"> has improved the efficiency and effectiveness of reporting SBGV at the regional level. Several positive steps have been taken </w:t>
      </w:r>
      <w:r w:rsidRPr="00223CBF">
        <w:rPr>
          <w:rFonts w:ascii="Cambria" w:hAnsi="Cambria" w:cs="Calibri"/>
          <w:bCs/>
          <w:sz w:val="20"/>
          <w:szCs w:val="20"/>
          <w:lang w:val="en-GB"/>
        </w:rPr>
        <w:lastRenderedPageBreak/>
        <w:t>to identify existing forums</w:t>
      </w:r>
      <w:r w:rsidR="00A033EE">
        <w:rPr>
          <w:rFonts w:ascii="Cambria" w:hAnsi="Cambria" w:cs="Calibri"/>
          <w:bCs/>
          <w:sz w:val="20"/>
          <w:szCs w:val="20"/>
          <w:lang w:val="en-GB"/>
        </w:rPr>
        <w:t>,</w:t>
      </w:r>
      <w:r w:rsidRPr="00223CBF">
        <w:rPr>
          <w:rFonts w:ascii="Cambria" w:hAnsi="Cambria" w:cs="Calibri"/>
          <w:bCs/>
          <w:sz w:val="20"/>
          <w:szCs w:val="20"/>
          <w:lang w:val="en-GB"/>
        </w:rPr>
        <w:t xml:space="preserve"> to connect the referral pathway to women in order to improve efficiency, effectiveness and impact. For example, taking advantage of </w:t>
      </w:r>
      <w:r>
        <w:rPr>
          <w:rFonts w:ascii="Cambria" w:hAnsi="Cambria" w:cs="Calibri"/>
          <w:bCs/>
          <w:sz w:val="20"/>
          <w:szCs w:val="20"/>
          <w:lang w:val="en-GB"/>
        </w:rPr>
        <w:t xml:space="preserve">existing </w:t>
      </w:r>
      <w:r w:rsidRPr="00223CBF">
        <w:rPr>
          <w:rFonts w:ascii="Cambria" w:hAnsi="Cambria" w:cs="Calibri"/>
          <w:bCs/>
          <w:sz w:val="20"/>
          <w:szCs w:val="20"/>
          <w:lang w:val="en-GB"/>
        </w:rPr>
        <w:t xml:space="preserve">women’s economic/resource centres in the regions, a forum for women entrepreneurs </w:t>
      </w:r>
      <w:r>
        <w:rPr>
          <w:rFonts w:ascii="Cambria" w:hAnsi="Cambria" w:cs="Calibri"/>
          <w:bCs/>
          <w:sz w:val="20"/>
          <w:szCs w:val="20"/>
          <w:lang w:val="en-GB"/>
        </w:rPr>
        <w:t xml:space="preserve">were </w:t>
      </w:r>
      <w:r w:rsidRPr="00223CBF">
        <w:rPr>
          <w:rFonts w:ascii="Cambria" w:hAnsi="Cambria" w:cs="Calibri"/>
          <w:bCs/>
          <w:sz w:val="20"/>
          <w:szCs w:val="20"/>
          <w:lang w:val="en-GB"/>
        </w:rPr>
        <w:t xml:space="preserve">regularly used as a platform by </w:t>
      </w:r>
      <w:r>
        <w:rPr>
          <w:rFonts w:ascii="Cambria" w:hAnsi="Cambria" w:cs="Calibri"/>
          <w:bCs/>
          <w:sz w:val="20"/>
          <w:szCs w:val="20"/>
          <w:lang w:val="en-GB"/>
        </w:rPr>
        <w:t xml:space="preserve">the </w:t>
      </w:r>
      <w:r w:rsidRPr="00223CBF">
        <w:rPr>
          <w:rFonts w:ascii="Cambria" w:hAnsi="Cambria" w:cs="Calibri"/>
          <w:bCs/>
          <w:sz w:val="20"/>
          <w:szCs w:val="20"/>
          <w:lang w:val="en-GB"/>
        </w:rPr>
        <w:t>WDC to reach vulnerable groups. Whilst the resource centres assist women economically, WDC assists women to deal with their social, cultural and legal issues through counselling, legal aid, shelter services and documentation support and other services to improve their livelihoods. These forums, which are either established by WDC or improved by them are considered by IPs</w:t>
      </w:r>
      <w:r w:rsidR="00A033EE">
        <w:rPr>
          <w:rFonts w:ascii="Cambria" w:hAnsi="Cambria" w:cs="Calibri"/>
          <w:bCs/>
          <w:sz w:val="20"/>
          <w:szCs w:val="20"/>
          <w:lang w:val="en-GB"/>
        </w:rPr>
        <w:t>,</w:t>
      </w:r>
      <w:r w:rsidRPr="00223CBF">
        <w:rPr>
          <w:rFonts w:ascii="Cambria" w:hAnsi="Cambria" w:cs="Calibri"/>
          <w:bCs/>
          <w:sz w:val="20"/>
          <w:szCs w:val="20"/>
          <w:lang w:val="en-GB"/>
        </w:rPr>
        <w:t xml:space="preserve"> as a sustainable forum for capacity building and advocacy. </w:t>
      </w:r>
    </w:p>
    <w:p w14:paraId="040A194C" w14:textId="1B3C4058" w:rsidR="0077715C" w:rsidRPr="00223CBF" w:rsidRDefault="0077715C" w:rsidP="0077715C">
      <w:pPr>
        <w:pStyle w:val="ListParagraph"/>
        <w:numPr>
          <w:ilvl w:val="0"/>
          <w:numId w:val="27"/>
        </w:numPr>
        <w:shd w:val="clear" w:color="auto" w:fill="D3E5F6" w:themeFill="accent3" w:themeFillTint="33"/>
        <w:spacing w:line="360" w:lineRule="auto"/>
        <w:jc w:val="both"/>
        <w:rPr>
          <w:rFonts w:ascii="Cambria" w:hAnsi="Cambria" w:cs="Calibri"/>
          <w:bCs/>
          <w:sz w:val="20"/>
          <w:szCs w:val="20"/>
          <w:lang w:val="en-GB"/>
        </w:rPr>
      </w:pPr>
      <w:r w:rsidRPr="00223CBF">
        <w:rPr>
          <w:rFonts w:ascii="Cambria" w:hAnsi="Cambria" w:cs="Calibri"/>
          <w:bCs/>
          <w:sz w:val="20"/>
          <w:szCs w:val="20"/>
          <w:lang w:val="en-GB"/>
        </w:rPr>
        <w:t>Improving existing hotlines</w:t>
      </w:r>
      <w:r w:rsidR="00A033EE">
        <w:rPr>
          <w:rFonts w:ascii="Cambria" w:hAnsi="Cambria" w:cs="Calibri"/>
          <w:bCs/>
          <w:sz w:val="20"/>
          <w:szCs w:val="20"/>
          <w:lang w:val="en-GB"/>
        </w:rPr>
        <w:t>,</w:t>
      </w:r>
      <w:r w:rsidRPr="00223CBF">
        <w:rPr>
          <w:rFonts w:ascii="Cambria" w:hAnsi="Cambria" w:cs="Calibri"/>
          <w:bCs/>
          <w:sz w:val="20"/>
          <w:szCs w:val="20"/>
          <w:lang w:val="en-GB"/>
        </w:rPr>
        <w:t xml:space="preserve"> operated by the MWCA and CSOs to provide access to women victims of violence, proved to be efficient and relevant during the lockdown, due to the increase in domestic violence. Mobile applications</w:t>
      </w:r>
      <w:r w:rsidR="00A033EE">
        <w:rPr>
          <w:rFonts w:ascii="Cambria" w:hAnsi="Cambria" w:cs="Calibri"/>
          <w:bCs/>
          <w:sz w:val="20"/>
          <w:szCs w:val="20"/>
          <w:lang w:val="en-GB"/>
        </w:rPr>
        <w:t>,</w:t>
      </w:r>
      <w:r w:rsidRPr="00223CBF">
        <w:rPr>
          <w:rFonts w:ascii="Cambria" w:hAnsi="Cambria" w:cs="Calibri"/>
          <w:bCs/>
          <w:sz w:val="20"/>
          <w:szCs w:val="20"/>
          <w:lang w:val="en-GB"/>
        </w:rPr>
        <w:t xml:space="preserve"> such as the 2SIX4 and the caller helpline operated by WIN was increasingly used during the lockdown</w:t>
      </w:r>
      <w:r w:rsidR="00A033EE">
        <w:rPr>
          <w:rFonts w:ascii="Cambria" w:hAnsi="Cambria" w:cs="Calibri"/>
          <w:bCs/>
          <w:sz w:val="20"/>
          <w:szCs w:val="20"/>
          <w:lang w:val="en-GB"/>
        </w:rPr>
        <w:t>,</w:t>
      </w:r>
      <w:r w:rsidRPr="00223CBF">
        <w:rPr>
          <w:rFonts w:ascii="Cambria" w:hAnsi="Cambria" w:cs="Calibri"/>
          <w:bCs/>
          <w:sz w:val="20"/>
          <w:szCs w:val="20"/>
          <w:lang w:val="en-GB"/>
        </w:rPr>
        <w:t xml:space="preserve"> where access to police and other state institutions were restricted. </w:t>
      </w:r>
    </w:p>
    <w:p w14:paraId="12792CD6" w14:textId="77777777" w:rsidR="0077715C" w:rsidRPr="007E3D06" w:rsidRDefault="0077715C" w:rsidP="0077715C">
      <w:pPr>
        <w:pStyle w:val="ListParagraph"/>
        <w:numPr>
          <w:ilvl w:val="0"/>
          <w:numId w:val="27"/>
        </w:numPr>
        <w:shd w:val="clear" w:color="auto" w:fill="D3E5F6" w:themeFill="accent3" w:themeFillTint="33"/>
        <w:spacing w:line="360" w:lineRule="auto"/>
        <w:jc w:val="both"/>
        <w:rPr>
          <w:rFonts w:ascii="Cambria" w:hAnsi="Cambria" w:cs="Calibri"/>
          <w:bCs/>
          <w:sz w:val="20"/>
          <w:szCs w:val="20"/>
          <w:lang w:val="en-GB"/>
        </w:rPr>
      </w:pPr>
      <w:r w:rsidRPr="00345AC4">
        <w:rPr>
          <w:rFonts w:ascii="Cambria" w:hAnsi="Cambria" w:cs="Calibri"/>
          <w:bCs/>
          <w:sz w:val="20"/>
          <w:szCs w:val="20"/>
          <w:lang w:val="en-GB"/>
        </w:rPr>
        <w:t xml:space="preserve">Consequently, a range of partnerships have positively influenced the efficiency of the Output. For </w:t>
      </w:r>
      <w:r>
        <w:rPr>
          <w:rFonts w:ascii="Cambria" w:hAnsi="Cambria" w:cs="Calibri"/>
          <w:bCs/>
          <w:sz w:val="20"/>
          <w:szCs w:val="20"/>
          <w:lang w:val="en-GB"/>
        </w:rPr>
        <w:t xml:space="preserve">instance, </w:t>
      </w:r>
      <w:r w:rsidRPr="00345AC4">
        <w:rPr>
          <w:rFonts w:ascii="Cambria" w:hAnsi="Cambria" w:cs="Calibri"/>
          <w:bCs/>
          <w:sz w:val="20"/>
          <w:szCs w:val="20"/>
          <w:lang w:val="en-GB"/>
        </w:rPr>
        <w:t xml:space="preserve">the UNDP works closely with several UN agencies such as UNICEF, UN Women and UNFPA contributing to similar goals. The SGBV Forum consisting of UN agencies, NGOs and experts is facilitated by UNFPA to discuss issues relating to GEWE and UN responses to them. The forum is an ideal opportunity to brainstorm and identify common areas of work to improve efficiency. For example, the forum promotes </w:t>
      </w:r>
      <w:r w:rsidRPr="007E3D06">
        <w:rPr>
          <w:rFonts w:ascii="Cambria" w:hAnsi="Cambria" w:cs="Calibri"/>
          <w:bCs/>
          <w:sz w:val="20"/>
          <w:szCs w:val="20"/>
          <w:lang w:val="en-GB"/>
        </w:rPr>
        <w:t xml:space="preserve">a programme ’16 days of activism’ each year, to highlight gender related activities of the UN and enhance visibility of coordination and cooperation.   </w:t>
      </w:r>
    </w:p>
    <w:p w14:paraId="4D5AF16E" w14:textId="11DD6259" w:rsidR="0077715C" w:rsidRPr="0077715C" w:rsidRDefault="0077715C" w:rsidP="0077715C">
      <w:pPr>
        <w:pStyle w:val="ListParagraph"/>
        <w:numPr>
          <w:ilvl w:val="0"/>
          <w:numId w:val="27"/>
        </w:numPr>
        <w:shd w:val="clear" w:color="auto" w:fill="D3E5F6" w:themeFill="accent3" w:themeFillTint="33"/>
        <w:spacing w:line="360" w:lineRule="auto"/>
        <w:jc w:val="both"/>
        <w:rPr>
          <w:rFonts w:ascii="Cambria" w:hAnsi="Cambria" w:cs="Arial"/>
          <w:color w:val="000000" w:themeColor="text1"/>
          <w:spacing w:val="4"/>
          <w:sz w:val="20"/>
          <w:szCs w:val="20"/>
          <w:shd w:val="clear" w:color="auto" w:fill="BCD9DE" w:themeFill="accent5" w:themeFillTint="66"/>
        </w:rPr>
      </w:pPr>
      <w:bookmarkStart w:id="48" w:name="_Hlk59119503"/>
      <w:r w:rsidRPr="007E3D06">
        <w:rPr>
          <w:rFonts w:ascii="Cambria" w:hAnsi="Cambria" w:cs="Calibri"/>
          <w:bCs/>
          <w:sz w:val="20"/>
          <w:szCs w:val="20"/>
          <w:lang w:val="en-GB"/>
        </w:rPr>
        <w:t>However, more effective coordination and cooperation</w:t>
      </w:r>
      <w:r>
        <w:rPr>
          <w:rFonts w:ascii="Cambria" w:hAnsi="Cambria" w:cs="Calibri"/>
          <w:bCs/>
          <w:sz w:val="20"/>
          <w:szCs w:val="20"/>
          <w:lang w:val="en-GB"/>
        </w:rPr>
        <w:t xml:space="preserve"> may be required in the second phase to improve effectiveness and impact. Discussions with I</w:t>
      </w:r>
      <w:r w:rsidR="00A033EE">
        <w:rPr>
          <w:rFonts w:ascii="Cambria" w:hAnsi="Cambria" w:cs="Calibri"/>
          <w:bCs/>
          <w:sz w:val="20"/>
          <w:szCs w:val="20"/>
          <w:lang w:val="en-GB"/>
        </w:rPr>
        <w:t>P</w:t>
      </w:r>
      <w:r>
        <w:rPr>
          <w:rFonts w:ascii="Cambria" w:hAnsi="Cambria" w:cs="Calibri"/>
          <w:bCs/>
          <w:sz w:val="20"/>
          <w:szCs w:val="20"/>
          <w:lang w:val="en-GB"/>
        </w:rPr>
        <w:t xml:space="preserve">s highlighted that, </w:t>
      </w:r>
      <w:r w:rsidRPr="0077715C">
        <w:rPr>
          <w:rFonts w:ascii="Cambria" w:hAnsi="Cambria" w:cs="Calibri"/>
          <w:bCs/>
          <w:sz w:val="20"/>
          <w:szCs w:val="20"/>
          <w:lang w:val="en-GB"/>
        </w:rPr>
        <w:t>t</w:t>
      </w:r>
      <w:r w:rsidRPr="0077715C">
        <w:rPr>
          <w:rFonts w:ascii="Cambria" w:hAnsi="Cambria" w:cs="Calibri"/>
          <w:bCs/>
          <w:sz w:val="20"/>
          <w:szCs w:val="20"/>
        </w:rPr>
        <w:t>here are instances where there is considerable overlap between activities and overlap of support to IPs, namely the MWCA. This may be illustrated by the convergence of activities relating to SGBV by UNFPA and UNDP. Both agencies support to eliminate SGBV and harmful practices by initiatives through the MWCA. Both agencies support CSOs to provide shelter facilities and operate referral pathways, which are similar in nature but implemented through different modalities. IPs stressed the possibility of agencies coordinating areas of work, best suited to their core strengths. For example, UNDP is best suited to focus support on legal protection services and strengthening the justice sector to minimise SGBV. Feedback from DPs also indicate a strong willingness to collaborate in areas of complementarity</w:t>
      </w:r>
      <w:r w:rsidR="00A033EE">
        <w:rPr>
          <w:rFonts w:ascii="Cambria" w:hAnsi="Cambria" w:cs="Calibri"/>
          <w:bCs/>
          <w:sz w:val="20"/>
          <w:szCs w:val="20"/>
        </w:rPr>
        <w:t>,</w:t>
      </w:r>
      <w:r w:rsidRPr="0077715C">
        <w:rPr>
          <w:rFonts w:ascii="Cambria" w:hAnsi="Cambria" w:cs="Calibri"/>
          <w:bCs/>
          <w:sz w:val="20"/>
          <w:szCs w:val="20"/>
        </w:rPr>
        <w:t xml:space="preserve"> each focusing on their exclusive niche and experience, which should be maximised during the second phase.</w:t>
      </w:r>
    </w:p>
    <w:bookmarkEnd w:id="48"/>
    <w:p w14:paraId="1932648A" w14:textId="7512B590" w:rsidR="0077715C" w:rsidRPr="00223CBF" w:rsidRDefault="0077715C" w:rsidP="0077715C">
      <w:pPr>
        <w:pStyle w:val="ListParagraph"/>
        <w:numPr>
          <w:ilvl w:val="0"/>
          <w:numId w:val="27"/>
        </w:numPr>
        <w:shd w:val="clear" w:color="auto" w:fill="D3E5F6" w:themeFill="accent3" w:themeFillTint="33"/>
        <w:spacing w:line="360" w:lineRule="auto"/>
        <w:jc w:val="both"/>
        <w:rPr>
          <w:rFonts w:ascii="Cambria" w:hAnsi="Cambria" w:cs="Calibri"/>
          <w:bCs/>
          <w:sz w:val="20"/>
          <w:szCs w:val="20"/>
        </w:rPr>
      </w:pPr>
      <w:r w:rsidRPr="007E3D06">
        <w:rPr>
          <w:rFonts w:ascii="Cambria" w:hAnsi="Cambria" w:cs="Calibri"/>
          <w:bCs/>
          <w:sz w:val="20"/>
          <w:szCs w:val="20"/>
          <w:lang w:val="en-GB"/>
        </w:rPr>
        <w:t>Working with CSOs to help them build their ‘brand’ and raise their level of standards to provide</w:t>
      </w:r>
      <w:r w:rsidRPr="00223CBF">
        <w:rPr>
          <w:rFonts w:ascii="Cambria" w:hAnsi="Cambria" w:cs="Calibri"/>
          <w:bCs/>
          <w:sz w:val="20"/>
          <w:szCs w:val="20"/>
          <w:lang w:val="en-GB"/>
        </w:rPr>
        <w:t xml:space="preserve"> gender </w:t>
      </w:r>
      <w:r w:rsidRPr="00223CBF">
        <w:rPr>
          <w:rFonts w:ascii="Cambria" w:hAnsi="Cambria" w:cs="Calibri"/>
          <w:bCs/>
          <w:sz w:val="20"/>
          <w:szCs w:val="20"/>
        </w:rPr>
        <w:t>sensitive services, which are either not provided by the state or inadequately provided by the state, according to KPIs contribute to efficiency of resource management. For example, shelter services for survivors of SGBV</w:t>
      </w:r>
      <w:r w:rsidR="00A033EE">
        <w:rPr>
          <w:rFonts w:ascii="Cambria" w:hAnsi="Cambria" w:cs="Calibri"/>
          <w:bCs/>
          <w:sz w:val="20"/>
          <w:szCs w:val="20"/>
        </w:rPr>
        <w:t>,</w:t>
      </w:r>
      <w:r w:rsidRPr="00223CBF">
        <w:rPr>
          <w:rFonts w:ascii="Cambria" w:hAnsi="Cambria" w:cs="Calibri"/>
          <w:bCs/>
          <w:sz w:val="20"/>
          <w:szCs w:val="20"/>
        </w:rPr>
        <w:t xml:space="preserve"> are not adequately supplied by the state. CSOs such as WIN and WDC has stepped in to </w:t>
      </w:r>
      <w:r w:rsidRPr="00223CBF">
        <w:rPr>
          <w:rFonts w:ascii="Cambria" w:hAnsi="Cambria" w:cs="Calibri"/>
          <w:bCs/>
          <w:sz w:val="20"/>
          <w:szCs w:val="20"/>
        </w:rPr>
        <w:lastRenderedPageBreak/>
        <w:t xml:space="preserve">fill a </w:t>
      </w:r>
      <w:r>
        <w:rPr>
          <w:rFonts w:ascii="Cambria" w:hAnsi="Cambria" w:cs="Calibri"/>
          <w:bCs/>
          <w:sz w:val="20"/>
          <w:szCs w:val="20"/>
        </w:rPr>
        <w:t>much-needed</w:t>
      </w:r>
      <w:r w:rsidRPr="00223CBF">
        <w:rPr>
          <w:rFonts w:ascii="Cambria" w:hAnsi="Cambria" w:cs="Calibri"/>
          <w:bCs/>
          <w:sz w:val="20"/>
          <w:szCs w:val="20"/>
        </w:rPr>
        <w:t xml:space="preserve"> gap in the system. However, shelter costs are high and CSOs depend on donor funding</w:t>
      </w:r>
      <w:r>
        <w:rPr>
          <w:rFonts w:ascii="Cambria" w:hAnsi="Cambria" w:cs="Calibri"/>
          <w:bCs/>
          <w:sz w:val="20"/>
          <w:szCs w:val="20"/>
        </w:rPr>
        <w:t xml:space="preserve"> to sustain them</w:t>
      </w:r>
      <w:r w:rsidRPr="00223CBF">
        <w:rPr>
          <w:rFonts w:ascii="Cambria" w:hAnsi="Cambria" w:cs="Calibri"/>
          <w:bCs/>
          <w:sz w:val="20"/>
          <w:szCs w:val="20"/>
        </w:rPr>
        <w:t xml:space="preserve">. </w:t>
      </w:r>
    </w:p>
    <w:p w14:paraId="4F347B21" w14:textId="77777777" w:rsidR="0077715C" w:rsidRDefault="0077715C" w:rsidP="00491D38">
      <w:pPr>
        <w:rPr>
          <w:rFonts w:ascii="Cambria" w:hAnsi="Cambria" w:cs="Arial"/>
          <w:b/>
          <w:bCs/>
          <w:sz w:val="20"/>
          <w:szCs w:val="20"/>
        </w:rPr>
      </w:pPr>
    </w:p>
    <w:p w14:paraId="518101D9" w14:textId="2CBB08A6" w:rsidR="00331FB6" w:rsidRPr="00491D38" w:rsidRDefault="00491D38" w:rsidP="00491D38">
      <w:pPr>
        <w:rPr>
          <w:rFonts w:cs="Times New Roman"/>
        </w:rPr>
      </w:pPr>
      <w:r>
        <w:fldChar w:fldCharType="begin"/>
      </w:r>
      <w:r w:rsidR="00723DA2">
        <w:instrText xml:space="preserve"> INCLUDEPICTURE "C:\\var\\folders\\4p\\bgy23k0d2ss49d4dnj_w53rm0000gn\\T\\com.microsoft.Word\\WebArchiveCopyPasteTempFiles\\thumbnail?appid=YMailNorrinLaunch" \* MERGEFORMAT </w:instrText>
      </w:r>
      <w:r>
        <w:fldChar w:fldCharType="end"/>
      </w:r>
      <w:r w:rsidR="00331FB6" w:rsidRPr="00223CBF">
        <w:rPr>
          <w:rFonts w:ascii="Cambria" w:hAnsi="Cambria" w:cs="Arial"/>
          <w:b/>
          <w:bCs/>
          <w:sz w:val="20"/>
          <w:szCs w:val="20"/>
        </w:rPr>
        <w:t xml:space="preserve">EQ4. Impact </w:t>
      </w:r>
    </w:p>
    <w:p w14:paraId="5D30CB08" w14:textId="77777777" w:rsidR="00331FB6" w:rsidRPr="00223CBF" w:rsidRDefault="00331FB6" w:rsidP="000507CA">
      <w:pPr>
        <w:shd w:val="clear" w:color="auto" w:fill="92D050"/>
        <w:spacing w:line="360" w:lineRule="auto"/>
        <w:jc w:val="both"/>
        <w:rPr>
          <w:rFonts w:ascii="Cambria" w:hAnsi="Cambria" w:cs="Arial"/>
          <w:sz w:val="20"/>
          <w:szCs w:val="20"/>
        </w:rPr>
      </w:pPr>
    </w:p>
    <w:p w14:paraId="24DD86B2" w14:textId="77777777" w:rsidR="007F63BC" w:rsidRPr="00223CBF" w:rsidRDefault="00331FB6" w:rsidP="007F63BC">
      <w:pPr>
        <w:shd w:val="clear" w:color="auto" w:fill="92D050"/>
        <w:spacing w:line="360" w:lineRule="auto"/>
        <w:jc w:val="center"/>
        <w:rPr>
          <w:rFonts w:ascii="Cambria" w:hAnsi="Cambria" w:cstheme="minorHAnsi"/>
          <w:sz w:val="20"/>
          <w:szCs w:val="20"/>
        </w:rPr>
      </w:pPr>
      <w:r w:rsidRPr="00223CBF">
        <w:rPr>
          <w:rFonts w:ascii="Cambria" w:hAnsi="Cambria" w:cs="Arial"/>
          <w:sz w:val="20"/>
          <w:szCs w:val="20"/>
        </w:rPr>
        <w:t xml:space="preserve">Impact refers to the </w:t>
      </w:r>
      <w:r w:rsidRPr="007F63BC">
        <w:rPr>
          <w:rFonts w:ascii="Cambria" w:hAnsi="Cambria" w:cs="Arial"/>
          <w:b/>
          <w:bCs/>
          <w:sz w:val="20"/>
          <w:szCs w:val="20"/>
        </w:rPr>
        <w:t>c</w:t>
      </w:r>
      <w:r w:rsidRPr="00223CBF">
        <w:rPr>
          <w:rFonts w:ascii="Cambria" w:hAnsi="Cambria" w:cs="Arial"/>
          <w:b/>
          <w:bCs/>
          <w:sz w:val="20"/>
          <w:szCs w:val="20"/>
        </w:rPr>
        <w:t>hange/results o</w:t>
      </w:r>
      <w:r w:rsidRPr="00223CBF">
        <w:rPr>
          <w:rFonts w:ascii="Cambria" w:hAnsi="Cambria" w:cs="Arial"/>
          <w:sz w:val="20"/>
          <w:szCs w:val="20"/>
        </w:rPr>
        <w:t xml:space="preserve">f the output level achievements so far in line with the outcome level results. It refers to the </w:t>
      </w:r>
      <w:r w:rsidRPr="00223CBF">
        <w:rPr>
          <w:rFonts w:ascii="Cambria" w:hAnsi="Cambria" w:cs="Arial"/>
          <w:b/>
          <w:bCs/>
          <w:sz w:val="20"/>
          <w:szCs w:val="20"/>
        </w:rPr>
        <w:t>positive or negative changes in the short/medium or long term</w:t>
      </w:r>
      <w:r w:rsidRPr="00223CBF">
        <w:rPr>
          <w:rFonts w:ascii="Cambria" w:hAnsi="Cambria" w:cs="Arial"/>
          <w:sz w:val="20"/>
          <w:szCs w:val="20"/>
        </w:rPr>
        <w:t xml:space="preserve"> and to what extent the </w:t>
      </w:r>
      <w:r w:rsidRPr="00223CBF">
        <w:rPr>
          <w:rFonts w:ascii="Cambria" w:hAnsi="Cambria" w:cs="Arial"/>
          <w:b/>
          <w:bCs/>
          <w:sz w:val="20"/>
          <w:szCs w:val="20"/>
        </w:rPr>
        <w:t>targeted beneficiaries have experienced this change</w:t>
      </w:r>
      <w:r w:rsidRPr="00223CBF">
        <w:rPr>
          <w:rFonts w:ascii="Cambria" w:hAnsi="Cambria" w:cs="Arial"/>
          <w:sz w:val="20"/>
          <w:szCs w:val="20"/>
        </w:rPr>
        <w:t xml:space="preserve">. </w:t>
      </w:r>
      <w:r w:rsidR="007F63BC" w:rsidRPr="00223CBF">
        <w:rPr>
          <w:rFonts w:ascii="Cambria" w:hAnsi="Cambria" w:cstheme="minorHAnsi"/>
          <w:sz w:val="20"/>
          <w:szCs w:val="20"/>
        </w:rPr>
        <w:t>Impact assess</w:t>
      </w:r>
      <w:r w:rsidR="007F63BC">
        <w:rPr>
          <w:rFonts w:ascii="Cambria" w:hAnsi="Cambria" w:cstheme="minorHAnsi"/>
          <w:sz w:val="20"/>
          <w:szCs w:val="20"/>
        </w:rPr>
        <w:t>es</w:t>
      </w:r>
      <w:r w:rsidR="007F63BC" w:rsidRPr="00223CBF">
        <w:rPr>
          <w:rFonts w:ascii="Cambria" w:hAnsi="Cambria" w:cstheme="minorHAnsi"/>
          <w:sz w:val="20"/>
          <w:szCs w:val="20"/>
        </w:rPr>
        <w:t xml:space="preserve"> the contribution of the interventions and external factors </w:t>
      </w:r>
      <w:r w:rsidR="007F63BC">
        <w:rPr>
          <w:rFonts w:ascii="Cambria" w:hAnsi="Cambria" w:cstheme="minorHAnsi"/>
          <w:sz w:val="20"/>
          <w:szCs w:val="20"/>
        </w:rPr>
        <w:t xml:space="preserve">that are </w:t>
      </w:r>
      <w:r w:rsidR="007F63BC" w:rsidRPr="00223CBF">
        <w:rPr>
          <w:rFonts w:ascii="Cambria" w:hAnsi="Cambria" w:cstheme="minorHAnsi"/>
          <w:sz w:val="20"/>
          <w:szCs w:val="20"/>
        </w:rPr>
        <w:t>require</w:t>
      </w:r>
      <w:r w:rsidR="007F63BC">
        <w:rPr>
          <w:rFonts w:ascii="Cambria" w:hAnsi="Cambria" w:cstheme="minorHAnsi"/>
          <w:sz w:val="20"/>
          <w:szCs w:val="20"/>
        </w:rPr>
        <w:t xml:space="preserve">d </w:t>
      </w:r>
      <w:r w:rsidR="007F63BC" w:rsidRPr="00223CBF">
        <w:rPr>
          <w:rFonts w:ascii="Cambria" w:hAnsi="Cambria" w:cstheme="minorHAnsi"/>
          <w:sz w:val="20"/>
          <w:szCs w:val="20"/>
        </w:rPr>
        <w:t>to sustain it.</w:t>
      </w:r>
    </w:p>
    <w:p w14:paraId="05DFD923" w14:textId="6185231E" w:rsidR="000C0C73" w:rsidRPr="00223CBF" w:rsidRDefault="000C0C73" w:rsidP="007F63BC">
      <w:pPr>
        <w:shd w:val="clear" w:color="auto" w:fill="92D050"/>
        <w:spacing w:line="360" w:lineRule="auto"/>
        <w:jc w:val="center"/>
        <w:rPr>
          <w:rFonts w:ascii="Cambria" w:hAnsi="Cambria" w:cs="Arial"/>
          <w:sz w:val="20"/>
          <w:szCs w:val="20"/>
        </w:rPr>
      </w:pPr>
    </w:p>
    <w:p w14:paraId="2B5CAE82" w14:textId="77777777" w:rsidR="00331FB6" w:rsidRPr="00223CBF" w:rsidRDefault="00331FB6" w:rsidP="000507CA">
      <w:pPr>
        <w:spacing w:after="0" w:line="360" w:lineRule="auto"/>
        <w:jc w:val="both"/>
        <w:rPr>
          <w:rFonts w:ascii="Cambria" w:hAnsi="Cambria" w:cstheme="minorHAnsi"/>
          <w:sz w:val="20"/>
          <w:szCs w:val="20"/>
        </w:rPr>
      </w:pPr>
    </w:p>
    <w:p w14:paraId="1D9F7F87" w14:textId="77777777" w:rsidR="00331FB6" w:rsidRPr="00223CBF" w:rsidRDefault="00331FB6" w:rsidP="000507CA">
      <w:pPr>
        <w:spacing w:after="0" w:line="360" w:lineRule="auto"/>
        <w:jc w:val="both"/>
        <w:rPr>
          <w:rFonts w:ascii="Cambria" w:hAnsi="Cambria" w:cstheme="minorHAnsi"/>
          <w:sz w:val="20"/>
          <w:szCs w:val="20"/>
        </w:rPr>
      </w:pPr>
      <w:r w:rsidRPr="00223CBF">
        <w:rPr>
          <w:rFonts w:ascii="Cambria" w:hAnsi="Cambria" w:cstheme="minorHAnsi"/>
          <w:sz w:val="20"/>
          <w:szCs w:val="20"/>
        </w:rPr>
        <w:t xml:space="preserve">As noted in the approved Evaluation Inception Report and confirmed in discussions with the UNDP, the MTE is unable to conduct a substantive impact assessment due to several reasons including the limited time between the commencement of the Portfolio and MTE, initial stages at which currently majority of activities are placed and lack of data to effectively measure impact. Therefore, impact will be assessed against positive/negative changes at the Output level and the extent to which there is perceived impact on beneficiaries in the short/medium and long term and internal and external attributes that maybe factored.  </w:t>
      </w:r>
    </w:p>
    <w:p w14:paraId="0AEC30C4" w14:textId="1D235F5C" w:rsidR="00331FB6" w:rsidRDefault="00331FB6" w:rsidP="000507CA">
      <w:pPr>
        <w:spacing w:line="360" w:lineRule="auto"/>
        <w:jc w:val="both"/>
        <w:rPr>
          <w:rFonts w:ascii="Cambria" w:hAnsi="Cambria" w:cstheme="minorHAnsi"/>
          <w:sz w:val="20"/>
          <w:szCs w:val="20"/>
        </w:rPr>
      </w:pPr>
    </w:p>
    <w:p w14:paraId="22179710" w14:textId="11AFB465" w:rsidR="00331FB6" w:rsidRDefault="00331FB6" w:rsidP="00925CAD">
      <w:pPr>
        <w:pStyle w:val="ListParagraph"/>
        <w:numPr>
          <w:ilvl w:val="0"/>
          <w:numId w:val="35"/>
        </w:numPr>
        <w:spacing w:line="360" w:lineRule="auto"/>
        <w:jc w:val="both"/>
        <w:rPr>
          <w:rFonts w:ascii="Cambria" w:hAnsi="Cambria" w:cstheme="minorHAnsi"/>
          <w:b/>
          <w:bCs/>
          <w:color w:val="0070C0"/>
          <w:sz w:val="20"/>
          <w:szCs w:val="20"/>
        </w:rPr>
      </w:pPr>
      <w:r w:rsidRPr="00EA43D0">
        <w:rPr>
          <w:rFonts w:ascii="Cambria" w:hAnsi="Cambria" w:cstheme="minorHAnsi"/>
          <w:b/>
          <w:bCs/>
          <w:color w:val="0070C0"/>
          <w:sz w:val="20"/>
          <w:szCs w:val="20"/>
        </w:rPr>
        <w:t xml:space="preserve">The extent to which output level achievements </w:t>
      </w:r>
      <w:r w:rsidR="009F5574">
        <w:rPr>
          <w:rFonts w:ascii="Cambria" w:hAnsi="Cambria" w:cstheme="minorHAnsi"/>
          <w:b/>
          <w:bCs/>
          <w:color w:val="0070C0"/>
          <w:sz w:val="20"/>
          <w:szCs w:val="20"/>
        </w:rPr>
        <w:t xml:space="preserve">contribute to </w:t>
      </w:r>
      <w:r w:rsidRPr="00EA43D0">
        <w:rPr>
          <w:rFonts w:ascii="Cambria" w:hAnsi="Cambria" w:cstheme="minorHAnsi"/>
          <w:b/>
          <w:bCs/>
          <w:color w:val="0070C0"/>
          <w:sz w:val="20"/>
          <w:szCs w:val="20"/>
        </w:rPr>
        <w:t>outcome results</w:t>
      </w:r>
    </w:p>
    <w:p w14:paraId="442C6FDF" w14:textId="7436539D" w:rsidR="00B52C90" w:rsidRDefault="00EA43D0" w:rsidP="00B52C90">
      <w:pPr>
        <w:spacing w:line="360" w:lineRule="auto"/>
        <w:jc w:val="both"/>
        <w:rPr>
          <w:rFonts w:ascii="Cambria" w:hAnsi="Cambria" w:cstheme="minorHAnsi"/>
          <w:sz w:val="20"/>
          <w:szCs w:val="20"/>
        </w:rPr>
      </w:pPr>
      <w:r w:rsidRPr="00EA43D0">
        <w:rPr>
          <w:rFonts w:ascii="Cambria" w:hAnsi="Cambria" w:cstheme="minorHAnsi"/>
          <w:sz w:val="20"/>
          <w:szCs w:val="20"/>
        </w:rPr>
        <w:t>There is evidence to show high level of execution of capacity building through awareness raising pragrammes on VWP for various stakeholders, which based on IP perceptions was focused on increasing understanding on the operationalisation of the Act. While the relevance is high it is important to relate advocacy programmes to its output</w:t>
      </w:r>
      <w:r w:rsidR="00B52C90" w:rsidRPr="00B52C90">
        <w:rPr>
          <w:rFonts w:ascii="Cambria" w:hAnsi="Cambria" w:cstheme="minorHAnsi"/>
          <w:sz w:val="20"/>
          <w:szCs w:val="20"/>
        </w:rPr>
        <w:t xml:space="preserve"> </w:t>
      </w:r>
      <w:r w:rsidR="00B52C90">
        <w:rPr>
          <w:rFonts w:ascii="Cambria" w:hAnsi="Cambria" w:cstheme="minorHAnsi"/>
          <w:sz w:val="20"/>
          <w:szCs w:val="20"/>
        </w:rPr>
        <w:t>and intended outcome more directly. There is a need to bring in the focus of whether and how victims may experience the support as a way of linking this to a more outcome orientation. The indicator that captures this aspect is only reflected through a quantitative/number-based lens and prevents capturing the ‘demand’ side of the related issues – such as the nature of assistance that victims received and its appropriateness, the result of the assistance, etc. Brining in these angles may help illustrate the relevance further as well as explore angles of impact and effectiveness.</w:t>
      </w:r>
    </w:p>
    <w:p w14:paraId="400FCF8B" w14:textId="77CC874A" w:rsidR="00EA43D0" w:rsidRPr="00EA43D0" w:rsidRDefault="00EA43D0" w:rsidP="00EA43D0">
      <w:pPr>
        <w:spacing w:line="360" w:lineRule="auto"/>
        <w:jc w:val="both"/>
        <w:rPr>
          <w:rFonts w:ascii="Cambria" w:hAnsi="Cambria" w:cstheme="minorHAnsi"/>
          <w:sz w:val="20"/>
          <w:szCs w:val="20"/>
        </w:rPr>
      </w:pPr>
      <w:r w:rsidRPr="00EA43D0">
        <w:rPr>
          <w:rFonts w:ascii="Cambria" w:hAnsi="Cambria" w:cstheme="minorHAnsi"/>
          <w:sz w:val="20"/>
          <w:szCs w:val="20"/>
        </w:rPr>
        <w:t>.</w:t>
      </w:r>
    </w:p>
    <w:p w14:paraId="06671FC1" w14:textId="531D99C9" w:rsidR="00331FB6" w:rsidRPr="00EA43D0" w:rsidRDefault="00331FB6" w:rsidP="00925CAD">
      <w:pPr>
        <w:pStyle w:val="ListParagraph"/>
        <w:numPr>
          <w:ilvl w:val="0"/>
          <w:numId w:val="35"/>
        </w:numPr>
        <w:spacing w:line="360" w:lineRule="auto"/>
        <w:jc w:val="both"/>
        <w:rPr>
          <w:rFonts w:ascii="Cambria" w:hAnsi="Cambria" w:cstheme="minorHAnsi"/>
          <w:b/>
          <w:bCs/>
          <w:color w:val="0070C0"/>
          <w:sz w:val="20"/>
          <w:szCs w:val="20"/>
        </w:rPr>
      </w:pPr>
      <w:r w:rsidRPr="00EA43D0">
        <w:rPr>
          <w:rFonts w:ascii="Cambria" w:hAnsi="Cambria" w:cstheme="minorHAnsi"/>
          <w:b/>
          <w:bCs/>
          <w:color w:val="0070C0"/>
          <w:sz w:val="20"/>
          <w:szCs w:val="20"/>
        </w:rPr>
        <w:t xml:space="preserve">The positive and negative impacts observed  </w:t>
      </w:r>
    </w:p>
    <w:p w14:paraId="4D0CBE5B" w14:textId="628E713F" w:rsidR="000E5D2C" w:rsidRPr="000E5D2C" w:rsidRDefault="000E5D2C" w:rsidP="000E5D2C">
      <w:pPr>
        <w:spacing w:line="360" w:lineRule="auto"/>
        <w:jc w:val="both"/>
        <w:rPr>
          <w:rFonts w:ascii="Cambria" w:hAnsi="Cambria" w:cs="Calibri"/>
          <w:bCs/>
          <w:sz w:val="20"/>
          <w:szCs w:val="20"/>
          <w:lang w:val="en-GB"/>
        </w:rPr>
      </w:pPr>
      <w:r w:rsidRPr="000E5D2C">
        <w:rPr>
          <w:rFonts w:ascii="Cambria" w:hAnsi="Cambria" w:cs="Calibri"/>
          <w:bCs/>
          <w:sz w:val="20"/>
          <w:szCs w:val="20"/>
          <w:lang w:val="en-GB"/>
        </w:rPr>
        <w:t xml:space="preserve">However, discussions with KPIs and based on observations made through secondary data available, there are several key positive changes/results that </w:t>
      </w:r>
      <w:r w:rsidRPr="006B4BFE">
        <w:rPr>
          <w:rFonts w:ascii="Cambria" w:hAnsi="Cambria" w:cs="Calibri"/>
          <w:bCs/>
          <w:sz w:val="20"/>
          <w:szCs w:val="20"/>
          <w:lang w:val="en-GB"/>
        </w:rPr>
        <w:t>can be</w:t>
      </w:r>
      <w:r w:rsidRPr="000E5D2C">
        <w:rPr>
          <w:rFonts w:ascii="Cambria" w:hAnsi="Cambria" w:cs="Calibri"/>
          <w:bCs/>
          <w:sz w:val="20"/>
          <w:szCs w:val="20"/>
          <w:lang w:val="en-GB"/>
        </w:rPr>
        <w:t xml:space="preserve"> attributed to </w:t>
      </w:r>
      <w:r w:rsidR="007F63BC">
        <w:rPr>
          <w:rFonts w:ascii="Cambria" w:hAnsi="Cambria" w:cs="Calibri"/>
          <w:bCs/>
          <w:sz w:val="20"/>
          <w:szCs w:val="20"/>
          <w:lang w:val="en-GB"/>
        </w:rPr>
        <w:t xml:space="preserve">the </w:t>
      </w:r>
      <w:r w:rsidRPr="000E5D2C">
        <w:rPr>
          <w:rFonts w:ascii="Cambria" w:hAnsi="Cambria" w:cs="Calibri"/>
          <w:bCs/>
          <w:sz w:val="20"/>
          <w:szCs w:val="20"/>
          <w:lang w:val="en-GB"/>
        </w:rPr>
        <w:t xml:space="preserve">Output interventions. </w:t>
      </w:r>
    </w:p>
    <w:p w14:paraId="7CEF9A7F" w14:textId="03484619" w:rsidR="000E5D2C" w:rsidRPr="000E5D2C" w:rsidRDefault="000E5D2C" w:rsidP="000607E0">
      <w:pPr>
        <w:shd w:val="clear" w:color="auto" w:fill="FFC000"/>
        <w:spacing w:line="360" w:lineRule="auto"/>
        <w:jc w:val="both"/>
        <w:rPr>
          <w:rFonts w:ascii="Cambria" w:hAnsi="Cambria" w:cs="Calibri"/>
          <w:bCs/>
          <w:sz w:val="20"/>
          <w:szCs w:val="20"/>
          <w:lang w:val="en-GB"/>
        </w:rPr>
      </w:pPr>
      <w:r w:rsidRPr="000E5D2C">
        <w:rPr>
          <w:rFonts w:ascii="Cambria" w:hAnsi="Cambria" w:cs="Calibri"/>
          <w:bCs/>
          <w:sz w:val="20"/>
          <w:szCs w:val="20"/>
          <w:lang w:val="en-GB"/>
        </w:rPr>
        <w:lastRenderedPageBreak/>
        <w:t>A key change is the attitudinal shift towards VWP by multi stakeholders. The willingness and robust participation by the VWPA</w:t>
      </w:r>
      <w:r w:rsidR="00970DB8">
        <w:rPr>
          <w:rFonts w:ascii="Cambria" w:hAnsi="Cambria" w:cs="Calibri"/>
          <w:bCs/>
          <w:sz w:val="20"/>
          <w:szCs w:val="20"/>
          <w:lang w:val="en-GB"/>
        </w:rPr>
        <w:t>,</w:t>
      </w:r>
      <w:r w:rsidRPr="000E5D2C">
        <w:rPr>
          <w:rFonts w:ascii="Cambria" w:hAnsi="Cambria" w:cs="Calibri"/>
          <w:bCs/>
          <w:sz w:val="20"/>
          <w:szCs w:val="20"/>
          <w:lang w:val="en-GB"/>
        </w:rPr>
        <w:t xml:space="preserve"> to construct laws and procedures to reflect current thinking and achieve considerable progress in less than two years</w:t>
      </w:r>
      <w:r w:rsidR="00970DB8">
        <w:rPr>
          <w:rFonts w:ascii="Cambria" w:hAnsi="Cambria" w:cs="Calibri"/>
          <w:bCs/>
          <w:sz w:val="20"/>
          <w:szCs w:val="20"/>
          <w:lang w:val="en-GB"/>
        </w:rPr>
        <w:t>,</w:t>
      </w:r>
      <w:r w:rsidRPr="000E5D2C">
        <w:rPr>
          <w:rFonts w:ascii="Cambria" w:hAnsi="Cambria" w:cs="Calibri"/>
          <w:bCs/>
          <w:sz w:val="20"/>
          <w:szCs w:val="20"/>
          <w:lang w:val="en-GB"/>
        </w:rPr>
        <w:t xml:space="preserve"> is a positive result</w:t>
      </w:r>
      <w:r w:rsidR="00970DB8">
        <w:rPr>
          <w:rFonts w:ascii="Cambria" w:hAnsi="Cambria" w:cs="Calibri"/>
          <w:bCs/>
          <w:sz w:val="20"/>
          <w:szCs w:val="20"/>
          <w:lang w:val="en-GB"/>
        </w:rPr>
        <w:t xml:space="preserve">. </w:t>
      </w:r>
      <w:r w:rsidRPr="000E5D2C">
        <w:rPr>
          <w:rFonts w:ascii="Cambria" w:hAnsi="Cambria" w:cs="Calibri"/>
          <w:bCs/>
          <w:sz w:val="20"/>
          <w:szCs w:val="20"/>
          <w:lang w:val="en-GB"/>
        </w:rPr>
        <w:t xml:space="preserve">KPI interviews </w:t>
      </w:r>
      <w:r w:rsidR="00970DB8">
        <w:rPr>
          <w:rFonts w:ascii="Cambria" w:hAnsi="Cambria" w:cs="Calibri"/>
          <w:bCs/>
          <w:sz w:val="20"/>
          <w:szCs w:val="20"/>
          <w:lang w:val="en-GB"/>
        </w:rPr>
        <w:t xml:space="preserve">note that this </w:t>
      </w:r>
      <w:r w:rsidRPr="000E5D2C">
        <w:rPr>
          <w:rFonts w:ascii="Cambria" w:hAnsi="Cambria" w:cs="Calibri"/>
          <w:bCs/>
          <w:sz w:val="20"/>
          <w:szCs w:val="20"/>
          <w:lang w:val="en-GB"/>
        </w:rPr>
        <w:t>corresponds to long term sector wide assistance and fostering institutional relationships by UNDP.  Government and sectoral buy in for research and justice reforms</w:t>
      </w:r>
      <w:r w:rsidR="00970DB8">
        <w:rPr>
          <w:rFonts w:ascii="Cambria" w:hAnsi="Cambria" w:cs="Calibri"/>
          <w:bCs/>
          <w:sz w:val="20"/>
          <w:szCs w:val="20"/>
          <w:lang w:val="en-GB"/>
        </w:rPr>
        <w:t>,</w:t>
      </w:r>
      <w:r w:rsidRPr="000E5D2C">
        <w:rPr>
          <w:rFonts w:ascii="Cambria" w:hAnsi="Cambria" w:cs="Calibri"/>
          <w:bCs/>
          <w:sz w:val="20"/>
          <w:szCs w:val="20"/>
          <w:lang w:val="en-GB"/>
        </w:rPr>
        <w:t xml:space="preserve"> also signals UNDP’s strategic advantage to positively engage with the justice sector. </w:t>
      </w:r>
    </w:p>
    <w:p w14:paraId="7343D336" w14:textId="77777777" w:rsidR="006B4BFE" w:rsidRDefault="000E5D2C" w:rsidP="000E5D2C">
      <w:pPr>
        <w:spacing w:line="360" w:lineRule="auto"/>
        <w:jc w:val="both"/>
        <w:rPr>
          <w:rFonts w:ascii="Cambria" w:hAnsi="Cambria" w:cs="Calibri"/>
          <w:bCs/>
          <w:sz w:val="20"/>
          <w:szCs w:val="20"/>
          <w:lang w:val="en-GB"/>
        </w:rPr>
      </w:pPr>
      <w:r w:rsidRPr="000E5D2C">
        <w:rPr>
          <w:rFonts w:ascii="Cambria" w:hAnsi="Cambria" w:cs="Calibri"/>
          <w:bCs/>
          <w:sz w:val="20"/>
          <w:szCs w:val="20"/>
          <w:lang w:val="en-GB"/>
        </w:rPr>
        <w:t xml:space="preserve">Another high-level result owing to established relationships and strategic influence, is the impact on vulnerable and indigent groups based on the rapid assessment and strategic intermediations as a response to the pandemic. </w:t>
      </w:r>
    </w:p>
    <w:p w14:paraId="0F06FA7E" w14:textId="06512D4F" w:rsidR="000E5D2C" w:rsidRPr="007F63BC" w:rsidRDefault="000E5D2C" w:rsidP="000607E0">
      <w:pPr>
        <w:shd w:val="clear" w:color="auto" w:fill="FFC000"/>
        <w:spacing w:line="360" w:lineRule="auto"/>
        <w:jc w:val="both"/>
        <w:rPr>
          <w:rFonts w:ascii="Cambria" w:hAnsi="Cambria" w:cs="Calibri"/>
          <w:bCs/>
          <w:sz w:val="20"/>
          <w:szCs w:val="20"/>
          <w:lang w:val="en-GB"/>
        </w:rPr>
      </w:pPr>
      <w:r w:rsidRPr="000E5D2C">
        <w:rPr>
          <w:rFonts w:ascii="Cambria" w:hAnsi="Cambria" w:cs="Calibri"/>
          <w:bCs/>
          <w:sz w:val="20"/>
          <w:szCs w:val="20"/>
          <w:lang w:val="en-GB"/>
        </w:rPr>
        <w:t>For example, the demonstration of support by justice sector actors (the LAC, the chief justice, the judiciary, MOJ and the Prisons department) to prioritise bail hearings of remand prisoners arrested under Covid regulations, to enable remote court hearings in 10 prisons and 23 courts as a pilot through a judicial circular, remote counselling for indigent clients</w:t>
      </w:r>
      <w:r w:rsidRPr="007F63BC">
        <w:rPr>
          <w:rFonts w:ascii="Cambria" w:hAnsi="Cambria" w:cs="Calibri"/>
          <w:bCs/>
          <w:sz w:val="20"/>
          <w:szCs w:val="20"/>
          <w:lang w:val="en-GB"/>
        </w:rPr>
        <w:t xml:space="preserve">, extension of </w:t>
      </w:r>
      <w:r w:rsidRPr="007F63BC">
        <w:rPr>
          <w:rFonts w:ascii="Cambria" w:eastAsia="Times New Roman" w:hAnsi="Cambria" w:cs="Calibri"/>
          <w:sz w:val="20"/>
          <w:szCs w:val="20"/>
        </w:rPr>
        <w:t>the government relief package (LKR 5000)</w:t>
      </w:r>
      <w:r w:rsidR="007F63BC">
        <w:rPr>
          <w:rStyle w:val="FootnoteReference"/>
          <w:rFonts w:ascii="Cambria" w:eastAsia="Times New Roman" w:hAnsi="Cambria" w:cs="Calibri"/>
          <w:sz w:val="20"/>
          <w:szCs w:val="20"/>
        </w:rPr>
        <w:footnoteReference w:id="63"/>
      </w:r>
      <w:r w:rsidRPr="007F63BC">
        <w:rPr>
          <w:rFonts w:ascii="Cambria" w:eastAsia="Times New Roman" w:hAnsi="Cambria" w:cs="Calibri"/>
          <w:sz w:val="20"/>
          <w:szCs w:val="20"/>
        </w:rPr>
        <w:t xml:space="preserve"> to </w:t>
      </w:r>
      <w:r w:rsidR="001411E0">
        <w:rPr>
          <w:rFonts w:ascii="Cambria" w:eastAsia="Times New Roman" w:hAnsi="Cambria" w:cs="Calibri"/>
          <w:sz w:val="20"/>
          <w:szCs w:val="20"/>
        </w:rPr>
        <w:t>LACE</w:t>
      </w:r>
      <w:r w:rsidRPr="007F63BC">
        <w:rPr>
          <w:rFonts w:ascii="Cambria" w:eastAsia="Times New Roman" w:hAnsi="Cambria" w:cs="Calibri"/>
          <w:sz w:val="20"/>
          <w:szCs w:val="20"/>
        </w:rPr>
        <w:t xml:space="preserve"> indigent clients relying on court-ordered maintenance (total of 12,000 persons received this support) through LAC and collation and dissemination of (amongst judiciary, medical professionals, public) laws and regulations pertaining to infectious diseases, quarantine, and restriction of movement for ease of business, was considered by all interviewees as a significant contribution.  </w:t>
      </w:r>
    </w:p>
    <w:p w14:paraId="27838D9F" w14:textId="77777777" w:rsidR="006B4BFE" w:rsidRPr="000E5D2C" w:rsidRDefault="006B4BFE" w:rsidP="006B4BFE">
      <w:pPr>
        <w:spacing w:line="360" w:lineRule="auto"/>
        <w:jc w:val="both"/>
        <w:rPr>
          <w:rFonts w:ascii="Cambria" w:hAnsi="Cambria" w:cs="Calibri"/>
          <w:bCs/>
          <w:sz w:val="20"/>
          <w:szCs w:val="20"/>
          <w:lang w:val="en-GB"/>
        </w:rPr>
      </w:pPr>
      <w:r w:rsidRPr="000E5D2C">
        <w:rPr>
          <w:rFonts w:ascii="Cambria" w:hAnsi="Cambria" w:cs="Calibri"/>
          <w:bCs/>
          <w:sz w:val="20"/>
          <w:szCs w:val="20"/>
          <w:lang w:val="en-GB"/>
        </w:rPr>
        <w:t>As a result of engaging with the Ceylon College of Psychiatrists to sensiti</w:t>
      </w:r>
      <w:r>
        <w:rPr>
          <w:rFonts w:ascii="Cambria" w:hAnsi="Cambria" w:cs="Calibri"/>
          <w:bCs/>
          <w:sz w:val="20"/>
          <w:szCs w:val="20"/>
          <w:lang w:val="en-GB"/>
        </w:rPr>
        <w:t>s</w:t>
      </w:r>
      <w:r w:rsidRPr="000E5D2C">
        <w:rPr>
          <w:rFonts w:ascii="Cambria" w:hAnsi="Cambria" w:cs="Calibri"/>
          <w:bCs/>
          <w:sz w:val="20"/>
          <w:szCs w:val="20"/>
          <w:lang w:val="en-GB"/>
        </w:rPr>
        <w:t>e and train on special measures, such as psychological assistance provided for victims of crime, case conferencing model, special measures adopted in courts for victims undergoing trauma including children, led to discussions for the development of a module on trauma informed care for victims of crime and creation of a coordination mechanism between law enforcement and clinical psychiatrists on responding to needs of victims of crime.</w:t>
      </w:r>
    </w:p>
    <w:p w14:paraId="7CDCCF38" w14:textId="77777777" w:rsidR="006B4BFE" w:rsidRPr="000E5D2C" w:rsidRDefault="006B4BFE" w:rsidP="006B4BFE">
      <w:pPr>
        <w:spacing w:line="360" w:lineRule="auto"/>
        <w:jc w:val="both"/>
        <w:rPr>
          <w:rFonts w:ascii="Cambria" w:hAnsi="Cambria" w:cs="Calibri"/>
          <w:bCs/>
          <w:sz w:val="20"/>
          <w:szCs w:val="20"/>
          <w:lang w:val="en-GB"/>
        </w:rPr>
      </w:pPr>
      <w:r w:rsidRPr="000E5D2C">
        <w:rPr>
          <w:rFonts w:ascii="Cambria" w:hAnsi="Cambria" w:cs="Calibri"/>
          <w:bCs/>
          <w:sz w:val="20"/>
          <w:szCs w:val="20"/>
          <w:lang w:val="en-GB"/>
        </w:rPr>
        <w:t>Evidence of further change may be found in short term, but aggressive media campaigning and awareness of duty bearers coupled with forging partnerships leading to a drastic increase in inquiries and support services. For instance, as a result of regular communications and consultations, the police, LAC and BASL referred</w:t>
      </w:r>
      <w:r>
        <w:rPr>
          <w:rFonts w:ascii="Cambria" w:hAnsi="Cambria" w:cs="Calibri"/>
          <w:bCs/>
          <w:sz w:val="20"/>
          <w:szCs w:val="20"/>
          <w:lang w:val="en-GB"/>
        </w:rPr>
        <w:t xml:space="preserve"> </w:t>
      </w:r>
      <w:r w:rsidRPr="000E5D2C">
        <w:rPr>
          <w:rFonts w:ascii="Cambria" w:hAnsi="Cambria" w:cs="Calibri"/>
          <w:bCs/>
          <w:sz w:val="20"/>
          <w:szCs w:val="20"/>
          <w:lang w:val="en-GB"/>
        </w:rPr>
        <w:t xml:space="preserve">approximately 400 requests for protection </w:t>
      </w:r>
      <w:r>
        <w:rPr>
          <w:rFonts w:ascii="Cambria" w:hAnsi="Cambria" w:cs="Calibri"/>
          <w:bCs/>
          <w:sz w:val="20"/>
          <w:szCs w:val="20"/>
          <w:lang w:val="en-GB"/>
        </w:rPr>
        <w:t xml:space="preserve">and </w:t>
      </w:r>
      <w:r w:rsidRPr="000E5D2C">
        <w:rPr>
          <w:rFonts w:ascii="Cambria" w:hAnsi="Cambria" w:cs="Calibri"/>
          <w:bCs/>
          <w:sz w:val="20"/>
          <w:szCs w:val="20"/>
          <w:lang w:val="en-GB"/>
        </w:rPr>
        <w:t xml:space="preserve">assistance to prepare VISs, which resulted in enhanced </w:t>
      </w:r>
      <w:r w:rsidRPr="000E5D2C">
        <w:rPr>
          <w:rFonts w:ascii="Cambria" w:hAnsi="Cambria" w:cs="Calibri"/>
          <w:bCs/>
          <w:sz w:val="20"/>
          <w:szCs w:val="20"/>
          <w:lang w:val="en-GB"/>
        </w:rPr>
        <w:lastRenderedPageBreak/>
        <w:t>compensation for victims.</w:t>
      </w:r>
      <w:r w:rsidRPr="00AC1452">
        <w:rPr>
          <w:rStyle w:val="FootnoteReference"/>
          <w:rFonts w:ascii="Cambria" w:hAnsi="Cambria" w:cs="Calibri"/>
          <w:bCs/>
          <w:sz w:val="20"/>
          <w:szCs w:val="20"/>
          <w:lang w:val="en-GB"/>
        </w:rPr>
        <w:footnoteReference w:id="64"/>
      </w:r>
      <w:r w:rsidRPr="000E5D2C">
        <w:rPr>
          <w:rFonts w:ascii="Cambria" w:hAnsi="Cambria" w:cs="Calibri"/>
          <w:bCs/>
          <w:sz w:val="20"/>
          <w:szCs w:val="20"/>
          <w:lang w:val="en-GB"/>
        </w:rPr>
        <w:t xml:space="preserve"> However feedback from IPs and KPIs highlight the difficulties in funding and sustaining media campaigns without donor support. </w:t>
      </w:r>
    </w:p>
    <w:p w14:paraId="3E069BF8" w14:textId="77777777" w:rsidR="006B4BFE" w:rsidRPr="000E5D2C" w:rsidRDefault="006B4BFE" w:rsidP="000607E0">
      <w:pPr>
        <w:shd w:val="clear" w:color="auto" w:fill="FFC000"/>
        <w:spacing w:line="360" w:lineRule="auto"/>
        <w:jc w:val="both"/>
        <w:rPr>
          <w:rFonts w:ascii="Cambria" w:hAnsi="Cambria"/>
          <w:color w:val="000000" w:themeColor="text1"/>
          <w:sz w:val="20"/>
          <w:szCs w:val="20"/>
          <w:lang w:val="en-GB"/>
        </w:rPr>
      </w:pPr>
      <w:r w:rsidRPr="000E5D2C">
        <w:rPr>
          <w:rFonts w:ascii="Cambria" w:hAnsi="Cambria" w:cs="Calibri"/>
          <w:bCs/>
          <w:color w:val="000000" w:themeColor="text1"/>
          <w:sz w:val="20"/>
          <w:szCs w:val="20"/>
          <w:lang w:val="en-GB"/>
        </w:rPr>
        <w:t>Although, the effectiveness and long-term impact of these interventions on beneficiaries is too early to evaluate, sustainability of future support may depend on investing in the government’s coordinated vision for justice sector reform and their ownership of it. Consultations with UNDP and IPs indicate the current reform movement within the justice sector as an opportunity for rigorous engagement and the willingness of the MOJ to consider UNDP in the role of facilitator for the donor coordination forum is indeed encouraging for the second phase.</w:t>
      </w:r>
    </w:p>
    <w:p w14:paraId="11D2C15E" w14:textId="77777777" w:rsidR="00EA43D0" w:rsidRPr="000E5D2C" w:rsidRDefault="00EA43D0" w:rsidP="000E5D2C">
      <w:pPr>
        <w:spacing w:line="360" w:lineRule="auto"/>
        <w:jc w:val="both"/>
        <w:rPr>
          <w:rFonts w:ascii="Cambria" w:hAnsi="Cambria"/>
          <w:color w:val="000000" w:themeColor="text1"/>
          <w:sz w:val="20"/>
          <w:szCs w:val="20"/>
          <w:lang w:val="en-GB"/>
        </w:rPr>
      </w:pPr>
    </w:p>
    <w:bookmarkEnd w:id="47"/>
    <w:p w14:paraId="59CC2D41" w14:textId="77777777" w:rsidR="006B4BFE" w:rsidRPr="00223CBF" w:rsidRDefault="006B4BFE" w:rsidP="006B4BFE">
      <w:pPr>
        <w:shd w:val="clear" w:color="auto" w:fill="D3E5F6" w:themeFill="accent3" w:themeFillTint="33"/>
        <w:spacing w:line="360" w:lineRule="auto"/>
        <w:jc w:val="both"/>
        <w:rPr>
          <w:rFonts w:ascii="Cambria" w:hAnsi="Cambria" w:cs="Calibri"/>
          <w:bCs/>
          <w:sz w:val="20"/>
          <w:szCs w:val="20"/>
          <w:lang w:val="en-GB"/>
        </w:rPr>
      </w:pPr>
      <w:r w:rsidRPr="00223CBF">
        <w:rPr>
          <w:rFonts w:ascii="Cambria" w:hAnsi="Cambria" w:cs="Calibri"/>
          <w:b/>
          <w:sz w:val="20"/>
          <w:szCs w:val="20"/>
          <w:lang w:val="en-GB"/>
        </w:rPr>
        <w:t xml:space="preserve">Output 2.2.  </w:t>
      </w:r>
      <w:r w:rsidRPr="00223CBF">
        <w:rPr>
          <w:rFonts w:ascii="Cambria" w:hAnsi="Cambria" w:cs="Calibri"/>
          <w:b/>
          <w:color w:val="000000" w:themeColor="text1"/>
          <w:sz w:val="20"/>
          <w:szCs w:val="20"/>
          <w:lang w:val="en-GB"/>
        </w:rPr>
        <w:t xml:space="preserve">State and non-state justice sector actors strengthened to deliver victim-centric services on areas including SGBV, victims and witness protection, and transitional justice and Outputs </w:t>
      </w:r>
    </w:p>
    <w:p w14:paraId="08F0F88C" w14:textId="1564085A" w:rsidR="006B4BFE" w:rsidRPr="00223CBF" w:rsidRDefault="006B4BFE" w:rsidP="006B4BFE">
      <w:pPr>
        <w:pStyle w:val="ListParagraph"/>
        <w:numPr>
          <w:ilvl w:val="0"/>
          <w:numId w:val="26"/>
        </w:numPr>
        <w:shd w:val="clear" w:color="auto" w:fill="D3E5F6" w:themeFill="accent3" w:themeFillTint="33"/>
        <w:spacing w:line="360" w:lineRule="auto"/>
        <w:jc w:val="both"/>
        <w:rPr>
          <w:rFonts w:ascii="Cambria" w:hAnsi="Cambria" w:cs="Calibri"/>
          <w:bCs/>
          <w:sz w:val="20"/>
          <w:szCs w:val="20"/>
          <w:lang w:val="en-GB"/>
        </w:rPr>
      </w:pPr>
      <w:r w:rsidRPr="00223CBF">
        <w:rPr>
          <w:rFonts w:ascii="Cambria" w:hAnsi="Cambria" w:cs="Calibri"/>
          <w:bCs/>
          <w:sz w:val="20"/>
          <w:szCs w:val="20"/>
          <w:lang w:val="en-GB"/>
        </w:rPr>
        <w:t xml:space="preserve">Based on the broader level collaboration between UN agencies such as UNFPA, UN Women and UNICEF on improving gender centric services by state and </w:t>
      </w:r>
      <w:r w:rsidR="00402442" w:rsidRPr="00223CBF">
        <w:rPr>
          <w:rFonts w:ascii="Cambria" w:hAnsi="Cambria" w:cs="Calibri"/>
          <w:bCs/>
          <w:sz w:val="20"/>
          <w:szCs w:val="20"/>
          <w:lang w:val="en-GB"/>
        </w:rPr>
        <w:t>non-State</w:t>
      </w:r>
      <w:r w:rsidRPr="00223CBF">
        <w:rPr>
          <w:rFonts w:ascii="Cambria" w:hAnsi="Cambria" w:cs="Calibri"/>
          <w:bCs/>
          <w:sz w:val="20"/>
          <w:szCs w:val="20"/>
          <w:lang w:val="en-GB"/>
        </w:rPr>
        <w:t xml:space="preserve"> actors, the output would benefit from greater participatory planning at design and implementation stages to identify core strengths, broad areas of expertise and focus based on their mandates to mobil</w:t>
      </w:r>
      <w:r>
        <w:rPr>
          <w:rFonts w:ascii="Cambria" w:hAnsi="Cambria" w:cs="Calibri"/>
          <w:bCs/>
          <w:sz w:val="20"/>
          <w:szCs w:val="20"/>
          <w:lang w:val="en-GB"/>
        </w:rPr>
        <w:t>is</w:t>
      </w:r>
      <w:r w:rsidRPr="00223CBF">
        <w:rPr>
          <w:rFonts w:ascii="Cambria" w:hAnsi="Cambria" w:cs="Calibri"/>
          <w:bCs/>
          <w:sz w:val="20"/>
          <w:szCs w:val="20"/>
          <w:lang w:val="en-GB"/>
        </w:rPr>
        <w:t xml:space="preserve">e resources and maximise impact </w:t>
      </w:r>
      <w:r>
        <w:rPr>
          <w:rFonts w:ascii="Cambria" w:hAnsi="Cambria" w:cs="Calibri"/>
          <w:bCs/>
          <w:sz w:val="20"/>
          <w:szCs w:val="20"/>
          <w:lang w:val="en-GB"/>
        </w:rPr>
        <w:t xml:space="preserve">to achieve </w:t>
      </w:r>
      <w:r w:rsidRPr="00223CBF">
        <w:rPr>
          <w:rFonts w:ascii="Cambria" w:hAnsi="Cambria" w:cs="Calibri"/>
          <w:bCs/>
          <w:sz w:val="20"/>
          <w:szCs w:val="20"/>
          <w:lang w:val="en-GB"/>
        </w:rPr>
        <w:t xml:space="preserve">a common objective. </w:t>
      </w:r>
    </w:p>
    <w:p w14:paraId="1F7BD5D9" w14:textId="77777777" w:rsidR="006B4BFE" w:rsidRPr="00223CBF" w:rsidRDefault="006B4BFE" w:rsidP="006B4BFE">
      <w:pPr>
        <w:pStyle w:val="ListParagraph"/>
        <w:numPr>
          <w:ilvl w:val="0"/>
          <w:numId w:val="25"/>
        </w:numPr>
        <w:shd w:val="clear" w:color="auto" w:fill="D3E5F6" w:themeFill="accent3" w:themeFillTint="33"/>
        <w:spacing w:line="360" w:lineRule="auto"/>
        <w:jc w:val="both"/>
        <w:rPr>
          <w:rFonts w:ascii="Cambria" w:hAnsi="Cambria" w:cs="Calibri"/>
          <w:bCs/>
          <w:sz w:val="20"/>
          <w:szCs w:val="20"/>
          <w:lang w:val="en-GB"/>
        </w:rPr>
      </w:pPr>
      <w:r w:rsidRPr="00223CBF">
        <w:rPr>
          <w:rFonts w:ascii="Cambria" w:hAnsi="Cambria" w:cs="Calibri"/>
          <w:bCs/>
          <w:sz w:val="20"/>
          <w:szCs w:val="20"/>
          <w:lang w:val="en-GB"/>
        </w:rPr>
        <w:t xml:space="preserve">Targeted and strategic interventions under the rubric of the SGBV Action Plan that, concurrently target duty bearers and rights holders was highlighted above.  CSO engagement, which is strongest in comparison to Pillar One has resulted in strong partnerships between CSOs and communities, particularly linking communities at the village level through </w:t>
      </w:r>
      <w:r>
        <w:rPr>
          <w:rFonts w:ascii="Cambria" w:hAnsi="Cambria" w:cs="Calibri"/>
          <w:bCs/>
          <w:sz w:val="20"/>
          <w:szCs w:val="20"/>
          <w:lang w:val="en-GB"/>
        </w:rPr>
        <w:t>v</w:t>
      </w:r>
      <w:r w:rsidRPr="00223CBF">
        <w:rPr>
          <w:rFonts w:ascii="Cambria" w:hAnsi="Cambria" w:cs="Calibri"/>
          <w:bCs/>
          <w:sz w:val="20"/>
          <w:szCs w:val="20"/>
          <w:lang w:val="en-GB"/>
        </w:rPr>
        <w:t xml:space="preserve">illage committees or vigilant committees to the divisional secretariat. </w:t>
      </w:r>
    </w:p>
    <w:p w14:paraId="6CC7A824" w14:textId="77777777" w:rsidR="006B4BFE" w:rsidRPr="00223CBF" w:rsidRDefault="006B4BFE" w:rsidP="006B4BFE">
      <w:pPr>
        <w:pStyle w:val="ListParagraph"/>
        <w:numPr>
          <w:ilvl w:val="0"/>
          <w:numId w:val="25"/>
        </w:numPr>
        <w:shd w:val="clear" w:color="auto" w:fill="D3E5F6" w:themeFill="accent3" w:themeFillTint="33"/>
        <w:spacing w:line="360" w:lineRule="auto"/>
        <w:jc w:val="both"/>
        <w:rPr>
          <w:rFonts w:ascii="Cambria" w:hAnsi="Cambria" w:cs="Calibri"/>
          <w:bCs/>
          <w:sz w:val="20"/>
          <w:szCs w:val="20"/>
        </w:rPr>
      </w:pPr>
      <w:r w:rsidRPr="00223CBF">
        <w:rPr>
          <w:rFonts w:ascii="Cambria" w:hAnsi="Cambria" w:cs="Calibri"/>
          <w:bCs/>
          <w:sz w:val="20"/>
          <w:szCs w:val="20"/>
          <w:lang w:val="en-GB"/>
        </w:rPr>
        <w:t xml:space="preserve">The referral pathway, which has been tried and tested is now established practice, particularly in the local communities UNDP support is strong. During the last two years, over </w:t>
      </w:r>
      <w:r w:rsidRPr="00223CBF">
        <w:rPr>
          <w:rFonts w:ascii="Cambria" w:hAnsi="Cambria" w:cs="Calibri"/>
          <w:bCs/>
          <w:sz w:val="20"/>
          <w:szCs w:val="20"/>
        </w:rPr>
        <w:t>50 divisional and district referral meetings on SGBV were held to strengthen the SGBV referral mechanism, which will inform the National Action Plan on SGBV.</w:t>
      </w:r>
    </w:p>
    <w:p w14:paraId="428A63C4" w14:textId="77777777" w:rsidR="006B4BFE" w:rsidRPr="00223CBF" w:rsidRDefault="006B4BFE" w:rsidP="006B4BFE">
      <w:pPr>
        <w:pStyle w:val="ListParagraph"/>
        <w:numPr>
          <w:ilvl w:val="0"/>
          <w:numId w:val="25"/>
        </w:numPr>
        <w:shd w:val="clear" w:color="auto" w:fill="D3E5F6" w:themeFill="accent3" w:themeFillTint="33"/>
        <w:spacing w:line="360" w:lineRule="auto"/>
        <w:jc w:val="both"/>
        <w:rPr>
          <w:rFonts w:ascii="Cambria" w:hAnsi="Cambria" w:cs="Calibri"/>
          <w:bCs/>
          <w:sz w:val="20"/>
          <w:szCs w:val="20"/>
          <w:lang w:val="en-GB"/>
        </w:rPr>
      </w:pPr>
      <w:r w:rsidRPr="00223CBF">
        <w:rPr>
          <w:rFonts w:ascii="Cambria" w:hAnsi="Cambria" w:cs="Calibri"/>
          <w:bCs/>
          <w:sz w:val="20"/>
          <w:szCs w:val="20"/>
          <w:lang w:val="en-GB"/>
        </w:rPr>
        <w:t xml:space="preserve">Targeted interventions have also contributed to stronger partnerships with government officers attached to the DS </w:t>
      </w:r>
      <w:r>
        <w:rPr>
          <w:rFonts w:ascii="Cambria" w:hAnsi="Cambria" w:cs="Calibri"/>
          <w:bCs/>
          <w:sz w:val="20"/>
          <w:szCs w:val="20"/>
          <w:lang w:val="en-GB"/>
        </w:rPr>
        <w:t xml:space="preserve">including </w:t>
      </w:r>
      <w:r w:rsidRPr="00223CBF">
        <w:rPr>
          <w:rFonts w:ascii="Cambria" w:hAnsi="Cambria" w:cs="Calibri"/>
          <w:bCs/>
          <w:sz w:val="20"/>
          <w:szCs w:val="20"/>
          <w:lang w:val="en-GB"/>
        </w:rPr>
        <w:t>WDOs, C</w:t>
      </w:r>
      <w:r>
        <w:rPr>
          <w:rFonts w:ascii="Cambria" w:hAnsi="Cambria" w:cs="Calibri"/>
          <w:bCs/>
          <w:sz w:val="20"/>
          <w:szCs w:val="20"/>
          <w:lang w:val="en-GB"/>
        </w:rPr>
        <w:t>hild Protection Officers (C</w:t>
      </w:r>
      <w:r w:rsidRPr="00223CBF">
        <w:rPr>
          <w:rFonts w:ascii="Cambria" w:hAnsi="Cambria" w:cs="Calibri"/>
          <w:bCs/>
          <w:sz w:val="20"/>
          <w:szCs w:val="20"/>
          <w:lang w:val="en-GB"/>
        </w:rPr>
        <w:t>PO</w:t>
      </w:r>
      <w:r>
        <w:rPr>
          <w:rFonts w:ascii="Cambria" w:hAnsi="Cambria" w:cs="Calibri"/>
          <w:bCs/>
          <w:sz w:val="20"/>
          <w:szCs w:val="20"/>
          <w:lang w:val="en-GB"/>
        </w:rPr>
        <w:t>)</w:t>
      </w:r>
      <w:r w:rsidRPr="00223CBF">
        <w:rPr>
          <w:rFonts w:ascii="Cambria" w:hAnsi="Cambria" w:cs="Calibri"/>
          <w:bCs/>
          <w:sz w:val="20"/>
          <w:szCs w:val="20"/>
          <w:lang w:val="en-GB"/>
        </w:rPr>
        <w:t xml:space="preserve">, youth officers, GNs, etc. </w:t>
      </w:r>
      <w:r>
        <w:rPr>
          <w:rFonts w:ascii="Cambria" w:hAnsi="Cambria" w:cs="Calibri"/>
          <w:bCs/>
          <w:sz w:val="20"/>
          <w:szCs w:val="20"/>
          <w:lang w:val="en-GB"/>
        </w:rPr>
        <w:t>P</w:t>
      </w:r>
      <w:r w:rsidRPr="00223CBF">
        <w:rPr>
          <w:rFonts w:ascii="Cambria" w:hAnsi="Cambria" w:cs="Calibri"/>
          <w:bCs/>
          <w:sz w:val="20"/>
          <w:szCs w:val="20"/>
          <w:lang w:val="en-GB"/>
        </w:rPr>
        <w:t xml:space="preserve">artnerships </w:t>
      </w:r>
      <w:r>
        <w:rPr>
          <w:rFonts w:ascii="Cambria" w:hAnsi="Cambria" w:cs="Calibri"/>
          <w:bCs/>
          <w:sz w:val="20"/>
          <w:szCs w:val="20"/>
          <w:lang w:val="en-GB"/>
        </w:rPr>
        <w:t xml:space="preserve">were </w:t>
      </w:r>
      <w:r w:rsidRPr="00223CBF">
        <w:rPr>
          <w:rFonts w:ascii="Cambria" w:hAnsi="Cambria" w:cs="Calibri"/>
          <w:bCs/>
          <w:sz w:val="20"/>
          <w:szCs w:val="20"/>
          <w:lang w:val="en-GB"/>
        </w:rPr>
        <w:t xml:space="preserve">strengthened through training, capacity development and information sharing. Despite work targeting several tiers to maximise impact, KPIs and IPs sadly note </w:t>
      </w:r>
      <w:r>
        <w:rPr>
          <w:rFonts w:ascii="Cambria" w:hAnsi="Cambria" w:cs="Calibri"/>
          <w:bCs/>
          <w:sz w:val="20"/>
          <w:szCs w:val="20"/>
          <w:lang w:val="en-GB"/>
        </w:rPr>
        <w:t xml:space="preserve">that </w:t>
      </w:r>
      <w:r w:rsidRPr="00223CBF">
        <w:rPr>
          <w:rFonts w:ascii="Cambria" w:hAnsi="Cambria" w:cs="Calibri"/>
          <w:bCs/>
          <w:sz w:val="20"/>
          <w:szCs w:val="20"/>
          <w:lang w:val="en-GB"/>
        </w:rPr>
        <w:t>improvement in rights awareness in general within communities, especially rural communities</w:t>
      </w:r>
      <w:r>
        <w:rPr>
          <w:rFonts w:ascii="Cambria" w:hAnsi="Cambria" w:cs="Calibri"/>
          <w:bCs/>
          <w:sz w:val="20"/>
          <w:szCs w:val="20"/>
          <w:lang w:val="en-GB"/>
        </w:rPr>
        <w:t xml:space="preserve"> is dismal</w:t>
      </w:r>
      <w:r w:rsidRPr="00223CBF">
        <w:rPr>
          <w:rFonts w:ascii="Cambria" w:hAnsi="Cambria" w:cs="Calibri"/>
          <w:bCs/>
          <w:sz w:val="20"/>
          <w:szCs w:val="20"/>
          <w:lang w:val="en-GB"/>
        </w:rPr>
        <w:t xml:space="preserve">. CSOs also note macro factors such as poverty, economic deprivation, low literacy, school dropouts, and harsh climatic conditions that decelerate the full </w:t>
      </w:r>
      <w:r w:rsidRPr="00223CBF">
        <w:rPr>
          <w:rFonts w:ascii="Cambria" w:hAnsi="Cambria" w:cs="Calibri"/>
          <w:bCs/>
          <w:sz w:val="20"/>
          <w:szCs w:val="20"/>
          <w:lang w:val="en-GB"/>
        </w:rPr>
        <w:lastRenderedPageBreak/>
        <w:t>impact of rights-oriented programmes. KPIs also note despite the rhetoric on SGBV, the lack of political will and commitment suppresses any real reform on GEWE.</w:t>
      </w:r>
    </w:p>
    <w:p w14:paraId="52222540" w14:textId="77569D0E" w:rsidR="006B4BFE" w:rsidRPr="00223CBF" w:rsidRDefault="006B4BFE" w:rsidP="006B4BFE">
      <w:pPr>
        <w:pStyle w:val="ListParagraph"/>
        <w:numPr>
          <w:ilvl w:val="0"/>
          <w:numId w:val="25"/>
        </w:numPr>
        <w:shd w:val="clear" w:color="auto" w:fill="D3E5F6" w:themeFill="accent3" w:themeFillTint="33"/>
        <w:spacing w:line="360" w:lineRule="auto"/>
        <w:jc w:val="both"/>
        <w:rPr>
          <w:rFonts w:ascii="Cambria" w:hAnsi="Cambria" w:cs="Calibri"/>
          <w:bCs/>
          <w:sz w:val="20"/>
          <w:szCs w:val="20"/>
          <w:lang w:val="en-GB"/>
        </w:rPr>
      </w:pPr>
      <w:r w:rsidRPr="00223CBF">
        <w:rPr>
          <w:rFonts w:ascii="Cambria" w:hAnsi="Cambria" w:cs="Calibri"/>
          <w:bCs/>
          <w:sz w:val="20"/>
          <w:szCs w:val="20"/>
          <w:lang w:val="en-GB"/>
        </w:rPr>
        <w:t>IPs acknowledged the importance of the work done by UNDP and the aggressive role that it should play to raise community issues at the national level</w:t>
      </w:r>
      <w:r w:rsidR="00402442">
        <w:rPr>
          <w:rFonts w:ascii="Cambria" w:hAnsi="Cambria" w:cs="Calibri"/>
          <w:bCs/>
          <w:sz w:val="20"/>
          <w:szCs w:val="20"/>
          <w:lang w:val="en-GB"/>
        </w:rPr>
        <w:t>,</w:t>
      </w:r>
      <w:r w:rsidRPr="00223CBF">
        <w:rPr>
          <w:rFonts w:ascii="Cambria" w:hAnsi="Cambria" w:cs="Calibri"/>
          <w:bCs/>
          <w:sz w:val="20"/>
          <w:szCs w:val="20"/>
          <w:lang w:val="en-GB"/>
        </w:rPr>
        <w:t xml:space="preserve"> through its engagement with the MWCA and supporting the operationalisation of the SGBV Plan of Action</w:t>
      </w:r>
      <w:r w:rsidR="00402442">
        <w:rPr>
          <w:rFonts w:ascii="Cambria" w:hAnsi="Cambria" w:cs="Calibri"/>
          <w:bCs/>
          <w:sz w:val="20"/>
          <w:szCs w:val="20"/>
          <w:lang w:val="en-GB"/>
        </w:rPr>
        <w:t>,</w:t>
      </w:r>
      <w:r w:rsidRPr="00223CBF">
        <w:rPr>
          <w:rFonts w:ascii="Cambria" w:hAnsi="Cambria" w:cs="Calibri"/>
          <w:bCs/>
          <w:sz w:val="20"/>
          <w:szCs w:val="20"/>
          <w:lang w:val="en-GB"/>
        </w:rPr>
        <w:t xml:space="preserve"> to maintain the momentum </w:t>
      </w:r>
      <w:r>
        <w:rPr>
          <w:rFonts w:ascii="Cambria" w:hAnsi="Cambria" w:cs="Calibri"/>
          <w:bCs/>
          <w:sz w:val="20"/>
          <w:szCs w:val="20"/>
          <w:lang w:val="en-GB"/>
        </w:rPr>
        <w:t xml:space="preserve">to </w:t>
      </w:r>
      <w:r w:rsidRPr="00223CBF">
        <w:rPr>
          <w:rFonts w:ascii="Cambria" w:hAnsi="Cambria" w:cs="Calibri"/>
          <w:bCs/>
          <w:sz w:val="20"/>
          <w:szCs w:val="20"/>
          <w:lang w:val="en-GB"/>
        </w:rPr>
        <w:t>promot</w:t>
      </w:r>
      <w:r>
        <w:rPr>
          <w:rFonts w:ascii="Cambria" w:hAnsi="Cambria" w:cs="Calibri"/>
          <w:bCs/>
          <w:sz w:val="20"/>
          <w:szCs w:val="20"/>
          <w:lang w:val="en-GB"/>
        </w:rPr>
        <w:t xml:space="preserve">e </w:t>
      </w:r>
      <w:r w:rsidRPr="00223CBF">
        <w:rPr>
          <w:rFonts w:ascii="Cambria" w:hAnsi="Cambria" w:cs="Calibri"/>
          <w:bCs/>
          <w:sz w:val="20"/>
          <w:szCs w:val="20"/>
          <w:lang w:val="en-GB"/>
        </w:rPr>
        <w:t>gender equality.</w:t>
      </w:r>
    </w:p>
    <w:p w14:paraId="34AE8F83" w14:textId="77777777" w:rsidR="006B4BFE" w:rsidRPr="00223CBF" w:rsidRDefault="006B4BFE" w:rsidP="000507CA">
      <w:pPr>
        <w:spacing w:line="360" w:lineRule="auto"/>
        <w:jc w:val="both"/>
        <w:rPr>
          <w:rFonts w:ascii="Cambria" w:hAnsi="Cambria" w:cs="Arial"/>
          <w:b/>
          <w:bCs/>
          <w:sz w:val="20"/>
          <w:szCs w:val="20"/>
        </w:rPr>
      </w:pPr>
    </w:p>
    <w:p w14:paraId="10B49DC3" w14:textId="2553F056" w:rsidR="00331FB6" w:rsidRPr="00223CBF" w:rsidRDefault="00331FB6" w:rsidP="000507CA">
      <w:pPr>
        <w:spacing w:line="360" w:lineRule="auto"/>
        <w:jc w:val="both"/>
        <w:rPr>
          <w:rFonts w:ascii="Cambria" w:hAnsi="Cambria" w:cs="Arial"/>
          <w:b/>
          <w:bCs/>
          <w:sz w:val="20"/>
          <w:szCs w:val="20"/>
        </w:rPr>
      </w:pPr>
      <w:r w:rsidRPr="00223CBF">
        <w:rPr>
          <w:rFonts w:ascii="Cambria" w:hAnsi="Cambria" w:cs="Arial"/>
          <w:b/>
          <w:bCs/>
          <w:sz w:val="20"/>
          <w:szCs w:val="20"/>
        </w:rPr>
        <w:t>EQ5. Sustainability and Ownership</w:t>
      </w:r>
    </w:p>
    <w:p w14:paraId="7C14E906" w14:textId="77777777" w:rsidR="00331FB6" w:rsidRPr="00223CBF" w:rsidRDefault="00331FB6" w:rsidP="000507CA">
      <w:pPr>
        <w:shd w:val="clear" w:color="auto" w:fill="92D050"/>
        <w:spacing w:line="360" w:lineRule="auto"/>
        <w:jc w:val="both"/>
        <w:rPr>
          <w:rFonts w:ascii="Cambria" w:hAnsi="Cambria" w:cs="Arial"/>
          <w:sz w:val="20"/>
          <w:szCs w:val="20"/>
        </w:rPr>
      </w:pPr>
    </w:p>
    <w:p w14:paraId="10657D60" w14:textId="57EACDE0" w:rsidR="000C0C73" w:rsidRPr="00223CBF" w:rsidRDefault="00331FB6" w:rsidP="004D72E6">
      <w:pPr>
        <w:shd w:val="clear" w:color="auto" w:fill="92D050"/>
        <w:spacing w:line="360" w:lineRule="auto"/>
        <w:jc w:val="center"/>
        <w:rPr>
          <w:rFonts w:ascii="Cambria" w:hAnsi="Cambria" w:cs="Arial"/>
          <w:sz w:val="20"/>
          <w:szCs w:val="20"/>
        </w:rPr>
      </w:pPr>
      <w:r w:rsidRPr="00223CBF">
        <w:rPr>
          <w:rFonts w:ascii="Cambria" w:hAnsi="Cambria" w:cs="Arial"/>
          <w:sz w:val="20"/>
          <w:szCs w:val="20"/>
        </w:rPr>
        <w:t xml:space="preserve">Sustainability considers the extent to which the outcomes or the progress achieved is </w:t>
      </w:r>
      <w:r w:rsidRPr="00223CBF">
        <w:rPr>
          <w:rFonts w:ascii="Cambria" w:hAnsi="Cambria" w:cs="Arial"/>
          <w:b/>
          <w:bCs/>
          <w:sz w:val="20"/>
          <w:szCs w:val="20"/>
        </w:rPr>
        <w:t>likely to endure beyond the duration of the project</w:t>
      </w:r>
      <w:r w:rsidRPr="00223CBF">
        <w:rPr>
          <w:rFonts w:ascii="Cambria" w:hAnsi="Cambria" w:cs="Arial"/>
          <w:sz w:val="20"/>
          <w:szCs w:val="20"/>
        </w:rPr>
        <w:t xml:space="preserve">. It looks at whether the project design considered the </w:t>
      </w:r>
      <w:r w:rsidRPr="00223CBF">
        <w:rPr>
          <w:rFonts w:ascii="Cambria" w:hAnsi="Cambria" w:cs="Arial"/>
          <w:b/>
          <w:bCs/>
          <w:sz w:val="20"/>
          <w:szCs w:val="20"/>
        </w:rPr>
        <w:t>handing-over of responsibilities to government and non-government stakeholders</w:t>
      </w:r>
      <w:r w:rsidRPr="00223CBF">
        <w:rPr>
          <w:rFonts w:ascii="Cambria" w:hAnsi="Cambria" w:cs="Arial"/>
          <w:sz w:val="20"/>
          <w:szCs w:val="20"/>
        </w:rPr>
        <w:t xml:space="preserve"> and the capacity of national partners institutionalizing efforts through internal processes and budgeting for continuity and ownership. It also considers the </w:t>
      </w:r>
      <w:r w:rsidRPr="00223CBF">
        <w:rPr>
          <w:rFonts w:ascii="Cambria" w:hAnsi="Cambria" w:cs="Arial"/>
          <w:b/>
          <w:bCs/>
          <w:sz w:val="20"/>
          <w:szCs w:val="20"/>
        </w:rPr>
        <w:t>networks and partnerships built</w:t>
      </w:r>
      <w:r w:rsidRPr="00223CBF">
        <w:rPr>
          <w:rFonts w:ascii="Cambria" w:hAnsi="Cambria" w:cs="Arial"/>
          <w:sz w:val="20"/>
          <w:szCs w:val="20"/>
        </w:rPr>
        <w:t xml:space="preserve"> and strengthened and immediate and long-term risks that may impact on sustainability.</w:t>
      </w:r>
    </w:p>
    <w:p w14:paraId="5E82BA50" w14:textId="77777777" w:rsidR="000C0C73" w:rsidRPr="00223CBF" w:rsidRDefault="000C0C73" w:rsidP="000507CA">
      <w:pPr>
        <w:spacing w:after="0" w:line="360" w:lineRule="auto"/>
        <w:jc w:val="both"/>
        <w:rPr>
          <w:rFonts w:ascii="Cambria" w:hAnsi="Cambria" w:cstheme="minorHAnsi"/>
          <w:sz w:val="20"/>
          <w:szCs w:val="20"/>
        </w:rPr>
      </w:pPr>
    </w:p>
    <w:p w14:paraId="140E50BF" w14:textId="11D4FE60" w:rsidR="00331FB6" w:rsidRDefault="00331FB6" w:rsidP="00925CAD">
      <w:pPr>
        <w:pStyle w:val="ListParagraph"/>
        <w:numPr>
          <w:ilvl w:val="0"/>
          <w:numId w:val="36"/>
        </w:numPr>
        <w:spacing w:line="360" w:lineRule="auto"/>
        <w:jc w:val="both"/>
        <w:rPr>
          <w:rFonts w:ascii="Cambria" w:hAnsi="Cambria" w:cstheme="minorHAnsi"/>
          <w:b/>
          <w:bCs/>
          <w:color w:val="0070C0"/>
          <w:sz w:val="20"/>
          <w:szCs w:val="20"/>
        </w:rPr>
      </w:pPr>
      <w:r w:rsidRPr="00EA43D0">
        <w:rPr>
          <w:rFonts w:ascii="Cambria" w:hAnsi="Cambria" w:cstheme="minorHAnsi"/>
          <w:b/>
          <w:bCs/>
          <w:color w:val="0070C0"/>
          <w:sz w:val="20"/>
          <w:szCs w:val="20"/>
        </w:rPr>
        <w:t>The extent to which the strategies adopted are likely to ensure beyond the duration of the Portfolio and the extent to which national ownership was encouraged</w:t>
      </w:r>
    </w:p>
    <w:p w14:paraId="32F7566E" w14:textId="77777777" w:rsidR="00EA43D0" w:rsidRPr="00EA43D0" w:rsidRDefault="00EA43D0" w:rsidP="00EA43D0">
      <w:pPr>
        <w:spacing w:line="360" w:lineRule="auto"/>
        <w:jc w:val="both"/>
        <w:rPr>
          <w:rFonts w:ascii="Cambria" w:hAnsi="Cambria" w:cstheme="minorHAnsi"/>
          <w:sz w:val="20"/>
          <w:szCs w:val="20"/>
        </w:rPr>
      </w:pPr>
      <w:r w:rsidRPr="00EA43D0">
        <w:rPr>
          <w:rFonts w:ascii="Cambria" w:hAnsi="Cambria" w:cstheme="minorHAnsi"/>
          <w:sz w:val="20"/>
          <w:szCs w:val="20"/>
        </w:rPr>
        <w:t xml:space="preserve">There are a number of strategic interventions that has an increased likelihood of progressing towards self-sustenance during and beyond the lifetime of the Portfolio. Investment in legislative drafting by supporting the Ministerial Committee and the Authority and amendments introduced to complimentary laws and procedures to operationalise the Act looks promising especially given the reappointment of the Board for the NVWPA recently. </w:t>
      </w:r>
    </w:p>
    <w:p w14:paraId="55BB8E41" w14:textId="0EF8B5E7" w:rsidR="00EA43D0" w:rsidRPr="00EA43D0" w:rsidRDefault="00EA43D0" w:rsidP="000607E0">
      <w:pPr>
        <w:shd w:val="clear" w:color="auto" w:fill="FFC000"/>
        <w:spacing w:line="360" w:lineRule="auto"/>
        <w:jc w:val="both"/>
        <w:rPr>
          <w:rFonts w:ascii="Cambria" w:hAnsi="Cambria" w:cstheme="minorHAnsi"/>
          <w:sz w:val="20"/>
          <w:szCs w:val="20"/>
        </w:rPr>
      </w:pPr>
      <w:r w:rsidRPr="00EA43D0">
        <w:rPr>
          <w:rFonts w:ascii="Cambria" w:hAnsi="Cambria" w:cstheme="minorHAnsi"/>
          <w:sz w:val="20"/>
          <w:szCs w:val="20"/>
        </w:rPr>
        <w:t>Increasing ownership and reducing donor dependency is key to</w:t>
      </w:r>
      <w:r w:rsidR="00402442">
        <w:rPr>
          <w:rFonts w:ascii="Cambria" w:hAnsi="Cambria" w:cstheme="minorHAnsi"/>
          <w:sz w:val="20"/>
          <w:szCs w:val="20"/>
        </w:rPr>
        <w:t xml:space="preserve"> sustainability </w:t>
      </w:r>
      <w:r w:rsidRPr="00EA43D0">
        <w:rPr>
          <w:rFonts w:ascii="Cambria" w:hAnsi="Cambria" w:cstheme="minorHAnsi"/>
          <w:sz w:val="20"/>
          <w:szCs w:val="20"/>
        </w:rPr>
        <w:t>beyond the project phase. UNDP supported evidenced based sentencing study conducted by the MOJ through consultative participation is now being absorbed within the broader sector wide approach to reforms. Moreover, the Portfolio has already obtained the buy in for rolling out the transitionary provision on remote court hearing piloted during the first wave of the pandemic to other courts and prisons. The streamlining of this process</w:t>
      </w:r>
      <w:r w:rsidR="00402442">
        <w:rPr>
          <w:rFonts w:ascii="Cambria" w:hAnsi="Cambria" w:cstheme="minorHAnsi"/>
          <w:sz w:val="20"/>
          <w:szCs w:val="20"/>
        </w:rPr>
        <w:t>,</w:t>
      </w:r>
      <w:r w:rsidRPr="00EA43D0">
        <w:rPr>
          <w:rFonts w:ascii="Cambria" w:hAnsi="Cambria" w:cstheme="minorHAnsi"/>
          <w:sz w:val="20"/>
          <w:szCs w:val="20"/>
        </w:rPr>
        <w:t xml:space="preserve"> will be based on previous studies conducted by UNDP</w:t>
      </w:r>
      <w:r w:rsidR="00402442">
        <w:rPr>
          <w:rFonts w:ascii="Cambria" w:hAnsi="Cambria" w:cstheme="minorHAnsi"/>
          <w:sz w:val="20"/>
          <w:szCs w:val="20"/>
        </w:rPr>
        <w:t>,</w:t>
      </w:r>
      <w:r w:rsidRPr="00EA43D0">
        <w:rPr>
          <w:rFonts w:ascii="Cambria" w:hAnsi="Cambria" w:cstheme="minorHAnsi"/>
          <w:sz w:val="20"/>
          <w:szCs w:val="20"/>
        </w:rPr>
        <w:t xml:space="preserve"> on Case flow management to reduce laws delays. </w:t>
      </w:r>
    </w:p>
    <w:p w14:paraId="174D3AB8" w14:textId="76672306" w:rsidR="00EA43D0" w:rsidRDefault="00EA43D0" w:rsidP="00EA43D0">
      <w:pPr>
        <w:spacing w:line="360" w:lineRule="auto"/>
        <w:jc w:val="both"/>
        <w:rPr>
          <w:rFonts w:ascii="Cambria" w:hAnsi="Cambria" w:cstheme="minorHAnsi"/>
          <w:sz w:val="20"/>
          <w:szCs w:val="20"/>
        </w:rPr>
      </w:pPr>
      <w:r w:rsidRPr="00EA43D0">
        <w:rPr>
          <w:rFonts w:ascii="Cambria" w:hAnsi="Cambria" w:cstheme="minorHAnsi"/>
          <w:sz w:val="20"/>
          <w:szCs w:val="20"/>
        </w:rPr>
        <w:t>Research studies and surveys on crime trends and victims’ perceptions</w:t>
      </w:r>
      <w:r w:rsidR="00402442">
        <w:rPr>
          <w:rFonts w:ascii="Cambria" w:hAnsi="Cambria" w:cstheme="minorHAnsi"/>
          <w:sz w:val="20"/>
          <w:szCs w:val="20"/>
        </w:rPr>
        <w:t>,</w:t>
      </w:r>
      <w:r w:rsidRPr="00EA43D0">
        <w:rPr>
          <w:rFonts w:ascii="Cambria" w:hAnsi="Cambria" w:cstheme="minorHAnsi"/>
          <w:sz w:val="20"/>
          <w:szCs w:val="20"/>
        </w:rPr>
        <w:t xml:space="preserve"> to feed into a national crime prevention strategy, prison’s study conducted to reduce overcrowding and reform prisons’ systems and sectoral buy in secured to develop a disability inclusion strategy for the justice sector which is ongoing, requires continuous support in the next phase for long term impact and sustainability.  </w:t>
      </w:r>
    </w:p>
    <w:p w14:paraId="480E89DD" w14:textId="77777777" w:rsidR="006B4BFE" w:rsidRPr="00EA43D0" w:rsidRDefault="006B4BFE" w:rsidP="00EA43D0">
      <w:pPr>
        <w:spacing w:line="360" w:lineRule="auto"/>
        <w:jc w:val="both"/>
        <w:rPr>
          <w:rFonts w:ascii="Cambria" w:hAnsi="Cambria" w:cstheme="minorHAnsi"/>
          <w:sz w:val="20"/>
          <w:szCs w:val="20"/>
        </w:rPr>
      </w:pPr>
    </w:p>
    <w:p w14:paraId="332F706F" w14:textId="6DB7A1A7" w:rsidR="00EA43D0" w:rsidRPr="00EA43D0" w:rsidRDefault="00EA43D0" w:rsidP="00EA43D0">
      <w:pPr>
        <w:spacing w:line="360" w:lineRule="auto"/>
        <w:jc w:val="both"/>
        <w:rPr>
          <w:rFonts w:ascii="Cambria" w:hAnsi="Cambria" w:cs="Calibri"/>
          <w:bCs/>
          <w:sz w:val="20"/>
          <w:szCs w:val="20"/>
          <w:lang w:val="en-GB"/>
        </w:rPr>
      </w:pPr>
      <w:r w:rsidRPr="00EA43D0">
        <w:rPr>
          <w:rFonts w:ascii="Cambria" w:hAnsi="Cambria" w:cs="Calibri"/>
          <w:bCs/>
          <w:sz w:val="20"/>
          <w:szCs w:val="20"/>
          <w:lang w:val="en-GB"/>
        </w:rPr>
        <w:lastRenderedPageBreak/>
        <w:t>As noted above, ownership of initiatives should be strengthened by strong partnerships and extended support to justice sector institutions</w:t>
      </w:r>
      <w:r w:rsidR="00402442">
        <w:rPr>
          <w:rFonts w:ascii="Cambria" w:hAnsi="Cambria" w:cs="Calibri"/>
          <w:bCs/>
          <w:sz w:val="20"/>
          <w:szCs w:val="20"/>
          <w:lang w:val="en-GB"/>
        </w:rPr>
        <w:t>,</w:t>
      </w:r>
      <w:r w:rsidRPr="00EA43D0">
        <w:rPr>
          <w:rFonts w:ascii="Cambria" w:hAnsi="Cambria" w:cs="Calibri"/>
          <w:bCs/>
          <w:sz w:val="20"/>
          <w:szCs w:val="20"/>
          <w:lang w:val="en-GB"/>
        </w:rPr>
        <w:t xml:space="preserve"> to provide a basis for increased institutional ownership and decreased donor dependency. </w:t>
      </w:r>
    </w:p>
    <w:p w14:paraId="5C67361F" w14:textId="6F3A5374" w:rsidR="00EA43D0" w:rsidRPr="00EA43D0" w:rsidRDefault="00EA43D0" w:rsidP="00925CAD">
      <w:pPr>
        <w:pStyle w:val="ListParagraph"/>
        <w:numPr>
          <w:ilvl w:val="0"/>
          <w:numId w:val="36"/>
        </w:numPr>
        <w:spacing w:line="360" w:lineRule="auto"/>
        <w:jc w:val="both"/>
        <w:rPr>
          <w:rFonts w:ascii="Cambria" w:hAnsi="Cambria" w:cstheme="minorHAnsi"/>
          <w:b/>
          <w:bCs/>
          <w:color w:val="0070C0"/>
          <w:sz w:val="20"/>
          <w:szCs w:val="20"/>
        </w:rPr>
      </w:pPr>
      <w:r w:rsidRPr="001B23DA">
        <w:rPr>
          <w:rFonts w:ascii="Cambria" w:hAnsi="Cambria" w:cstheme="minorHAnsi"/>
          <w:b/>
          <w:bCs/>
          <w:color w:val="0070C0"/>
          <w:sz w:val="20"/>
          <w:szCs w:val="20"/>
        </w:rPr>
        <w:t xml:space="preserve">The immediate and long-term risks that may prevent sustainability of strategic interventions </w:t>
      </w:r>
    </w:p>
    <w:bookmarkEnd w:id="42"/>
    <w:p w14:paraId="0C776E4E" w14:textId="38C162E7" w:rsidR="00EA43D0" w:rsidRDefault="00331FB6" w:rsidP="000607E0">
      <w:pPr>
        <w:shd w:val="clear" w:color="auto" w:fill="FFC000"/>
        <w:spacing w:line="360" w:lineRule="auto"/>
        <w:jc w:val="both"/>
        <w:rPr>
          <w:rFonts w:ascii="Cambria" w:hAnsi="Cambria" w:cs="Calibri"/>
          <w:bCs/>
          <w:sz w:val="20"/>
          <w:szCs w:val="20"/>
          <w:lang w:val="en-GB"/>
        </w:rPr>
      </w:pPr>
      <w:r w:rsidRPr="00223CBF">
        <w:rPr>
          <w:rFonts w:ascii="Cambria" w:hAnsi="Cambria" w:cs="Calibri"/>
          <w:bCs/>
          <w:sz w:val="20"/>
          <w:szCs w:val="20"/>
          <w:lang w:val="en-GB"/>
        </w:rPr>
        <w:t>However</w:t>
      </w:r>
      <w:r w:rsidR="004E3738" w:rsidRPr="00223CBF">
        <w:rPr>
          <w:rFonts w:ascii="Cambria" w:hAnsi="Cambria" w:cs="Calibri"/>
          <w:bCs/>
          <w:sz w:val="20"/>
          <w:szCs w:val="20"/>
          <w:lang w:val="en-GB"/>
        </w:rPr>
        <w:t>, c</w:t>
      </w:r>
      <w:r w:rsidRPr="00223CBF">
        <w:rPr>
          <w:rFonts w:ascii="Cambria" w:hAnsi="Cambria" w:cs="Calibri"/>
          <w:bCs/>
          <w:sz w:val="20"/>
          <w:szCs w:val="20"/>
          <w:lang w:val="en-GB"/>
        </w:rPr>
        <w:t xml:space="preserve">onsiderable bureaucratic and administrative flux resulting from changes in personnel and policy </w:t>
      </w:r>
      <w:r w:rsidR="00DF0BCD" w:rsidRPr="00223CBF">
        <w:rPr>
          <w:rFonts w:ascii="Cambria" w:hAnsi="Cambria" w:cs="Calibri"/>
          <w:bCs/>
          <w:sz w:val="20"/>
          <w:szCs w:val="20"/>
          <w:lang w:val="en-GB"/>
        </w:rPr>
        <w:t>preferences</w:t>
      </w:r>
      <w:r w:rsidRPr="00223CBF">
        <w:rPr>
          <w:rFonts w:ascii="Cambria" w:hAnsi="Cambria" w:cs="Calibri"/>
          <w:bCs/>
          <w:sz w:val="20"/>
          <w:szCs w:val="20"/>
          <w:lang w:val="en-GB"/>
        </w:rPr>
        <w:t xml:space="preserve"> slows progress considerably</w:t>
      </w:r>
      <w:r w:rsidR="00402442">
        <w:rPr>
          <w:rFonts w:ascii="Cambria" w:hAnsi="Cambria" w:cs="Calibri"/>
          <w:bCs/>
          <w:sz w:val="20"/>
          <w:szCs w:val="20"/>
          <w:lang w:val="en-GB"/>
        </w:rPr>
        <w:t>,</w:t>
      </w:r>
      <w:r w:rsidRPr="00223CBF">
        <w:rPr>
          <w:rFonts w:ascii="Cambria" w:hAnsi="Cambria" w:cs="Calibri"/>
          <w:bCs/>
          <w:sz w:val="20"/>
          <w:szCs w:val="20"/>
          <w:lang w:val="en-GB"/>
        </w:rPr>
        <w:t xml:space="preserve"> and reliance on key persons at an institutional level </w:t>
      </w:r>
      <w:r w:rsidR="004E3738" w:rsidRPr="00223CBF">
        <w:rPr>
          <w:rFonts w:ascii="Cambria" w:hAnsi="Cambria" w:cs="Calibri"/>
          <w:bCs/>
          <w:sz w:val="20"/>
          <w:szCs w:val="20"/>
          <w:lang w:val="en-GB"/>
        </w:rPr>
        <w:t xml:space="preserve">also as experience shows </w:t>
      </w:r>
      <w:r w:rsidRPr="00223CBF">
        <w:rPr>
          <w:rFonts w:ascii="Cambria" w:hAnsi="Cambria" w:cs="Calibri"/>
          <w:bCs/>
          <w:sz w:val="20"/>
          <w:szCs w:val="20"/>
          <w:lang w:val="en-GB"/>
        </w:rPr>
        <w:t>impede</w:t>
      </w:r>
      <w:r w:rsidR="004E3738" w:rsidRPr="00223CBF">
        <w:rPr>
          <w:rFonts w:ascii="Cambria" w:hAnsi="Cambria" w:cs="Calibri"/>
          <w:bCs/>
          <w:sz w:val="20"/>
          <w:szCs w:val="20"/>
          <w:lang w:val="en-GB"/>
        </w:rPr>
        <w:t>s</w:t>
      </w:r>
      <w:r w:rsidRPr="00223CBF">
        <w:rPr>
          <w:rFonts w:ascii="Cambria" w:hAnsi="Cambria" w:cs="Calibri"/>
          <w:bCs/>
          <w:sz w:val="20"/>
          <w:szCs w:val="20"/>
          <w:lang w:val="en-GB"/>
        </w:rPr>
        <w:t xml:space="preserve"> progress. </w:t>
      </w:r>
      <w:r w:rsidR="004E3738" w:rsidRPr="00223CBF">
        <w:rPr>
          <w:rFonts w:ascii="Cambria" w:hAnsi="Cambria" w:cs="Calibri"/>
          <w:bCs/>
          <w:sz w:val="20"/>
          <w:szCs w:val="20"/>
          <w:lang w:val="en-GB"/>
        </w:rPr>
        <w:t xml:space="preserve">It is important not to assume that beneficiaries, whether state or </w:t>
      </w:r>
      <w:r w:rsidR="00491E68" w:rsidRPr="00223CBF">
        <w:rPr>
          <w:rFonts w:ascii="Cambria" w:hAnsi="Cambria" w:cs="Calibri"/>
          <w:bCs/>
          <w:sz w:val="20"/>
          <w:szCs w:val="20"/>
          <w:lang w:val="en-GB"/>
        </w:rPr>
        <w:t>non-state</w:t>
      </w:r>
      <w:r w:rsidR="004E3738" w:rsidRPr="00223CBF">
        <w:rPr>
          <w:rFonts w:ascii="Cambria" w:hAnsi="Cambria" w:cs="Calibri"/>
          <w:bCs/>
          <w:sz w:val="20"/>
          <w:szCs w:val="20"/>
          <w:lang w:val="en-GB"/>
        </w:rPr>
        <w:t xml:space="preserve"> will automatically take over administrative and financial leadership or ownership. </w:t>
      </w:r>
      <w:r w:rsidR="00E50382" w:rsidRPr="00223CBF">
        <w:rPr>
          <w:rFonts w:ascii="Cambria" w:hAnsi="Cambria" w:cs="Calibri"/>
          <w:bCs/>
          <w:sz w:val="20"/>
          <w:szCs w:val="20"/>
          <w:lang w:val="en-GB"/>
        </w:rPr>
        <w:t xml:space="preserve">Change in political shifts and shocks leave most public institutions vulnerable as highlighted above. </w:t>
      </w:r>
    </w:p>
    <w:p w14:paraId="327C0315" w14:textId="0FD8D531" w:rsidR="004E3738" w:rsidRPr="00223CBF" w:rsidRDefault="00491E68" w:rsidP="000507CA">
      <w:pPr>
        <w:spacing w:line="360" w:lineRule="auto"/>
        <w:jc w:val="both"/>
        <w:rPr>
          <w:rFonts w:ascii="Cambria" w:hAnsi="Cambria" w:cs="Calibri"/>
          <w:bCs/>
          <w:sz w:val="20"/>
          <w:szCs w:val="20"/>
          <w:lang w:val="en-GB"/>
        </w:rPr>
      </w:pPr>
      <w:r w:rsidRPr="00223CBF">
        <w:rPr>
          <w:rFonts w:ascii="Cambria" w:hAnsi="Cambria" w:cs="Calibri"/>
          <w:bCs/>
          <w:sz w:val="20"/>
          <w:szCs w:val="20"/>
          <w:lang w:val="en-GB"/>
        </w:rPr>
        <w:t xml:space="preserve">Therefore, </w:t>
      </w:r>
      <w:r w:rsidR="001B23DA">
        <w:rPr>
          <w:rFonts w:ascii="Cambria" w:hAnsi="Cambria" w:cs="Calibri"/>
          <w:bCs/>
          <w:sz w:val="20"/>
          <w:szCs w:val="20"/>
          <w:lang w:val="en-GB"/>
        </w:rPr>
        <w:t xml:space="preserve">the </w:t>
      </w:r>
      <w:r w:rsidRPr="00223CBF">
        <w:rPr>
          <w:rFonts w:ascii="Cambria" w:hAnsi="Cambria" w:cs="Calibri"/>
          <w:bCs/>
          <w:sz w:val="20"/>
          <w:szCs w:val="20"/>
          <w:lang w:val="en-GB"/>
        </w:rPr>
        <w:t>second phase is crucial to implement a strategy on change management and invest not only in high level management but also in middle management of institutions. The second phase will also be vital to come up with a solid strategy of ‘handing over</w:t>
      </w:r>
      <w:r w:rsidR="001B23DA" w:rsidRPr="00223CBF">
        <w:rPr>
          <w:rFonts w:ascii="Cambria" w:hAnsi="Cambria" w:cs="Calibri"/>
          <w:bCs/>
          <w:sz w:val="20"/>
          <w:szCs w:val="20"/>
          <w:lang w:val="en-GB"/>
        </w:rPr>
        <w:t>’,</w:t>
      </w:r>
      <w:r w:rsidRPr="00223CBF">
        <w:rPr>
          <w:rFonts w:ascii="Cambria" w:hAnsi="Cambria" w:cs="Calibri"/>
          <w:bCs/>
          <w:sz w:val="20"/>
          <w:szCs w:val="20"/>
          <w:lang w:val="en-GB"/>
        </w:rPr>
        <w:t xml:space="preserve"> whilst strengthening </w:t>
      </w:r>
      <w:r w:rsidR="001B23DA">
        <w:rPr>
          <w:rFonts w:ascii="Cambria" w:hAnsi="Cambria" w:cs="Calibri"/>
          <w:bCs/>
          <w:sz w:val="20"/>
          <w:szCs w:val="20"/>
          <w:lang w:val="en-GB"/>
        </w:rPr>
        <w:t xml:space="preserve">the Portfolio’s </w:t>
      </w:r>
      <w:r w:rsidRPr="00223CBF">
        <w:rPr>
          <w:rFonts w:ascii="Cambria" w:hAnsi="Cambria" w:cs="Calibri"/>
          <w:bCs/>
          <w:sz w:val="20"/>
          <w:szCs w:val="20"/>
          <w:lang w:val="en-GB"/>
        </w:rPr>
        <w:t xml:space="preserve">as well as </w:t>
      </w:r>
      <w:r w:rsidR="001B23DA">
        <w:rPr>
          <w:rFonts w:ascii="Cambria" w:hAnsi="Cambria" w:cs="Calibri"/>
          <w:bCs/>
          <w:sz w:val="20"/>
          <w:szCs w:val="20"/>
          <w:lang w:val="en-GB"/>
        </w:rPr>
        <w:t xml:space="preserve">the </w:t>
      </w:r>
      <w:r w:rsidRPr="00223CBF">
        <w:rPr>
          <w:rFonts w:ascii="Cambria" w:hAnsi="Cambria" w:cs="Calibri"/>
          <w:bCs/>
          <w:sz w:val="20"/>
          <w:szCs w:val="20"/>
          <w:lang w:val="en-GB"/>
        </w:rPr>
        <w:t xml:space="preserve">institution’s capacity to report, monitor and evaluate.  </w:t>
      </w:r>
    </w:p>
    <w:p w14:paraId="25B3D6A3" w14:textId="79936CF9" w:rsidR="00331FB6" w:rsidRPr="00223CBF" w:rsidRDefault="00491E68" w:rsidP="000507CA">
      <w:pPr>
        <w:spacing w:line="360" w:lineRule="auto"/>
        <w:jc w:val="both"/>
        <w:rPr>
          <w:rFonts w:ascii="Cambria" w:hAnsi="Cambria"/>
          <w:color w:val="000000" w:themeColor="text1"/>
          <w:sz w:val="20"/>
          <w:szCs w:val="20"/>
        </w:rPr>
      </w:pPr>
      <w:r w:rsidRPr="00223CBF">
        <w:rPr>
          <w:rFonts w:ascii="Cambria" w:hAnsi="Cambria" w:cs="Calibri"/>
          <w:bCs/>
          <w:sz w:val="20"/>
          <w:szCs w:val="20"/>
          <w:lang w:val="en-GB"/>
        </w:rPr>
        <w:t>The s</w:t>
      </w:r>
      <w:r w:rsidR="00331FB6" w:rsidRPr="00223CBF">
        <w:rPr>
          <w:rFonts w:ascii="Cambria" w:hAnsi="Cambria" w:cs="Calibri"/>
          <w:bCs/>
          <w:sz w:val="20"/>
          <w:szCs w:val="20"/>
          <w:lang w:val="en-GB"/>
        </w:rPr>
        <w:t xml:space="preserve">econd phase provides an opportunity to work within a new sectoral approach to justice sector reform and thereby an opportunity to engage </w:t>
      </w:r>
      <w:r w:rsidRPr="00223CBF">
        <w:rPr>
          <w:rFonts w:ascii="Cambria" w:hAnsi="Cambria" w:cs="Calibri"/>
          <w:bCs/>
          <w:sz w:val="20"/>
          <w:szCs w:val="20"/>
          <w:lang w:val="en-GB"/>
        </w:rPr>
        <w:t xml:space="preserve">in </w:t>
      </w:r>
      <w:r w:rsidR="00331FB6" w:rsidRPr="00223CBF">
        <w:rPr>
          <w:rFonts w:ascii="Cambria" w:hAnsi="Cambria" w:cs="Calibri"/>
          <w:bCs/>
          <w:sz w:val="20"/>
          <w:szCs w:val="20"/>
          <w:lang w:val="en-GB"/>
        </w:rPr>
        <w:t>a participatory approach to programme planning, implementation, prioritisation, monitoring and reporting.</w:t>
      </w:r>
      <w:r w:rsidRPr="00223CBF">
        <w:rPr>
          <w:rFonts w:ascii="Cambria" w:hAnsi="Cambria" w:cs="Calibri"/>
          <w:bCs/>
          <w:sz w:val="20"/>
          <w:szCs w:val="20"/>
          <w:lang w:val="en-GB"/>
        </w:rPr>
        <w:t xml:space="preserve"> The newly establish Reforms Unit of the MOJ consisting of legal experts from the private bar is a strategic entry point for UNDP. It is also an opportunity to identify and invest in reforms that</w:t>
      </w:r>
      <w:r w:rsidR="00542005" w:rsidRPr="00223CBF">
        <w:rPr>
          <w:rFonts w:ascii="Cambria" w:hAnsi="Cambria" w:cs="Calibri"/>
          <w:bCs/>
          <w:sz w:val="20"/>
          <w:szCs w:val="20"/>
          <w:lang w:val="en-GB"/>
        </w:rPr>
        <w:t xml:space="preserve"> are </w:t>
      </w:r>
      <w:r w:rsidRPr="00223CBF">
        <w:rPr>
          <w:rFonts w:ascii="Cambria" w:hAnsi="Cambria" w:cs="Calibri"/>
          <w:bCs/>
          <w:sz w:val="20"/>
          <w:szCs w:val="20"/>
          <w:lang w:val="en-GB"/>
        </w:rPr>
        <w:t xml:space="preserve">already </w:t>
      </w:r>
      <w:r w:rsidR="00542005" w:rsidRPr="00223CBF">
        <w:rPr>
          <w:rFonts w:ascii="Cambria" w:hAnsi="Cambria" w:cs="Calibri"/>
          <w:bCs/>
          <w:sz w:val="20"/>
          <w:szCs w:val="20"/>
          <w:lang w:val="en-GB"/>
        </w:rPr>
        <w:t xml:space="preserve">in the pipeline. </w:t>
      </w:r>
    </w:p>
    <w:p w14:paraId="1BD1C799" w14:textId="77777777" w:rsidR="006B4BFE" w:rsidRPr="00223CBF" w:rsidRDefault="006B4BFE" w:rsidP="006B4BFE">
      <w:pPr>
        <w:spacing w:line="360" w:lineRule="auto"/>
        <w:jc w:val="both"/>
        <w:rPr>
          <w:rFonts w:ascii="Cambria" w:hAnsi="Cambria"/>
          <w:color w:val="000000" w:themeColor="text1"/>
          <w:sz w:val="20"/>
          <w:szCs w:val="20"/>
        </w:rPr>
      </w:pPr>
    </w:p>
    <w:p w14:paraId="59E2F486" w14:textId="77777777" w:rsidR="006B4BFE" w:rsidRPr="00342040" w:rsidRDefault="006B4BFE" w:rsidP="006B4BFE">
      <w:pPr>
        <w:shd w:val="clear" w:color="auto" w:fill="D3E5F6" w:themeFill="accent3" w:themeFillTint="33"/>
        <w:spacing w:line="360" w:lineRule="auto"/>
        <w:jc w:val="both"/>
        <w:rPr>
          <w:rFonts w:ascii="Cambria" w:hAnsi="Cambria"/>
          <w:color w:val="000000" w:themeColor="text1"/>
          <w:sz w:val="20"/>
          <w:szCs w:val="20"/>
        </w:rPr>
      </w:pPr>
      <w:r w:rsidRPr="00223CBF">
        <w:rPr>
          <w:rFonts w:ascii="Cambria" w:hAnsi="Cambria" w:cs="Calibri"/>
          <w:b/>
          <w:sz w:val="20"/>
          <w:szCs w:val="20"/>
          <w:lang w:val="en-GB"/>
        </w:rPr>
        <w:t xml:space="preserve">Output 2.2.  </w:t>
      </w:r>
      <w:r w:rsidRPr="00223CBF">
        <w:rPr>
          <w:rFonts w:ascii="Cambria" w:hAnsi="Cambria" w:cs="Calibri"/>
          <w:b/>
          <w:color w:val="000000" w:themeColor="text1"/>
          <w:sz w:val="20"/>
          <w:szCs w:val="20"/>
          <w:lang w:val="en-GB"/>
        </w:rPr>
        <w:t xml:space="preserve">State and non-state justice sector actors strengthened to deliver victim-centric services on areas including SGBV, victims and witness protection, and transitional justice and Outputs </w:t>
      </w:r>
    </w:p>
    <w:p w14:paraId="72CB9E81" w14:textId="08E497C8" w:rsidR="006B4BFE" w:rsidRDefault="006B4BFE" w:rsidP="006B4BFE">
      <w:pPr>
        <w:pStyle w:val="ListParagraph"/>
        <w:numPr>
          <w:ilvl w:val="0"/>
          <w:numId w:val="24"/>
        </w:numPr>
        <w:shd w:val="clear" w:color="auto" w:fill="D3E5F6" w:themeFill="accent3" w:themeFillTint="33"/>
        <w:spacing w:line="360" w:lineRule="auto"/>
        <w:jc w:val="both"/>
        <w:rPr>
          <w:rFonts w:ascii="Cambria" w:hAnsi="Cambria"/>
          <w:color w:val="000000" w:themeColor="text1"/>
          <w:sz w:val="20"/>
          <w:szCs w:val="20"/>
        </w:rPr>
      </w:pPr>
      <w:r w:rsidRPr="00AC1452">
        <w:rPr>
          <w:rFonts w:ascii="Cambria" w:hAnsi="Cambria"/>
          <w:color w:val="000000" w:themeColor="text1"/>
          <w:sz w:val="20"/>
          <w:szCs w:val="20"/>
        </w:rPr>
        <w:t xml:space="preserve">The SGBV Action plan is a government owned process supported by the Portfolio. Apart from government funding, which is scarce, the Action Plan relies heavily on donor funding and expertise. Donor support to the action plan differs based on different priorities and interests of donors themselves. In order to maximise impact and long-term sustainability of the Action </w:t>
      </w:r>
      <w:r w:rsidR="00402442">
        <w:rPr>
          <w:rFonts w:ascii="Cambria" w:hAnsi="Cambria"/>
          <w:color w:val="000000" w:themeColor="text1"/>
          <w:sz w:val="20"/>
          <w:szCs w:val="20"/>
        </w:rPr>
        <w:t>P</w:t>
      </w:r>
      <w:r w:rsidRPr="00AC1452">
        <w:rPr>
          <w:rFonts w:ascii="Cambria" w:hAnsi="Cambria"/>
          <w:color w:val="000000" w:themeColor="text1"/>
          <w:sz w:val="20"/>
          <w:szCs w:val="20"/>
        </w:rPr>
        <w:t>lan</w:t>
      </w:r>
      <w:r w:rsidR="00402442">
        <w:rPr>
          <w:rFonts w:ascii="Cambria" w:hAnsi="Cambria"/>
          <w:color w:val="000000" w:themeColor="text1"/>
          <w:sz w:val="20"/>
          <w:szCs w:val="20"/>
        </w:rPr>
        <w:t>,</w:t>
      </w:r>
      <w:r w:rsidRPr="00AC1452">
        <w:rPr>
          <w:rFonts w:ascii="Cambria" w:hAnsi="Cambria"/>
          <w:color w:val="000000" w:themeColor="text1"/>
          <w:sz w:val="20"/>
          <w:szCs w:val="20"/>
        </w:rPr>
        <w:t xml:space="preserve"> the Output must support a strategy towards self-sustenance, building high level and middle level institutional capacity to coordinate with other sectors, collect data and monitor implementation. </w:t>
      </w:r>
    </w:p>
    <w:p w14:paraId="088CB54D" w14:textId="77777777" w:rsidR="006B4BFE" w:rsidRPr="00AC1452" w:rsidRDefault="006B4BFE" w:rsidP="006B4BFE">
      <w:pPr>
        <w:pStyle w:val="ListParagraph"/>
        <w:numPr>
          <w:ilvl w:val="0"/>
          <w:numId w:val="24"/>
        </w:numPr>
        <w:shd w:val="clear" w:color="auto" w:fill="D3E5F6" w:themeFill="accent3" w:themeFillTint="33"/>
        <w:spacing w:line="360" w:lineRule="auto"/>
        <w:jc w:val="both"/>
        <w:rPr>
          <w:rFonts w:ascii="Cambria" w:hAnsi="Cambria"/>
          <w:color w:val="000000" w:themeColor="text1"/>
          <w:sz w:val="20"/>
          <w:szCs w:val="20"/>
        </w:rPr>
      </w:pPr>
      <w:bookmarkStart w:id="49" w:name="_Hlk59119761"/>
      <w:r w:rsidRPr="00AC1452">
        <w:rPr>
          <w:rFonts w:ascii="Cambria" w:hAnsi="Cambria"/>
          <w:color w:val="000000" w:themeColor="text1"/>
          <w:sz w:val="20"/>
          <w:szCs w:val="20"/>
        </w:rPr>
        <w:t xml:space="preserve">The second cycle of the Action Plan is an opportunity to draft a plan with objectives that are relevant, achievable within the time frame, flexible to adapt to changing political and economic contexts and measurable to monitor outcomes and outputs, which </w:t>
      </w:r>
      <w:r>
        <w:rPr>
          <w:rFonts w:ascii="Cambria" w:hAnsi="Cambria"/>
          <w:color w:val="000000" w:themeColor="text1"/>
          <w:sz w:val="20"/>
          <w:szCs w:val="20"/>
        </w:rPr>
        <w:t>will</w:t>
      </w:r>
      <w:r w:rsidRPr="00AC1452">
        <w:rPr>
          <w:rFonts w:ascii="Cambria" w:hAnsi="Cambria"/>
          <w:color w:val="000000" w:themeColor="text1"/>
          <w:sz w:val="20"/>
          <w:szCs w:val="20"/>
        </w:rPr>
        <w:t xml:space="preserve"> contribute towards better planning and programming in the future. The second cycle is also an opportunity for the Portfolio to construct a forum for donor coordination, participatory management and planning and engagement.  </w:t>
      </w:r>
    </w:p>
    <w:p w14:paraId="1913F6F5" w14:textId="395A5AA4" w:rsidR="006B4BFE" w:rsidRPr="0075131E" w:rsidRDefault="006B4BFE" w:rsidP="000607E0">
      <w:pPr>
        <w:pStyle w:val="ListParagraph"/>
        <w:numPr>
          <w:ilvl w:val="0"/>
          <w:numId w:val="24"/>
        </w:numPr>
        <w:shd w:val="clear" w:color="auto" w:fill="85B2F6" w:themeFill="background2" w:themeFillShade="E6"/>
        <w:spacing w:line="360" w:lineRule="auto"/>
        <w:jc w:val="both"/>
        <w:rPr>
          <w:rFonts w:ascii="Cambria" w:hAnsi="Cambria" w:cs="Arial"/>
          <w:sz w:val="20"/>
          <w:szCs w:val="20"/>
          <w:shd w:val="clear" w:color="auto" w:fill="FFFFFF"/>
        </w:rPr>
      </w:pPr>
      <w:bookmarkStart w:id="50" w:name="_Hlk59119785"/>
      <w:bookmarkEnd w:id="49"/>
      <w:r w:rsidRPr="00AC1452">
        <w:rPr>
          <w:rFonts w:ascii="Cambria" w:hAnsi="Cambria" w:cs="Calibri"/>
          <w:bCs/>
          <w:sz w:val="20"/>
          <w:szCs w:val="20"/>
          <w:lang w:val="en-GB"/>
        </w:rPr>
        <w:lastRenderedPageBreak/>
        <w:t>Although CSO support as KPIs agree</w:t>
      </w:r>
      <w:r w:rsidR="00402442">
        <w:rPr>
          <w:rFonts w:ascii="Cambria" w:hAnsi="Cambria" w:cs="Calibri"/>
          <w:bCs/>
          <w:sz w:val="20"/>
          <w:szCs w:val="20"/>
          <w:lang w:val="en-GB"/>
        </w:rPr>
        <w:t>,</w:t>
      </w:r>
      <w:r w:rsidRPr="00AC1452">
        <w:rPr>
          <w:rFonts w:ascii="Cambria" w:hAnsi="Cambria" w:cs="Calibri"/>
          <w:bCs/>
          <w:sz w:val="20"/>
          <w:szCs w:val="20"/>
          <w:lang w:val="en-GB"/>
        </w:rPr>
        <w:t xml:space="preserve"> add value in many ways, it is difficult to effectively contribute towards a long-term impact since most donor funding is project based and short term. Therefore, the culminative effect of the second phase activities should result in consolidating and institutionalising activities that</w:t>
      </w:r>
      <w:r w:rsidR="00402442">
        <w:rPr>
          <w:rFonts w:ascii="Cambria" w:hAnsi="Cambria" w:cs="Calibri"/>
          <w:bCs/>
          <w:sz w:val="20"/>
          <w:szCs w:val="20"/>
          <w:lang w:val="en-GB"/>
        </w:rPr>
        <w:t>,</w:t>
      </w:r>
      <w:r>
        <w:rPr>
          <w:rFonts w:ascii="Cambria" w:hAnsi="Cambria" w:cs="Calibri"/>
          <w:bCs/>
          <w:sz w:val="20"/>
          <w:szCs w:val="20"/>
          <w:lang w:val="en-GB"/>
        </w:rPr>
        <w:t xml:space="preserve"> can be </w:t>
      </w:r>
      <w:r w:rsidRPr="00AC1452">
        <w:rPr>
          <w:rFonts w:ascii="Cambria" w:hAnsi="Cambria" w:cs="Calibri"/>
          <w:bCs/>
          <w:sz w:val="20"/>
          <w:szCs w:val="20"/>
          <w:lang w:val="en-GB"/>
        </w:rPr>
        <w:t>consolidated and institutionalised and disengaging in activities that cannot</w:t>
      </w:r>
      <w:r>
        <w:rPr>
          <w:rFonts w:ascii="Cambria" w:hAnsi="Cambria" w:cs="Calibri"/>
          <w:bCs/>
          <w:sz w:val="20"/>
          <w:szCs w:val="20"/>
          <w:lang w:val="en-GB"/>
        </w:rPr>
        <w:t xml:space="preserve">. </w:t>
      </w:r>
      <w:r w:rsidRPr="00AC1452">
        <w:rPr>
          <w:rFonts w:ascii="Cambria" w:hAnsi="Cambria" w:cs="Calibri"/>
          <w:bCs/>
          <w:sz w:val="20"/>
          <w:szCs w:val="20"/>
          <w:lang w:val="en-GB"/>
        </w:rPr>
        <w:t>For instance, it was highlighted that whilst support to CSO</w:t>
      </w:r>
      <w:r>
        <w:rPr>
          <w:rFonts w:ascii="Cambria" w:hAnsi="Cambria" w:cs="Calibri"/>
          <w:bCs/>
          <w:sz w:val="20"/>
          <w:szCs w:val="20"/>
          <w:lang w:val="en-GB"/>
        </w:rPr>
        <w:t>s</w:t>
      </w:r>
      <w:r w:rsidRPr="00AC1452">
        <w:rPr>
          <w:rFonts w:ascii="Cambria" w:hAnsi="Cambria" w:cs="Calibri"/>
          <w:bCs/>
          <w:sz w:val="20"/>
          <w:szCs w:val="20"/>
          <w:lang w:val="en-GB"/>
        </w:rPr>
        <w:t xml:space="preserve"> to facilitate SGBV Forum meetings at the DS level has a positive impact on the levels of engagement and cooperation, it should be institutionalised working parallelly with the WDOs of the DS and district secretariate through the relevant Ministry for sustainability.  </w:t>
      </w:r>
    </w:p>
    <w:bookmarkEnd w:id="50"/>
    <w:p w14:paraId="2DF5E062" w14:textId="5A542243" w:rsidR="006B4BFE" w:rsidRPr="0075131E" w:rsidRDefault="006B4BFE" w:rsidP="000607E0">
      <w:pPr>
        <w:pStyle w:val="ListParagraph"/>
        <w:numPr>
          <w:ilvl w:val="0"/>
          <w:numId w:val="24"/>
        </w:numPr>
        <w:shd w:val="clear" w:color="auto" w:fill="85B2F6" w:themeFill="background2" w:themeFillShade="E6"/>
        <w:spacing w:line="360" w:lineRule="auto"/>
        <w:jc w:val="both"/>
        <w:rPr>
          <w:rFonts w:ascii="Cambria" w:hAnsi="Cambria" w:cs="Arial"/>
          <w:sz w:val="20"/>
          <w:szCs w:val="20"/>
          <w:shd w:val="clear" w:color="auto" w:fill="FFFFFF"/>
        </w:rPr>
      </w:pPr>
      <w:r w:rsidRPr="0075131E">
        <w:rPr>
          <w:rFonts w:ascii="Cambria" w:hAnsi="Cambria" w:cs="Calibri"/>
          <w:bCs/>
          <w:sz w:val="20"/>
          <w:szCs w:val="20"/>
          <w:lang w:val="en-GB"/>
        </w:rPr>
        <w:t>Another risk that may impact leadership, ownership and therefore sustainability is the current status of the Ministry. The MWCA</w:t>
      </w:r>
      <w:r w:rsidR="00402442">
        <w:rPr>
          <w:rFonts w:ascii="Cambria" w:hAnsi="Cambria" w:cs="Calibri"/>
          <w:bCs/>
          <w:sz w:val="20"/>
          <w:szCs w:val="20"/>
          <w:lang w:val="en-GB"/>
        </w:rPr>
        <w:t>,</w:t>
      </w:r>
      <w:r w:rsidRPr="0075131E">
        <w:rPr>
          <w:rFonts w:ascii="Cambria" w:hAnsi="Cambria" w:cs="Calibri"/>
          <w:bCs/>
          <w:sz w:val="20"/>
          <w:szCs w:val="20"/>
          <w:lang w:val="en-GB"/>
        </w:rPr>
        <w:t xml:space="preserve"> which had hitherto been a Cabinet Ministerial Portfolio, was merged with the Ministry of Education along with pre-schools and primary education, school infrastructure and education services and relegated to a State Ministerial Portfolio by the new Government by Gazette Extra-Ordinary No. 2194/74.</w:t>
      </w:r>
    </w:p>
    <w:p w14:paraId="4CADDF1A" w14:textId="77777777" w:rsidR="006B4BFE" w:rsidRPr="00AC1452" w:rsidRDefault="006B4BFE" w:rsidP="006B4BFE">
      <w:pPr>
        <w:pStyle w:val="ListParagraph"/>
        <w:numPr>
          <w:ilvl w:val="0"/>
          <w:numId w:val="24"/>
        </w:numPr>
        <w:shd w:val="clear" w:color="auto" w:fill="D3E5F6" w:themeFill="accent3" w:themeFillTint="33"/>
        <w:spacing w:line="360" w:lineRule="auto"/>
        <w:jc w:val="both"/>
        <w:rPr>
          <w:rFonts w:ascii="Cambria" w:hAnsi="Cambria"/>
          <w:sz w:val="20"/>
          <w:szCs w:val="20"/>
        </w:rPr>
      </w:pPr>
      <w:r w:rsidRPr="00AC1452">
        <w:rPr>
          <w:rFonts w:ascii="Cambria" w:hAnsi="Cambria" w:cs="Calibri"/>
          <w:bCs/>
          <w:sz w:val="20"/>
          <w:szCs w:val="20"/>
          <w:lang w:val="en-GB"/>
        </w:rPr>
        <w:t>While the relevant Gazette notification has listed fourteen priority areas which are under the remit of the new State Ministry, only four are women and children specific. i.e. (a)</w:t>
      </w:r>
      <w:r w:rsidRPr="00AC1452">
        <w:rPr>
          <w:rFonts w:ascii="Cambria" w:hAnsi="Cambria"/>
          <w:sz w:val="20"/>
          <w:szCs w:val="20"/>
        </w:rPr>
        <w:t xml:space="preserve">Implementing a programme to ensure the security of women (b) Providing relief to rural women affected by unregulated micro finance schemes (c) Implementing </w:t>
      </w:r>
      <w:r>
        <w:rPr>
          <w:rFonts w:ascii="Cambria" w:hAnsi="Cambria"/>
          <w:sz w:val="20"/>
          <w:szCs w:val="20"/>
        </w:rPr>
        <w:t xml:space="preserve">a </w:t>
      </w:r>
      <w:r w:rsidRPr="00AC1452">
        <w:rPr>
          <w:rFonts w:ascii="Cambria" w:hAnsi="Cambria"/>
          <w:sz w:val="20"/>
          <w:szCs w:val="20"/>
        </w:rPr>
        <w:t>permanent programme to provide protection and minimi</w:t>
      </w:r>
      <w:r>
        <w:rPr>
          <w:rFonts w:ascii="Cambria" w:hAnsi="Cambria"/>
          <w:sz w:val="20"/>
          <w:szCs w:val="20"/>
        </w:rPr>
        <w:t>s</w:t>
      </w:r>
      <w:r w:rsidRPr="00AC1452">
        <w:rPr>
          <w:rFonts w:ascii="Cambria" w:hAnsi="Cambria"/>
          <w:sz w:val="20"/>
          <w:szCs w:val="20"/>
        </w:rPr>
        <w:t>e adversities to persons subject to regular vulnerabilities, especially women and children and (d) Establishing a methodology to provide women with the necessary knowledge, skills and time to give birth to a healthy child, to look after their children with motherly care and to guide their children .</w:t>
      </w:r>
      <w:r w:rsidRPr="00AC1452">
        <w:rPr>
          <w:rStyle w:val="FootnoteReference"/>
          <w:rFonts w:ascii="Cambria" w:hAnsi="Cambria"/>
          <w:sz w:val="20"/>
          <w:szCs w:val="20"/>
        </w:rPr>
        <w:footnoteReference w:id="65"/>
      </w:r>
      <w:r w:rsidRPr="00AC1452">
        <w:rPr>
          <w:rFonts w:ascii="Cambria" w:hAnsi="Cambria"/>
          <w:sz w:val="20"/>
          <w:szCs w:val="20"/>
        </w:rPr>
        <w:t xml:space="preserve"> </w:t>
      </w:r>
      <w:r>
        <w:rPr>
          <w:rFonts w:ascii="Cambria" w:hAnsi="Cambria"/>
          <w:sz w:val="20"/>
          <w:szCs w:val="20"/>
        </w:rPr>
        <w:t xml:space="preserve">An </w:t>
      </w:r>
      <w:r w:rsidRPr="00AC1452">
        <w:rPr>
          <w:rFonts w:ascii="Cambria" w:hAnsi="Cambria"/>
          <w:sz w:val="20"/>
          <w:szCs w:val="20"/>
        </w:rPr>
        <w:t xml:space="preserve">inevitable consequence of abolishing the Cabinet </w:t>
      </w:r>
      <w:r>
        <w:rPr>
          <w:rFonts w:ascii="Cambria" w:hAnsi="Cambria"/>
          <w:sz w:val="20"/>
          <w:szCs w:val="20"/>
        </w:rPr>
        <w:t>Portfolio is resource r</w:t>
      </w:r>
      <w:r w:rsidRPr="00AC1452">
        <w:rPr>
          <w:rFonts w:ascii="Cambria" w:hAnsi="Cambria"/>
          <w:sz w:val="20"/>
          <w:szCs w:val="20"/>
        </w:rPr>
        <w:t>estriction</w:t>
      </w:r>
      <w:r>
        <w:rPr>
          <w:rFonts w:ascii="Cambria" w:hAnsi="Cambria"/>
          <w:sz w:val="20"/>
          <w:szCs w:val="20"/>
        </w:rPr>
        <w:t xml:space="preserve">s and direct access to Cabinet </w:t>
      </w:r>
      <w:r w:rsidRPr="00AC1452">
        <w:rPr>
          <w:rFonts w:ascii="Cambria" w:hAnsi="Cambria"/>
          <w:sz w:val="20"/>
          <w:szCs w:val="20"/>
        </w:rPr>
        <w:t xml:space="preserve">thereby </w:t>
      </w:r>
      <w:r>
        <w:rPr>
          <w:rFonts w:ascii="Cambria" w:hAnsi="Cambria"/>
          <w:sz w:val="20"/>
          <w:szCs w:val="20"/>
        </w:rPr>
        <w:t xml:space="preserve">diluting or trivializing the status of issues relating to women and children and also </w:t>
      </w:r>
      <w:r w:rsidRPr="00AC1452">
        <w:rPr>
          <w:rFonts w:ascii="Cambria" w:hAnsi="Cambria"/>
          <w:sz w:val="20"/>
          <w:szCs w:val="20"/>
        </w:rPr>
        <w:t>c</w:t>
      </w:r>
      <w:r>
        <w:rPr>
          <w:rFonts w:ascii="Cambria" w:hAnsi="Cambria"/>
          <w:sz w:val="20"/>
          <w:szCs w:val="20"/>
        </w:rPr>
        <w:t xml:space="preserve">ontributing to </w:t>
      </w:r>
      <w:r w:rsidRPr="00AC1452">
        <w:rPr>
          <w:rFonts w:ascii="Cambria" w:hAnsi="Cambria"/>
          <w:sz w:val="20"/>
          <w:szCs w:val="20"/>
        </w:rPr>
        <w:t xml:space="preserve">logistical </w:t>
      </w:r>
      <w:r>
        <w:rPr>
          <w:rFonts w:ascii="Cambria" w:hAnsi="Cambria"/>
          <w:sz w:val="20"/>
          <w:szCs w:val="20"/>
        </w:rPr>
        <w:t xml:space="preserve">issues. </w:t>
      </w:r>
    </w:p>
    <w:p w14:paraId="4554B792" w14:textId="435BEEBB" w:rsidR="006B4BFE" w:rsidRPr="0005007C" w:rsidRDefault="006B4BFE" w:rsidP="006B4BFE">
      <w:pPr>
        <w:pStyle w:val="ListParagraph"/>
        <w:numPr>
          <w:ilvl w:val="0"/>
          <w:numId w:val="24"/>
        </w:numPr>
        <w:shd w:val="clear" w:color="auto" w:fill="D3E5F6" w:themeFill="accent3" w:themeFillTint="33"/>
        <w:spacing w:line="360" w:lineRule="auto"/>
        <w:jc w:val="both"/>
        <w:rPr>
          <w:rFonts w:ascii="Cambria" w:hAnsi="Cambria" w:cs="Calibri"/>
          <w:bCs/>
          <w:sz w:val="20"/>
          <w:szCs w:val="20"/>
          <w:lang w:val="en-GB"/>
        </w:rPr>
      </w:pPr>
      <w:r w:rsidRPr="00AC1452">
        <w:rPr>
          <w:rFonts w:ascii="Cambria" w:hAnsi="Cambria" w:cs="Calibri"/>
          <w:bCs/>
          <w:sz w:val="20"/>
          <w:szCs w:val="20"/>
          <w:lang w:val="en-GB"/>
        </w:rPr>
        <w:t>Despite the difficulty in evaluating impact of awareness programmes, KPIs note the perceived value in ongoing advocacy and the difference it makes at the community level, which is evident from the increase in the number of cases reported to the legal coordinators of CSOs</w:t>
      </w:r>
      <w:r w:rsidR="00402442">
        <w:rPr>
          <w:rFonts w:ascii="Cambria" w:hAnsi="Cambria" w:cs="Calibri"/>
          <w:bCs/>
          <w:sz w:val="20"/>
          <w:szCs w:val="20"/>
          <w:lang w:val="en-GB"/>
        </w:rPr>
        <w:t>,</w:t>
      </w:r>
      <w:r w:rsidRPr="00AC1452">
        <w:rPr>
          <w:rFonts w:ascii="Cambria" w:hAnsi="Cambria" w:cs="Calibri"/>
          <w:bCs/>
          <w:sz w:val="20"/>
          <w:szCs w:val="20"/>
          <w:lang w:val="en-GB"/>
        </w:rPr>
        <w:t xml:space="preserve"> supported by the Portfolio. A move away from traditional advocacy and media programmes to eliminate VAW by adopting innovative strategies such as using traditional forum theatre</w:t>
      </w:r>
      <w:r w:rsidR="00402442">
        <w:rPr>
          <w:rFonts w:ascii="Cambria" w:hAnsi="Cambria" w:cs="Calibri"/>
          <w:bCs/>
          <w:sz w:val="20"/>
          <w:szCs w:val="20"/>
          <w:lang w:val="en-GB"/>
        </w:rPr>
        <w:t>,</w:t>
      </w:r>
      <w:r w:rsidRPr="00AC1452">
        <w:rPr>
          <w:rFonts w:ascii="Cambria" w:hAnsi="Cambria" w:cs="Calibri"/>
          <w:bCs/>
          <w:sz w:val="20"/>
          <w:szCs w:val="20"/>
          <w:lang w:val="en-GB"/>
        </w:rPr>
        <w:t xml:space="preserve"> particularly in the North and the South and engaging men against violence against women has perceived impact. </w:t>
      </w:r>
    </w:p>
    <w:p w14:paraId="3CCF33A4" w14:textId="194546FB" w:rsidR="00EA43D0" w:rsidRDefault="00EA43D0" w:rsidP="00EA43D0">
      <w:pPr>
        <w:pStyle w:val="ListParagraph"/>
        <w:spacing w:line="360" w:lineRule="auto"/>
        <w:jc w:val="both"/>
        <w:rPr>
          <w:rFonts w:ascii="Cambria" w:hAnsi="Cambria"/>
          <w:b/>
          <w:bCs/>
          <w:sz w:val="20"/>
          <w:szCs w:val="20"/>
        </w:rPr>
      </w:pPr>
    </w:p>
    <w:p w14:paraId="11C0C5C8" w14:textId="2B703EC8" w:rsidR="00DF0BCD" w:rsidRDefault="00DF0BCD" w:rsidP="00EA43D0">
      <w:pPr>
        <w:pStyle w:val="ListParagraph"/>
        <w:spacing w:line="360" w:lineRule="auto"/>
        <w:jc w:val="both"/>
        <w:rPr>
          <w:rFonts w:ascii="Cambria" w:hAnsi="Cambria"/>
          <w:b/>
          <w:bCs/>
          <w:sz w:val="20"/>
          <w:szCs w:val="20"/>
        </w:rPr>
      </w:pPr>
    </w:p>
    <w:p w14:paraId="0C25502F" w14:textId="0E81C02B" w:rsidR="00DF0BCD" w:rsidRDefault="00DF0BCD" w:rsidP="00EA43D0">
      <w:pPr>
        <w:pStyle w:val="ListParagraph"/>
        <w:spacing w:line="360" w:lineRule="auto"/>
        <w:jc w:val="both"/>
        <w:rPr>
          <w:rFonts w:ascii="Cambria" w:hAnsi="Cambria"/>
          <w:b/>
          <w:bCs/>
          <w:sz w:val="20"/>
          <w:szCs w:val="20"/>
        </w:rPr>
      </w:pPr>
    </w:p>
    <w:p w14:paraId="22B5E1BA" w14:textId="36A16793" w:rsidR="00DF0BCD" w:rsidRDefault="00DF0BCD" w:rsidP="00EA43D0">
      <w:pPr>
        <w:pStyle w:val="ListParagraph"/>
        <w:spacing w:line="360" w:lineRule="auto"/>
        <w:jc w:val="both"/>
        <w:rPr>
          <w:rFonts w:ascii="Cambria" w:hAnsi="Cambria"/>
          <w:b/>
          <w:bCs/>
          <w:sz w:val="20"/>
          <w:szCs w:val="20"/>
        </w:rPr>
      </w:pPr>
    </w:p>
    <w:p w14:paraId="67870CF3" w14:textId="79013E94" w:rsidR="00FC160F" w:rsidRPr="006B4BFE" w:rsidRDefault="00331FB6" w:rsidP="007C766E">
      <w:pPr>
        <w:pStyle w:val="ListParagraph"/>
        <w:numPr>
          <w:ilvl w:val="0"/>
          <w:numId w:val="33"/>
        </w:numPr>
        <w:spacing w:after="160" w:line="360" w:lineRule="auto"/>
        <w:rPr>
          <w:rFonts w:ascii="Cambria" w:hAnsi="Cambria"/>
          <w:b/>
          <w:bCs/>
        </w:rPr>
      </w:pPr>
      <w:r w:rsidRPr="006B4BFE">
        <w:rPr>
          <w:rFonts w:ascii="Cambria" w:hAnsi="Cambria"/>
          <w:b/>
          <w:bCs/>
        </w:rPr>
        <w:lastRenderedPageBreak/>
        <w:t>Business and Human Rights</w:t>
      </w:r>
      <w:r w:rsidR="00791BE8" w:rsidRPr="006B4BFE">
        <w:rPr>
          <w:rFonts w:ascii="Cambria" w:hAnsi="Cambria"/>
          <w:b/>
          <w:bCs/>
        </w:rPr>
        <w:t xml:space="preserve"> (BHR)</w:t>
      </w:r>
    </w:p>
    <w:p w14:paraId="23E02768" w14:textId="7BE050C2" w:rsidR="00FC160F" w:rsidRPr="00FC160F" w:rsidRDefault="00FC160F" w:rsidP="00FC160F">
      <w:pPr>
        <w:spacing w:after="160" w:line="360" w:lineRule="auto"/>
        <w:rPr>
          <w:rFonts w:ascii="Cambria" w:hAnsi="Cambria"/>
          <w:b/>
          <w:bCs/>
          <w:sz w:val="20"/>
          <w:szCs w:val="20"/>
        </w:rPr>
      </w:pPr>
      <w:r w:rsidRPr="00FC160F">
        <w:rPr>
          <w:rFonts w:ascii="Cambria" w:hAnsi="Cambria" w:cs="Arial"/>
          <w:b/>
          <w:bCs/>
          <w:color w:val="000000" w:themeColor="text1"/>
          <w:sz w:val="20"/>
          <w:szCs w:val="20"/>
        </w:rPr>
        <w:t xml:space="preserve">EQ1. Relevance </w:t>
      </w:r>
    </w:p>
    <w:p w14:paraId="6954741B" w14:textId="77777777" w:rsidR="00FC160F" w:rsidRPr="00FC160F" w:rsidRDefault="00FC160F" w:rsidP="00FC160F">
      <w:pPr>
        <w:shd w:val="clear" w:color="auto" w:fill="92D050"/>
        <w:spacing w:line="360" w:lineRule="auto"/>
        <w:jc w:val="both"/>
        <w:rPr>
          <w:rFonts w:ascii="Cambria" w:hAnsi="Cambria" w:cs="Arial"/>
          <w:color w:val="000000" w:themeColor="text1"/>
          <w:sz w:val="20"/>
          <w:szCs w:val="20"/>
        </w:rPr>
      </w:pPr>
    </w:p>
    <w:p w14:paraId="0DA9BAEB" w14:textId="47EF18ED" w:rsidR="00FC160F" w:rsidRDefault="00FC160F" w:rsidP="00EA43D0">
      <w:pPr>
        <w:shd w:val="clear" w:color="auto" w:fill="92D050"/>
        <w:spacing w:line="360" w:lineRule="auto"/>
        <w:jc w:val="center"/>
        <w:rPr>
          <w:rFonts w:ascii="Cambria" w:hAnsi="Cambria" w:cs="Arial"/>
          <w:color w:val="000000" w:themeColor="text1"/>
          <w:sz w:val="20"/>
          <w:szCs w:val="20"/>
        </w:rPr>
      </w:pPr>
      <w:r w:rsidRPr="00FC160F">
        <w:rPr>
          <w:rFonts w:ascii="Cambria" w:hAnsi="Cambria" w:cs="Arial"/>
          <w:color w:val="000000" w:themeColor="text1"/>
          <w:sz w:val="20"/>
          <w:szCs w:val="20"/>
        </w:rPr>
        <w:t xml:space="preserve">Relevance refers to the extent to which the interventions under the Portfolio identified </w:t>
      </w:r>
      <w:r w:rsidRPr="00FC160F">
        <w:rPr>
          <w:rFonts w:ascii="Cambria" w:hAnsi="Cambria" w:cs="Arial"/>
          <w:b/>
          <w:bCs/>
          <w:color w:val="000000" w:themeColor="text1"/>
          <w:sz w:val="20"/>
          <w:szCs w:val="20"/>
        </w:rPr>
        <w:t>national priorities and adopted a policy and context sensitive approach.</w:t>
      </w:r>
      <w:r w:rsidRPr="00FC160F">
        <w:rPr>
          <w:rFonts w:ascii="Cambria" w:hAnsi="Cambria" w:cs="Arial"/>
          <w:color w:val="000000" w:themeColor="text1"/>
          <w:sz w:val="20"/>
          <w:szCs w:val="20"/>
        </w:rPr>
        <w:t xml:space="preserve"> It refers to the </w:t>
      </w:r>
      <w:r w:rsidRPr="00FC160F">
        <w:rPr>
          <w:rFonts w:ascii="Cambria" w:hAnsi="Cambria" w:cs="Arial"/>
          <w:b/>
          <w:bCs/>
          <w:color w:val="000000" w:themeColor="text1"/>
          <w:sz w:val="20"/>
          <w:szCs w:val="20"/>
        </w:rPr>
        <w:t xml:space="preserve">responsiveness </w:t>
      </w:r>
      <w:r w:rsidRPr="00FC160F">
        <w:rPr>
          <w:rFonts w:ascii="Cambria" w:hAnsi="Cambria" w:cs="Arial"/>
          <w:color w:val="000000" w:themeColor="text1"/>
          <w:sz w:val="20"/>
          <w:szCs w:val="20"/>
        </w:rPr>
        <w:t xml:space="preserve">of the Portfolio to meet the needs of the beneficiaries (most vulnerable communities) identified including </w:t>
      </w:r>
      <w:r w:rsidRPr="00FC160F">
        <w:rPr>
          <w:rFonts w:ascii="Cambria" w:hAnsi="Cambria" w:cs="Arial"/>
          <w:b/>
          <w:bCs/>
          <w:color w:val="000000" w:themeColor="text1"/>
          <w:sz w:val="20"/>
          <w:szCs w:val="20"/>
        </w:rPr>
        <w:t>its capacity to adapt and realign</w:t>
      </w:r>
      <w:r w:rsidRPr="00FC160F">
        <w:rPr>
          <w:rFonts w:ascii="Cambria" w:hAnsi="Cambria" w:cs="Arial"/>
          <w:color w:val="000000" w:themeColor="text1"/>
          <w:sz w:val="20"/>
          <w:szCs w:val="20"/>
        </w:rPr>
        <w:t xml:space="preserve"> priorities to meet country and context specific socio-economic and political changes.</w:t>
      </w:r>
    </w:p>
    <w:p w14:paraId="3A9C1257" w14:textId="77777777" w:rsidR="00EA43D0" w:rsidRPr="00FC160F" w:rsidRDefault="00EA43D0" w:rsidP="00EA43D0">
      <w:pPr>
        <w:shd w:val="clear" w:color="auto" w:fill="92D050"/>
        <w:spacing w:line="360" w:lineRule="auto"/>
        <w:jc w:val="center"/>
        <w:rPr>
          <w:rFonts w:ascii="Cambria" w:hAnsi="Cambria" w:cs="Arial"/>
          <w:color w:val="000000" w:themeColor="text1"/>
          <w:sz w:val="20"/>
          <w:szCs w:val="20"/>
        </w:rPr>
      </w:pPr>
    </w:p>
    <w:p w14:paraId="7C3A19D9" w14:textId="0E024893" w:rsidR="0005007C" w:rsidRPr="00FC160F" w:rsidRDefault="0005007C" w:rsidP="00FC160F">
      <w:pPr>
        <w:spacing w:after="160" w:line="360" w:lineRule="auto"/>
        <w:jc w:val="both"/>
        <w:rPr>
          <w:rFonts w:ascii="Cambria" w:hAnsi="Cambria"/>
          <w:color w:val="000000" w:themeColor="text1"/>
          <w:sz w:val="20"/>
          <w:szCs w:val="20"/>
        </w:rPr>
      </w:pPr>
      <w:r w:rsidRPr="00FC160F">
        <w:rPr>
          <w:rFonts w:ascii="Cambria" w:hAnsi="Cambria"/>
          <w:color w:val="000000" w:themeColor="text1"/>
          <w:sz w:val="20"/>
          <w:szCs w:val="20"/>
        </w:rPr>
        <w:t xml:space="preserve">The Output directly reference the UN Guiding Principles (UNGP) on </w:t>
      </w:r>
      <w:r w:rsidR="00791BE8">
        <w:rPr>
          <w:rFonts w:ascii="Cambria" w:hAnsi="Cambria"/>
          <w:color w:val="000000" w:themeColor="text1"/>
          <w:sz w:val="20"/>
          <w:szCs w:val="20"/>
        </w:rPr>
        <w:t>BHR</w:t>
      </w:r>
      <w:r w:rsidRPr="00AC1452">
        <w:rPr>
          <w:rStyle w:val="FootnoteReference"/>
          <w:rFonts w:ascii="Cambria" w:hAnsi="Cambria"/>
          <w:color w:val="000000" w:themeColor="text1"/>
          <w:sz w:val="20"/>
          <w:szCs w:val="20"/>
        </w:rPr>
        <w:footnoteReference w:id="66"/>
      </w:r>
      <w:r w:rsidRPr="00FC160F">
        <w:rPr>
          <w:rFonts w:ascii="Cambria" w:hAnsi="Cambria"/>
          <w:color w:val="000000" w:themeColor="text1"/>
          <w:sz w:val="20"/>
          <w:szCs w:val="20"/>
        </w:rPr>
        <w:t xml:space="preserve"> and the SDGs, particularly the SDGs 5, 8, 10, 16 and 17.</w:t>
      </w:r>
      <w:r w:rsidRPr="00AC1452">
        <w:rPr>
          <w:rStyle w:val="FootnoteReference"/>
          <w:rFonts w:ascii="Cambria" w:hAnsi="Cambria"/>
          <w:color w:val="000000" w:themeColor="text1"/>
          <w:sz w:val="20"/>
          <w:szCs w:val="20"/>
        </w:rPr>
        <w:footnoteReference w:id="67"/>
      </w:r>
      <w:r w:rsidRPr="00FC160F">
        <w:rPr>
          <w:rFonts w:ascii="Cambria" w:hAnsi="Cambria"/>
          <w:color w:val="000000" w:themeColor="text1"/>
          <w:sz w:val="20"/>
          <w:szCs w:val="20"/>
        </w:rPr>
        <w:t xml:space="preserve"> </w:t>
      </w:r>
      <w:r w:rsidRPr="00FC160F">
        <w:rPr>
          <w:rFonts w:ascii="Cambria" w:hAnsi="Cambria"/>
          <w:sz w:val="20"/>
          <w:szCs w:val="20"/>
        </w:rPr>
        <w:t xml:space="preserve">The UNGPs provide a roadmap for protecting and respecting human rights in the context of business activities. The UNGP roadmap is inextricably linked to the SDGs </w:t>
      </w:r>
      <w:r w:rsidRPr="00FC160F">
        <w:rPr>
          <w:rFonts w:ascii="Cambria" w:hAnsi="Cambria"/>
          <w:color w:val="000000" w:themeColor="text1"/>
          <w:sz w:val="20"/>
          <w:szCs w:val="20"/>
        </w:rPr>
        <w:t xml:space="preserve">roadmap bringing together </w:t>
      </w:r>
      <w:r w:rsidRPr="00FC160F">
        <w:rPr>
          <w:rFonts w:ascii="Cambria" w:hAnsi="Cambria"/>
          <w:color w:val="000000" w:themeColor="text1"/>
          <w:sz w:val="20"/>
          <w:szCs w:val="20"/>
          <w:shd w:val="clear" w:color="auto" w:fill="FFFFFF"/>
        </w:rPr>
        <w:t>partnerships between the private sector and governments to address the world’s development challenges.</w:t>
      </w:r>
      <w:r w:rsidRPr="00AC1452">
        <w:rPr>
          <w:rStyle w:val="FootnoteReference"/>
          <w:rFonts w:ascii="Cambria" w:hAnsi="Cambria"/>
          <w:color w:val="000000" w:themeColor="text1"/>
          <w:sz w:val="20"/>
          <w:szCs w:val="20"/>
        </w:rPr>
        <w:footnoteReference w:id="68"/>
      </w:r>
      <w:r w:rsidRPr="00FC160F">
        <w:rPr>
          <w:rFonts w:ascii="Cambria" w:hAnsi="Cambria"/>
          <w:color w:val="000000" w:themeColor="text1"/>
          <w:sz w:val="20"/>
          <w:szCs w:val="20"/>
        </w:rPr>
        <w:t xml:space="preserve"> </w:t>
      </w:r>
    </w:p>
    <w:p w14:paraId="5BFE98E9" w14:textId="5AD7CE05" w:rsidR="0005007C" w:rsidRPr="00FC160F" w:rsidRDefault="0005007C" w:rsidP="00FC160F">
      <w:pPr>
        <w:spacing w:after="160" w:line="360" w:lineRule="auto"/>
        <w:jc w:val="both"/>
        <w:rPr>
          <w:rFonts w:ascii="Cambria" w:hAnsi="Cambria"/>
          <w:color w:val="000000" w:themeColor="text1"/>
          <w:sz w:val="20"/>
          <w:szCs w:val="20"/>
        </w:rPr>
      </w:pPr>
      <w:r w:rsidRPr="00FC160F">
        <w:rPr>
          <w:rFonts w:ascii="Cambria" w:hAnsi="Cambria"/>
          <w:color w:val="000000" w:themeColor="text1"/>
          <w:sz w:val="20"/>
          <w:szCs w:val="20"/>
        </w:rPr>
        <w:t>The focus on thematic areas, advancing</w:t>
      </w:r>
      <w:r w:rsidR="000315E5">
        <w:rPr>
          <w:rFonts w:ascii="Cambria" w:hAnsi="Cambria"/>
          <w:color w:val="000000" w:themeColor="text1"/>
          <w:sz w:val="20"/>
          <w:szCs w:val="20"/>
        </w:rPr>
        <w:t xml:space="preserve"> GEWE</w:t>
      </w:r>
      <w:r w:rsidRPr="00FC160F">
        <w:rPr>
          <w:rFonts w:ascii="Cambria" w:hAnsi="Cambria"/>
          <w:color w:val="000000" w:themeColor="text1"/>
          <w:sz w:val="20"/>
          <w:szCs w:val="20"/>
        </w:rPr>
        <w:t xml:space="preserve"> and sustainable environment are not only globally relevant but also context relevant locally in light of the pandemic.   According to studies</w:t>
      </w:r>
      <w:r w:rsidR="00FC160F">
        <w:rPr>
          <w:rFonts w:ascii="Cambria" w:hAnsi="Cambria"/>
          <w:color w:val="000000" w:themeColor="text1"/>
          <w:sz w:val="20"/>
          <w:szCs w:val="20"/>
        </w:rPr>
        <w:t>,</w:t>
      </w:r>
      <w:r w:rsidRPr="00FC160F">
        <w:rPr>
          <w:rFonts w:ascii="Cambria" w:hAnsi="Cambria"/>
          <w:color w:val="000000" w:themeColor="text1"/>
          <w:sz w:val="20"/>
          <w:szCs w:val="20"/>
        </w:rPr>
        <w:t xml:space="preserve"> promoting gender equality is projected to add up to </w:t>
      </w:r>
      <w:r w:rsidRPr="00FC160F">
        <w:rPr>
          <w:rFonts w:ascii="Cambria" w:hAnsi="Cambria" w:cs="Calibri"/>
          <w:color w:val="000000" w:themeColor="text1"/>
          <w:sz w:val="20"/>
          <w:szCs w:val="20"/>
          <w:shd w:val="clear" w:color="auto" w:fill="FFFFFF"/>
        </w:rPr>
        <w:t xml:space="preserve">$12 trillion to the global GDP by 2025 if public, private and social sectors work together to close gender gaps in </w:t>
      </w:r>
      <w:r w:rsidR="00FC160F">
        <w:rPr>
          <w:rFonts w:ascii="Cambria" w:hAnsi="Cambria" w:cs="Calibri"/>
          <w:color w:val="000000" w:themeColor="text1"/>
          <w:sz w:val="20"/>
          <w:szCs w:val="20"/>
          <w:shd w:val="clear" w:color="auto" w:fill="FFFFFF"/>
        </w:rPr>
        <w:t xml:space="preserve">the </w:t>
      </w:r>
      <w:r w:rsidRPr="00FC160F">
        <w:rPr>
          <w:rFonts w:ascii="Cambria" w:hAnsi="Cambria" w:cs="Calibri"/>
          <w:color w:val="000000" w:themeColor="text1"/>
          <w:sz w:val="20"/>
          <w:szCs w:val="20"/>
          <w:shd w:val="clear" w:color="auto" w:fill="FFFFFF"/>
        </w:rPr>
        <w:t>work</w:t>
      </w:r>
      <w:r w:rsidR="00FC160F">
        <w:rPr>
          <w:rFonts w:ascii="Cambria" w:hAnsi="Cambria" w:cs="Calibri"/>
          <w:color w:val="000000" w:themeColor="text1"/>
          <w:sz w:val="20"/>
          <w:szCs w:val="20"/>
          <w:shd w:val="clear" w:color="auto" w:fill="FFFFFF"/>
        </w:rPr>
        <w:t>place</w:t>
      </w:r>
      <w:r w:rsidRPr="00FC160F">
        <w:rPr>
          <w:rFonts w:ascii="Cambria" w:hAnsi="Cambria" w:cs="Calibri"/>
          <w:color w:val="000000" w:themeColor="text1"/>
          <w:sz w:val="20"/>
          <w:szCs w:val="20"/>
          <w:shd w:val="clear" w:color="auto" w:fill="FFFFFF"/>
        </w:rPr>
        <w:t xml:space="preserve"> and society</w:t>
      </w:r>
      <w:r w:rsidRPr="00AC1452">
        <w:rPr>
          <w:rStyle w:val="FootnoteReference"/>
          <w:rFonts w:ascii="Cambria" w:hAnsi="Cambria" w:cs="Calibri"/>
          <w:color w:val="000000" w:themeColor="text1"/>
          <w:sz w:val="20"/>
          <w:szCs w:val="20"/>
          <w:shd w:val="clear" w:color="auto" w:fill="FFFFFF"/>
        </w:rPr>
        <w:footnoteReference w:id="69"/>
      </w:r>
      <w:r w:rsidRPr="00FC160F">
        <w:rPr>
          <w:rFonts w:ascii="Cambria" w:hAnsi="Cambria" w:cs="Calibri"/>
          <w:color w:val="000000" w:themeColor="text1"/>
          <w:sz w:val="20"/>
          <w:szCs w:val="20"/>
          <w:shd w:val="clear" w:color="auto" w:fill="FFFFFF"/>
        </w:rPr>
        <w:t xml:space="preserve">.  These thematic areas are also identified as cross cutting </w:t>
      </w:r>
      <w:r w:rsidR="00FC160F">
        <w:rPr>
          <w:rFonts w:ascii="Cambria" w:hAnsi="Cambria" w:cs="Calibri"/>
          <w:color w:val="000000" w:themeColor="text1"/>
          <w:sz w:val="20"/>
          <w:szCs w:val="20"/>
          <w:shd w:val="clear" w:color="auto" w:fill="FFFFFF"/>
        </w:rPr>
        <w:t>issues</w:t>
      </w:r>
      <w:r w:rsidRPr="00FC160F">
        <w:rPr>
          <w:rFonts w:ascii="Cambria" w:hAnsi="Cambria" w:cs="Calibri"/>
          <w:color w:val="000000" w:themeColor="text1"/>
          <w:sz w:val="20"/>
          <w:szCs w:val="20"/>
          <w:shd w:val="clear" w:color="auto" w:fill="FFFFFF"/>
        </w:rPr>
        <w:t xml:space="preserve"> under the Portfolio. </w:t>
      </w:r>
    </w:p>
    <w:p w14:paraId="513CFEE1" w14:textId="76592EFD" w:rsidR="0005007C" w:rsidRPr="00FC160F" w:rsidRDefault="0005007C" w:rsidP="00FC160F">
      <w:pPr>
        <w:spacing w:after="160" w:line="360" w:lineRule="auto"/>
        <w:jc w:val="both"/>
        <w:rPr>
          <w:rFonts w:ascii="Cambria" w:hAnsi="Cambria"/>
          <w:color w:val="000000" w:themeColor="text1"/>
          <w:sz w:val="20"/>
          <w:szCs w:val="20"/>
        </w:rPr>
      </w:pPr>
      <w:r w:rsidRPr="00FC160F">
        <w:rPr>
          <w:rFonts w:ascii="Cambria" w:hAnsi="Cambria"/>
          <w:color w:val="000000" w:themeColor="text1"/>
          <w:sz w:val="20"/>
          <w:szCs w:val="20"/>
        </w:rPr>
        <w:lastRenderedPageBreak/>
        <w:t>Relevance of BHR should resonate different and varying interests of stakeholders including</w:t>
      </w:r>
      <w:r w:rsidR="00FC160F">
        <w:rPr>
          <w:rFonts w:ascii="Cambria" w:hAnsi="Cambria"/>
          <w:color w:val="000000" w:themeColor="text1"/>
          <w:sz w:val="20"/>
          <w:szCs w:val="20"/>
        </w:rPr>
        <w:t>,</w:t>
      </w:r>
      <w:r w:rsidRPr="00FC160F">
        <w:rPr>
          <w:rFonts w:ascii="Cambria" w:hAnsi="Cambria"/>
          <w:color w:val="000000" w:themeColor="text1"/>
          <w:sz w:val="20"/>
          <w:szCs w:val="20"/>
        </w:rPr>
        <w:t xml:space="preserve"> the innate sense to protect businesses, to make profits and </w:t>
      </w:r>
      <w:r w:rsidRPr="00FC160F">
        <w:rPr>
          <w:rFonts w:ascii="Cambria" w:hAnsi="Cambria"/>
          <w:sz w:val="20"/>
          <w:szCs w:val="20"/>
        </w:rPr>
        <w:t xml:space="preserve">interests to protect the labour force and communities and the environment. </w:t>
      </w:r>
    </w:p>
    <w:p w14:paraId="6E6123F2" w14:textId="77777777" w:rsidR="00ED4136" w:rsidRPr="00223CBF" w:rsidRDefault="00ED4136" w:rsidP="00ED4136">
      <w:pPr>
        <w:spacing w:line="360" w:lineRule="auto"/>
        <w:contextualSpacing/>
        <w:jc w:val="both"/>
        <w:rPr>
          <w:rFonts w:ascii="Cambria" w:hAnsi="Cambria" w:cstheme="minorHAnsi"/>
          <w:b/>
          <w:bCs/>
          <w:sz w:val="20"/>
          <w:szCs w:val="20"/>
        </w:rPr>
      </w:pPr>
      <w:r w:rsidRPr="00223CBF">
        <w:rPr>
          <w:rFonts w:ascii="Cambria" w:hAnsi="Cambria" w:cstheme="minorHAnsi"/>
          <w:b/>
          <w:bCs/>
          <w:sz w:val="20"/>
          <w:szCs w:val="20"/>
        </w:rPr>
        <w:t xml:space="preserve">EQ2. Effectiveness </w:t>
      </w:r>
    </w:p>
    <w:p w14:paraId="1FACF86C" w14:textId="77777777" w:rsidR="00ED4136" w:rsidRPr="00223CBF" w:rsidRDefault="00ED4136" w:rsidP="00ED4136">
      <w:pPr>
        <w:shd w:val="clear" w:color="auto" w:fill="92D050"/>
        <w:spacing w:line="360" w:lineRule="auto"/>
        <w:contextualSpacing/>
        <w:jc w:val="both"/>
        <w:rPr>
          <w:rFonts w:ascii="Cambria" w:hAnsi="Cambria" w:cstheme="minorHAnsi"/>
          <w:sz w:val="20"/>
          <w:szCs w:val="20"/>
        </w:rPr>
      </w:pPr>
    </w:p>
    <w:p w14:paraId="49C3044D" w14:textId="77777777" w:rsidR="00ED4136" w:rsidRPr="00223CBF" w:rsidRDefault="00ED4136" w:rsidP="00ED4136">
      <w:pPr>
        <w:shd w:val="clear" w:color="auto" w:fill="92D050"/>
        <w:spacing w:line="360" w:lineRule="auto"/>
        <w:contextualSpacing/>
        <w:jc w:val="center"/>
        <w:rPr>
          <w:rFonts w:ascii="Cambria" w:hAnsi="Cambria" w:cstheme="minorHAnsi"/>
          <w:b/>
          <w:bCs/>
          <w:sz w:val="20"/>
          <w:szCs w:val="20"/>
        </w:rPr>
      </w:pPr>
      <w:r w:rsidRPr="00223CBF">
        <w:rPr>
          <w:rFonts w:ascii="Cambria" w:hAnsi="Cambria" w:cstheme="minorHAnsi"/>
          <w:sz w:val="20"/>
          <w:szCs w:val="20"/>
        </w:rPr>
        <w:t xml:space="preserve">Effectiveness refers to the </w:t>
      </w:r>
      <w:r w:rsidRPr="00223CBF">
        <w:rPr>
          <w:rFonts w:ascii="Cambria" w:hAnsi="Cambria" w:cstheme="minorHAnsi"/>
          <w:b/>
          <w:bCs/>
          <w:sz w:val="20"/>
          <w:szCs w:val="20"/>
        </w:rPr>
        <w:t>extent to which the strategic interventions have achieved its overall and specific objectives</w:t>
      </w:r>
      <w:r w:rsidRPr="00223CBF">
        <w:rPr>
          <w:rFonts w:ascii="Cambria" w:hAnsi="Cambria" w:cstheme="minorHAnsi"/>
          <w:sz w:val="20"/>
          <w:szCs w:val="20"/>
        </w:rPr>
        <w:t xml:space="preserve"> identified under the Outputs. It refers to the </w:t>
      </w:r>
      <w:r w:rsidRPr="00223CBF">
        <w:rPr>
          <w:rFonts w:ascii="Cambria" w:hAnsi="Cambria" w:cstheme="minorHAnsi"/>
          <w:b/>
          <w:bCs/>
          <w:sz w:val="20"/>
          <w:szCs w:val="20"/>
        </w:rPr>
        <w:t>contribution it has made to reach targeted beneficiaries</w:t>
      </w:r>
      <w:r w:rsidRPr="00223CBF">
        <w:rPr>
          <w:rFonts w:ascii="Cambria" w:hAnsi="Cambria" w:cstheme="minorHAnsi"/>
          <w:sz w:val="20"/>
          <w:szCs w:val="20"/>
        </w:rPr>
        <w:t xml:space="preserve"> including vulnerable communities and the </w:t>
      </w:r>
      <w:r w:rsidRPr="00223CBF">
        <w:rPr>
          <w:rFonts w:ascii="Cambria" w:hAnsi="Cambria" w:cstheme="minorHAnsi"/>
          <w:b/>
          <w:bCs/>
          <w:sz w:val="20"/>
          <w:szCs w:val="20"/>
        </w:rPr>
        <w:t>effectiveness of the partner selection process.</w:t>
      </w:r>
    </w:p>
    <w:p w14:paraId="5988D93C" w14:textId="77777777" w:rsidR="00ED4136" w:rsidRPr="00223CBF" w:rsidRDefault="00ED4136" w:rsidP="00ED4136">
      <w:pPr>
        <w:spacing w:line="360" w:lineRule="auto"/>
        <w:jc w:val="both"/>
        <w:rPr>
          <w:rFonts w:ascii="Cambria" w:hAnsi="Cambria" w:cstheme="minorHAnsi"/>
          <w:b/>
          <w:sz w:val="20"/>
          <w:szCs w:val="20"/>
          <w:u w:val="single"/>
          <w:lang w:val="en-GB"/>
        </w:rPr>
      </w:pPr>
    </w:p>
    <w:p w14:paraId="229B920B" w14:textId="4D06EFBD" w:rsidR="000607E0" w:rsidRDefault="008A7DBB" w:rsidP="00FC160F">
      <w:pPr>
        <w:spacing w:after="160" w:line="360" w:lineRule="auto"/>
        <w:jc w:val="both"/>
        <w:rPr>
          <w:rFonts w:ascii="Cambria" w:hAnsi="Cambria"/>
          <w:sz w:val="20"/>
          <w:szCs w:val="20"/>
        </w:rPr>
      </w:pPr>
      <w:bookmarkStart w:id="51" w:name="_Hlk59435785"/>
      <w:r>
        <w:rPr>
          <w:rFonts w:ascii="Cambria" w:hAnsi="Cambria"/>
          <w:sz w:val="20"/>
          <w:szCs w:val="20"/>
        </w:rPr>
        <w:t>I</w:t>
      </w:r>
      <w:r w:rsidR="0005007C" w:rsidRPr="00FC160F">
        <w:rPr>
          <w:rFonts w:ascii="Cambria" w:hAnsi="Cambria"/>
          <w:sz w:val="20"/>
          <w:szCs w:val="20"/>
        </w:rPr>
        <w:t xml:space="preserve">t is too early to evaluate the effectiveness of interventions due to its early stages in design and planning. The interventions </w:t>
      </w:r>
      <w:r w:rsidR="00FD3FC0">
        <w:rPr>
          <w:rFonts w:ascii="Cambria" w:hAnsi="Cambria"/>
          <w:sz w:val="20"/>
          <w:szCs w:val="20"/>
        </w:rPr>
        <w:t xml:space="preserve">so far have focused on </w:t>
      </w:r>
      <w:r w:rsidR="0005007C" w:rsidRPr="00FC160F">
        <w:rPr>
          <w:rFonts w:ascii="Cambria" w:hAnsi="Cambria"/>
          <w:sz w:val="20"/>
          <w:szCs w:val="20"/>
        </w:rPr>
        <w:t>support generating greater awareness on the UNGPs and making a ‘business case’ for businesses to adopt human rights approaches</w:t>
      </w:r>
      <w:bookmarkEnd w:id="51"/>
      <w:r w:rsidR="0005007C" w:rsidRPr="00FC160F">
        <w:rPr>
          <w:rFonts w:ascii="Cambria" w:hAnsi="Cambria"/>
          <w:sz w:val="20"/>
          <w:szCs w:val="20"/>
        </w:rPr>
        <w:t xml:space="preserve">. However, there has been a considerable gap between the initial national dialogue in 2019 and the first CSO consultation held in early 2020. The health and safety concerns as a result of the pandemic has severely delayed the progress of consultations, which has so far been Colombo centric. </w:t>
      </w:r>
    </w:p>
    <w:p w14:paraId="25959C0C" w14:textId="17D35CCB" w:rsidR="0005007C" w:rsidRPr="00FC160F" w:rsidRDefault="0005007C" w:rsidP="000607E0">
      <w:pPr>
        <w:shd w:val="clear" w:color="auto" w:fill="FFC000"/>
        <w:spacing w:after="160" w:line="360" w:lineRule="auto"/>
        <w:jc w:val="both"/>
        <w:rPr>
          <w:rFonts w:ascii="Cambria" w:hAnsi="Cambria"/>
          <w:color w:val="000000" w:themeColor="text1"/>
          <w:sz w:val="20"/>
          <w:szCs w:val="20"/>
        </w:rPr>
      </w:pPr>
      <w:r w:rsidRPr="00FC160F">
        <w:rPr>
          <w:rFonts w:ascii="Cambria" w:hAnsi="Cambria"/>
          <w:sz w:val="20"/>
          <w:szCs w:val="20"/>
        </w:rPr>
        <w:t xml:space="preserve">The national consultation although aimed at a multi sectoral participation, attracted big time corporations, the HRC and CSOs. However, there were notable absentees such as the different Chambers of Commerce in Sri Lanka and the officials from the government. </w:t>
      </w:r>
    </w:p>
    <w:p w14:paraId="77903B7E" w14:textId="42079041" w:rsidR="0005007C" w:rsidRPr="00FD3FC0" w:rsidRDefault="0005007C" w:rsidP="00FD3FC0">
      <w:pPr>
        <w:spacing w:after="160" w:line="360" w:lineRule="auto"/>
        <w:jc w:val="both"/>
        <w:rPr>
          <w:rFonts w:ascii="Cambria" w:hAnsi="Cambria"/>
          <w:color w:val="000000" w:themeColor="text1"/>
          <w:sz w:val="20"/>
          <w:szCs w:val="20"/>
        </w:rPr>
      </w:pPr>
      <w:r w:rsidRPr="00FD3FC0">
        <w:rPr>
          <w:rFonts w:ascii="Cambria" w:hAnsi="Cambria"/>
          <w:sz w:val="20"/>
          <w:szCs w:val="20"/>
        </w:rPr>
        <w:t>KPIs note that it is essential to consult a wide range of partners from the business community that, includes different categories of industries, SMEs and actors from the informal sector as well as civil society groups and importantly the state. KPIs also recogni</w:t>
      </w:r>
      <w:r w:rsidR="00FD3FC0">
        <w:rPr>
          <w:rFonts w:ascii="Cambria" w:hAnsi="Cambria"/>
          <w:sz w:val="20"/>
          <w:szCs w:val="20"/>
        </w:rPr>
        <w:t>s</w:t>
      </w:r>
      <w:r w:rsidRPr="00FD3FC0">
        <w:rPr>
          <w:rFonts w:ascii="Cambria" w:hAnsi="Cambria"/>
          <w:sz w:val="20"/>
          <w:szCs w:val="20"/>
        </w:rPr>
        <w:t xml:space="preserve">e the vastness of the business sector and the impact on business practices by various key players such as employees, supply chains, manufacturers, trade unions, shareholders and communities. Observations also stressed the importance of identifying businesses based on industry and size and target consultations for greater effectiveness.   </w:t>
      </w:r>
    </w:p>
    <w:p w14:paraId="6E1E1729" w14:textId="29C3B795" w:rsidR="0005007C" w:rsidRDefault="0005007C" w:rsidP="00FD3FC0">
      <w:pPr>
        <w:spacing w:after="160" w:line="360" w:lineRule="auto"/>
        <w:jc w:val="both"/>
        <w:rPr>
          <w:rFonts w:ascii="Cambria" w:hAnsi="Cambria"/>
          <w:color w:val="000000" w:themeColor="text1"/>
          <w:sz w:val="20"/>
          <w:szCs w:val="20"/>
        </w:rPr>
      </w:pPr>
      <w:r w:rsidRPr="00FD3FC0">
        <w:rPr>
          <w:rFonts w:ascii="Cambria" w:hAnsi="Cambria"/>
          <w:color w:val="000000" w:themeColor="text1"/>
          <w:sz w:val="20"/>
          <w:szCs w:val="20"/>
        </w:rPr>
        <w:t xml:space="preserve">KPI interviews </w:t>
      </w:r>
      <w:r w:rsidR="00FD3FC0">
        <w:rPr>
          <w:rFonts w:ascii="Cambria" w:hAnsi="Cambria"/>
          <w:color w:val="000000" w:themeColor="text1"/>
          <w:sz w:val="20"/>
          <w:szCs w:val="20"/>
        </w:rPr>
        <w:t xml:space="preserve">emphasised </w:t>
      </w:r>
      <w:r w:rsidRPr="00FD3FC0">
        <w:rPr>
          <w:rFonts w:ascii="Cambria" w:hAnsi="Cambria"/>
          <w:color w:val="000000" w:themeColor="text1"/>
          <w:sz w:val="20"/>
          <w:szCs w:val="20"/>
        </w:rPr>
        <w:t>the need to build the legal framework and education platforms simultaneously in order to pitch effectively to businesses.</w:t>
      </w:r>
    </w:p>
    <w:p w14:paraId="3E6D65ED" w14:textId="77777777" w:rsidR="00EA43D0" w:rsidRDefault="00EA43D0" w:rsidP="00FD3FC0">
      <w:pPr>
        <w:spacing w:line="360" w:lineRule="auto"/>
        <w:jc w:val="both"/>
        <w:rPr>
          <w:rFonts w:ascii="Cambria" w:hAnsi="Cambria"/>
          <w:b/>
          <w:bCs/>
          <w:sz w:val="20"/>
          <w:szCs w:val="20"/>
        </w:rPr>
      </w:pPr>
    </w:p>
    <w:p w14:paraId="01618449" w14:textId="0B6BEB3A" w:rsidR="00FD3FC0" w:rsidRPr="00223CBF" w:rsidRDefault="00FD3FC0" w:rsidP="00FD3FC0">
      <w:pPr>
        <w:spacing w:line="360" w:lineRule="auto"/>
        <w:jc w:val="both"/>
        <w:rPr>
          <w:rFonts w:ascii="Cambria" w:hAnsi="Cambria"/>
          <w:b/>
          <w:bCs/>
          <w:sz w:val="20"/>
          <w:szCs w:val="20"/>
        </w:rPr>
      </w:pPr>
      <w:r w:rsidRPr="00223CBF">
        <w:rPr>
          <w:rFonts w:ascii="Cambria" w:hAnsi="Cambria"/>
          <w:b/>
          <w:bCs/>
          <w:sz w:val="20"/>
          <w:szCs w:val="20"/>
        </w:rPr>
        <w:lastRenderedPageBreak/>
        <w:t xml:space="preserve">EQ3. Efficiency  </w:t>
      </w:r>
    </w:p>
    <w:p w14:paraId="151CA808" w14:textId="77777777" w:rsidR="00FD3FC0" w:rsidRPr="00223CBF" w:rsidRDefault="00FD3FC0" w:rsidP="00FD3FC0">
      <w:pPr>
        <w:shd w:val="clear" w:color="auto" w:fill="92D050"/>
        <w:spacing w:line="360" w:lineRule="auto"/>
        <w:jc w:val="center"/>
        <w:rPr>
          <w:rFonts w:ascii="Cambria" w:hAnsi="Cambria" w:cs="Arial"/>
          <w:sz w:val="20"/>
          <w:szCs w:val="20"/>
        </w:rPr>
      </w:pPr>
    </w:p>
    <w:p w14:paraId="076707A3" w14:textId="77777777" w:rsidR="00FD3FC0" w:rsidRPr="00223CBF" w:rsidRDefault="00FD3FC0" w:rsidP="00FD3FC0">
      <w:pPr>
        <w:shd w:val="clear" w:color="auto" w:fill="92D050"/>
        <w:spacing w:line="360" w:lineRule="auto"/>
        <w:jc w:val="center"/>
        <w:rPr>
          <w:rFonts w:ascii="Cambria" w:hAnsi="Cambria" w:cs="Arial"/>
          <w:sz w:val="20"/>
          <w:szCs w:val="20"/>
        </w:rPr>
      </w:pPr>
      <w:r w:rsidRPr="00223CBF">
        <w:rPr>
          <w:rFonts w:ascii="Cambria" w:hAnsi="Cambria" w:cs="Arial"/>
          <w:sz w:val="20"/>
          <w:szCs w:val="20"/>
        </w:rPr>
        <w:t xml:space="preserve">Efficiency looks at the extent to which the Portfolio has used the </w:t>
      </w:r>
      <w:r w:rsidRPr="00223CBF">
        <w:rPr>
          <w:rFonts w:ascii="Cambria" w:hAnsi="Cambria" w:cs="Arial"/>
          <w:b/>
          <w:bCs/>
          <w:sz w:val="20"/>
          <w:szCs w:val="20"/>
        </w:rPr>
        <w:t>most effective methods</w:t>
      </w:r>
      <w:r w:rsidRPr="00223CBF">
        <w:rPr>
          <w:rFonts w:ascii="Cambria" w:hAnsi="Cambria" w:cs="Arial"/>
          <w:sz w:val="20"/>
          <w:szCs w:val="20"/>
        </w:rPr>
        <w:t xml:space="preserve"> to achieve planned outcomes/outputs under each of Pillars One and Two. Efficiency also refers to the</w:t>
      </w:r>
      <w:r w:rsidRPr="00223CBF">
        <w:rPr>
          <w:rFonts w:ascii="Cambria" w:hAnsi="Cambria" w:cs="Arial"/>
          <w:b/>
          <w:bCs/>
          <w:sz w:val="20"/>
          <w:szCs w:val="20"/>
        </w:rPr>
        <w:t xml:space="preserve"> adequacy of the structures and modalities</w:t>
      </w:r>
      <w:r w:rsidRPr="00223CBF">
        <w:rPr>
          <w:rFonts w:ascii="Cambria" w:hAnsi="Cambria" w:cs="Arial"/>
          <w:sz w:val="20"/>
          <w:szCs w:val="20"/>
        </w:rPr>
        <w:t xml:space="preserve"> of the Portfolio to maximize financial and human resources cost and visibility of </w:t>
      </w:r>
      <w:r w:rsidRPr="00223CBF">
        <w:rPr>
          <w:rFonts w:ascii="Cambria" w:hAnsi="Cambria" w:cs="Arial"/>
          <w:b/>
          <w:bCs/>
          <w:sz w:val="20"/>
          <w:szCs w:val="20"/>
        </w:rPr>
        <w:t xml:space="preserve">best practices </w:t>
      </w:r>
      <w:r w:rsidRPr="00223CBF">
        <w:rPr>
          <w:rFonts w:ascii="Cambria" w:hAnsi="Cambria" w:cs="Arial"/>
          <w:sz w:val="20"/>
          <w:szCs w:val="20"/>
        </w:rPr>
        <w:t>in cost efficiency.</w:t>
      </w:r>
    </w:p>
    <w:p w14:paraId="169CB732" w14:textId="77777777" w:rsidR="00FD3FC0" w:rsidRPr="00223CBF" w:rsidRDefault="00FD3FC0" w:rsidP="00FD3FC0">
      <w:pPr>
        <w:shd w:val="clear" w:color="auto" w:fill="92D050"/>
        <w:spacing w:line="360" w:lineRule="auto"/>
        <w:jc w:val="center"/>
        <w:rPr>
          <w:rFonts w:ascii="Cambria" w:hAnsi="Cambria" w:cs="Arial"/>
          <w:color w:val="0070C0"/>
          <w:sz w:val="20"/>
          <w:szCs w:val="20"/>
        </w:rPr>
      </w:pPr>
    </w:p>
    <w:p w14:paraId="5466A8AB" w14:textId="77777777" w:rsidR="00FD3FC0" w:rsidRPr="00FD3FC0" w:rsidRDefault="00FD3FC0" w:rsidP="00FD3FC0">
      <w:pPr>
        <w:spacing w:after="160" w:line="360" w:lineRule="auto"/>
        <w:jc w:val="both"/>
        <w:rPr>
          <w:rFonts w:ascii="Cambria" w:hAnsi="Cambria"/>
          <w:color w:val="000000" w:themeColor="text1"/>
          <w:sz w:val="20"/>
          <w:szCs w:val="20"/>
        </w:rPr>
      </w:pPr>
    </w:p>
    <w:p w14:paraId="6F1F3EDD" w14:textId="77777777" w:rsidR="000607E0" w:rsidRDefault="00FD3FC0" w:rsidP="00FD3FC0">
      <w:pPr>
        <w:spacing w:after="160" w:line="360" w:lineRule="auto"/>
        <w:jc w:val="both"/>
        <w:rPr>
          <w:rFonts w:ascii="Cambria" w:hAnsi="Cambria"/>
          <w:color w:val="000000" w:themeColor="text1"/>
          <w:sz w:val="20"/>
          <w:szCs w:val="20"/>
        </w:rPr>
      </w:pPr>
      <w:r>
        <w:rPr>
          <w:rFonts w:ascii="Cambria" w:hAnsi="Cambria"/>
          <w:color w:val="000000" w:themeColor="text1"/>
          <w:sz w:val="20"/>
          <w:szCs w:val="20"/>
        </w:rPr>
        <w:t>R</w:t>
      </w:r>
      <w:r w:rsidR="0005007C" w:rsidRPr="00FD3FC0">
        <w:rPr>
          <w:rFonts w:ascii="Cambria" w:hAnsi="Cambria"/>
          <w:color w:val="000000" w:themeColor="text1"/>
          <w:sz w:val="20"/>
          <w:szCs w:val="20"/>
        </w:rPr>
        <w:t xml:space="preserve">eflections based on interviews with the UNDP and KPIs expressed the need to promote partnerships with </w:t>
      </w:r>
      <w:r>
        <w:rPr>
          <w:rFonts w:ascii="Cambria" w:hAnsi="Cambria"/>
          <w:color w:val="000000" w:themeColor="text1"/>
          <w:sz w:val="20"/>
          <w:szCs w:val="20"/>
        </w:rPr>
        <w:t xml:space="preserve">the </w:t>
      </w:r>
      <w:r w:rsidR="0005007C" w:rsidRPr="00FD3FC0">
        <w:rPr>
          <w:rFonts w:ascii="Cambria" w:hAnsi="Cambria"/>
          <w:color w:val="000000" w:themeColor="text1"/>
          <w:sz w:val="20"/>
          <w:szCs w:val="20"/>
        </w:rPr>
        <w:t>state, businesses and national human rights bodies such as the HRC to maximise efficiency.  Currently support through the Output to conduct a survey on human rights violations of FTZ workers and a study to assess legislative gaps with regard to BHR and investment and trade laws is relevant in recogni</w:t>
      </w:r>
      <w:r>
        <w:rPr>
          <w:rFonts w:ascii="Cambria" w:hAnsi="Cambria"/>
          <w:color w:val="000000" w:themeColor="text1"/>
          <w:sz w:val="20"/>
          <w:szCs w:val="20"/>
        </w:rPr>
        <w:t>s</w:t>
      </w:r>
      <w:r w:rsidR="0005007C" w:rsidRPr="00FD3FC0">
        <w:rPr>
          <w:rFonts w:ascii="Cambria" w:hAnsi="Cambria"/>
          <w:color w:val="000000" w:themeColor="text1"/>
          <w:sz w:val="20"/>
          <w:szCs w:val="20"/>
        </w:rPr>
        <w:t xml:space="preserve">ing the overall framework, under which businesses operates. </w:t>
      </w:r>
    </w:p>
    <w:p w14:paraId="136B84D2" w14:textId="77B17D42" w:rsidR="0005007C" w:rsidRPr="00FD3FC0" w:rsidRDefault="0005007C" w:rsidP="000607E0">
      <w:pPr>
        <w:shd w:val="clear" w:color="auto" w:fill="FFC000"/>
        <w:spacing w:after="160" w:line="360" w:lineRule="auto"/>
        <w:jc w:val="both"/>
        <w:rPr>
          <w:rFonts w:ascii="Cambria" w:hAnsi="Cambria"/>
          <w:color w:val="000000" w:themeColor="text1"/>
          <w:sz w:val="20"/>
          <w:szCs w:val="20"/>
        </w:rPr>
      </w:pPr>
      <w:r w:rsidRPr="00FD3FC0">
        <w:rPr>
          <w:rFonts w:ascii="Cambria" w:hAnsi="Cambria"/>
          <w:sz w:val="20"/>
          <w:szCs w:val="20"/>
        </w:rPr>
        <w:t xml:space="preserve">Further feedback noted the importance of identifying ‘champions of best business practices’ to take forward the agenda and the necessity to make ‘business sense’ of integrating and investing in human rights, especially within the current economic crisis. </w:t>
      </w:r>
    </w:p>
    <w:p w14:paraId="1ED328C2" w14:textId="71B0A6C5" w:rsidR="0005007C" w:rsidRDefault="0005007C" w:rsidP="00FD3FC0">
      <w:pPr>
        <w:spacing w:after="160" w:line="360" w:lineRule="auto"/>
        <w:jc w:val="both"/>
        <w:rPr>
          <w:rFonts w:ascii="Cambria" w:hAnsi="Cambria"/>
          <w:color w:val="000000" w:themeColor="text1"/>
          <w:sz w:val="20"/>
          <w:szCs w:val="20"/>
        </w:rPr>
      </w:pPr>
      <w:r w:rsidRPr="00FD3FC0">
        <w:rPr>
          <w:rFonts w:ascii="Cambria" w:hAnsi="Cambria"/>
          <w:color w:val="000000" w:themeColor="text1"/>
          <w:sz w:val="20"/>
          <w:szCs w:val="20"/>
        </w:rPr>
        <w:t>KPIs note that it is important to project the right pitch for businesses and to show the relevance of doing good business using the UNGPs to build brand equity, manage and minimi</w:t>
      </w:r>
      <w:r w:rsidR="00FD3FC0">
        <w:rPr>
          <w:rFonts w:ascii="Cambria" w:hAnsi="Cambria"/>
          <w:color w:val="000000" w:themeColor="text1"/>
          <w:sz w:val="20"/>
          <w:szCs w:val="20"/>
        </w:rPr>
        <w:t>s</w:t>
      </w:r>
      <w:r w:rsidRPr="00FD3FC0">
        <w:rPr>
          <w:rFonts w:ascii="Cambria" w:hAnsi="Cambria"/>
          <w:color w:val="000000" w:themeColor="text1"/>
          <w:sz w:val="20"/>
          <w:szCs w:val="20"/>
        </w:rPr>
        <w:t xml:space="preserve">e risks and support community and planet to increase the efficiency of consultations that would provide a rigorous platform to integrate human rights into business practices.   </w:t>
      </w:r>
    </w:p>
    <w:p w14:paraId="52A65236" w14:textId="77777777" w:rsidR="00FD3FC0" w:rsidRPr="00223CBF" w:rsidRDefault="00FD3FC0" w:rsidP="00FD3FC0">
      <w:pPr>
        <w:spacing w:line="360" w:lineRule="auto"/>
        <w:jc w:val="both"/>
        <w:rPr>
          <w:rFonts w:ascii="Cambria" w:hAnsi="Cambria" w:cs="Arial"/>
          <w:b/>
          <w:bCs/>
          <w:sz w:val="20"/>
          <w:szCs w:val="20"/>
        </w:rPr>
      </w:pPr>
      <w:r w:rsidRPr="00223CBF">
        <w:rPr>
          <w:rFonts w:ascii="Cambria" w:hAnsi="Cambria" w:cs="Arial"/>
          <w:b/>
          <w:bCs/>
          <w:sz w:val="20"/>
          <w:szCs w:val="20"/>
        </w:rPr>
        <w:t xml:space="preserve">EQ4. Impact </w:t>
      </w:r>
    </w:p>
    <w:p w14:paraId="51ACBB61" w14:textId="77777777" w:rsidR="00FD3FC0" w:rsidRPr="00223CBF" w:rsidRDefault="00FD3FC0" w:rsidP="00FD3FC0">
      <w:pPr>
        <w:shd w:val="clear" w:color="auto" w:fill="92D050"/>
        <w:spacing w:line="360" w:lineRule="auto"/>
        <w:jc w:val="both"/>
        <w:rPr>
          <w:rFonts w:ascii="Cambria" w:hAnsi="Cambria" w:cs="Arial"/>
          <w:sz w:val="20"/>
          <w:szCs w:val="20"/>
        </w:rPr>
      </w:pPr>
    </w:p>
    <w:p w14:paraId="6A9D694E" w14:textId="77777777" w:rsidR="00FD3FC0" w:rsidRPr="00223CBF" w:rsidRDefault="00FD3FC0" w:rsidP="00FD3FC0">
      <w:pPr>
        <w:shd w:val="clear" w:color="auto" w:fill="92D050"/>
        <w:spacing w:line="360" w:lineRule="auto"/>
        <w:jc w:val="center"/>
        <w:rPr>
          <w:rFonts w:ascii="Cambria" w:hAnsi="Cambria" w:cstheme="minorHAnsi"/>
          <w:sz w:val="20"/>
          <w:szCs w:val="20"/>
        </w:rPr>
      </w:pPr>
      <w:r w:rsidRPr="00223CBF">
        <w:rPr>
          <w:rFonts w:ascii="Cambria" w:hAnsi="Cambria" w:cs="Arial"/>
          <w:sz w:val="20"/>
          <w:szCs w:val="20"/>
        </w:rPr>
        <w:t xml:space="preserve">Impact refers to the </w:t>
      </w:r>
      <w:r w:rsidRPr="007F63BC">
        <w:rPr>
          <w:rFonts w:ascii="Cambria" w:hAnsi="Cambria" w:cs="Arial"/>
          <w:b/>
          <w:bCs/>
          <w:sz w:val="20"/>
          <w:szCs w:val="20"/>
        </w:rPr>
        <w:t>c</w:t>
      </w:r>
      <w:r w:rsidRPr="00223CBF">
        <w:rPr>
          <w:rFonts w:ascii="Cambria" w:hAnsi="Cambria" w:cs="Arial"/>
          <w:b/>
          <w:bCs/>
          <w:sz w:val="20"/>
          <w:szCs w:val="20"/>
        </w:rPr>
        <w:t>hange/results o</w:t>
      </w:r>
      <w:r w:rsidRPr="00223CBF">
        <w:rPr>
          <w:rFonts w:ascii="Cambria" w:hAnsi="Cambria" w:cs="Arial"/>
          <w:sz w:val="20"/>
          <w:szCs w:val="20"/>
        </w:rPr>
        <w:t xml:space="preserve">f the output level achievements so far in line with the outcome level results. It refers to the </w:t>
      </w:r>
      <w:r w:rsidRPr="00223CBF">
        <w:rPr>
          <w:rFonts w:ascii="Cambria" w:hAnsi="Cambria" w:cs="Arial"/>
          <w:b/>
          <w:bCs/>
          <w:sz w:val="20"/>
          <w:szCs w:val="20"/>
        </w:rPr>
        <w:t>positive or negative changes in the short/medium or long term</w:t>
      </w:r>
      <w:r w:rsidRPr="00223CBF">
        <w:rPr>
          <w:rFonts w:ascii="Cambria" w:hAnsi="Cambria" w:cs="Arial"/>
          <w:sz w:val="20"/>
          <w:szCs w:val="20"/>
        </w:rPr>
        <w:t xml:space="preserve"> and to what extent the </w:t>
      </w:r>
      <w:r w:rsidRPr="00223CBF">
        <w:rPr>
          <w:rFonts w:ascii="Cambria" w:hAnsi="Cambria" w:cs="Arial"/>
          <w:b/>
          <w:bCs/>
          <w:sz w:val="20"/>
          <w:szCs w:val="20"/>
        </w:rPr>
        <w:t>targeted beneficiaries have experienced this change</w:t>
      </w:r>
      <w:r w:rsidRPr="00223CBF">
        <w:rPr>
          <w:rFonts w:ascii="Cambria" w:hAnsi="Cambria" w:cs="Arial"/>
          <w:sz w:val="20"/>
          <w:szCs w:val="20"/>
        </w:rPr>
        <w:t xml:space="preserve">. </w:t>
      </w:r>
      <w:r w:rsidRPr="00223CBF">
        <w:rPr>
          <w:rFonts w:ascii="Cambria" w:hAnsi="Cambria" w:cstheme="minorHAnsi"/>
          <w:sz w:val="20"/>
          <w:szCs w:val="20"/>
        </w:rPr>
        <w:t>Impact assess</w:t>
      </w:r>
      <w:r>
        <w:rPr>
          <w:rFonts w:ascii="Cambria" w:hAnsi="Cambria" w:cstheme="minorHAnsi"/>
          <w:sz w:val="20"/>
          <w:szCs w:val="20"/>
        </w:rPr>
        <w:t>es</w:t>
      </w:r>
      <w:r w:rsidRPr="00223CBF">
        <w:rPr>
          <w:rFonts w:ascii="Cambria" w:hAnsi="Cambria" w:cstheme="minorHAnsi"/>
          <w:sz w:val="20"/>
          <w:szCs w:val="20"/>
        </w:rPr>
        <w:t xml:space="preserve"> the contribution of the interventions and external factors </w:t>
      </w:r>
      <w:r>
        <w:rPr>
          <w:rFonts w:ascii="Cambria" w:hAnsi="Cambria" w:cstheme="minorHAnsi"/>
          <w:sz w:val="20"/>
          <w:szCs w:val="20"/>
        </w:rPr>
        <w:t xml:space="preserve">that are </w:t>
      </w:r>
      <w:r w:rsidRPr="00223CBF">
        <w:rPr>
          <w:rFonts w:ascii="Cambria" w:hAnsi="Cambria" w:cstheme="minorHAnsi"/>
          <w:sz w:val="20"/>
          <w:szCs w:val="20"/>
        </w:rPr>
        <w:t>require</w:t>
      </w:r>
      <w:r>
        <w:rPr>
          <w:rFonts w:ascii="Cambria" w:hAnsi="Cambria" w:cstheme="minorHAnsi"/>
          <w:sz w:val="20"/>
          <w:szCs w:val="20"/>
        </w:rPr>
        <w:t xml:space="preserve">d </w:t>
      </w:r>
      <w:r w:rsidRPr="00223CBF">
        <w:rPr>
          <w:rFonts w:ascii="Cambria" w:hAnsi="Cambria" w:cstheme="minorHAnsi"/>
          <w:sz w:val="20"/>
          <w:szCs w:val="20"/>
        </w:rPr>
        <w:t>to sustain it.</w:t>
      </w:r>
    </w:p>
    <w:p w14:paraId="33DDB2D9" w14:textId="77777777" w:rsidR="00FD3FC0" w:rsidRPr="00223CBF" w:rsidRDefault="00FD3FC0" w:rsidP="00FD3FC0">
      <w:pPr>
        <w:shd w:val="clear" w:color="auto" w:fill="92D050"/>
        <w:spacing w:line="360" w:lineRule="auto"/>
        <w:jc w:val="center"/>
        <w:rPr>
          <w:rFonts w:ascii="Cambria" w:hAnsi="Cambria" w:cs="Arial"/>
          <w:sz w:val="20"/>
          <w:szCs w:val="20"/>
        </w:rPr>
      </w:pPr>
    </w:p>
    <w:p w14:paraId="5B22FCAE" w14:textId="77777777" w:rsidR="00FD3FC0" w:rsidRPr="00223CBF" w:rsidRDefault="00FD3FC0" w:rsidP="00FD3FC0">
      <w:pPr>
        <w:spacing w:after="0" w:line="360" w:lineRule="auto"/>
        <w:jc w:val="both"/>
        <w:rPr>
          <w:rFonts w:ascii="Cambria" w:hAnsi="Cambria" w:cstheme="minorHAnsi"/>
          <w:sz w:val="20"/>
          <w:szCs w:val="20"/>
        </w:rPr>
      </w:pPr>
    </w:p>
    <w:p w14:paraId="662C1AF3" w14:textId="77777777" w:rsidR="000607E0" w:rsidRDefault="00331FB6" w:rsidP="000607E0">
      <w:pPr>
        <w:shd w:val="clear" w:color="auto" w:fill="FFC000"/>
        <w:spacing w:after="160" w:line="360" w:lineRule="auto"/>
        <w:jc w:val="both"/>
        <w:rPr>
          <w:rFonts w:ascii="Cambria" w:hAnsi="Cambria"/>
          <w:sz w:val="20"/>
          <w:szCs w:val="20"/>
        </w:rPr>
      </w:pPr>
      <w:r w:rsidRPr="00FD3FC0">
        <w:rPr>
          <w:rFonts w:ascii="Cambria" w:hAnsi="Cambria"/>
          <w:sz w:val="20"/>
          <w:szCs w:val="20"/>
        </w:rPr>
        <w:t xml:space="preserve">Conflicting feedback of KPIs present the dilemma of states and businesses, where on the on the one hand KPIs believe that incorporating human rights into business practices are not only necessary but also timely, given the global economic and health crisis effectively pushing companies to adopt survival mechanisms and </w:t>
      </w:r>
      <w:r w:rsidRPr="00FD3FC0">
        <w:rPr>
          <w:rFonts w:ascii="Cambria" w:hAnsi="Cambria"/>
          <w:sz w:val="20"/>
          <w:szCs w:val="20"/>
        </w:rPr>
        <w:lastRenderedPageBreak/>
        <w:t xml:space="preserve">lowering human rights standards to stay afloat and, on the other hand unprecedented tests afflicting businesses, bankruptcy and loss of employment for thousands of workers locally and globally, </w:t>
      </w:r>
      <w:r w:rsidR="008315F1" w:rsidRPr="00FD3FC0">
        <w:rPr>
          <w:rFonts w:ascii="Cambria" w:hAnsi="Cambria"/>
          <w:sz w:val="20"/>
          <w:szCs w:val="20"/>
        </w:rPr>
        <w:t xml:space="preserve">under which </w:t>
      </w:r>
      <w:r w:rsidRPr="00FD3FC0">
        <w:rPr>
          <w:rFonts w:ascii="Cambria" w:hAnsi="Cambria"/>
          <w:sz w:val="20"/>
          <w:szCs w:val="20"/>
        </w:rPr>
        <w:t>businesses may not prioriti</w:t>
      </w:r>
      <w:r w:rsidR="00FD3FC0">
        <w:rPr>
          <w:rFonts w:ascii="Cambria" w:hAnsi="Cambria"/>
          <w:sz w:val="20"/>
          <w:szCs w:val="20"/>
        </w:rPr>
        <w:t>s</w:t>
      </w:r>
      <w:r w:rsidRPr="00FD3FC0">
        <w:rPr>
          <w:rFonts w:ascii="Cambria" w:hAnsi="Cambria"/>
          <w:sz w:val="20"/>
          <w:szCs w:val="20"/>
        </w:rPr>
        <w:t xml:space="preserve">e their human rights obligations. </w:t>
      </w:r>
    </w:p>
    <w:p w14:paraId="7B9BBAE1" w14:textId="1CBBA816" w:rsidR="00331FB6" w:rsidRPr="00FD3FC0" w:rsidRDefault="00331FB6" w:rsidP="00FD3FC0">
      <w:pPr>
        <w:spacing w:after="160" w:line="360" w:lineRule="auto"/>
        <w:jc w:val="both"/>
        <w:rPr>
          <w:rFonts w:ascii="Cambria" w:hAnsi="Cambria"/>
          <w:color w:val="000000" w:themeColor="text1"/>
          <w:sz w:val="20"/>
          <w:szCs w:val="20"/>
        </w:rPr>
      </w:pPr>
      <w:r w:rsidRPr="00FD3FC0">
        <w:rPr>
          <w:rFonts w:ascii="Cambria" w:hAnsi="Cambria"/>
          <w:sz w:val="20"/>
          <w:szCs w:val="20"/>
        </w:rPr>
        <w:t>Consultations with multiple stakeholders to strategically identify entry points is relevant in order to ensure a sector wide buy in for the UNGPs. However, majority of KP</w:t>
      </w:r>
      <w:r w:rsidR="00FD3FC0">
        <w:rPr>
          <w:rFonts w:ascii="Cambria" w:hAnsi="Cambria"/>
          <w:sz w:val="20"/>
          <w:szCs w:val="20"/>
        </w:rPr>
        <w:t>I</w:t>
      </w:r>
      <w:r w:rsidRPr="00FD3FC0">
        <w:rPr>
          <w:rFonts w:ascii="Cambria" w:hAnsi="Cambria"/>
          <w:sz w:val="20"/>
          <w:szCs w:val="20"/>
        </w:rPr>
        <w:t xml:space="preserve">s demonstrate the importance of highlighting BHR particularly in today’s context, which could otherwise prove devastating. </w:t>
      </w:r>
    </w:p>
    <w:p w14:paraId="205D48AB" w14:textId="6B67637C" w:rsidR="00331FB6" w:rsidRDefault="00331FB6" w:rsidP="00FD3FC0">
      <w:pPr>
        <w:spacing w:after="160" w:line="360" w:lineRule="auto"/>
        <w:jc w:val="both"/>
        <w:rPr>
          <w:rFonts w:ascii="Cambria" w:hAnsi="Cambria" w:cs="Arial"/>
          <w:color w:val="0A0A0A"/>
          <w:spacing w:val="4"/>
          <w:sz w:val="20"/>
          <w:szCs w:val="20"/>
          <w:shd w:val="clear" w:color="auto" w:fill="FEFEFE"/>
        </w:rPr>
      </w:pPr>
      <w:r w:rsidRPr="00FD3FC0">
        <w:rPr>
          <w:rFonts w:ascii="Cambria" w:hAnsi="Cambria"/>
          <w:sz w:val="20"/>
          <w:szCs w:val="20"/>
        </w:rPr>
        <w:t>A study conducted in 2012</w:t>
      </w:r>
      <w:r w:rsidR="00FD3FC0">
        <w:rPr>
          <w:rFonts w:ascii="Cambria" w:hAnsi="Cambria"/>
          <w:sz w:val="20"/>
          <w:szCs w:val="20"/>
        </w:rPr>
        <w:t xml:space="preserve"> in Sri Lanka</w:t>
      </w:r>
      <w:r w:rsidRPr="00223CBF">
        <w:rPr>
          <w:rStyle w:val="FootnoteReference"/>
          <w:rFonts w:ascii="Cambria" w:hAnsi="Cambria"/>
          <w:sz w:val="20"/>
          <w:szCs w:val="20"/>
        </w:rPr>
        <w:footnoteReference w:id="70"/>
      </w:r>
      <w:r w:rsidRPr="00FD3FC0">
        <w:rPr>
          <w:rFonts w:ascii="Cambria" w:hAnsi="Cambria"/>
          <w:sz w:val="20"/>
          <w:szCs w:val="20"/>
        </w:rPr>
        <w:t xml:space="preserve"> demonstrated that whilst one third of the companies selected was taking steps to integrate human rights into their business operations, two thirds were not taking any steps at all.  The study may be a starting point to assess the status quo and take stock of existing mechanisms in the country. Moreover, </w:t>
      </w:r>
      <w:r w:rsidRPr="00FD3FC0">
        <w:rPr>
          <w:rFonts w:ascii="Cambria" w:hAnsi="Cambria" w:cs="Arial"/>
          <w:color w:val="0A0A0A"/>
          <w:spacing w:val="4"/>
          <w:sz w:val="20"/>
          <w:szCs w:val="20"/>
          <w:shd w:val="clear" w:color="auto" w:fill="FEFEFE"/>
        </w:rPr>
        <w:t>the C19 Rapid Self-Assessment</w:t>
      </w:r>
      <w:r w:rsidRPr="00223CBF">
        <w:rPr>
          <w:rStyle w:val="FootnoteReference"/>
          <w:rFonts w:ascii="Cambria" w:hAnsi="Cambria" w:cs="Arial"/>
          <w:color w:val="0A0A0A"/>
          <w:spacing w:val="4"/>
          <w:sz w:val="20"/>
          <w:szCs w:val="20"/>
          <w:shd w:val="clear" w:color="auto" w:fill="FEFEFE"/>
        </w:rPr>
        <w:footnoteReference w:id="71"/>
      </w:r>
      <w:r w:rsidRPr="00FD3FC0">
        <w:rPr>
          <w:rFonts w:ascii="Cambria" w:hAnsi="Cambria" w:cs="Arial"/>
          <w:color w:val="0A0A0A"/>
          <w:spacing w:val="4"/>
          <w:sz w:val="20"/>
          <w:szCs w:val="20"/>
          <w:shd w:val="clear" w:color="auto" w:fill="FEFEFE"/>
        </w:rPr>
        <w:t xml:space="preserve"> designed by UNDP, may also be an opening for advocacy to help businesses consider and manage the human rights impact</w:t>
      </w:r>
      <w:r w:rsidR="00601246">
        <w:rPr>
          <w:rFonts w:ascii="Cambria" w:hAnsi="Cambria" w:cs="Arial"/>
          <w:color w:val="0A0A0A"/>
          <w:spacing w:val="4"/>
          <w:sz w:val="20"/>
          <w:szCs w:val="20"/>
          <w:shd w:val="clear" w:color="auto" w:fill="FEFEFE"/>
        </w:rPr>
        <w:t>s</w:t>
      </w:r>
      <w:r w:rsidRPr="00FD3FC0">
        <w:rPr>
          <w:rFonts w:ascii="Cambria" w:hAnsi="Cambria" w:cs="Arial"/>
          <w:color w:val="0A0A0A"/>
          <w:spacing w:val="4"/>
          <w:sz w:val="20"/>
          <w:szCs w:val="20"/>
          <w:shd w:val="clear" w:color="auto" w:fill="FEFEFE"/>
        </w:rPr>
        <w:t xml:space="preserve"> of their operations. The Rapid assessment contains a non-exhaustive list of potential actions allow</w:t>
      </w:r>
      <w:r w:rsidR="008315F1" w:rsidRPr="00FD3FC0">
        <w:rPr>
          <w:rFonts w:ascii="Cambria" w:hAnsi="Cambria" w:cs="Arial"/>
          <w:color w:val="0A0A0A"/>
          <w:spacing w:val="4"/>
          <w:sz w:val="20"/>
          <w:szCs w:val="20"/>
          <w:shd w:val="clear" w:color="auto" w:fill="FEFEFE"/>
        </w:rPr>
        <w:t>ing</w:t>
      </w:r>
      <w:r w:rsidRPr="00FD3FC0">
        <w:rPr>
          <w:rFonts w:ascii="Cambria" w:hAnsi="Cambria" w:cs="Arial"/>
          <w:color w:val="0A0A0A"/>
          <w:spacing w:val="4"/>
          <w:sz w:val="20"/>
          <w:szCs w:val="20"/>
          <w:shd w:val="clear" w:color="auto" w:fill="FEFEFE"/>
        </w:rPr>
        <w:t xml:space="preserve"> for rapid but continuous reflection on the human rights risks and impacts common to many industries.</w:t>
      </w:r>
      <w:r w:rsidRPr="00223CBF">
        <w:rPr>
          <w:rStyle w:val="FootnoteReference"/>
          <w:rFonts w:ascii="Cambria" w:hAnsi="Cambria" w:cs="Arial"/>
          <w:color w:val="0A0A0A"/>
          <w:spacing w:val="4"/>
          <w:sz w:val="20"/>
          <w:szCs w:val="20"/>
          <w:shd w:val="clear" w:color="auto" w:fill="FEFEFE"/>
        </w:rPr>
        <w:footnoteReference w:id="72"/>
      </w:r>
    </w:p>
    <w:p w14:paraId="2739CFBB" w14:textId="77777777" w:rsidR="00601246" w:rsidRPr="00223CBF" w:rsidRDefault="00601246" w:rsidP="00601246">
      <w:pPr>
        <w:spacing w:line="360" w:lineRule="auto"/>
        <w:jc w:val="both"/>
        <w:rPr>
          <w:rFonts w:ascii="Cambria" w:hAnsi="Cambria" w:cs="Arial"/>
          <w:b/>
          <w:bCs/>
          <w:sz w:val="20"/>
          <w:szCs w:val="20"/>
        </w:rPr>
      </w:pPr>
      <w:r w:rsidRPr="00223CBF">
        <w:rPr>
          <w:rFonts w:ascii="Cambria" w:hAnsi="Cambria" w:cs="Arial"/>
          <w:b/>
          <w:bCs/>
          <w:sz w:val="20"/>
          <w:szCs w:val="20"/>
        </w:rPr>
        <w:t>EQ5. Sustainability and Ownership</w:t>
      </w:r>
    </w:p>
    <w:p w14:paraId="6FE30163" w14:textId="77777777" w:rsidR="00601246" w:rsidRPr="00223CBF" w:rsidRDefault="00601246" w:rsidP="00601246">
      <w:pPr>
        <w:shd w:val="clear" w:color="auto" w:fill="92D050"/>
        <w:spacing w:line="360" w:lineRule="auto"/>
        <w:jc w:val="both"/>
        <w:rPr>
          <w:rFonts w:ascii="Cambria" w:hAnsi="Cambria" w:cs="Arial"/>
          <w:sz w:val="20"/>
          <w:szCs w:val="20"/>
        </w:rPr>
      </w:pPr>
    </w:p>
    <w:p w14:paraId="72B9259A" w14:textId="77777777" w:rsidR="00601246" w:rsidRPr="00223CBF" w:rsidRDefault="00601246" w:rsidP="00601246">
      <w:pPr>
        <w:shd w:val="clear" w:color="auto" w:fill="92D050"/>
        <w:spacing w:line="360" w:lineRule="auto"/>
        <w:jc w:val="center"/>
        <w:rPr>
          <w:rFonts w:ascii="Cambria" w:hAnsi="Cambria" w:cs="Arial"/>
          <w:sz w:val="20"/>
          <w:szCs w:val="20"/>
        </w:rPr>
      </w:pPr>
      <w:r w:rsidRPr="00223CBF">
        <w:rPr>
          <w:rFonts w:ascii="Cambria" w:hAnsi="Cambria" w:cs="Arial"/>
          <w:sz w:val="20"/>
          <w:szCs w:val="20"/>
        </w:rPr>
        <w:t xml:space="preserve">Sustainability considers the extent to which the outcomes or the progress achieved is </w:t>
      </w:r>
      <w:r w:rsidRPr="00223CBF">
        <w:rPr>
          <w:rFonts w:ascii="Cambria" w:hAnsi="Cambria" w:cs="Arial"/>
          <w:b/>
          <w:bCs/>
          <w:sz w:val="20"/>
          <w:szCs w:val="20"/>
        </w:rPr>
        <w:t>likely to endure beyond the duration of the project</w:t>
      </w:r>
      <w:r w:rsidRPr="00223CBF">
        <w:rPr>
          <w:rFonts w:ascii="Cambria" w:hAnsi="Cambria" w:cs="Arial"/>
          <w:sz w:val="20"/>
          <w:szCs w:val="20"/>
        </w:rPr>
        <w:t xml:space="preserve">. It looks at whether the project design considered the </w:t>
      </w:r>
      <w:r w:rsidRPr="00223CBF">
        <w:rPr>
          <w:rFonts w:ascii="Cambria" w:hAnsi="Cambria" w:cs="Arial"/>
          <w:b/>
          <w:bCs/>
          <w:sz w:val="20"/>
          <w:szCs w:val="20"/>
        </w:rPr>
        <w:t>handing-over of responsibilities to government and non-government stakeholders</w:t>
      </w:r>
      <w:r w:rsidRPr="00223CBF">
        <w:rPr>
          <w:rFonts w:ascii="Cambria" w:hAnsi="Cambria" w:cs="Arial"/>
          <w:sz w:val="20"/>
          <w:szCs w:val="20"/>
        </w:rPr>
        <w:t xml:space="preserve"> and the capacity of national partners institutionalizing efforts through internal processes and budgeting for continuity and ownership. It also considers the </w:t>
      </w:r>
      <w:r w:rsidRPr="00223CBF">
        <w:rPr>
          <w:rFonts w:ascii="Cambria" w:hAnsi="Cambria" w:cs="Arial"/>
          <w:b/>
          <w:bCs/>
          <w:sz w:val="20"/>
          <w:szCs w:val="20"/>
        </w:rPr>
        <w:t>networks and partnerships built</w:t>
      </w:r>
      <w:r w:rsidRPr="00223CBF">
        <w:rPr>
          <w:rFonts w:ascii="Cambria" w:hAnsi="Cambria" w:cs="Arial"/>
          <w:sz w:val="20"/>
          <w:szCs w:val="20"/>
        </w:rPr>
        <w:t xml:space="preserve"> and strengthened and immediate and long-term risks that may impact on sustainability.</w:t>
      </w:r>
    </w:p>
    <w:p w14:paraId="78607372" w14:textId="77777777" w:rsidR="00601246" w:rsidRPr="00FD3FC0" w:rsidRDefault="00601246" w:rsidP="00FD3FC0">
      <w:pPr>
        <w:spacing w:after="160" w:line="360" w:lineRule="auto"/>
        <w:jc w:val="both"/>
        <w:rPr>
          <w:rFonts w:ascii="Cambria" w:hAnsi="Cambria"/>
          <w:color w:val="000000" w:themeColor="text1"/>
          <w:sz w:val="20"/>
          <w:szCs w:val="20"/>
        </w:rPr>
      </w:pPr>
    </w:p>
    <w:p w14:paraId="35B99692" w14:textId="1525B7EA" w:rsidR="00331FB6" w:rsidRPr="00601246" w:rsidRDefault="00331FB6" w:rsidP="00601246">
      <w:pPr>
        <w:spacing w:after="160" w:line="360" w:lineRule="auto"/>
        <w:jc w:val="both"/>
        <w:rPr>
          <w:rFonts w:ascii="Cambria" w:hAnsi="Cambria"/>
          <w:b/>
          <w:bCs/>
          <w:color w:val="000000" w:themeColor="text1"/>
          <w:sz w:val="20"/>
          <w:szCs w:val="20"/>
        </w:rPr>
      </w:pPr>
      <w:r w:rsidRPr="00601246">
        <w:rPr>
          <w:rFonts w:ascii="Cambria" w:hAnsi="Cambria" w:cs="Arial"/>
          <w:color w:val="0A0A0A"/>
          <w:spacing w:val="4"/>
          <w:sz w:val="20"/>
          <w:szCs w:val="20"/>
          <w:shd w:val="clear" w:color="auto" w:fill="FEFEFE"/>
        </w:rPr>
        <w:t xml:space="preserve">In order for any intervention to make a lasting impact which can be sustained beyond the scope of the Portfolio will have to build in mechanisms to promote ownership of the agenda by the state, businesses </w:t>
      </w:r>
      <w:r w:rsidRPr="00601246">
        <w:rPr>
          <w:rFonts w:ascii="Cambria" w:hAnsi="Cambria" w:cs="Arial"/>
          <w:color w:val="0A0A0A"/>
          <w:spacing w:val="4"/>
          <w:sz w:val="20"/>
          <w:szCs w:val="20"/>
          <w:shd w:val="clear" w:color="auto" w:fill="FEFEFE"/>
        </w:rPr>
        <w:lastRenderedPageBreak/>
        <w:t>and interested civils society groups. Whilst BHR in Sri Lanka is a long way from developing into N</w:t>
      </w:r>
      <w:r w:rsidR="00601246">
        <w:rPr>
          <w:rFonts w:ascii="Cambria" w:hAnsi="Cambria" w:cs="Arial"/>
          <w:color w:val="0A0A0A"/>
          <w:spacing w:val="4"/>
          <w:sz w:val="20"/>
          <w:szCs w:val="20"/>
          <w:shd w:val="clear" w:color="auto" w:fill="FEFEFE"/>
        </w:rPr>
        <w:t>ational Action Plans (N</w:t>
      </w:r>
      <w:r w:rsidRPr="00601246">
        <w:rPr>
          <w:rFonts w:ascii="Cambria" w:hAnsi="Cambria" w:cs="Arial"/>
          <w:color w:val="0A0A0A"/>
          <w:spacing w:val="4"/>
          <w:sz w:val="20"/>
          <w:szCs w:val="20"/>
          <w:shd w:val="clear" w:color="auto" w:fill="FEFEFE"/>
        </w:rPr>
        <w:t>APs</w:t>
      </w:r>
      <w:r w:rsidR="00601246">
        <w:rPr>
          <w:rFonts w:ascii="Cambria" w:hAnsi="Cambria" w:cs="Arial"/>
          <w:color w:val="0A0A0A"/>
          <w:spacing w:val="4"/>
          <w:sz w:val="20"/>
          <w:szCs w:val="20"/>
          <w:shd w:val="clear" w:color="auto" w:fill="FEFEFE"/>
        </w:rPr>
        <w:t>)</w:t>
      </w:r>
      <w:r w:rsidRPr="00601246">
        <w:rPr>
          <w:rFonts w:ascii="Cambria" w:hAnsi="Cambria" w:cs="Arial"/>
          <w:color w:val="0A0A0A"/>
          <w:spacing w:val="4"/>
          <w:sz w:val="20"/>
          <w:szCs w:val="20"/>
          <w:shd w:val="clear" w:color="auto" w:fill="FEFEFE"/>
        </w:rPr>
        <w:t xml:space="preserve"> or actions plans integrated into existing NHRAPs or NAPs designed and driven by CSOs</w:t>
      </w:r>
      <w:r w:rsidRPr="00223CBF">
        <w:rPr>
          <w:rStyle w:val="FootnoteReference"/>
          <w:rFonts w:ascii="Cambria" w:hAnsi="Cambria" w:cs="Arial"/>
          <w:color w:val="0A0A0A"/>
          <w:spacing w:val="4"/>
          <w:sz w:val="20"/>
          <w:szCs w:val="20"/>
          <w:shd w:val="clear" w:color="auto" w:fill="FEFEFE"/>
        </w:rPr>
        <w:footnoteReference w:id="73"/>
      </w:r>
      <w:r w:rsidRPr="00601246">
        <w:rPr>
          <w:rFonts w:ascii="Cambria" w:hAnsi="Cambria" w:cs="Arial"/>
          <w:color w:val="0A0A0A"/>
          <w:spacing w:val="4"/>
          <w:sz w:val="20"/>
          <w:szCs w:val="20"/>
          <w:shd w:val="clear" w:color="auto" w:fill="FEFEFE"/>
        </w:rPr>
        <w:t xml:space="preserve"> as it is the preferred modalities adopted in various countries, it is important to build sustainable platforms including multiple stakeholders to sustain and navigate the reforms agenda especially during this time. </w:t>
      </w:r>
    </w:p>
    <w:p w14:paraId="2BD23FB3" w14:textId="77777777" w:rsidR="00331FB6" w:rsidRPr="00322792" w:rsidRDefault="00331FB6" w:rsidP="00322792">
      <w:pPr>
        <w:spacing w:after="160" w:line="360" w:lineRule="auto"/>
        <w:jc w:val="both"/>
        <w:rPr>
          <w:rFonts w:ascii="Cambria" w:hAnsi="Cambria"/>
          <w:b/>
          <w:bCs/>
          <w:color w:val="000000" w:themeColor="text1"/>
          <w:sz w:val="20"/>
          <w:szCs w:val="20"/>
        </w:rPr>
      </w:pPr>
      <w:r w:rsidRPr="00322792">
        <w:rPr>
          <w:rFonts w:ascii="Cambria" w:hAnsi="Cambria" w:cs="Arial"/>
          <w:color w:val="0A0A0A"/>
          <w:spacing w:val="4"/>
          <w:sz w:val="20"/>
          <w:szCs w:val="20"/>
          <w:shd w:val="clear" w:color="auto" w:fill="FEFEFE"/>
        </w:rPr>
        <w:t xml:space="preserve">Sustainability of BHR also depend on larger issues of state protection of human rights, space and freedom for civil society engagement and state monitoring of civil society space, space for trade union engagement and freedom of association, incentives for businesses to integrate human rights, certification standards, incentives for businesses to attract foreign funding based on human rights due diligence standards, etc.  </w:t>
      </w:r>
    </w:p>
    <w:p w14:paraId="3BE275A4" w14:textId="77A03327" w:rsidR="00331FB6" w:rsidRPr="00223CBF" w:rsidRDefault="00331FB6" w:rsidP="000507CA">
      <w:pPr>
        <w:spacing w:line="360" w:lineRule="auto"/>
        <w:jc w:val="both"/>
        <w:rPr>
          <w:rFonts w:ascii="Cambria" w:hAnsi="Cambria"/>
          <w:color w:val="000000" w:themeColor="text1"/>
          <w:sz w:val="20"/>
          <w:szCs w:val="20"/>
        </w:rPr>
      </w:pPr>
    </w:p>
    <w:p w14:paraId="125E0DFF" w14:textId="66A8E88E" w:rsidR="0005007C" w:rsidRDefault="0005007C" w:rsidP="000507CA">
      <w:pPr>
        <w:spacing w:line="360" w:lineRule="auto"/>
        <w:jc w:val="both"/>
        <w:rPr>
          <w:rFonts w:ascii="Cambria" w:hAnsi="Cambria" w:cs="Arial"/>
          <w:b/>
          <w:bCs/>
          <w:color w:val="152234"/>
          <w:sz w:val="20"/>
          <w:szCs w:val="20"/>
        </w:rPr>
      </w:pPr>
    </w:p>
    <w:p w14:paraId="78EE7D0E" w14:textId="70406A62" w:rsidR="00322792" w:rsidRDefault="00322792" w:rsidP="000507CA">
      <w:pPr>
        <w:spacing w:line="360" w:lineRule="auto"/>
        <w:jc w:val="both"/>
        <w:rPr>
          <w:rFonts w:ascii="Cambria" w:hAnsi="Cambria" w:cs="Arial"/>
          <w:b/>
          <w:bCs/>
          <w:color w:val="152234"/>
          <w:sz w:val="20"/>
          <w:szCs w:val="20"/>
        </w:rPr>
      </w:pPr>
    </w:p>
    <w:p w14:paraId="723E2BCF" w14:textId="562387EE" w:rsidR="00322792" w:rsidRDefault="00322792" w:rsidP="000507CA">
      <w:pPr>
        <w:spacing w:line="360" w:lineRule="auto"/>
        <w:jc w:val="both"/>
        <w:rPr>
          <w:rFonts w:ascii="Cambria" w:hAnsi="Cambria" w:cs="Arial"/>
          <w:b/>
          <w:bCs/>
          <w:color w:val="152234"/>
          <w:sz w:val="20"/>
          <w:szCs w:val="20"/>
        </w:rPr>
      </w:pPr>
    </w:p>
    <w:p w14:paraId="2C22864F" w14:textId="43875E2A" w:rsidR="00322792" w:rsidRDefault="00322792" w:rsidP="000507CA">
      <w:pPr>
        <w:spacing w:line="360" w:lineRule="auto"/>
        <w:jc w:val="both"/>
        <w:rPr>
          <w:rFonts w:ascii="Cambria" w:hAnsi="Cambria" w:cs="Arial"/>
          <w:b/>
          <w:bCs/>
          <w:color w:val="152234"/>
          <w:sz w:val="20"/>
          <w:szCs w:val="20"/>
        </w:rPr>
      </w:pPr>
    </w:p>
    <w:p w14:paraId="3B344674" w14:textId="5F7F97C5" w:rsidR="00322792" w:rsidRDefault="00322792" w:rsidP="000507CA">
      <w:pPr>
        <w:spacing w:line="360" w:lineRule="auto"/>
        <w:jc w:val="both"/>
        <w:rPr>
          <w:rFonts w:ascii="Cambria" w:hAnsi="Cambria" w:cs="Arial"/>
          <w:b/>
          <w:bCs/>
          <w:color w:val="152234"/>
          <w:sz w:val="20"/>
          <w:szCs w:val="20"/>
        </w:rPr>
      </w:pPr>
    </w:p>
    <w:p w14:paraId="3CEE5348" w14:textId="1DFDCE85" w:rsidR="00322792" w:rsidRDefault="00322792" w:rsidP="000507CA">
      <w:pPr>
        <w:spacing w:line="360" w:lineRule="auto"/>
        <w:jc w:val="both"/>
        <w:rPr>
          <w:rFonts w:ascii="Cambria" w:hAnsi="Cambria" w:cs="Arial"/>
          <w:b/>
          <w:bCs/>
          <w:color w:val="152234"/>
          <w:sz w:val="20"/>
          <w:szCs w:val="20"/>
        </w:rPr>
      </w:pPr>
    </w:p>
    <w:p w14:paraId="2CE8843B" w14:textId="6F25A2F3" w:rsidR="00322792" w:rsidRDefault="00322792" w:rsidP="000507CA">
      <w:pPr>
        <w:spacing w:line="360" w:lineRule="auto"/>
        <w:jc w:val="both"/>
        <w:rPr>
          <w:rFonts w:ascii="Cambria" w:hAnsi="Cambria" w:cs="Arial"/>
          <w:b/>
          <w:bCs/>
          <w:color w:val="152234"/>
          <w:sz w:val="20"/>
          <w:szCs w:val="20"/>
        </w:rPr>
      </w:pPr>
    </w:p>
    <w:p w14:paraId="11E9241D" w14:textId="381B2C4D" w:rsidR="00322792" w:rsidRDefault="00322792" w:rsidP="000507CA">
      <w:pPr>
        <w:spacing w:line="360" w:lineRule="auto"/>
        <w:jc w:val="both"/>
        <w:rPr>
          <w:rFonts w:ascii="Cambria" w:hAnsi="Cambria" w:cs="Arial"/>
          <w:b/>
          <w:bCs/>
          <w:color w:val="152234"/>
          <w:sz w:val="20"/>
          <w:szCs w:val="20"/>
        </w:rPr>
      </w:pPr>
    </w:p>
    <w:p w14:paraId="057F4F8E" w14:textId="001BBC4D" w:rsidR="00322792" w:rsidRDefault="00322792" w:rsidP="000507CA">
      <w:pPr>
        <w:spacing w:line="360" w:lineRule="auto"/>
        <w:jc w:val="both"/>
        <w:rPr>
          <w:rFonts w:ascii="Cambria" w:hAnsi="Cambria" w:cs="Arial"/>
          <w:b/>
          <w:bCs/>
          <w:color w:val="152234"/>
          <w:sz w:val="20"/>
          <w:szCs w:val="20"/>
        </w:rPr>
      </w:pPr>
    </w:p>
    <w:p w14:paraId="431394EA" w14:textId="77777777" w:rsidR="00322792" w:rsidRDefault="00322792" w:rsidP="000507CA">
      <w:pPr>
        <w:spacing w:line="360" w:lineRule="auto"/>
        <w:jc w:val="both"/>
        <w:rPr>
          <w:rFonts w:ascii="Cambria" w:hAnsi="Cambria" w:cs="Arial"/>
          <w:b/>
          <w:bCs/>
          <w:color w:val="152234"/>
          <w:sz w:val="20"/>
          <w:szCs w:val="20"/>
        </w:rPr>
      </w:pPr>
    </w:p>
    <w:p w14:paraId="4078707C" w14:textId="678020E8" w:rsidR="00814D12" w:rsidRDefault="00814D12" w:rsidP="000507CA">
      <w:pPr>
        <w:spacing w:line="360" w:lineRule="auto"/>
        <w:jc w:val="both"/>
        <w:rPr>
          <w:rFonts w:ascii="Cambria" w:hAnsi="Cambria" w:cs="Arial"/>
          <w:b/>
          <w:bCs/>
          <w:color w:val="152234"/>
          <w:sz w:val="20"/>
          <w:szCs w:val="20"/>
        </w:rPr>
      </w:pPr>
    </w:p>
    <w:p w14:paraId="397B58A5" w14:textId="3325257F" w:rsidR="00814D12" w:rsidRDefault="00814D12" w:rsidP="000507CA">
      <w:pPr>
        <w:spacing w:line="360" w:lineRule="auto"/>
        <w:jc w:val="both"/>
        <w:rPr>
          <w:rFonts w:ascii="Cambria" w:hAnsi="Cambria" w:cs="Arial"/>
          <w:b/>
          <w:bCs/>
          <w:color w:val="152234"/>
          <w:sz w:val="20"/>
          <w:szCs w:val="20"/>
        </w:rPr>
      </w:pPr>
    </w:p>
    <w:p w14:paraId="331C3DC6" w14:textId="5D7A9717" w:rsidR="002918B6" w:rsidRDefault="002918B6" w:rsidP="000507CA">
      <w:pPr>
        <w:spacing w:line="360" w:lineRule="auto"/>
        <w:jc w:val="both"/>
        <w:rPr>
          <w:rFonts w:ascii="Cambria" w:hAnsi="Cambria" w:cs="Arial"/>
          <w:b/>
          <w:bCs/>
          <w:color w:val="152234"/>
          <w:sz w:val="20"/>
          <w:szCs w:val="20"/>
        </w:rPr>
      </w:pPr>
    </w:p>
    <w:p w14:paraId="4303361B" w14:textId="6D3F8119" w:rsidR="002918B6" w:rsidRDefault="002918B6" w:rsidP="000507CA">
      <w:pPr>
        <w:spacing w:line="360" w:lineRule="auto"/>
        <w:jc w:val="both"/>
        <w:rPr>
          <w:rFonts w:ascii="Cambria" w:hAnsi="Cambria" w:cs="Arial"/>
          <w:b/>
          <w:bCs/>
          <w:color w:val="152234"/>
          <w:sz w:val="20"/>
          <w:szCs w:val="20"/>
        </w:rPr>
      </w:pPr>
    </w:p>
    <w:p w14:paraId="38488D60" w14:textId="77777777" w:rsidR="002918B6" w:rsidRDefault="002918B6" w:rsidP="000507CA">
      <w:pPr>
        <w:spacing w:line="360" w:lineRule="auto"/>
        <w:jc w:val="both"/>
        <w:rPr>
          <w:rFonts w:ascii="Cambria" w:hAnsi="Cambria" w:cs="Arial"/>
          <w:b/>
          <w:bCs/>
          <w:color w:val="152234"/>
          <w:sz w:val="20"/>
          <w:szCs w:val="20"/>
        </w:rPr>
      </w:pPr>
    </w:p>
    <w:p w14:paraId="2087B6D4" w14:textId="117D990B" w:rsidR="00322792" w:rsidRDefault="00322792" w:rsidP="000507CA">
      <w:pPr>
        <w:spacing w:line="360" w:lineRule="auto"/>
        <w:jc w:val="both"/>
        <w:rPr>
          <w:rFonts w:ascii="Cambria" w:hAnsi="Cambria" w:cs="Arial"/>
          <w:b/>
          <w:bCs/>
          <w:color w:val="152234"/>
          <w:sz w:val="20"/>
          <w:szCs w:val="20"/>
        </w:rPr>
      </w:pPr>
    </w:p>
    <w:p w14:paraId="1A64ED0D" w14:textId="2CE6CC16" w:rsidR="00322792" w:rsidRDefault="00322792" w:rsidP="000507CA">
      <w:pPr>
        <w:spacing w:line="360" w:lineRule="auto"/>
        <w:jc w:val="both"/>
        <w:rPr>
          <w:rFonts w:ascii="Cambria" w:hAnsi="Cambria" w:cs="Arial"/>
          <w:b/>
          <w:bCs/>
          <w:color w:val="152234"/>
          <w:sz w:val="20"/>
          <w:szCs w:val="20"/>
        </w:rPr>
      </w:pPr>
    </w:p>
    <w:p w14:paraId="79C7F695" w14:textId="4512B6A4" w:rsidR="00331FB6" w:rsidRDefault="001316E3" w:rsidP="00081358">
      <w:pPr>
        <w:pStyle w:val="ListParagraph"/>
        <w:numPr>
          <w:ilvl w:val="0"/>
          <w:numId w:val="77"/>
        </w:numPr>
        <w:spacing w:line="360" w:lineRule="auto"/>
        <w:jc w:val="both"/>
        <w:rPr>
          <w:rFonts w:ascii="Cambria" w:hAnsi="Cambria" w:cs="Arial"/>
          <w:b/>
          <w:bCs/>
          <w:color w:val="152234"/>
          <w:sz w:val="32"/>
          <w:szCs w:val="32"/>
        </w:rPr>
      </w:pPr>
      <w:r w:rsidRPr="006B4BFE">
        <w:rPr>
          <w:rFonts w:ascii="Cambria" w:hAnsi="Cambria" w:cs="Arial"/>
          <w:b/>
          <w:bCs/>
          <w:color w:val="152234"/>
          <w:sz w:val="32"/>
          <w:szCs w:val="32"/>
        </w:rPr>
        <w:lastRenderedPageBreak/>
        <w:t xml:space="preserve">Management and Monitoring </w:t>
      </w:r>
    </w:p>
    <w:p w14:paraId="79F58DA9" w14:textId="77777777" w:rsidR="000607E0" w:rsidRPr="006B4BFE" w:rsidRDefault="000607E0" w:rsidP="000607E0">
      <w:pPr>
        <w:pStyle w:val="ListParagraph"/>
        <w:spacing w:line="360" w:lineRule="auto"/>
        <w:ind w:left="360"/>
        <w:jc w:val="both"/>
        <w:rPr>
          <w:rFonts w:ascii="Cambria" w:hAnsi="Cambria" w:cs="Arial"/>
          <w:b/>
          <w:bCs/>
          <w:color w:val="152234"/>
          <w:sz w:val="32"/>
          <w:szCs w:val="32"/>
        </w:rPr>
      </w:pPr>
    </w:p>
    <w:p w14:paraId="384A723A" w14:textId="5AE41276" w:rsidR="00892A5C" w:rsidRPr="00223CBF" w:rsidRDefault="00892A5C" w:rsidP="000507CA">
      <w:pPr>
        <w:spacing w:line="360" w:lineRule="auto"/>
        <w:jc w:val="both"/>
        <w:rPr>
          <w:rFonts w:ascii="Cambria" w:hAnsi="Cambria" w:cs="Arial"/>
          <w:b/>
          <w:bCs/>
          <w:color w:val="152234"/>
          <w:sz w:val="20"/>
          <w:szCs w:val="20"/>
        </w:rPr>
      </w:pPr>
      <w:r w:rsidRPr="00892A5C">
        <w:rPr>
          <w:rFonts w:ascii="Cambria" w:hAnsi="Cambria" w:cs="Arial"/>
          <w:b/>
          <w:bCs/>
          <w:noProof/>
          <w:color w:val="152234"/>
          <w:sz w:val="20"/>
          <w:szCs w:val="20"/>
        </w:rPr>
        <w:drawing>
          <wp:inline distT="0" distB="0" distL="0" distR="0" wp14:anchorId="6B069B4C" wp14:editId="194691EA">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43275"/>
                    </a:xfrm>
                    <a:prstGeom prst="rect">
                      <a:avLst/>
                    </a:prstGeom>
                  </pic:spPr>
                </pic:pic>
              </a:graphicData>
            </a:graphic>
          </wp:inline>
        </w:drawing>
      </w:r>
    </w:p>
    <w:p w14:paraId="7F3EC614" w14:textId="77777777" w:rsidR="006B4BFE" w:rsidRPr="00223CBF" w:rsidRDefault="006B4BFE" w:rsidP="006B4BFE">
      <w:pPr>
        <w:spacing w:line="360" w:lineRule="auto"/>
        <w:jc w:val="both"/>
        <w:rPr>
          <w:rFonts w:ascii="Cambria" w:eastAsia="Times New Roman" w:hAnsi="Cambria" w:cs="Arial"/>
          <w:color w:val="222222"/>
          <w:sz w:val="20"/>
          <w:szCs w:val="20"/>
        </w:rPr>
      </w:pPr>
      <w:r w:rsidRPr="00223CBF">
        <w:rPr>
          <w:rFonts w:ascii="Cambria" w:eastAsia="Times New Roman" w:hAnsi="Cambria" w:cs="Arial"/>
          <w:color w:val="222222"/>
          <w:sz w:val="20"/>
          <w:szCs w:val="20"/>
        </w:rPr>
        <w:t xml:space="preserve">The Portfolio design was an innovative model developed by </w:t>
      </w:r>
      <w:r>
        <w:rPr>
          <w:rFonts w:ascii="Cambria" w:eastAsia="Times New Roman" w:hAnsi="Cambria" w:cs="Arial"/>
          <w:color w:val="222222"/>
          <w:sz w:val="20"/>
          <w:szCs w:val="20"/>
        </w:rPr>
        <w:t xml:space="preserve">the </w:t>
      </w:r>
      <w:r w:rsidRPr="00223CBF">
        <w:rPr>
          <w:rFonts w:ascii="Cambria" w:eastAsia="Times New Roman" w:hAnsi="Cambria" w:cs="Arial"/>
          <w:color w:val="222222"/>
          <w:sz w:val="20"/>
          <w:szCs w:val="20"/>
        </w:rPr>
        <w:t xml:space="preserve">UNDP to link governance, development and peacebuilding efforts as underpinning sustainable development. Apart from its ideological coherence and logic by integrating projects that contribute to shared results, the Portfolio model also intended to generate several benefits for ease of programming, planning, managing, reporting, resource </w:t>
      </w:r>
      <w:r>
        <w:rPr>
          <w:rFonts w:ascii="Cambria" w:eastAsia="Times New Roman" w:hAnsi="Cambria" w:cs="Arial"/>
          <w:color w:val="222222"/>
          <w:sz w:val="20"/>
          <w:szCs w:val="20"/>
        </w:rPr>
        <w:t xml:space="preserve">mobilization </w:t>
      </w:r>
      <w:r w:rsidRPr="00223CBF">
        <w:rPr>
          <w:rFonts w:ascii="Cambria" w:eastAsia="Times New Roman" w:hAnsi="Cambria" w:cs="Arial"/>
          <w:color w:val="222222"/>
          <w:sz w:val="20"/>
          <w:szCs w:val="20"/>
        </w:rPr>
        <w:t xml:space="preserve">and monitoring. </w:t>
      </w:r>
    </w:p>
    <w:p w14:paraId="2641DEEF" w14:textId="29E6D8AC" w:rsidR="006B4BFE" w:rsidRPr="00223CBF" w:rsidRDefault="006B4BFE" w:rsidP="006B4BFE">
      <w:pPr>
        <w:spacing w:line="360" w:lineRule="auto"/>
        <w:jc w:val="both"/>
        <w:rPr>
          <w:rFonts w:ascii="Cambria" w:eastAsia="Times New Roman" w:hAnsi="Cambria" w:cs="Arial"/>
          <w:color w:val="222222"/>
          <w:sz w:val="20"/>
          <w:szCs w:val="20"/>
        </w:rPr>
      </w:pPr>
      <w:r w:rsidRPr="00223CBF">
        <w:rPr>
          <w:rFonts w:ascii="Cambria" w:eastAsia="Times New Roman" w:hAnsi="Cambria" w:cs="Arial"/>
          <w:color w:val="222222"/>
          <w:sz w:val="20"/>
          <w:szCs w:val="20"/>
        </w:rPr>
        <w:t>The Portfolio is directly implemented by the UNDP</w:t>
      </w:r>
      <w:r w:rsidR="00431E5B">
        <w:rPr>
          <w:rFonts w:ascii="Cambria" w:eastAsia="Times New Roman" w:hAnsi="Cambria" w:cs="Arial"/>
          <w:color w:val="222222"/>
          <w:sz w:val="20"/>
          <w:szCs w:val="20"/>
        </w:rPr>
        <w:t>,</w:t>
      </w:r>
      <w:r w:rsidRPr="00223CBF">
        <w:rPr>
          <w:rFonts w:ascii="Cambria" w:eastAsia="Times New Roman" w:hAnsi="Cambria" w:cs="Arial"/>
          <w:color w:val="222222"/>
          <w:sz w:val="20"/>
          <w:szCs w:val="20"/>
        </w:rPr>
        <w:t xml:space="preserve"> as part of its overall Country Programme and therefore assumes overall management responsibility, accountability for programme implementation. According to UNDP procedures using open and competitive processes, partners from the state, civil society, academic, etc. are selected as implementing partners for activities identified.  Where necessary UNDP project managers and technical specialists, either based at the Country Office or based part time at identified national institutions provide technical knowledge to facilitate and coordinate activities. The Portfolio is managed by a Portfolio manager and strategic direction is provided by the UNDP’s Senior Management and Policy and Design Specialist (Governance and Reconciliation). </w:t>
      </w:r>
    </w:p>
    <w:p w14:paraId="48123F6E" w14:textId="77777777" w:rsidR="006B4BFE" w:rsidRPr="00223CBF" w:rsidRDefault="006B4BFE" w:rsidP="006B4BFE">
      <w:pPr>
        <w:spacing w:line="360" w:lineRule="auto"/>
        <w:jc w:val="both"/>
        <w:rPr>
          <w:rFonts w:ascii="Cambria" w:eastAsia="Times New Roman" w:hAnsi="Cambria" w:cs="Arial"/>
          <w:color w:val="222222"/>
          <w:sz w:val="20"/>
          <w:szCs w:val="20"/>
        </w:rPr>
      </w:pPr>
      <w:r w:rsidRPr="00223CBF">
        <w:rPr>
          <w:rFonts w:ascii="Cambria" w:eastAsia="Times New Roman" w:hAnsi="Cambria" w:cs="Arial"/>
          <w:color w:val="222222"/>
          <w:sz w:val="20"/>
          <w:szCs w:val="20"/>
        </w:rPr>
        <w:t xml:space="preserve">Feedback from technical specialists expressed the efficiency of the model as it maximises human resource management by reducing time and transaction costs in managing, budgeting, procuring, reporting and implementing projects. The model also envisages a convergence in expertise, experience and resourcing within </w:t>
      </w:r>
      <w:r w:rsidRPr="00223CBF">
        <w:rPr>
          <w:rFonts w:ascii="Cambria" w:eastAsia="Times New Roman" w:hAnsi="Cambria" w:cs="Arial"/>
          <w:color w:val="222222"/>
          <w:sz w:val="20"/>
          <w:szCs w:val="20"/>
        </w:rPr>
        <w:lastRenderedPageBreak/>
        <w:t xml:space="preserve">and between the three pillars for effective and efficient execution of Outputs/Outcomes and thereby improving long term impact and sustainability. </w:t>
      </w:r>
    </w:p>
    <w:p w14:paraId="7F18392C" w14:textId="77777777" w:rsidR="006B4BFE" w:rsidRPr="00223CBF" w:rsidRDefault="006B4BFE" w:rsidP="006B4BFE">
      <w:pPr>
        <w:spacing w:line="360" w:lineRule="auto"/>
        <w:jc w:val="both"/>
        <w:rPr>
          <w:rFonts w:ascii="Cambria" w:eastAsia="Times New Roman" w:hAnsi="Cambria" w:cs="Arial"/>
          <w:color w:val="222222"/>
          <w:sz w:val="20"/>
          <w:szCs w:val="20"/>
        </w:rPr>
      </w:pPr>
      <w:r w:rsidRPr="00223CBF">
        <w:rPr>
          <w:rFonts w:ascii="Cambria" w:eastAsia="Times New Roman" w:hAnsi="Cambria" w:cs="Arial"/>
          <w:color w:val="222222"/>
          <w:sz w:val="20"/>
          <w:szCs w:val="20"/>
        </w:rPr>
        <w:t xml:space="preserve">The Portfolio design also provides several benefits to implementing partners. IPs identify UNDP as one donor for a multiplicity of projects aimed at strengthening weak governance structures and disconnected communities in the aftermath of a prolonged conflict, to progressively achieve the goals under the 2030 Sustainable development Agenda and more specifically, SDG 16. </w:t>
      </w:r>
    </w:p>
    <w:p w14:paraId="5F56417F" w14:textId="77777777" w:rsidR="006B4BFE" w:rsidRPr="00223CBF" w:rsidRDefault="006B4BFE" w:rsidP="006B4BFE">
      <w:pPr>
        <w:spacing w:line="360" w:lineRule="auto"/>
        <w:jc w:val="both"/>
        <w:rPr>
          <w:rFonts w:ascii="Cambria" w:eastAsia="Times New Roman" w:hAnsi="Cambria" w:cs="Arial"/>
          <w:color w:val="222222"/>
          <w:sz w:val="20"/>
          <w:szCs w:val="20"/>
        </w:rPr>
      </w:pPr>
      <w:r w:rsidRPr="00223CBF">
        <w:rPr>
          <w:rFonts w:ascii="Cambria" w:eastAsia="Times New Roman" w:hAnsi="Cambria" w:cs="Arial"/>
          <w:color w:val="222222"/>
          <w:sz w:val="20"/>
          <w:szCs w:val="20"/>
        </w:rPr>
        <w:t xml:space="preserve">Similarly, there is administrative ease not only for UNDP but also for IPs as the Portfolio is overseen by a Project Board co-chaired by the UNDP and External Resources Department (ERD) on behalf of the government, which meets every quarter.  </w:t>
      </w:r>
    </w:p>
    <w:p w14:paraId="0B1B905D" w14:textId="77777777" w:rsidR="006B4BFE" w:rsidRDefault="006B4BFE" w:rsidP="006B4BFE">
      <w:pPr>
        <w:spacing w:line="360" w:lineRule="auto"/>
        <w:jc w:val="both"/>
        <w:rPr>
          <w:rFonts w:ascii="Cambria" w:eastAsia="Times New Roman" w:hAnsi="Cambria" w:cs="Arial"/>
          <w:color w:val="222222"/>
          <w:sz w:val="20"/>
          <w:szCs w:val="20"/>
        </w:rPr>
      </w:pPr>
      <w:r w:rsidRPr="00223CBF">
        <w:rPr>
          <w:rFonts w:ascii="Cambria" w:eastAsia="Times New Roman" w:hAnsi="Cambria" w:cs="Arial"/>
          <w:color w:val="222222"/>
          <w:sz w:val="20"/>
          <w:szCs w:val="20"/>
        </w:rPr>
        <w:t>In general, Technical Specialists and KPIs recogni</w:t>
      </w:r>
      <w:r>
        <w:rPr>
          <w:rFonts w:ascii="Cambria" w:eastAsia="Times New Roman" w:hAnsi="Cambria" w:cs="Arial"/>
          <w:color w:val="222222"/>
          <w:sz w:val="20"/>
          <w:szCs w:val="20"/>
        </w:rPr>
        <w:t>s</w:t>
      </w:r>
      <w:r w:rsidRPr="00223CBF">
        <w:rPr>
          <w:rFonts w:ascii="Cambria" w:eastAsia="Times New Roman" w:hAnsi="Cambria" w:cs="Arial"/>
          <w:color w:val="222222"/>
          <w:sz w:val="20"/>
          <w:szCs w:val="20"/>
        </w:rPr>
        <w:t xml:space="preserve">ed the ideological as well as its pragmatic value of a Portfolio model. However, there were concerns with regard to several aspects. Firstly, although the Outcome/Outputs were designed to apply and appeal to one another in order to produce the overall goal of the Portfolio, in considering the realities of planning and implementation the individual Outcomes/Outputs functioned as separate ‘projects’ and for the most part worked as ‘silos’ disjoined and disconnected. The projects not only fell short of drawing linkages across the pillars but overall struggled to draw linkages within the individual outcome as well. This may be owing to diversity of activities, multiple implementing partners, the volume of activities undertaken during the short span of time and the macro factors such as political instability, national security issues and currently the pandemic that continue to present challenge after challenge from the inception of the Portfolio. </w:t>
      </w:r>
    </w:p>
    <w:p w14:paraId="3B7DF07D" w14:textId="77777777" w:rsidR="006B4BFE" w:rsidRPr="00223CBF" w:rsidRDefault="006B4BFE" w:rsidP="006B4BFE">
      <w:pPr>
        <w:spacing w:line="360" w:lineRule="auto"/>
        <w:jc w:val="both"/>
        <w:rPr>
          <w:rFonts w:ascii="Cambria" w:eastAsia="Times New Roman" w:hAnsi="Cambria" w:cs="Arial"/>
          <w:color w:val="222222"/>
          <w:sz w:val="20"/>
          <w:szCs w:val="20"/>
        </w:rPr>
      </w:pPr>
      <w:r w:rsidRPr="00223CBF">
        <w:rPr>
          <w:rFonts w:ascii="Cambria" w:eastAsia="Times New Roman" w:hAnsi="Cambria" w:cs="Arial"/>
          <w:color w:val="222222"/>
          <w:sz w:val="20"/>
          <w:szCs w:val="20"/>
        </w:rPr>
        <w:t>Secondly, although the Portfolio anticipated a robust process for the selection of implementing partners and identification of larger governance issues</w:t>
      </w:r>
      <w:r>
        <w:rPr>
          <w:rFonts w:ascii="Cambria" w:eastAsia="Times New Roman" w:hAnsi="Cambria" w:cs="Arial"/>
          <w:color w:val="222222"/>
          <w:sz w:val="20"/>
          <w:szCs w:val="20"/>
        </w:rPr>
        <w:t xml:space="preserve"> </w:t>
      </w:r>
      <w:r w:rsidRPr="00223CBF">
        <w:rPr>
          <w:rFonts w:ascii="Cambria" w:eastAsia="Times New Roman" w:hAnsi="Cambria" w:cs="Arial"/>
          <w:color w:val="222222"/>
          <w:sz w:val="20"/>
          <w:szCs w:val="20"/>
        </w:rPr>
        <w:t>due to the country context at the time, according to feedback from technical specialists</w:t>
      </w:r>
      <w:r>
        <w:rPr>
          <w:rFonts w:ascii="Cambria" w:eastAsia="Times New Roman" w:hAnsi="Cambria" w:cs="Arial"/>
          <w:color w:val="222222"/>
          <w:sz w:val="20"/>
          <w:szCs w:val="20"/>
        </w:rPr>
        <w:t>’,</w:t>
      </w:r>
      <w:r w:rsidRPr="00223CBF">
        <w:rPr>
          <w:rFonts w:ascii="Cambria" w:eastAsia="Times New Roman" w:hAnsi="Cambria" w:cs="Arial"/>
          <w:color w:val="222222"/>
          <w:sz w:val="20"/>
          <w:szCs w:val="20"/>
        </w:rPr>
        <w:t xml:space="preserve"> opted to prior</w:t>
      </w:r>
      <w:r>
        <w:rPr>
          <w:rFonts w:ascii="Cambria" w:eastAsia="Times New Roman" w:hAnsi="Cambria" w:cs="Arial"/>
          <w:color w:val="222222"/>
          <w:sz w:val="20"/>
          <w:szCs w:val="20"/>
        </w:rPr>
        <w:t>i</w:t>
      </w:r>
      <w:r w:rsidRPr="00223CBF">
        <w:rPr>
          <w:rFonts w:ascii="Cambria" w:eastAsia="Times New Roman" w:hAnsi="Cambria" w:cs="Arial"/>
          <w:color w:val="222222"/>
          <w:sz w:val="20"/>
          <w:szCs w:val="20"/>
        </w:rPr>
        <w:t xml:space="preserve">tise national requirement and governance issues requiring urgent attention that UNDP has already supported or initiated in previous projects. This prevented a wider </w:t>
      </w:r>
      <w:r>
        <w:rPr>
          <w:rFonts w:ascii="Cambria" w:eastAsia="Times New Roman" w:hAnsi="Cambria" w:cs="Arial"/>
          <w:color w:val="222222"/>
          <w:sz w:val="20"/>
          <w:szCs w:val="20"/>
        </w:rPr>
        <w:t>s</w:t>
      </w:r>
      <w:r w:rsidRPr="00223CBF">
        <w:rPr>
          <w:rFonts w:ascii="Cambria" w:eastAsia="Times New Roman" w:hAnsi="Cambria" w:cs="Arial"/>
          <w:color w:val="222222"/>
          <w:sz w:val="20"/>
          <w:szCs w:val="20"/>
        </w:rPr>
        <w:t>coping of country’s governance requirements and a scoping of implementing partners, especially non-government partners. However, such potential risks were mitigated by recogni</w:t>
      </w:r>
      <w:r>
        <w:rPr>
          <w:rFonts w:ascii="Cambria" w:eastAsia="Times New Roman" w:hAnsi="Cambria" w:cs="Arial"/>
          <w:color w:val="222222"/>
          <w:sz w:val="20"/>
          <w:szCs w:val="20"/>
        </w:rPr>
        <w:t>s</w:t>
      </w:r>
      <w:r w:rsidRPr="00223CBF">
        <w:rPr>
          <w:rFonts w:ascii="Cambria" w:eastAsia="Times New Roman" w:hAnsi="Cambria" w:cs="Arial"/>
          <w:color w:val="222222"/>
          <w:sz w:val="20"/>
          <w:szCs w:val="20"/>
        </w:rPr>
        <w:t xml:space="preserve">ing context relevant national priorities and governance deficits to maintain relevance of the activities implemented during the first phase of the project. </w:t>
      </w:r>
    </w:p>
    <w:p w14:paraId="697FC7CB" w14:textId="77777777" w:rsidR="006B4BFE" w:rsidRDefault="006B4BFE" w:rsidP="006B4BFE">
      <w:pPr>
        <w:spacing w:line="360" w:lineRule="auto"/>
        <w:jc w:val="both"/>
        <w:rPr>
          <w:rFonts w:ascii="Cambria" w:eastAsia="Times New Roman" w:hAnsi="Cambria" w:cs="Arial"/>
          <w:color w:val="222222"/>
          <w:sz w:val="20"/>
          <w:szCs w:val="20"/>
        </w:rPr>
      </w:pPr>
      <w:r w:rsidRPr="00223CBF">
        <w:rPr>
          <w:rFonts w:ascii="Cambria" w:eastAsia="Times New Roman" w:hAnsi="Cambria" w:cs="Arial"/>
          <w:color w:val="222222"/>
          <w:sz w:val="20"/>
          <w:szCs w:val="20"/>
        </w:rPr>
        <w:t xml:space="preserve">Thirdly, although the Project Board is required to provide overall guidance and direction, the Project Board was only able to meet twice during the last two years due to the country situation. Minutes of the Project Board indicates utility in terms of identification of relevant and timely issues, responses to barriers and challenges and approval of activities. It is difficult to assess the qualitative value of project boards in general given the time constraints of top-level officers especially from the government that serve in multiple forums. However, the Board is useful for building and consolidating partnerships as well as increasing ownership of interventions. </w:t>
      </w:r>
    </w:p>
    <w:p w14:paraId="6620B586" w14:textId="77777777" w:rsidR="006B4BFE" w:rsidRPr="00223CBF" w:rsidRDefault="006B4BFE" w:rsidP="006B4BFE">
      <w:pPr>
        <w:spacing w:line="360" w:lineRule="auto"/>
        <w:jc w:val="both"/>
        <w:rPr>
          <w:rFonts w:ascii="Cambria" w:eastAsia="Times New Roman" w:hAnsi="Cambria" w:cs="Arial"/>
          <w:color w:val="222222"/>
          <w:sz w:val="20"/>
          <w:szCs w:val="20"/>
        </w:rPr>
      </w:pPr>
      <w:r w:rsidRPr="00223CBF">
        <w:rPr>
          <w:rFonts w:ascii="Cambria" w:eastAsia="Times New Roman" w:hAnsi="Cambria" w:cs="Arial"/>
          <w:color w:val="222222"/>
          <w:sz w:val="20"/>
          <w:szCs w:val="20"/>
        </w:rPr>
        <w:lastRenderedPageBreak/>
        <w:t xml:space="preserve">The MTE shows that the method of data </w:t>
      </w:r>
      <w:r>
        <w:rPr>
          <w:rFonts w:ascii="Cambria" w:eastAsia="Times New Roman" w:hAnsi="Cambria" w:cs="Arial"/>
          <w:color w:val="222222"/>
          <w:sz w:val="20"/>
          <w:szCs w:val="20"/>
        </w:rPr>
        <w:t>consolidation for monitoring and evaluation (M&amp;E)</w:t>
      </w:r>
      <w:r w:rsidRPr="00223CBF">
        <w:rPr>
          <w:rFonts w:ascii="Cambria" w:eastAsia="Times New Roman" w:hAnsi="Cambria" w:cs="Arial"/>
          <w:color w:val="222222"/>
          <w:sz w:val="20"/>
          <w:szCs w:val="20"/>
        </w:rPr>
        <w:t xml:space="preserve"> and presentation of output and outcome related information in reporting deviates to a certain extent from the log frame and theory of change</w:t>
      </w:r>
      <w:r>
        <w:rPr>
          <w:rFonts w:ascii="Cambria" w:eastAsia="Times New Roman" w:hAnsi="Cambria" w:cs="Arial"/>
          <w:color w:val="222222"/>
          <w:sz w:val="20"/>
          <w:szCs w:val="20"/>
        </w:rPr>
        <w:t xml:space="preserve"> and needs to be better aligned</w:t>
      </w:r>
      <w:r w:rsidRPr="00223CBF">
        <w:rPr>
          <w:rFonts w:ascii="Cambria" w:eastAsia="Times New Roman" w:hAnsi="Cambria" w:cs="Arial"/>
          <w:color w:val="222222"/>
          <w:sz w:val="20"/>
          <w:szCs w:val="20"/>
        </w:rPr>
        <w:t xml:space="preserve">. Reporting structures need to </w:t>
      </w:r>
      <w:r>
        <w:rPr>
          <w:rFonts w:ascii="Cambria" w:eastAsia="Times New Roman" w:hAnsi="Cambria" w:cs="Arial"/>
          <w:color w:val="222222"/>
          <w:sz w:val="20"/>
          <w:szCs w:val="20"/>
        </w:rPr>
        <w:t xml:space="preserve">be enhanced to </w:t>
      </w:r>
      <w:r w:rsidRPr="00223CBF">
        <w:rPr>
          <w:rFonts w:ascii="Cambria" w:eastAsia="Times New Roman" w:hAnsi="Cambria" w:cs="Arial"/>
          <w:color w:val="222222"/>
          <w:sz w:val="20"/>
          <w:szCs w:val="20"/>
        </w:rPr>
        <w:t xml:space="preserve">present information consistent with the </w:t>
      </w:r>
      <w:r>
        <w:rPr>
          <w:rFonts w:ascii="Cambria" w:eastAsia="Times New Roman" w:hAnsi="Cambria" w:cs="Arial"/>
          <w:color w:val="222222"/>
          <w:sz w:val="20"/>
          <w:szCs w:val="20"/>
        </w:rPr>
        <w:t>results framework</w:t>
      </w:r>
      <w:r w:rsidRPr="00223CBF">
        <w:rPr>
          <w:rFonts w:ascii="Cambria" w:eastAsia="Times New Roman" w:hAnsi="Cambria" w:cs="Arial"/>
          <w:color w:val="222222"/>
          <w:sz w:val="20"/>
          <w:szCs w:val="20"/>
        </w:rPr>
        <w:t xml:space="preserve">. The use of quantitative and qualitative indicators requires a mix of data collection and reporting processes, which need to be built into the </w:t>
      </w:r>
      <w:r>
        <w:rPr>
          <w:rFonts w:ascii="Cambria" w:eastAsia="Times New Roman" w:hAnsi="Cambria" w:cs="Arial"/>
          <w:color w:val="222222"/>
          <w:sz w:val="20"/>
          <w:szCs w:val="20"/>
        </w:rPr>
        <w:t>M&amp;E p</w:t>
      </w:r>
      <w:r w:rsidRPr="00223CBF">
        <w:rPr>
          <w:rFonts w:ascii="Cambria" w:eastAsia="Times New Roman" w:hAnsi="Cambria" w:cs="Arial"/>
          <w:color w:val="222222"/>
          <w:sz w:val="20"/>
          <w:szCs w:val="20"/>
        </w:rPr>
        <w:t>rocess.   There is a need to develop templates and systems to help the programme team collect and collate information in a more systematic manner as well as to be able to report in line with the indicators that have been identified.</w:t>
      </w:r>
      <w:r>
        <w:rPr>
          <w:rStyle w:val="FootnoteReference"/>
          <w:rFonts w:ascii="Cambria" w:eastAsia="Times New Roman" w:hAnsi="Cambria" w:cs="Arial"/>
          <w:color w:val="222222"/>
          <w:sz w:val="20"/>
          <w:szCs w:val="20"/>
        </w:rPr>
        <w:footnoteReference w:id="74"/>
      </w:r>
    </w:p>
    <w:p w14:paraId="0FE0BC69" w14:textId="77777777" w:rsidR="006B4BFE" w:rsidRPr="00223CBF" w:rsidRDefault="006B4BFE" w:rsidP="006B4BFE">
      <w:pPr>
        <w:spacing w:line="360" w:lineRule="auto"/>
        <w:jc w:val="both"/>
        <w:rPr>
          <w:rFonts w:ascii="Cambria" w:eastAsia="Times New Roman" w:hAnsi="Cambria" w:cs="Arial"/>
          <w:color w:val="222222"/>
          <w:sz w:val="20"/>
          <w:szCs w:val="20"/>
        </w:rPr>
      </w:pPr>
      <w:r w:rsidRPr="00223CBF">
        <w:rPr>
          <w:rFonts w:ascii="Cambria" w:eastAsia="Times New Roman" w:hAnsi="Cambria" w:cs="Arial"/>
          <w:color w:val="222222"/>
          <w:sz w:val="20"/>
          <w:szCs w:val="20"/>
        </w:rPr>
        <w:t xml:space="preserve">When presenting outcome-oriented information, how </w:t>
      </w:r>
      <w:r>
        <w:rPr>
          <w:rFonts w:ascii="Cambria" w:eastAsia="Times New Roman" w:hAnsi="Cambria" w:cs="Arial"/>
          <w:color w:val="222222"/>
          <w:sz w:val="20"/>
          <w:szCs w:val="20"/>
        </w:rPr>
        <w:t xml:space="preserve">these are </w:t>
      </w:r>
      <w:r w:rsidRPr="00223CBF">
        <w:rPr>
          <w:rFonts w:ascii="Cambria" w:eastAsia="Times New Roman" w:hAnsi="Cambria" w:cs="Arial"/>
          <w:color w:val="222222"/>
          <w:sz w:val="20"/>
          <w:szCs w:val="20"/>
        </w:rPr>
        <w:t>attribut</w:t>
      </w:r>
      <w:r>
        <w:rPr>
          <w:rFonts w:ascii="Cambria" w:eastAsia="Times New Roman" w:hAnsi="Cambria" w:cs="Arial"/>
          <w:color w:val="222222"/>
          <w:sz w:val="20"/>
          <w:szCs w:val="20"/>
        </w:rPr>
        <w:t>ed</w:t>
      </w:r>
      <w:r w:rsidRPr="00223CBF">
        <w:rPr>
          <w:rFonts w:ascii="Cambria" w:eastAsia="Times New Roman" w:hAnsi="Cambria" w:cs="Arial"/>
          <w:color w:val="222222"/>
          <w:sz w:val="20"/>
          <w:szCs w:val="20"/>
        </w:rPr>
        <w:t xml:space="preserve"> to project activities needs to be thought through </w:t>
      </w:r>
      <w:r>
        <w:rPr>
          <w:rFonts w:ascii="Cambria" w:eastAsia="Times New Roman" w:hAnsi="Cambria" w:cs="Arial"/>
          <w:color w:val="222222"/>
          <w:sz w:val="20"/>
          <w:szCs w:val="20"/>
        </w:rPr>
        <w:t xml:space="preserve">and presented with greater clarity and demonstrate linkages </w:t>
      </w:r>
      <w:r w:rsidRPr="00223CBF">
        <w:rPr>
          <w:rFonts w:ascii="Cambria" w:eastAsia="Times New Roman" w:hAnsi="Cambria" w:cs="Arial"/>
          <w:color w:val="222222"/>
          <w:sz w:val="20"/>
          <w:szCs w:val="20"/>
        </w:rPr>
        <w:t xml:space="preserve">to outcomes </w:t>
      </w:r>
      <w:r>
        <w:rPr>
          <w:rFonts w:ascii="Cambria" w:eastAsia="Times New Roman" w:hAnsi="Cambria" w:cs="Arial"/>
          <w:color w:val="222222"/>
          <w:sz w:val="20"/>
          <w:szCs w:val="20"/>
        </w:rPr>
        <w:t xml:space="preserve">more effectively </w:t>
      </w:r>
      <w:r w:rsidRPr="00223CBF">
        <w:rPr>
          <w:rFonts w:ascii="Cambria" w:eastAsia="Times New Roman" w:hAnsi="Cambria" w:cs="Arial"/>
          <w:color w:val="222222"/>
          <w:sz w:val="20"/>
          <w:szCs w:val="20"/>
        </w:rPr>
        <w:t>so</w:t>
      </w:r>
      <w:r>
        <w:rPr>
          <w:rFonts w:ascii="Cambria" w:eastAsia="Times New Roman" w:hAnsi="Cambria" w:cs="Arial"/>
          <w:color w:val="222222"/>
          <w:sz w:val="20"/>
          <w:szCs w:val="20"/>
        </w:rPr>
        <w:t xml:space="preserve"> as not to</w:t>
      </w:r>
      <w:r w:rsidRPr="00223CBF">
        <w:rPr>
          <w:rFonts w:ascii="Cambria" w:eastAsia="Times New Roman" w:hAnsi="Cambria" w:cs="Arial"/>
          <w:color w:val="222222"/>
          <w:sz w:val="20"/>
          <w:szCs w:val="20"/>
        </w:rPr>
        <w:t xml:space="preserve"> ensure that </w:t>
      </w:r>
      <w:r>
        <w:rPr>
          <w:rFonts w:ascii="Cambria" w:eastAsia="Times New Roman" w:hAnsi="Cambria" w:cs="Arial"/>
          <w:color w:val="222222"/>
          <w:sz w:val="20"/>
          <w:szCs w:val="20"/>
        </w:rPr>
        <w:t xml:space="preserve">expected </w:t>
      </w:r>
      <w:r w:rsidRPr="00223CBF">
        <w:rPr>
          <w:rFonts w:ascii="Cambria" w:eastAsia="Times New Roman" w:hAnsi="Cambria" w:cs="Arial"/>
          <w:color w:val="222222"/>
          <w:sz w:val="20"/>
          <w:szCs w:val="20"/>
        </w:rPr>
        <w:t xml:space="preserve">outcomes are not far-removed from the intervention. This may mean that the outcomes need to be reflected upon at this point and adjusted if required to be able to reflect more </w:t>
      </w:r>
      <w:r>
        <w:rPr>
          <w:rFonts w:ascii="Cambria" w:eastAsia="Times New Roman" w:hAnsi="Cambria" w:cs="Arial"/>
          <w:color w:val="222222"/>
          <w:sz w:val="20"/>
          <w:szCs w:val="20"/>
        </w:rPr>
        <w:t>achievable</w:t>
      </w:r>
      <w:r w:rsidRPr="00223CBF">
        <w:rPr>
          <w:rFonts w:ascii="Cambria" w:eastAsia="Times New Roman" w:hAnsi="Cambria" w:cs="Arial"/>
          <w:color w:val="222222"/>
          <w:sz w:val="20"/>
          <w:szCs w:val="20"/>
        </w:rPr>
        <w:t xml:space="preserve"> impact chains.  </w:t>
      </w:r>
    </w:p>
    <w:p w14:paraId="3BA8BCBF" w14:textId="77777777" w:rsidR="006B4BFE" w:rsidRPr="00223CBF" w:rsidRDefault="006B4BFE" w:rsidP="006B4BFE">
      <w:pPr>
        <w:spacing w:line="360" w:lineRule="auto"/>
        <w:jc w:val="both"/>
        <w:rPr>
          <w:rFonts w:ascii="Cambria" w:eastAsia="Times New Roman" w:hAnsi="Cambria" w:cs="Arial"/>
          <w:color w:val="222222"/>
          <w:sz w:val="20"/>
          <w:szCs w:val="20"/>
        </w:rPr>
      </w:pPr>
      <w:r w:rsidRPr="00223CBF">
        <w:rPr>
          <w:rFonts w:ascii="Cambria" w:eastAsia="Times New Roman" w:hAnsi="Cambria" w:cs="Arial"/>
          <w:color w:val="222222"/>
          <w:sz w:val="20"/>
          <w:szCs w:val="20"/>
        </w:rPr>
        <w:t xml:space="preserve">The theory of change that has been developed at the conceptualisation process needs to be continuously reflected upon and used as part of the monitoring and evaluation process throughout the course of the intervention. At the mid-term </w:t>
      </w:r>
      <w:r>
        <w:rPr>
          <w:rFonts w:ascii="Cambria" w:eastAsia="Times New Roman" w:hAnsi="Cambria" w:cs="Arial"/>
          <w:color w:val="222222"/>
          <w:sz w:val="20"/>
          <w:szCs w:val="20"/>
        </w:rPr>
        <w:t xml:space="preserve">point of the Portfolio, it </w:t>
      </w:r>
      <w:r w:rsidRPr="00223CBF">
        <w:rPr>
          <w:rFonts w:ascii="Cambria" w:eastAsia="Times New Roman" w:hAnsi="Cambria" w:cs="Arial"/>
          <w:color w:val="222222"/>
          <w:sz w:val="20"/>
          <w:szCs w:val="20"/>
        </w:rPr>
        <w:t>would be a useful point to assess if the Theory of Change needs to be adjusted to be more in line with the ground realities and changing nature of the context.  </w:t>
      </w:r>
    </w:p>
    <w:p w14:paraId="535DB27E" w14:textId="7483EE75" w:rsidR="006B4BFE" w:rsidRPr="00223CBF" w:rsidRDefault="006B4BFE" w:rsidP="006B4BFE">
      <w:pPr>
        <w:spacing w:line="360" w:lineRule="auto"/>
        <w:jc w:val="both"/>
        <w:rPr>
          <w:rFonts w:ascii="Cambria" w:eastAsia="Times New Roman" w:hAnsi="Cambria" w:cs="Arial"/>
          <w:color w:val="222222"/>
          <w:sz w:val="20"/>
          <w:szCs w:val="20"/>
        </w:rPr>
      </w:pPr>
      <w:r w:rsidRPr="00223CBF">
        <w:rPr>
          <w:rFonts w:ascii="Cambria" w:eastAsia="Times New Roman" w:hAnsi="Cambria" w:cs="Arial"/>
          <w:color w:val="222222"/>
          <w:sz w:val="20"/>
          <w:szCs w:val="20"/>
        </w:rPr>
        <w:t xml:space="preserve">It is unclear how </w:t>
      </w:r>
      <w:r w:rsidR="00431E5B">
        <w:rPr>
          <w:rFonts w:ascii="Cambria" w:eastAsia="Times New Roman" w:hAnsi="Cambria" w:cs="Arial"/>
          <w:color w:val="222222"/>
          <w:sz w:val="20"/>
          <w:szCs w:val="20"/>
        </w:rPr>
        <w:t xml:space="preserve">the </w:t>
      </w:r>
      <w:r w:rsidRPr="00223CBF">
        <w:rPr>
          <w:rFonts w:ascii="Cambria" w:eastAsia="Times New Roman" w:hAnsi="Cambria" w:cs="Arial"/>
          <w:color w:val="222222"/>
          <w:sz w:val="20"/>
          <w:szCs w:val="20"/>
        </w:rPr>
        <w:t>partner reporting process function. Partner reports should feed into the UNDP reporting process as well as M&amp;E systems and continuous support to partners would help streamline what is needed and how to capture information in line with outputs and outcomes.  Developing simple easy to use templates can help partners present the narrative and capture output and outcome information in a consistent manner. Such templates should ideally be developed and relate to UNDP reporting structures as well to be easily integrated into the overall M&amp;E process as well as periodic reporting processes. </w:t>
      </w:r>
    </w:p>
    <w:p w14:paraId="2E912F16" w14:textId="77777777" w:rsidR="00E5486D" w:rsidRPr="00223CBF" w:rsidRDefault="00E5486D" w:rsidP="003D4825">
      <w:pPr>
        <w:spacing w:line="360" w:lineRule="auto"/>
        <w:jc w:val="both"/>
        <w:rPr>
          <w:rFonts w:ascii="Cambria" w:hAnsi="Cambria" w:cs="Calibri"/>
          <w:b/>
          <w:sz w:val="20"/>
          <w:szCs w:val="20"/>
          <w:lang w:val="en-GB"/>
        </w:rPr>
      </w:pPr>
    </w:p>
    <w:p w14:paraId="401CBD73" w14:textId="2E2CFBF0" w:rsidR="003D4825" w:rsidRPr="00EC3AF6" w:rsidRDefault="003D4825" w:rsidP="00081358">
      <w:pPr>
        <w:pStyle w:val="ListParagraph"/>
        <w:numPr>
          <w:ilvl w:val="1"/>
          <w:numId w:val="77"/>
        </w:numPr>
        <w:spacing w:line="360" w:lineRule="auto"/>
        <w:jc w:val="both"/>
        <w:rPr>
          <w:rFonts w:ascii="Cambria" w:hAnsi="Cambria" w:cs="Calibri"/>
          <w:b/>
          <w:sz w:val="28"/>
          <w:szCs w:val="28"/>
          <w:lang w:val="en-GB"/>
        </w:rPr>
      </w:pPr>
      <w:r w:rsidRPr="00EC3AF6">
        <w:rPr>
          <w:rFonts w:ascii="Cambria" w:hAnsi="Cambria" w:cs="Calibri"/>
          <w:b/>
          <w:sz w:val="28"/>
          <w:szCs w:val="28"/>
          <w:lang w:val="en-GB"/>
        </w:rPr>
        <w:t>Resource Mobilisation and Allocation</w:t>
      </w:r>
    </w:p>
    <w:p w14:paraId="66AFC95C" w14:textId="12C81C23" w:rsidR="0026378D" w:rsidRPr="00223CBF" w:rsidRDefault="003D4825" w:rsidP="003D4825">
      <w:pPr>
        <w:spacing w:line="360" w:lineRule="auto"/>
        <w:jc w:val="both"/>
        <w:rPr>
          <w:rFonts w:ascii="Cambria" w:hAnsi="Cambria" w:cs="Calibri"/>
          <w:bCs/>
          <w:sz w:val="20"/>
          <w:szCs w:val="20"/>
          <w:lang w:val="en-GB"/>
        </w:rPr>
      </w:pPr>
      <w:r w:rsidRPr="00223CBF">
        <w:rPr>
          <w:rFonts w:ascii="Cambria" w:hAnsi="Cambria" w:cs="Calibri"/>
          <w:bCs/>
          <w:sz w:val="20"/>
          <w:szCs w:val="20"/>
          <w:lang w:val="en-GB"/>
        </w:rPr>
        <w:t xml:space="preserve">A comparative strength of the Portfolio design was to move away from supply-based system of resource mobilisation to a demand-based system of resource mobilisation to maximise effectiveness and impact of the Outputs. The Portfolio created an overall framework for governance, development and peacebuilding for, which donor funding was to be elicited. </w:t>
      </w:r>
    </w:p>
    <w:p w14:paraId="00CCA9FD" w14:textId="3A2F6277" w:rsidR="0026378D" w:rsidRPr="00223CBF" w:rsidRDefault="0026378D" w:rsidP="0026378D">
      <w:pPr>
        <w:spacing w:line="360" w:lineRule="auto"/>
        <w:jc w:val="both"/>
        <w:rPr>
          <w:rFonts w:ascii="Cambria" w:hAnsi="Cambria" w:cs="Calibri"/>
          <w:bCs/>
          <w:sz w:val="20"/>
          <w:szCs w:val="20"/>
          <w:lang w:val="en-GB"/>
        </w:rPr>
      </w:pPr>
      <w:r w:rsidRPr="00223CBF">
        <w:rPr>
          <w:rFonts w:ascii="Cambria" w:hAnsi="Cambria" w:cstheme="minorHAnsi"/>
          <w:bCs/>
          <w:sz w:val="20"/>
          <w:szCs w:val="20"/>
          <w:lang w:val="en-GB"/>
        </w:rPr>
        <w:t xml:space="preserve">The Portfolio provides provision for flexibility in the allocation of resources within the Outcome. The Portfolio envisaging political, economic, social and other context specific risks introduced a ‘system of </w:t>
      </w:r>
      <w:r w:rsidRPr="00223CBF">
        <w:rPr>
          <w:rFonts w:ascii="Cambria" w:hAnsi="Cambria" w:cstheme="minorHAnsi"/>
          <w:sz w:val="20"/>
          <w:szCs w:val="20"/>
        </w:rPr>
        <w:t xml:space="preserve">fluidity to make </w:t>
      </w:r>
      <w:r w:rsidRPr="00223CBF">
        <w:rPr>
          <w:rFonts w:ascii="Cambria" w:hAnsi="Cambria" w:cstheme="minorHAnsi"/>
          <w:sz w:val="20"/>
          <w:szCs w:val="20"/>
        </w:rPr>
        <w:lastRenderedPageBreak/>
        <w:t>adjustments to activities, as required, to correspond to context changes</w:t>
      </w:r>
      <w:r w:rsidR="006B4BFE">
        <w:rPr>
          <w:rFonts w:ascii="Cambria" w:hAnsi="Cambria" w:cstheme="minorHAnsi"/>
          <w:sz w:val="20"/>
          <w:szCs w:val="20"/>
        </w:rPr>
        <w:t>.</w:t>
      </w:r>
      <w:r w:rsidRPr="00223CBF">
        <w:rPr>
          <w:rStyle w:val="FootnoteReference"/>
          <w:rFonts w:ascii="Cambria" w:hAnsi="Cambria" w:cstheme="minorHAnsi"/>
          <w:sz w:val="20"/>
          <w:szCs w:val="20"/>
        </w:rPr>
        <w:footnoteReference w:id="75"/>
      </w:r>
      <w:r w:rsidRPr="00223CBF">
        <w:rPr>
          <w:rFonts w:ascii="Cambria" w:hAnsi="Cambria" w:cstheme="minorHAnsi"/>
          <w:sz w:val="20"/>
          <w:szCs w:val="20"/>
        </w:rPr>
        <w:t xml:space="preserve"> This flexibility enabled the Outputs to address emerging needs appropriately and responsively within the Outcome. </w:t>
      </w:r>
    </w:p>
    <w:p w14:paraId="0CDF1E1B" w14:textId="04C81D31" w:rsidR="003D4825" w:rsidRPr="00223CBF" w:rsidRDefault="0026378D" w:rsidP="003D4825">
      <w:pPr>
        <w:spacing w:line="360" w:lineRule="auto"/>
        <w:jc w:val="both"/>
        <w:rPr>
          <w:rFonts w:ascii="Cambria" w:hAnsi="Cambria" w:cs="Calibri"/>
          <w:bCs/>
          <w:sz w:val="20"/>
          <w:szCs w:val="20"/>
          <w:lang w:val="en-GB"/>
        </w:rPr>
      </w:pPr>
      <w:r w:rsidRPr="00223CBF">
        <w:rPr>
          <w:rFonts w:ascii="Cambria" w:hAnsi="Cambria" w:cs="Calibri"/>
          <w:bCs/>
          <w:sz w:val="20"/>
          <w:szCs w:val="20"/>
          <w:lang w:val="en-GB"/>
        </w:rPr>
        <w:t xml:space="preserve">However, there were challenges in resource mobilisation and allocation. </w:t>
      </w:r>
      <w:r w:rsidR="003D4825" w:rsidRPr="00223CBF">
        <w:rPr>
          <w:rFonts w:ascii="Cambria" w:hAnsi="Cambria" w:cs="Calibri"/>
          <w:bCs/>
          <w:sz w:val="20"/>
          <w:szCs w:val="20"/>
          <w:lang w:val="en-GB"/>
        </w:rPr>
        <w:t xml:space="preserve">Although $ 27 million was the estimated budget for the four-year action plan, UNDP was only able to generate $17 million in the first two years, whilst $10 million are expected to be resourced by </w:t>
      </w:r>
      <w:r w:rsidR="005877A3">
        <w:rPr>
          <w:rFonts w:ascii="Cambria" w:hAnsi="Cambria" w:cs="Calibri"/>
          <w:bCs/>
          <w:sz w:val="20"/>
          <w:szCs w:val="20"/>
          <w:lang w:val="en-GB"/>
        </w:rPr>
        <w:t xml:space="preserve">end of </w:t>
      </w:r>
      <w:r w:rsidR="003D4825" w:rsidRPr="00223CBF">
        <w:rPr>
          <w:rFonts w:ascii="Cambria" w:hAnsi="Cambria" w:cs="Calibri"/>
          <w:bCs/>
          <w:sz w:val="20"/>
          <w:szCs w:val="20"/>
          <w:lang w:val="en-GB"/>
        </w:rPr>
        <w:t>2020. The Portfolio was initiated with seed f</w:t>
      </w:r>
      <w:r w:rsidR="00991A2D" w:rsidRPr="00223CBF">
        <w:rPr>
          <w:rFonts w:ascii="Cambria" w:hAnsi="Cambria" w:cs="Calibri"/>
          <w:bCs/>
          <w:sz w:val="20"/>
          <w:szCs w:val="20"/>
          <w:lang w:val="en-GB"/>
        </w:rPr>
        <w:t>u</w:t>
      </w:r>
      <w:r w:rsidR="003D4825" w:rsidRPr="00223CBF">
        <w:rPr>
          <w:rFonts w:ascii="Cambria" w:hAnsi="Cambria" w:cs="Calibri"/>
          <w:bCs/>
          <w:sz w:val="20"/>
          <w:szCs w:val="20"/>
          <w:lang w:val="en-GB"/>
        </w:rPr>
        <w:t xml:space="preserve">nding of $1.5 million </w:t>
      </w:r>
      <w:r w:rsidR="003D4825" w:rsidRPr="00595E8F">
        <w:rPr>
          <w:rFonts w:ascii="Cambria" w:hAnsi="Cambria" w:cs="Calibri"/>
          <w:bCs/>
          <w:sz w:val="20"/>
          <w:szCs w:val="20"/>
          <w:lang w:val="en-GB"/>
        </w:rPr>
        <w:t xml:space="preserve">from Norway, </w:t>
      </w:r>
      <w:r w:rsidR="005877A3" w:rsidRPr="00595E8F">
        <w:rPr>
          <w:rFonts w:ascii="Cambria" w:hAnsi="Cambria" w:cs="Calibri"/>
          <w:bCs/>
          <w:sz w:val="20"/>
          <w:szCs w:val="20"/>
          <w:lang w:val="en-GB"/>
        </w:rPr>
        <w:t xml:space="preserve">the </w:t>
      </w:r>
      <w:r w:rsidR="003D4825" w:rsidRPr="00595E8F">
        <w:rPr>
          <w:rFonts w:ascii="Cambria" w:hAnsi="Cambria" w:cs="Calibri"/>
          <w:bCs/>
          <w:sz w:val="20"/>
          <w:szCs w:val="20"/>
          <w:lang w:val="en-GB"/>
        </w:rPr>
        <w:t xml:space="preserve">main funder for the inception phase. Bulk of the monies are allocated to Pillar Three, whilst only approximately $2 million dollars were allocated for Pillars One and Two. A cursory assessment of available information show </w:t>
      </w:r>
      <w:r w:rsidR="00991A2D" w:rsidRPr="00595E8F">
        <w:rPr>
          <w:rFonts w:ascii="Cambria" w:hAnsi="Cambria" w:cs="Calibri"/>
          <w:bCs/>
          <w:sz w:val="20"/>
          <w:szCs w:val="20"/>
          <w:lang w:val="en-GB"/>
        </w:rPr>
        <w:t>an efficient use of funding for the inception period</w:t>
      </w:r>
      <w:r w:rsidR="00595E8F" w:rsidRPr="00595E8F">
        <w:rPr>
          <w:rFonts w:ascii="Cambria" w:hAnsi="Cambria" w:cs="Calibri"/>
          <w:bCs/>
          <w:sz w:val="20"/>
          <w:szCs w:val="20"/>
          <w:lang w:val="en-GB"/>
        </w:rPr>
        <w:t xml:space="preserve">, </w:t>
      </w:r>
      <w:r w:rsidR="00991A2D" w:rsidRPr="00595E8F">
        <w:rPr>
          <w:rFonts w:ascii="Cambria" w:hAnsi="Cambria" w:cs="Calibri"/>
          <w:bCs/>
          <w:sz w:val="20"/>
          <w:szCs w:val="20"/>
          <w:lang w:val="en-GB"/>
        </w:rPr>
        <w:t xml:space="preserve">being </w:t>
      </w:r>
      <w:r w:rsidR="003D4825" w:rsidRPr="00595E8F">
        <w:rPr>
          <w:rFonts w:ascii="Cambria" w:hAnsi="Cambria" w:cs="Calibri"/>
          <w:bCs/>
          <w:sz w:val="20"/>
          <w:szCs w:val="20"/>
          <w:lang w:val="en-GB"/>
        </w:rPr>
        <w:t>utilised under Pillar One and</w:t>
      </w:r>
      <w:r w:rsidR="00595E8F" w:rsidRPr="00595E8F">
        <w:rPr>
          <w:rFonts w:ascii="Cambria" w:hAnsi="Cambria" w:cs="Calibri"/>
          <w:bCs/>
          <w:sz w:val="20"/>
          <w:szCs w:val="20"/>
          <w:lang w:val="en-GB"/>
        </w:rPr>
        <w:t xml:space="preserve"> </w:t>
      </w:r>
      <w:r w:rsidR="003D4825" w:rsidRPr="00595E8F">
        <w:rPr>
          <w:rFonts w:ascii="Cambria" w:hAnsi="Cambria" w:cs="Calibri"/>
          <w:bCs/>
          <w:sz w:val="20"/>
          <w:szCs w:val="20"/>
          <w:lang w:val="en-GB"/>
        </w:rPr>
        <w:t xml:space="preserve"> Pillar Two. </w:t>
      </w:r>
      <w:r w:rsidR="00991A2D" w:rsidRPr="00595E8F">
        <w:rPr>
          <w:rFonts w:ascii="Cambria" w:hAnsi="Cambria" w:cs="Calibri"/>
          <w:bCs/>
          <w:sz w:val="20"/>
          <w:szCs w:val="20"/>
          <w:lang w:val="en-GB"/>
        </w:rPr>
        <w:t>Nevertheless, s</w:t>
      </w:r>
      <w:r w:rsidR="00EF747D" w:rsidRPr="00595E8F">
        <w:rPr>
          <w:rFonts w:ascii="Cambria" w:hAnsi="Cambria" w:cs="Calibri"/>
          <w:bCs/>
          <w:sz w:val="20"/>
          <w:szCs w:val="20"/>
          <w:lang w:val="en-GB"/>
        </w:rPr>
        <w:t xml:space="preserve">ince </w:t>
      </w:r>
      <w:r w:rsidRPr="00595E8F">
        <w:rPr>
          <w:rFonts w:ascii="Cambria" w:hAnsi="Cambria" w:cs="Calibri"/>
          <w:bCs/>
          <w:sz w:val="20"/>
          <w:szCs w:val="20"/>
          <w:lang w:val="en-GB"/>
        </w:rPr>
        <w:t>the seed funding for Pillars One and Two were only granted for the inceptio</w:t>
      </w:r>
      <w:r w:rsidRPr="00223CBF">
        <w:rPr>
          <w:rFonts w:ascii="Cambria" w:hAnsi="Cambria" w:cs="Calibri"/>
          <w:bCs/>
          <w:sz w:val="20"/>
          <w:szCs w:val="20"/>
          <w:lang w:val="en-GB"/>
        </w:rPr>
        <w:t xml:space="preserve">n phase, there was difficulty in allocating budgets for two years although the Portfolio multiyear plan was approved for four years. Since funding had to be sourced </w:t>
      </w:r>
      <w:r w:rsidR="00991A2D" w:rsidRPr="00223CBF">
        <w:rPr>
          <w:rFonts w:ascii="Cambria" w:hAnsi="Cambria" w:cs="Calibri"/>
          <w:bCs/>
          <w:sz w:val="20"/>
          <w:szCs w:val="20"/>
          <w:lang w:val="en-GB"/>
        </w:rPr>
        <w:t>progressively, posed</w:t>
      </w:r>
      <w:r w:rsidRPr="00223CBF">
        <w:rPr>
          <w:rFonts w:ascii="Cambria" w:hAnsi="Cambria" w:cs="Calibri"/>
          <w:bCs/>
          <w:sz w:val="20"/>
          <w:szCs w:val="20"/>
          <w:lang w:val="en-GB"/>
        </w:rPr>
        <w:t xml:space="preserve"> challenges to planning and design and commitment towards IPs</w:t>
      </w:r>
      <w:r w:rsidR="00991A2D" w:rsidRPr="00223CBF">
        <w:rPr>
          <w:rFonts w:ascii="Cambria" w:hAnsi="Cambria" w:cs="Calibri"/>
          <w:bCs/>
          <w:sz w:val="20"/>
          <w:szCs w:val="20"/>
          <w:lang w:val="en-GB"/>
        </w:rPr>
        <w:t xml:space="preserve"> for the duration of the Portfolio.</w:t>
      </w:r>
    </w:p>
    <w:p w14:paraId="0014110C" w14:textId="087D19C0" w:rsidR="0026378D" w:rsidRPr="00223CBF" w:rsidRDefault="0026378D" w:rsidP="003D4825">
      <w:pPr>
        <w:spacing w:line="360" w:lineRule="auto"/>
        <w:jc w:val="both"/>
        <w:rPr>
          <w:rFonts w:ascii="Cambria" w:hAnsi="Cambria" w:cs="Calibri"/>
          <w:bCs/>
          <w:sz w:val="20"/>
          <w:szCs w:val="20"/>
          <w:lang w:val="en-GB"/>
        </w:rPr>
      </w:pPr>
      <w:r w:rsidRPr="00223CBF">
        <w:rPr>
          <w:rFonts w:ascii="Cambria" w:eastAsia="Times New Roman" w:hAnsi="Cambria" w:cs="Arial"/>
          <w:color w:val="222222"/>
          <w:sz w:val="20"/>
          <w:szCs w:val="20"/>
        </w:rPr>
        <w:t xml:space="preserve">Procurement was done directly by UNDP for all IPs based on approved standard guidelines for </w:t>
      </w:r>
      <w:r w:rsidR="00991A2D" w:rsidRPr="00223CBF">
        <w:rPr>
          <w:rFonts w:ascii="Cambria" w:eastAsia="Times New Roman" w:hAnsi="Cambria" w:cs="Arial"/>
          <w:color w:val="222222"/>
          <w:sz w:val="20"/>
          <w:szCs w:val="20"/>
        </w:rPr>
        <w:t>procurement. UNDP procurement process is designed to ensure reliability and sustainability and procurement partners are already identified through a</w:t>
      </w:r>
      <w:r w:rsidR="005877A3">
        <w:rPr>
          <w:rFonts w:ascii="Cambria" w:eastAsia="Times New Roman" w:hAnsi="Cambria" w:cs="Arial"/>
          <w:color w:val="222222"/>
          <w:sz w:val="20"/>
          <w:szCs w:val="20"/>
        </w:rPr>
        <w:t>n</w:t>
      </w:r>
      <w:r w:rsidR="00991A2D" w:rsidRPr="00223CBF">
        <w:rPr>
          <w:rFonts w:ascii="Cambria" w:eastAsia="Times New Roman" w:hAnsi="Cambria" w:cs="Arial"/>
          <w:color w:val="222222"/>
          <w:sz w:val="20"/>
          <w:szCs w:val="20"/>
        </w:rPr>
        <w:t xml:space="preserve"> open and competitive process. Although there may be issues with regard to customi</w:t>
      </w:r>
      <w:r w:rsidR="005877A3">
        <w:rPr>
          <w:rFonts w:ascii="Cambria" w:eastAsia="Times New Roman" w:hAnsi="Cambria" w:cs="Arial"/>
          <w:color w:val="222222"/>
          <w:sz w:val="20"/>
          <w:szCs w:val="20"/>
        </w:rPr>
        <w:t>s</w:t>
      </w:r>
      <w:r w:rsidR="00991A2D" w:rsidRPr="00223CBF">
        <w:rPr>
          <w:rFonts w:ascii="Cambria" w:eastAsia="Times New Roman" w:hAnsi="Cambria" w:cs="Arial"/>
          <w:color w:val="222222"/>
          <w:sz w:val="20"/>
          <w:szCs w:val="20"/>
        </w:rPr>
        <w:t xml:space="preserve">ation required to meet specific standards and guidelines with relevant partners for relevant tasks, which may lead to delay and tension with IPs, the procurement process being directly operated </w:t>
      </w:r>
      <w:r w:rsidR="005877A3">
        <w:rPr>
          <w:rFonts w:ascii="Cambria" w:eastAsia="Times New Roman" w:hAnsi="Cambria" w:cs="Arial"/>
          <w:color w:val="222222"/>
          <w:sz w:val="20"/>
          <w:szCs w:val="20"/>
        </w:rPr>
        <w:t>b</w:t>
      </w:r>
      <w:r w:rsidR="00991A2D" w:rsidRPr="00223CBF">
        <w:rPr>
          <w:rFonts w:ascii="Cambria" w:eastAsia="Times New Roman" w:hAnsi="Cambria" w:cs="Arial"/>
          <w:color w:val="222222"/>
          <w:sz w:val="20"/>
          <w:szCs w:val="20"/>
        </w:rPr>
        <w:t xml:space="preserve">y </w:t>
      </w:r>
      <w:r w:rsidR="005877A3">
        <w:rPr>
          <w:rFonts w:ascii="Cambria" w:eastAsia="Times New Roman" w:hAnsi="Cambria" w:cs="Arial"/>
          <w:color w:val="222222"/>
          <w:sz w:val="20"/>
          <w:szCs w:val="20"/>
        </w:rPr>
        <w:t xml:space="preserve">the </w:t>
      </w:r>
      <w:r w:rsidR="00991A2D" w:rsidRPr="00223CBF">
        <w:rPr>
          <w:rFonts w:ascii="Cambria" w:eastAsia="Times New Roman" w:hAnsi="Cambria" w:cs="Arial"/>
          <w:color w:val="222222"/>
          <w:sz w:val="20"/>
          <w:szCs w:val="20"/>
        </w:rPr>
        <w:t>UNDP minimi</w:t>
      </w:r>
      <w:r w:rsidR="00C17CA3" w:rsidRPr="00223CBF">
        <w:rPr>
          <w:rFonts w:ascii="Cambria" w:eastAsia="Times New Roman" w:hAnsi="Cambria" w:cs="Arial"/>
          <w:color w:val="222222"/>
          <w:sz w:val="20"/>
          <w:szCs w:val="20"/>
        </w:rPr>
        <w:t>s</w:t>
      </w:r>
      <w:r w:rsidR="00991A2D" w:rsidRPr="00223CBF">
        <w:rPr>
          <w:rFonts w:ascii="Cambria" w:eastAsia="Times New Roman" w:hAnsi="Cambria" w:cs="Arial"/>
          <w:color w:val="222222"/>
          <w:sz w:val="20"/>
          <w:szCs w:val="20"/>
        </w:rPr>
        <w:t xml:space="preserve">es undue delays especially within state institutions and also to ensure quality assurance.   </w:t>
      </w:r>
    </w:p>
    <w:p w14:paraId="444D7D67" w14:textId="1C54AC19" w:rsidR="003D4825" w:rsidRDefault="003D4825" w:rsidP="003D4825">
      <w:pPr>
        <w:spacing w:line="360" w:lineRule="auto"/>
        <w:jc w:val="both"/>
        <w:rPr>
          <w:rFonts w:ascii="Cambria" w:hAnsi="Cambria" w:cs="Calibri"/>
          <w:bCs/>
          <w:sz w:val="20"/>
          <w:szCs w:val="20"/>
          <w:lang w:val="en-GB"/>
        </w:rPr>
      </w:pPr>
    </w:p>
    <w:p w14:paraId="38F7338D" w14:textId="77777777" w:rsidR="00ED6C35" w:rsidRPr="00223CBF" w:rsidRDefault="00ED6C35" w:rsidP="003D4825">
      <w:pPr>
        <w:spacing w:line="360" w:lineRule="auto"/>
        <w:jc w:val="both"/>
        <w:rPr>
          <w:rFonts w:ascii="Cambria" w:hAnsi="Cambria" w:cs="Calibri"/>
          <w:bCs/>
          <w:sz w:val="20"/>
          <w:szCs w:val="20"/>
          <w:lang w:val="en-GB"/>
        </w:rPr>
      </w:pPr>
    </w:p>
    <w:p w14:paraId="28D589C5" w14:textId="23130889" w:rsidR="001316E3" w:rsidRPr="00223CBF" w:rsidRDefault="001316E3" w:rsidP="000507CA">
      <w:pPr>
        <w:spacing w:line="360" w:lineRule="auto"/>
        <w:jc w:val="both"/>
        <w:rPr>
          <w:rFonts w:ascii="Cambria" w:hAnsi="Cambria" w:cs="Arial"/>
          <w:color w:val="152234"/>
          <w:sz w:val="20"/>
          <w:szCs w:val="20"/>
        </w:rPr>
      </w:pPr>
    </w:p>
    <w:p w14:paraId="434B4544" w14:textId="77777777" w:rsidR="00901FB2" w:rsidRDefault="00901FB2" w:rsidP="000507CA">
      <w:pPr>
        <w:spacing w:line="360" w:lineRule="auto"/>
        <w:jc w:val="both"/>
        <w:rPr>
          <w:rFonts w:ascii="Cambria" w:hAnsi="Cambria" w:cstheme="minorHAnsi"/>
          <w:b/>
          <w:bCs/>
          <w:sz w:val="20"/>
          <w:szCs w:val="20"/>
        </w:rPr>
      </w:pPr>
    </w:p>
    <w:p w14:paraId="400C606B" w14:textId="096EF818" w:rsidR="00901FB2" w:rsidRDefault="00901FB2" w:rsidP="000507CA">
      <w:pPr>
        <w:spacing w:line="360" w:lineRule="auto"/>
        <w:jc w:val="both"/>
        <w:rPr>
          <w:rFonts w:ascii="Cambria" w:hAnsi="Cambria" w:cstheme="minorHAnsi"/>
          <w:b/>
          <w:bCs/>
          <w:sz w:val="20"/>
          <w:szCs w:val="20"/>
        </w:rPr>
      </w:pPr>
    </w:p>
    <w:p w14:paraId="01306553" w14:textId="38ABC1E6" w:rsidR="0008264D" w:rsidRDefault="0008264D" w:rsidP="000507CA">
      <w:pPr>
        <w:spacing w:line="360" w:lineRule="auto"/>
        <w:jc w:val="both"/>
        <w:rPr>
          <w:rFonts w:ascii="Cambria" w:hAnsi="Cambria" w:cstheme="minorHAnsi"/>
          <w:b/>
          <w:bCs/>
          <w:sz w:val="20"/>
          <w:szCs w:val="20"/>
        </w:rPr>
      </w:pPr>
    </w:p>
    <w:p w14:paraId="303A567E" w14:textId="4914FF15" w:rsidR="0008264D" w:rsidRDefault="0008264D" w:rsidP="000507CA">
      <w:pPr>
        <w:spacing w:line="360" w:lineRule="auto"/>
        <w:jc w:val="both"/>
        <w:rPr>
          <w:rFonts w:ascii="Cambria" w:hAnsi="Cambria" w:cstheme="minorHAnsi"/>
          <w:b/>
          <w:bCs/>
          <w:sz w:val="20"/>
          <w:szCs w:val="20"/>
        </w:rPr>
      </w:pPr>
    </w:p>
    <w:p w14:paraId="4B91CBD4" w14:textId="77777777" w:rsidR="00901FB2" w:rsidRDefault="00901FB2" w:rsidP="000507CA">
      <w:pPr>
        <w:spacing w:line="360" w:lineRule="auto"/>
        <w:jc w:val="both"/>
        <w:rPr>
          <w:rFonts w:ascii="Cambria" w:hAnsi="Cambria" w:cstheme="minorHAnsi"/>
          <w:b/>
          <w:bCs/>
          <w:sz w:val="20"/>
          <w:szCs w:val="20"/>
        </w:rPr>
      </w:pPr>
    </w:p>
    <w:p w14:paraId="4AC061F7" w14:textId="6489A8ED" w:rsidR="00ED6C35" w:rsidRDefault="00ED6C35" w:rsidP="000507CA">
      <w:pPr>
        <w:spacing w:line="360" w:lineRule="auto"/>
        <w:jc w:val="both"/>
        <w:rPr>
          <w:rFonts w:ascii="Cambria" w:hAnsi="Cambria" w:cstheme="minorHAnsi"/>
          <w:b/>
          <w:bCs/>
          <w:sz w:val="20"/>
          <w:szCs w:val="20"/>
        </w:rPr>
      </w:pPr>
    </w:p>
    <w:p w14:paraId="704D2CD0" w14:textId="77777777" w:rsidR="00385CE2" w:rsidRDefault="00385CE2" w:rsidP="000507CA">
      <w:pPr>
        <w:spacing w:line="360" w:lineRule="auto"/>
        <w:jc w:val="both"/>
        <w:rPr>
          <w:rFonts w:ascii="Cambria" w:hAnsi="Cambria" w:cstheme="minorHAnsi"/>
          <w:b/>
          <w:bCs/>
          <w:sz w:val="20"/>
          <w:szCs w:val="20"/>
        </w:rPr>
      </w:pPr>
    </w:p>
    <w:p w14:paraId="5E5DFDE2" w14:textId="34A2D60F" w:rsidR="00331FB6" w:rsidRPr="006B4BFE" w:rsidRDefault="00331FB6" w:rsidP="00081358">
      <w:pPr>
        <w:pStyle w:val="ListParagraph"/>
        <w:numPr>
          <w:ilvl w:val="0"/>
          <w:numId w:val="77"/>
        </w:numPr>
        <w:spacing w:line="360" w:lineRule="auto"/>
        <w:jc w:val="both"/>
        <w:rPr>
          <w:rFonts w:ascii="Cambria" w:hAnsi="Cambria" w:cstheme="minorHAnsi"/>
          <w:b/>
          <w:bCs/>
          <w:sz w:val="32"/>
          <w:szCs w:val="32"/>
        </w:rPr>
      </w:pPr>
      <w:r w:rsidRPr="006B4BFE">
        <w:rPr>
          <w:rFonts w:ascii="Cambria" w:hAnsi="Cambria" w:cstheme="minorHAnsi"/>
          <w:b/>
          <w:bCs/>
          <w:sz w:val="32"/>
          <w:szCs w:val="32"/>
        </w:rPr>
        <w:lastRenderedPageBreak/>
        <w:t>Cross Cutting Issues and the Portfolio</w:t>
      </w:r>
    </w:p>
    <w:p w14:paraId="56E1B2B3" w14:textId="132BB7B6" w:rsidR="00331FB6" w:rsidRPr="006B4BFE" w:rsidRDefault="00331FB6" w:rsidP="00081358">
      <w:pPr>
        <w:pStyle w:val="ListParagraph"/>
        <w:numPr>
          <w:ilvl w:val="1"/>
          <w:numId w:val="77"/>
        </w:numPr>
        <w:spacing w:line="360" w:lineRule="auto"/>
        <w:jc w:val="both"/>
        <w:rPr>
          <w:rFonts w:ascii="Cambria" w:hAnsi="Cambria" w:cstheme="minorHAnsi"/>
          <w:b/>
          <w:bCs/>
          <w:sz w:val="28"/>
          <w:szCs w:val="28"/>
        </w:rPr>
      </w:pPr>
      <w:r w:rsidRPr="006B4BFE">
        <w:rPr>
          <w:rFonts w:ascii="Cambria" w:hAnsi="Cambria" w:cstheme="minorHAnsi"/>
          <w:b/>
          <w:bCs/>
          <w:sz w:val="28"/>
          <w:szCs w:val="28"/>
        </w:rPr>
        <w:t>Gender Equality and Women’s Empowerment (GEWE)</w:t>
      </w:r>
    </w:p>
    <w:p w14:paraId="2B915093" w14:textId="22C80D72" w:rsidR="00331FB6" w:rsidRPr="00223CBF" w:rsidRDefault="00331FB6" w:rsidP="000507CA">
      <w:pPr>
        <w:spacing w:line="360" w:lineRule="auto"/>
        <w:jc w:val="both"/>
        <w:rPr>
          <w:rFonts w:ascii="Cambria" w:hAnsi="Cambria" w:cs="Calibri"/>
          <w:sz w:val="20"/>
          <w:szCs w:val="20"/>
          <w:lang w:val="en-GB"/>
        </w:rPr>
      </w:pPr>
      <w:r w:rsidRPr="00223CBF">
        <w:rPr>
          <w:rFonts w:ascii="Cambria" w:hAnsi="Cambria" w:cs="Calibri"/>
          <w:sz w:val="20"/>
          <w:szCs w:val="20"/>
          <w:lang w:val="en-GB"/>
        </w:rPr>
        <w:t>The Portfolio recognises the disproportionate impact of under development, weak governance and conflict on women. The Portfolio strategy and rationale identifies several cross-cutting principles and approaches of which GEWE is one. GEWE has been intentionally integrated from the inception of the Portfolio, through an identification of development challenges and legal, institutional, systems and attitudinal gaps that continue to affect women adversely. The Portfolio is expressly linked to several UN country specific documents such as the UNSDF and the CPD, both which emphasise the global mandate to mainstream gender at all levels of programming. The Portfolio is also strengthened by the Gender Equality Strategy and more specifically Signature 6 Solution, which promotes strengthening gender equality and empowerment of women and girls.</w:t>
      </w:r>
    </w:p>
    <w:p w14:paraId="00CCDF30" w14:textId="77777777" w:rsidR="00331FB6" w:rsidRPr="00223CBF" w:rsidRDefault="00331FB6" w:rsidP="000507CA">
      <w:pPr>
        <w:spacing w:line="360" w:lineRule="auto"/>
        <w:jc w:val="both"/>
        <w:rPr>
          <w:rFonts w:ascii="Cambria" w:hAnsi="Cambria" w:cs="Calibri"/>
          <w:sz w:val="20"/>
          <w:szCs w:val="20"/>
          <w:lang w:val="en-GB"/>
        </w:rPr>
      </w:pPr>
      <w:r w:rsidRPr="00223CBF">
        <w:rPr>
          <w:rFonts w:ascii="Cambria" w:hAnsi="Cambria" w:cs="Calibri"/>
          <w:sz w:val="20"/>
          <w:szCs w:val="20"/>
          <w:lang w:val="en-GB"/>
        </w:rPr>
        <w:t>As a result, GEWE is included in all three pillars, but specifically under Output 2.2. within Access to Justice and Rule of Law.</w:t>
      </w:r>
      <w:r w:rsidRPr="00223CBF">
        <w:rPr>
          <w:rStyle w:val="FootnoteReference"/>
          <w:rFonts w:ascii="Cambria" w:hAnsi="Cambria" w:cs="Calibri"/>
          <w:sz w:val="20"/>
          <w:szCs w:val="20"/>
          <w:lang w:val="en-GB"/>
        </w:rPr>
        <w:footnoteReference w:id="76"/>
      </w:r>
      <w:r w:rsidRPr="00223CBF">
        <w:rPr>
          <w:rFonts w:ascii="Cambria" w:hAnsi="Cambria" w:cs="Calibri"/>
          <w:sz w:val="20"/>
          <w:szCs w:val="20"/>
          <w:lang w:val="en-GB"/>
        </w:rPr>
        <w:t xml:space="preserve"> </w:t>
      </w:r>
    </w:p>
    <w:p w14:paraId="4E9AE85D" w14:textId="2DE1E3F7" w:rsidR="00331FB6" w:rsidRPr="00223CBF" w:rsidRDefault="00331FB6" w:rsidP="000507CA">
      <w:pPr>
        <w:spacing w:line="360" w:lineRule="auto"/>
        <w:jc w:val="both"/>
        <w:rPr>
          <w:rFonts w:ascii="Cambria" w:hAnsi="Cambria" w:cs="Calibri"/>
          <w:sz w:val="20"/>
          <w:szCs w:val="20"/>
          <w:lang w:val="en-GB"/>
        </w:rPr>
      </w:pPr>
      <w:r w:rsidRPr="00223CBF">
        <w:rPr>
          <w:rFonts w:ascii="Cambria" w:hAnsi="Cambria" w:cs="Calibri"/>
          <w:sz w:val="20"/>
          <w:szCs w:val="20"/>
          <w:lang w:val="en-GB"/>
        </w:rPr>
        <w:t xml:space="preserve">More specifically, GEWE has been strategically positioned within the umbrella framework adopted by the SGBV Policy and Action Plan and more specifically under the Essential Services </w:t>
      </w:r>
      <w:r w:rsidR="00255898">
        <w:rPr>
          <w:rFonts w:ascii="Cambria" w:hAnsi="Cambria" w:cs="Calibri"/>
          <w:sz w:val="20"/>
          <w:szCs w:val="20"/>
          <w:lang w:val="en-GB"/>
        </w:rPr>
        <w:t>P</w:t>
      </w:r>
      <w:r w:rsidRPr="00223CBF">
        <w:rPr>
          <w:rFonts w:ascii="Cambria" w:hAnsi="Cambria" w:cs="Calibri"/>
          <w:sz w:val="20"/>
          <w:szCs w:val="20"/>
          <w:lang w:val="en-GB"/>
        </w:rPr>
        <w:t xml:space="preserve">ackage, formulated with support from UNDP through previous phases of programming that adopts a multi sectoral approach to eliminate SGBV in Sri Lanka </w:t>
      </w:r>
      <w:r w:rsidR="008315F1" w:rsidRPr="00223CBF">
        <w:rPr>
          <w:rFonts w:ascii="Cambria" w:hAnsi="Cambria" w:cs="Calibri"/>
          <w:sz w:val="20"/>
          <w:szCs w:val="20"/>
          <w:lang w:val="en-GB"/>
        </w:rPr>
        <w:t>ro</w:t>
      </w:r>
      <w:r w:rsidRPr="00223CBF">
        <w:rPr>
          <w:rFonts w:ascii="Cambria" w:hAnsi="Cambria" w:cs="Calibri"/>
          <w:sz w:val="20"/>
          <w:szCs w:val="20"/>
          <w:lang w:val="en-GB"/>
        </w:rPr>
        <w:t xml:space="preserve">oted in SDGs particularly SDG 5 and 16. Aligning interventions under the Action Plan provides a sound rationale for grounding strategic interventions to minimise piece meal approach to GEWE. </w:t>
      </w:r>
    </w:p>
    <w:p w14:paraId="5A048A41" w14:textId="4DF3345A" w:rsidR="0005007C" w:rsidRPr="00AC1452" w:rsidRDefault="0005007C" w:rsidP="0005007C">
      <w:pPr>
        <w:spacing w:line="360" w:lineRule="auto"/>
        <w:jc w:val="both"/>
        <w:rPr>
          <w:rFonts w:ascii="Cambria" w:hAnsi="Cambria" w:cs="Calibri"/>
          <w:sz w:val="20"/>
          <w:szCs w:val="20"/>
          <w:lang w:val="en-GB"/>
        </w:rPr>
      </w:pPr>
      <w:r w:rsidRPr="00AC1452">
        <w:rPr>
          <w:rFonts w:ascii="Cambria" w:hAnsi="Cambria" w:cs="Calibri"/>
          <w:sz w:val="20"/>
          <w:szCs w:val="20"/>
          <w:lang w:val="en-GB"/>
        </w:rPr>
        <w:t>The Portfolio identifying serious gap</w:t>
      </w:r>
      <w:r w:rsidR="00255898">
        <w:rPr>
          <w:rFonts w:ascii="Cambria" w:hAnsi="Cambria" w:cs="Calibri"/>
          <w:sz w:val="20"/>
          <w:szCs w:val="20"/>
          <w:lang w:val="en-GB"/>
        </w:rPr>
        <w:t>s</w:t>
      </w:r>
      <w:r w:rsidRPr="00AC1452">
        <w:rPr>
          <w:rFonts w:ascii="Cambria" w:hAnsi="Cambria" w:cs="Calibri"/>
          <w:sz w:val="20"/>
          <w:szCs w:val="20"/>
          <w:lang w:val="en-GB"/>
        </w:rPr>
        <w:t xml:space="preserve"> in state and non-state institutions, weaknesses in processes and systems and lack of sensitivity towards women’s issues, particularly SGBV provides support to several activities.  Primary support to the state is to operationalise the Action Plan and to formulate a new Plan for the next 5 years by strengthening their mandate to implement and monitor the Action Plan and to strategically integrate GEWE initiatives into the strategic plan of the Ministry. Support is also directed at assisting the 9 sectors on identifying, integrating, monitoring, reporting and budgeting of gender-based initiatives.  </w:t>
      </w:r>
    </w:p>
    <w:p w14:paraId="7B38BEB2" w14:textId="029C1E16" w:rsidR="0005007C" w:rsidRPr="00AC1452" w:rsidRDefault="0005007C" w:rsidP="0005007C">
      <w:pPr>
        <w:spacing w:line="360" w:lineRule="auto"/>
        <w:jc w:val="both"/>
        <w:rPr>
          <w:rFonts w:ascii="Cambria" w:hAnsi="Cambria" w:cs="Calibri"/>
          <w:sz w:val="20"/>
          <w:szCs w:val="20"/>
          <w:lang w:val="en-GB"/>
        </w:rPr>
      </w:pPr>
      <w:r w:rsidRPr="00AC1452">
        <w:rPr>
          <w:rFonts w:ascii="Cambria" w:hAnsi="Cambria" w:cs="Calibri"/>
          <w:sz w:val="20"/>
          <w:szCs w:val="20"/>
          <w:lang w:val="en-GB"/>
        </w:rPr>
        <w:t>Institutional and systems strengthening is replicated at the divisional level targeting W</w:t>
      </w:r>
      <w:r w:rsidR="00255898">
        <w:rPr>
          <w:rFonts w:ascii="Cambria" w:hAnsi="Cambria" w:cs="Calibri"/>
          <w:sz w:val="20"/>
          <w:szCs w:val="20"/>
          <w:lang w:val="en-GB"/>
        </w:rPr>
        <w:t xml:space="preserve">DOs </w:t>
      </w:r>
      <w:r w:rsidRPr="00AC1452">
        <w:rPr>
          <w:rFonts w:ascii="Cambria" w:hAnsi="Cambria" w:cs="Calibri"/>
          <w:sz w:val="20"/>
          <w:szCs w:val="20"/>
          <w:lang w:val="en-GB"/>
        </w:rPr>
        <w:t xml:space="preserve">and other officers under the DS. This is to bridge capacity gaps through training including para legal training. Substantial support is also provided to forge coordination mechanisms through the referral pathway, the road map for reporting SGBV within the community. </w:t>
      </w:r>
    </w:p>
    <w:p w14:paraId="4AF89FC2" w14:textId="7F87E984" w:rsidR="0005007C" w:rsidRPr="00AC1452" w:rsidRDefault="0005007C" w:rsidP="0005007C">
      <w:pPr>
        <w:spacing w:line="360" w:lineRule="auto"/>
        <w:jc w:val="both"/>
        <w:rPr>
          <w:rFonts w:ascii="Cambria" w:hAnsi="Cambria" w:cs="Calibri"/>
          <w:sz w:val="20"/>
          <w:szCs w:val="20"/>
          <w:lang w:val="en-GB"/>
        </w:rPr>
      </w:pPr>
      <w:r w:rsidRPr="00AC1452">
        <w:rPr>
          <w:rFonts w:ascii="Cambria" w:hAnsi="Cambria" w:cs="Calibri"/>
          <w:sz w:val="20"/>
          <w:szCs w:val="20"/>
          <w:lang w:val="en-GB"/>
        </w:rPr>
        <w:t>The WCB of the police, the PPD for victims and witnesses were specifically targeted for sensiti</w:t>
      </w:r>
      <w:r w:rsidR="00255898">
        <w:rPr>
          <w:rFonts w:ascii="Cambria" w:hAnsi="Cambria" w:cs="Calibri"/>
          <w:sz w:val="20"/>
          <w:szCs w:val="20"/>
          <w:lang w:val="en-GB"/>
        </w:rPr>
        <w:t>s</w:t>
      </w:r>
      <w:r w:rsidRPr="00AC1452">
        <w:rPr>
          <w:rFonts w:ascii="Cambria" w:hAnsi="Cambria" w:cs="Calibri"/>
          <w:sz w:val="20"/>
          <w:szCs w:val="20"/>
          <w:lang w:val="en-GB"/>
        </w:rPr>
        <w:t xml:space="preserve">ation to reduce attitudinal and other barriers that prevent women’s access to justice. Support to VWPA and WCB of the Police </w:t>
      </w:r>
      <w:r w:rsidRPr="00AC1452">
        <w:rPr>
          <w:rFonts w:ascii="Cambria" w:hAnsi="Cambria" w:cs="Calibri"/>
          <w:sz w:val="20"/>
          <w:szCs w:val="20"/>
          <w:lang w:val="en-GB"/>
        </w:rPr>
        <w:lastRenderedPageBreak/>
        <w:t xml:space="preserve">department was augmented by research initiatives to, provide much needed scientific evidence to push for relevant policy and legal reforms, within the state apparatus. </w:t>
      </w:r>
    </w:p>
    <w:p w14:paraId="1B22011A" w14:textId="08A3EF21" w:rsidR="00331FB6" w:rsidRPr="00223CBF" w:rsidRDefault="00331FB6" w:rsidP="000507CA">
      <w:pPr>
        <w:spacing w:line="360" w:lineRule="auto"/>
        <w:jc w:val="both"/>
        <w:rPr>
          <w:rFonts w:ascii="Cambria" w:hAnsi="Cambria" w:cs="Calibri"/>
          <w:sz w:val="20"/>
          <w:szCs w:val="20"/>
          <w:lang w:val="en-GB"/>
        </w:rPr>
      </w:pPr>
      <w:r w:rsidRPr="00223CBF">
        <w:rPr>
          <w:rFonts w:ascii="Cambria" w:hAnsi="Cambria" w:cs="Calibri"/>
          <w:sz w:val="20"/>
          <w:szCs w:val="20"/>
          <w:lang w:val="en-GB"/>
        </w:rPr>
        <w:t>The Portfolio, specifically under Output 2.2 works with several CSOs</w:t>
      </w:r>
      <w:r w:rsidR="008315F1" w:rsidRPr="00223CBF">
        <w:rPr>
          <w:rFonts w:ascii="Cambria" w:hAnsi="Cambria" w:cs="Calibri"/>
          <w:sz w:val="20"/>
          <w:szCs w:val="20"/>
          <w:lang w:val="en-GB"/>
        </w:rPr>
        <w:t>,</w:t>
      </w:r>
      <w:r w:rsidRPr="00223CBF">
        <w:rPr>
          <w:rFonts w:ascii="Cambria" w:hAnsi="Cambria" w:cs="Calibri"/>
          <w:sz w:val="20"/>
          <w:szCs w:val="20"/>
          <w:lang w:val="en-GB"/>
        </w:rPr>
        <w:t xml:space="preserve"> recognising the strategy on CSO engagement </w:t>
      </w:r>
      <w:r w:rsidR="008315F1" w:rsidRPr="00223CBF">
        <w:rPr>
          <w:rFonts w:ascii="Cambria" w:hAnsi="Cambria" w:cs="Calibri"/>
          <w:sz w:val="20"/>
          <w:szCs w:val="20"/>
          <w:lang w:val="en-GB"/>
        </w:rPr>
        <w:t>reflected in t</w:t>
      </w:r>
      <w:r w:rsidRPr="00223CBF">
        <w:rPr>
          <w:rFonts w:ascii="Cambria" w:hAnsi="Cambria" w:cs="Calibri"/>
          <w:sz w:val="20"/>
          <w:szCs w:val="20"/>
          <w:lang w:val="en-GB"/>
        </w:rPr>
        <w:t>he SGBV Action Plan to reach communities and vulnerable groups in 15 geographic locations. Institutional an</w:t>
      </w:r>
      <w:r w:rsidR="00255898">
        <w:rPr>
          <w:rFonts w:ascii="Cambria" w:hAnsi="Cambria" w:cs="Calibri"/>
          <w:sz w:val="20"/>
          <w:szCs w:val="20"/>
          <w:lang w:val="en-GB"/>
        </w:rPr>
        <w:t xml:space="preserve">d other </w:t>
      </w:r>
      <w:r w:rsidRPr="00223CBF">
        <w:rPr>
          <w:rFonts w:ascii="Cambria" w:hAnsi="Cambria" w:cs="Calibri"/>
          <w:sz w:val="20"/>
          <w:szCs w:val="20"/>
          <w:lang w:val="en-GB"/>
        </w:rPr>
        <w:t>competencies are developed to provide invaluable services such as psychological counselling</w:t>
      </w:r>
      <w:r w:rsidR="00255898">
        <w:rPr>
          <w:rFonts w:ascii="Cambria" w:hAnsi="Cambria" w:cs="Calibri"/>
          <w:sz w:val="20"/>
          <w:szCs w:val="20"/>
          <w:lang w:val="en-GB"/>
        </w:rPr>
        <w:t>, le</w:t>
      </w:r>
      <w:r w:rsidRPr="00223CBF">
        <w:rPr>
          <w:rFonts w:ascii="Cambria" w:hAnsi="Cambria" w:cs="Calibri"/>
          <w:sz w:val="20"/>
          <w:szCs w:val="20"/>
          <w:lang w:val="en-GB"/>
        </w:rPr>
        <w:t>gal a</w:t>
      </w:r>
      <w:r w:rsidR="008315F1" w:rsidRPr="00223CBF">
        <w:rPr>
          <w:rFonts w:ascii="Cambria" w:hAnsi="Cambria" w:cs="Calibri"/>
          <w:sz w:val="20"/>
          <w:szCs w:val="20"/>
          <w:lang w:val="en-GB"/>
        </w:rPr>
        <w:t>id</w:t>
      </w:r>
      <w:r w:rsidRPr="00223CBF">
        <w:rPr>
          <w:rFonts w:ascii="Cambria" w:hAnsi="Cambria" w:cs="Calibri"/>
          <w:sz w:val="20"/>
          <w:szCs w:val="20"/>
          <w:lang w:val="en-GB"/>
        </w:rPr>
        <w:t>, referral services, skills</w:t>
      </w:r>
      <w:r w:rsidR="00255898">
        <w:rPr>
          <w:rFonts w:ascii="Cambria" w:hAnsi="Cambria" w:cs="Calibri"/>
          <w:sz w:val="20"/>
          <w:szCs w:val="20"/>
          <w:lang w:val="en-GB"/>
        </w:rPr>
        <w:t xml:space="preserve"> training</w:t>
      </w:r>
      <w:r w:rsidRPr="00223CBF">
        <w:rPr>
          <w:rFonts w:ascii="Cambria" w:hAnsi="Cambria" w:cs="Calibri"/>
          <w:sz w:val="20"/>
          <w:szCs w:val="20"/>
          <w:lang w:val="en-GB"/>
        </w:rPr>
        <w:t xml:space="preserve">, awareness raising and importantly shelter facilities for survivors of SGBV. The Portfolio through Outputs 2.1. and 2.3. also strengthened the legal and institutional capacities of the NVWPA to provide assistance to women </w:t>
      </w:r>
      <w:r w:rsidR="008315F1" w:rsidRPr="00223CBF">
        <w:rPr>
          <w:rFonts w:ascii="Cambria" w:hAnsi="Cambria" w:cs="Calibri"/>
          <w:sz w:val="20"/>
          <w:szCs w:val="20"/>
          <w:lang w:val="en-GB"/>
        </w:rPr>
        <w:t xml:space="preserve">victims and witnesses. </w:t>
      </w:r>
    </w:p>
    <w:p w14:paraId="638B3ED5" w14:textId="77777777" w:rsidR="00FA3B6C" w:rsidRPr="000328D8" w:rsidRDefault="00FA3B6C" w:rsidP="00FA3B6C">
      <w:pPr>
        <w:spacing w:line="360" w:lineRule="auto"/>
        <w:jc w:val="both"/>
        <w:rPr>
          <w:rFonts w:ascii="Cambria" w:hAnsi="Cambria" w:cstheme="minorHAnsi"/>
          <w:b/>
          <w:bCs/>
          <w:sz w:val="20"/>
          <w:szCs w:val="20"/>
        </w:rPr>
      </w:pPr>
    </w:p>
    <w:p w14:paraId="6FF66EA8" w14:textId="77777777" w:rsidR="00FA3B6C" w:rsidRPr="006B4BFE" w:rsidRDefault="00FA3B6C" w:rsidP="00081358">
      <w:pPr>
        <w:pStyle w:val="ListParagraph"/>
        <w:numPr>
          <w:ilvl w:val="1"/>
          <w:numId w:val="77"/>
        </w:numPr>
        <w:spacing w:line="360" w:lineRule="auto"/>
        <w:jc w:val="both"/>
        <w:rPr>
          <w:rFonts w:ascii="Cambria" w:hAnsi="Cambria" w:cstheme="minorHAnsi"/>
          <w:b/>
          <w:bCs/>
          <w:sz w:val="28"/>
          <w:szCs w:val="28"/>
        </w:rPr>
      </w:pPr>
      <w:r w:rsidRPr="006B4BFE">
        <w:rPr>
          <w:rFonts w:ascii="Cambria" w:hAnsi="Cambria" w:cstheme="minorHAnsi"/>
          <w:b/>
          <w:bCs/>
          <w:sz w:val="28"/>
          <w:szCs w:val="28"/>
        </w:rPr>
        <w:t>Human Rights Based Approach</w:t>
      </w:r>
    </w:p>
    <w:p w14:paraId="5C0017D8" w14:textId="77777777" w:rsidR="00FA3B6C" w:rsidRPr="00223CBF" w:rsidRDefault="00FA3B6C" w:rsidP="00FA3B6C">
      <w:pPr>
        <w:spacing w:line="360" w:lineRule="auto"/>
        <w:jc w:val="both"/>
        <w:rPr>
          <w:rFonts w:ascii="Cambria" w:hAnsi="Cambria" w:cstheme="minorHAnsi"/>
          <w:sz w:val="20"/>
          <w:szCs w:val="20"/>
        </w:rPr>
      </w:pPr>
      <w:r w:rsidRPr="00223CBF">
        <w:rPr>
          <w:rFonts w:ascii="Cambria" w:hAnsi="Cambria" w:cstheme="minorHAnsi"/>
          <w:sz w:val="20"/>
          <w:szCs w:val="20"/>
        </w:rPr>
        <w:t>The two-pronged approach of strengthening the ability of duty bearers to respond effectively to citizens and be accountable and creating rights awareness of rights holders, especially vulnerable groups to demand rights and access to justice, was systematically followed across all three pillars. Primary support to the supply side under the Portfolio has been to state institutions to develop their ability to include public participation, accountability and independence in decision making. A host of interventions supporting the core functions of parliament and its ability to open out to citizens, improving the core functions of ICs and justice sector institutions under Pillars One and Two were identified for implementation during the first phase. To a lesser extent strengthening CSOs to increase the demand side to enable engagement was also addressed primarily by capacity building for provision of quality services and awareness raising.</w:t>
      </w:r>
    </w:p>
    <w:p w14:paraId="0A9F9A34" w14:textId="77777777" w:rsidR="00FA3B6C" w:rsidRPr="00223CBF" w:rsidRDefault="00FA3B6C" w:rsidP="00FA3B6C">
      <w:pPr>
        <w:spacing w:line="360" w:lineRule="auto"/>
        <w:jc w:val="both"/>
        <w:rPr>
          <w:rFonts w:ascii="Cambria" w:hAnsi="Cambria" w:cstheme="minorHAnsi"/>
          <w:sz w:val="20"/>
          <w:szCs w:val="20"/>
        </w:rPr>
      </w:pPr>
    </w:p>
    <w:p w14:paraId="27EB837A" w14:textId="77777777" w:rsidR="00FA3B6C" w:rsidRPr="006B4BFE" w:rsidRDefault="00FA3B6C" w:rsidP="00081358">
      <w:pPr>
        <w:pStyle w:val="ListParagraph"/>
        <w:numPr>
          <w:ilvl w:val="1"/>
          <w:numId w:val="77"/>
        </w:numPr>
        <w:spacing w:line="360" w:lineRule="auto"/>
        <w:jc w:val="both"/>
        <w:rPr>
          <w:rFonts w:ascii="Cambria" w:hAnsi="Cambria" w:cstheme="minorHAnsi"/>
          <w:b/>
          <w:bCs/>
          <w:sz w:val="28"/>
          <w:szCs w:val="28"/>
        </w:rPr>
      </w:pPr>
      <w:r w:rsidRPr="006B4BFE">
        <w:rPr>
          <w:rFonts w:ascii="Cambria" w:hAnsi="Cambria" w:cstheme="minorHAnsi"/>
          <w:b/>
          <w:bCs/>
          <w:sz w:val="28"/>
          <w:szCs w:val="28"/>
        </w:rPr>
        <w:t>Innovation</w:t>
      </w:r>
    </w:p>
    <w:p w14:paraId="111F96D8" w14:textId="77777777" w:rsidR="00FA3B6C" w:rsidRPr="00223CBF" w:rsidRDefault="00FA3B6C" w:rsidP="00FA3B6C">
      <w:pPr>
        <w:spacing w:line="360" w:lineRule="auto"/>
        <w:jc w:val="both"/>
        <w:rPr>
          <w:rFonts w:ascii="Cambria" w:hAnsi="Cambria" w:cstheme="minorHAnsi"/>
          <w:sz w:val="20"/>
          <w:szCs w:val="20"/>
        </w:rPr>
      </w:pPr>
      <w:r w:rsidRPr="00223CBF">
        <w:rPr>
          <w:rFonts w:ascii="Cambria" w:hAnsi="Cambria" w:cstheme="minorHAnsi"/>
          <w:sz w:val="20"/>
          <w:szCs w:val="20"/>
        </w:rPr>
        <w:t xml:space="preserve">Innovation to ensure transformative change as opposed to incremental change is clearly visible in pillars One and two. Substantial support has been provided to both parliament and ICs to digitise their case management systems to reduce systematic and procedural delays whist reducing corruption and other barriers as a result of negative attitudes and lack of sensitivity towards human rights violations. </w:t>
      </w:r>
    </w:p>
    <w:p w14:paraId="03EAA6CD" w14:textId="77777777" w:rsidR="00FA3B6C" w:rsidRPr="00223CBF" w:rsidRDefault="00FA3B6C" w:rsidP="00FA3B6C">
      <w:pPr>
        <w:spacing w:line="360" w:lineRule="auto"/>
        <w:jc w:val="both"/>
        <w:rPr>
          <w:rFonts w:ascii="Cambria" w:hAnsi="Cambria" w:cstheme="minorHAnsi"/>
          <w:sz w:val="20"/>
          <w:szCs w:val="20"/>
        </w:rPr>
      </w:pPr>
      <w:r w:rsidRPr="00223CBF">
        <w:rPr>
          <w:rFonts w:ascii="Cambria" w:hAnsi="Cambria" w:cstheme="minorHAnsi"/>
          <w:sz w:val="20"/>
          <w:szCs w:val="20"/>
        </w:rPr>
        <w:t>For example, through ICT support broadcasting committee proceedings of COPE and COPA in parliament i</w:t>
      </w:r>
      <w:r>
        <w:rPr>
          <w:rFonts w:ascii="Cambria" w:hAnsi="Cambria" w:cstheme="minorHAnsi"/>
          <w:sz w:val="20"/>
          <w:szCs w:val="20"/>
        </w:rPr>
        <w:t>s</w:t>
      </w:r>
      <w:r w:rsidRPr="00223CBF">
        <w:rPr>
          <w:rFonts w:ascii="Cambria" w:hAnsi="Cambria" w:cstheme="minorHAnsi"/>
          <w:sz w:val="20"/>
          <w:szCs w:val="20"/>
        </w:rPr>
        <w:t xml:space="preserve"> a transformative move. Committee conventions were dramatically changed to invite media to attend proceedings. Efforts to innovation has been slow due to realities of implementation and ‘tech inertia’. However, innovation has been identified by the Portfolio as a priority since its inception and will continue to remain a priority, especially given the interests of the current government under its national policies to provide innovative digital solutions to increase the effectiveness and efficiency in the public sector.  </w:t>
      </w:r>
    </w:p>
    <w:p w14:paraId="5C0DC124" w14:textId="77777777" w:rsidR="00FA3B6C" w:rsidRPr="00223CBF" w:rsidRDefault="00FA3B6C" w:rsidP="00FA3B6C">
      <w:pPr>
        <w:spacing w:line="360" w:lineRule="auto"/>
        <w:jc w:val="both"/>
        <w:rPr>
          <w:rFonts w:ascii="Cambria" w:hAnsi="Cambria" w:cstheme="minorHAnsi"/>
          <w:sz w:val="20"/>
          <w:szCs w:val="20"/>
        </w:rPr>
      </w:pPr>
    </w:p>
    <w:p w14:paraId="16B76489" w14:textId="77777777" w:rsidR="00FA3B6C" w:rsidRPr="006B4BFE" w:rsidRDefault="00FA3B6C" w:rsidP="00081358">
      <w:pPr>
        <w:pStyle w:val="ListParagraph"/>
        <w:numPr>
          <w:ilvl w:val="1"/>
          <w:numId w:val="77"/>
        </w:numPr>
        <w:spacing w:line="360" w:lineRule="auto"/>
        <w:jc w:val="both"/>
        <w:rPr>
          <w:rFonts w:ascii="Cambria" w:hAnsi="Cambria" w:cstheme="minorHAnsi"/>
          <w:b/>
          <w:bCs/>
          <w:sz w:val="28"/>
          <w:szCs w:val="28"/>
        </w:rPr>
      </w:pPr>
      <w:r w:rsidRPr="006B4BFE">
        <w:rPr>
          <w:rFonts w:ascii="Cambria" w:hAnsi="Cambria" w:cstheme="minorHAnsi"/>
          <w:b/>
          <w:bCs/>
          <w:sz w:val="28"/>
          <w:szCs w:val="28"/>
        </w:rPr>
        <w:lastRenderedPageBreak/>
        <w:t xml:space="preserve">Capacity Development </w:t>
      </w:r>
    </w:p>
    <w:p w14:paraId="1498A92C" w14:textId="77777777" w:rsidR="00FA3B6C" w:rsidRPr="00223CBF" w:rsidRDefault="00FA3B6C" w:rsidP="00FA3B6C">
      <w:pPr>
        <w:spacing w:line="360" w:lineRule="auto"/>
        <w:rPr>
          <w:rFonts w:ascii="Cambria" w:hAnsi="Cambria"/>
          <w:sz w:val="20"/>
          <w:szCs w:val="20"/>
        </w:rPr>
      </w:pPr>
      <w:r w:rsidRPr="00223CBF">
        <w:rPr>
          <w:rFonts w:ascii="Cambria" w:hAnsi="Cambria"/>
          <w:sz w:val="20"/>
          <w:szCs w:val="20"/>
        </w:rPr>
        <w:t>Capacity Development</w:t>
      </w:r>
      <w:r>
        <w:rPr>
          <w:rFonts w:ascii="Cambria" w:hAnsi="Cambria"/>
          <w:sz w:val="20"/>
          <w:szCs w:val="20"/>
        </w:rPr>
        <w:t xml:space="preserve"> including</w:t>
      </w:r>
      <w:r w:rsidRPr="00223CBF">
        <w:rPr>
          <w:rFonts w:ascii="Cambria" w:hAnsi="Cambria"/>
          <w:sz w:val="20"/>
          <w:szCs w:val="20"/>
        </w:rPr>
        <w:t xml:space="preserve"> institutional, organi</w:t>
      </w:r>
      <w:r>
        <w:rPr>
          <w:rFonts w:ascii="Cambria" w:hAnsi="Cambria"/>
          <w:sz w:val="20"/>
          <w:szCs w:val="20"/>
        </w:rPr>
        <w:t>s</w:t>
      </w:r>
      <w:r w:rsidRPr="00223CBF">
        <w:rPr>
          <w:rFonts w:ascii="Cambria" w:hAnsi="Cambria"/>
          <w:sz w:val="20"/>
          <w:szCs w:val="20"/>
        </w:rPr>
        <w:t>ational, human or individual and society has been adopted a</w:t>
      </w:r>
      <w:r>
        <w:rPr>
          <w:rFonts w:ascii="Cambria" w:hAnsi="Cambria"/>
          <w:sz w:val="20"/>
          <w:szCs w:val="20"/>
        </w:rPr>
        <w:t>s a</w:t>
      </w:r>
      <w:r w:rsidRPr="00223CBF">
        <w:rPr>
          <w:rFonts w:ascii="Cambria" w:hAnsi="Cambria"/>
          <w:sz w:val="20"/>
          <w:szCs w:val="20"/>
        </w:rPr>
        <w:t xml:space="preserve"> single cross cutting strategy across Pillar One and Two and primarily focused on building the capacity of state institutions and to a lesser extent non state institutions such as CSOs, </w:t>
      </w:r>
      <w:r>
        <w:rPr>
          <w:rFonts w:ascii="Cambria" w:hAnsi="Cambria"/>
          <w:sz w:val="20"/>
          <w:szCs w:val="20"/>
        </w:rPr>
        <w:t>CBOs</w:t>
      </w:r>
      <w:r w:rsidRPr="00223CBF">
        <w:rPr>
          <w:rFonts w:ascii="Cambria" w:hAnsi="Cambria"/>
          <w:sz w:val="20"/>
          <w:szCs w:val="20"/>
        </w:rPr>
        <w:t xml:space="preserve">, media, academic and research institutions. </w:t>
      </w:r>
    </w:p>
    <w:bookmarkEnd w:id="0"/>
    <w:p w14:paraId="7798F1CA" w14:textId="4180BEF4" w:rsidR="006B4BFE" w:rsidRDefault="006B4BFE" w:rsidP="002E7B89">
      <w:pPr>
        <w:rPr>
          <w:rFonts w:ascii="Cambria" w:hAnsi="Cambria"/>
          <w:b/>
          <w:bCs/>
          <w:sz w:val="20"/>
          <w:szCs w:val="20"/>
        </w:rPr>
      </w:pPr>
    </w:p>
    <w:p w14:paraId="032A7820" w14:textId="00CB7317" w:rsidR="006B4BFE" w:rsidRDefault="006B4BFE" w:rsidP="002E7B89">
      <w:pPr>
        <w:rPr>
          <w:rFonts w:ascii="Cambria" w:hAnsi="Cambria"/>
          <w:b/>
          <w:bCs/>
          <w:sz w:val="20"/>
          <w:szCs w:val="20"/>
        </w:rPr>
      </w:pPr>
    </w:p>
    <w:p w14:paraId="180AE498" w14:textId="74F04746" w:rsidR="00927A76" w:rsidRDefault="00927A76" w:rsidP="002E7B89">
      <w:pPr>
        <w:rPr>
          <w:rFonts w:ascii="Cambria" w:hAnsi="Cambria"/>
          <w:b/>
          <w:bCs/>
          <w:sz w:val="20"/>
          <w:szCs w:val="20"/>
        </w:rPr>
      </w:pPr>
    </w:p>
    <w:p w14:paraId="40EB4CA4" w14:textId="1DE809B8" w:rsidR="00927A76" w:rsidRDefault="00927A76" w:rsidP="002E7B89">
      <w:pPr>
        <w:rPr>
          <w:rFonts w:ascii="Cambria" w:hAnsi="Cambria"/>
          <w:b/>
          <w:bCs/>
          <w:sz w:val="20"/>
          <w:szCs w:val="20"/>
        </w:rPr>
      </w:pPr>
    </w:p>
    <w:p w14:paraId="69C99F06" w14:textId="76E69872" w:rsidR="00927A76" w:rsidRDefault="00927A76" w:rsidP="002E7B89">
      <w:pPr>
        <w:rPr>
          <w:rFonts w:ascii="Cambria" w:hAnsi="Cambria"/>
          <w:b/>
          <w:bCs/>
          <w:sz w:val="20"/>
          <w:szCs w:val="20"/>
        </w:rPr>
      </w:pPr>
    </w:p>
    <w:p w14:paraId="07734381" w14:textId="6BF16987" w:rsidR="00927A76" w:rsidRDefault="00927A76" w:rsidP="002E7B89">
      <w:pPr>
        <w:rPr>
          <w:rFonts w:ascii="Cambria" w:hAnsi="Cambria"/>
          <w:b/>
          <w:bCs/>
          <w:sz w:val="20"/>
          <w:szCs w:val="20"/>
        </w:rPr>
      </w:pPr>
    </w:p>
    <w:p w14:paraId="276A4CB1" w14:textId="340CE477" w:rsidR="00927A76" w:rsidRDefault="00927A76" w:rsidP="002E7B89">
      <w:pPr>
        <w:rPr>
          <w:rFonts w:ascii="Cambria" w:hAnsi="Cambria"/>
          <w:b/>
          <w:bCs/>
          <w:sz w:val="20"/>
          <w:szCs w:val="20"/>
        </w:rPr>
      </w:pPr>
    </w:p>
    <w:p w14:paraId="6DA56B9D" w14:textId="7E1E63B0" w:rsidR="00927A76" w:rsidRDefault="00927A76" w:rsidP="002E7B89">
      <w:pPr>
        <w:rPr>
          <w:rFonts w:ascii="Cambria" w:hAnsi="Cambria"/>
          <w:b/>
          <w:bCs/>
          <w:sz w:val="20"/>
          <w:szCs w:val="20"/>
        </w:rPr>
      </w:pPr>
    </w:p>
    <w:p w14:paraId="6EE3484D" w14:textId="2059AB6F" w:rsidR="00927A76" w:rsidRDefault="00927A76" w:rsidP="002E7B89">
      <w:pPr>
        <w:rPr>
          <w:rFonts w:ascii="Cambria" w:hAnsi="Cambria"/>
          <w:b/>
          <w:bCs/>
          <w:sz w:val="20"/>
          <w:szCs w:val="20"/>
        </w:rPr>
      </w:pPr>
    </w:p>
    <w:p w14:paraId="2B1285BC" w14:textId="00A150EC" w:rsidR="00927A76" w:rsidRDefault="00927A76" w:rsidP="002E7B89">
      <w:pPr>
        <w:rPr>
          <w:rFonts w:ascii="Cambria" w:hAnsi="Cambria"/>
          <w:b/>
          <w:bCs/>
          <w:sz w:val="20"/>
          <w:szCs w:val="20"/>
        </w:rPr>
      </w:pPr>
    </w:p>
    <w:p w14:paraId="47AA161F" w14:textId="631F796E" w:rsidR="00927A76" w:rsidRDefault="00927A76" w:rsidP="002E7B89">
      <w:pPr>
        <w:rPr>
          <w:rFonts w:ascii="Cambria" w:hAnsi="Cambria"/>
          <w:b/>
          <w:bCs/>
          <w:sz w:val="20"/>
          <w:szCs w:val="20"/>
        </w:rPr>
      </w:pPr>
    </w:p>
    <w:p w14:paraId="498251EB" w14:textId="278D7FDC" w:rsidR="00927A76" w:rsidRDefault="00927A76" w:rsidP="002E7B89">
      <w:pPr>
        <w:rPr>
          <w:rFonts w:ascii="Cambria" w:hAnsi="Cambria"/>
          <w:b/>
          <w:bCs/>
          <w:sz w:val="20"/>
          <w:szCs w:val="20"/>
        </w:rPr>
      </w:pPr>
    </w:p>
    <w:p w14:paraId="7A6EEC71" w14:textId="0C719CDF" w:rsidR="00927A76" w:rsidRDefault="00927A76" w:rsidP="002E7B89">
      <w:pPr>
        <w:rPr>
          <w:rFonts w:ascii="Cambria" w:hAnsi="Cambria"/>
          <w:b/>
          <w:bCs/>
          <w:sz w:val="20"/>
          <w:szCs w:val="20"/>
        </w:rPr>
      </w:pPr>
    </w:p>
    <w:p w14:paraId="7D9BC730" w14:textId="5C3574C5" w:rsidR="00927A76" w:rsidRDefault="00927A76" w:rsidP="002E7B89">
      <w:pPr>
        <w:rPr>
          <w:rFonts w:ascii="Cambria" w:hAnsi="Cambria"/>
          <w:b/>
          <w:bCs/>
          <w:sz w:val="20"/>
          <w:szCs w:val="20"/>
        </w:rPr>
      </w:pPr>
    </w:p>
    <w:p w14:paraId="09CD9EFC" w14:textId="3058CEDD" w:rsidR="00927A76" w:rsidRDefault="00927A76" w:rsidP="002E7B89">
      <w:pPr>
        <w:rPr>
          <w:rFonts w:ascii="Cambria" w:hAnsi="Cambria"/>
          <w:b/>
          <w:bCs/>
          <w:sz w:val="20"/>
          <w:szCs w:val="20"/>
        </w:rPr>
      </w:pPr>
    </w:p>
    <w:p w14:paraId="5A04B94B" w14:textId="02455741" w:rsidR="00927A76" w:rsidRDefault="00927A76" w:rsidP="002E7B89">
      <w:pPr>
        <w:rPr>
          <w:rFonts w:ascii="Cambria" w:hAnsi="Cambria"/>
          <w:b/>
          <w:bCs/>
          <w:sz w:val="20"/>
          <w:szCs w:val="20"/>
        </w:rPr>
      </w:pPr>
    </w:p>
    <w:p w14:paraId="39310665" w14:textId="28CF29DC" w:rsidR="00927A76" w:rsidRDefault="00927A76" w:rsidP="002E7B89">
      <w:pPr>
        <w:rPr>
          <w:rFonts w:ascii="Cambria" w:hAnsi="Cambria"/>
          <w:b/>
          <w:bCs/>
          <w:sz w:val="20"/>
          <w:szCs w:val="20"/>
        </w:rPr>
      </w:pPr>
    </w:p>
    <w:p w14:paraId="2E85AD3F" w14:textId="595418EF" w:rsidR="00927A76" w:rsidRDefault="00927A76" w:rsidP="002E7B89">
      <w:pPr>
        <w:rPr>
          <w:rFonts w:ascii="Cambria" w:hAnsi="Cambria"/>
          <w:b/>
          <w:bCs/>
          <w:sz w:val="20"/>
          <w:szCs w:val="20"/>
        </w:rPr>
      </w:pPr>
    </w:p>
    <w:p w14:paraId="0A4D7ADE" w14:textId="596F5BA8" w:rsidR="00927A76" w:rsidRDefault="00927A76" w:rsidP="002E7B89">
      <w:pPr>
        <w:rPr>
          <w:rFonts w:ascii="Cambria" w:hAnsi="Cambria"/>
          <w:b/>
          <w:bCs/>
          <w:sz w:val="20"/>
          <w:szCs w:val="20"/>
        </w:rPr>
      </w:pPr>
    </w:p>
    <w:p w14:paraId="201C2109" w14:textId="722C2A69" w:rsidR="00927A76" w:rsidRDefault="00927A76" w:rsidP="002E7B89">
      <w:pPr>
        <w:rPr>
          <w:rFonts w:ascii="Cambria" w:hAnsi="Cambria"/>
          <w:b/>
          <w:bCs/>
          <w:sz w:val="20"/>
          <w:szCs w:val="20"/>
        </w:rPr>
      </w:pPr>
    </w:p>
    <w:p w14:paraId="2363FDAD" w14:textId="235F505A" w:rsidR="00927A76" w:rsidRDefault="00927A76" w:rsidP="002E7B89">
      <w:pPr>
        <w:rPr>
          <w:rFonts w:ascii="Cambria" w:hAnsi="Cambria"/>
          <w:b/>
          <w:bCs/>
          <w:sz w:val="20"/>
          <w:szCs w:val="20"/>
        </w:rPr>
      </w:pPr>
    </w:p>
    <w:p w14:paraId="1A9A5BBF" w14:textId="2EBE7A11" w:rsidR="00757AA0" w:rsidRDefault="00757AA0" w:rsidP="002E7B89">
      <w:pPr>
        <w:rPr>
          <w:rFonts w:ascii="Cambria" w:hAnsi="Cambria"/>
          <w:b/>
          <w:bCs/>
          <w:sz w:val="20"/>
          <w:szCs w:val="20"/>
        </w:rPr>
      </w:pPr>
    </w:p>
    <w:p w14:paraId="5C5DA32F" w14:textId="7CE0EDFC" w:rsidR="00757AA0" w:rsidRDefault="00757AA0" w:rsidP="002E7B89">
      <w:pPr>
        <w:rPr>
          <w:rFonts w:ascii="Cambria" w:hAnsi="Cambria"/>
          <w:b/>
          <w:bCs/>
          <w:sz w:val="20"/>
          <w:szCs w:val="20"/>
        </w:rPr>
      </w:pPr>
    </w:p>
    <w:p w14:paraId="5C16C78B" w14:textId="2130698A" w:rsidR="00757AA0" w:rsidRDefault="00757AA0" w:rsidP="002E7B89">
      <w:pPr>
        <w:rPr>
          <w:rFonts w:ascii="Cambria" w:hAnsi="Cambria"/>
          <w:b/>
          <w:bCs/>
          <w:sz w:val="20"/>
          <w:szCs w:val="20"/>
        </w:rPr>
      </w:pPr>
    </w:p>
    <w:p w14:paraId="594D9C43" w14:textId="1403A296" w:rsidR="00757AA0" w:rsidRDefault="00757AA0" w:rsidP="002E7B89">
      <w:pPr>
        <w:rPr>
          <w:rFonts w:ascii="Cambria" w:hAnsi="Cambria"/>
          <w:b/>
          <w:bCs/>
          <w:sz w:val="20"/>
          <w:szCs w:val="20"/>
        </w:rPr>
      </w:pPr>
    </w:p>
    <w:p w14:paraId="6A812111" w14:textId="18FE9E3F" w:rsidR="00757AA0" w:rsidRDefault="00757AA0" w:rsidP="002E7B89">
      <w:pPr>
        <w:rPr>
          <w:rFonts w:ascii="Cambria" w:hAnsi="Cambria"/>
          <w:b/>
          <w:bCs/>
          <w:sz w:val="20"/>
          <w:szCs w:val="20"/>
        </w:rPr>
      </w:pPr>
    </w:p>
    <w:p w14:paraId="7B09A5DC" w14:textId="1821B9E8" w:rsidR="00757AA0" w:rsidRDefault="00757AA0" w:rsidP="002E7B89">
      <w:pPr>
        <w:rPr>
          <w:rFonts w:ascii="Cambria" w:hAnsi="Cambria"/>
          <w:b/>
          <w:bCs/>
          <w:sz w:val="20"/>
          <w:szCs w:val="20"/>
        </w:rPr>
      </w:pPr>
    </w:p>
    <w:p w14:paraId="60E5BAC5" w14:textId="65B12D4B" w:rsidR="00757AA0" w:rsidRDefault="00757AA0" w:rsidP="002E7B89">
      <w:pPr>
        <w:rPr>
          <w:rFonts w:ascii="Cambria" w:hAnsi="Cambria"/>
          <w:b/>
          <w:bCs/>
          <w:sz w:val="20"/>
          <w:szCs w:val="20"/>
        </w:rPr>
      </w:pPr>
    </w:p>
    <w:p w14:paraId="5923904E" w14:textId="2513E6E9" w:rsidR="00757AA0" w:rsidRDefault="00757AA0" w:rsidP="002E7B89">
      <w:pPr>
        <w:rPr>
          <w:rFonts w:ascii="Cambria" w:hAnsi="Cambria"/>
          <w:b/>
          <w:bCs/>
          <w:sz w:val="20"/>
          <w:szCs w:val="20"/>
        </w:rPr>
      </w:pPr>
    </w:p>
    <w:p w14:paraId="078E4753" w14:textId="79584B17" w:rsidR="00757AA0" w:rsidRDefault="00757AA0" w:rsidP="002E7B89">
      <w:pPr>
        <w:rPr>
          <w:rFonts w:ascii="Cambria" w:hAnsi="Cambria"/>
          <w:b/>
          <w:bCs/>
          <w:sz w:val="20"/>
          <w:szCs w:val="20"/>
        </w:rPr>
      </w:pPr>
    </w:p>
    <w:p w14:paraId="4B45B7B4" w14:textId="77777777" w:rsidR="00757AA0" w:rsidRDefault="00757AA0" w:rsidP="002E7B89">
      <w:pPr>
        <w:rPr>
          <w:rFonts w:ascii="Cambria" w:hAnsi="Cambria"/>
          <w:b/>
          <w:bCs/>
          <w:sz w:val="20"/>
          <w:szCs w:val="20"/>
        </w:rPr>
      </w:pPr>
    </w:p>
    <w:p w14:paraId="64DBCCA2" w14:textId="3E2F84DC" w:rsidR="006B4BFE" w:rsidRDefault="006B4BFE" w:rsidP="00081358">
      <w:pPr>
        <w:pStyle w:val="BodyText"/>
        <w:numPr>
          <w:ilvl w:val="0"/>
          <w:numId w:val="77"/>
        </w:numPr>
        <w:spacing w:line="360" w:lineRule="auto"/>
        <w:contextualSpacing/>
        <w:jc w:val="both"/>
        <w:rPr>
          <w:rFonts w:ascii="Cambria" w:hAnsi="Cambria" w:cstheme="minorHAnsi"/>
          <w:b/>
          <w:bCs/>
          <w:sz w:val="32"/>
          <w:szCs w:val="32"/>
        </w:rPr>
      </w:pPr>
      <w:bookmarkStart w:id="52" w:name="_Hlk74690256"/>
      <w:r w:rsidRPr="00EE66F1">
        <w:rPr>
          <w:rFonts w:ascii="Cambria" w:hAnsi="Cambria" w:cstheme="minorHAnsi"/>
          <w:b/>
          <w:bCs/>
          <w:sz w:val="32"/>
          <w:szCs w:val="32"/>
        </w:rPr>
        <w:t>Conclusions and Recommendations</w:t>
      </w:r>
    </w:p>
    <w:p w14:paraId="5F465B69" w14:textId="76DFD361" w:rsidR="006B4BFE" w:rsidRPr="00EE66F1" w:rsidRDefault="00AD3C7D" w:rsidP="00081358">
      <w:pPr>
        <w:pStyle w:val="BodyText"/>
        <w:numPr>
          <w:ilvl w:val="1"/>
          <w:numId w:val="77"/>
        </w:numPr>
        <w:spacing w:line="360" w:lineRule="auto"/>
        <w:contextualSpacing/>
        <w:jc w:val="both"/>
        <w:rPr>
          <w:rFonts w:ascii="Cambria" w:hAnsi="Cambria" w:cstheme="minorHAnsi"/>
          <w:b/>
          <w:bCs/>
          <w:sz w:val="28"/>
          <w:szCs w:val="28"/>
        </w:rPr>
      </w:pPr>
      <w:r>
        <w:rPr>
          <w:rFonts w:ascii="Cambria" w:hAnsi="Cambria" w:cstheme="minorHAnsi"/>
          <w:b/>
          <w:bCs/>
          <w:sz w:val="28"/>
          <w:szCs w:val="28"/>
        </w:rPr>
        <w:t xml:space="preserve">Subject Specific </w:t>
      </w:r>
      <w:r w:rsidR="006B4BFE" w:rsidRPr="00EE66F1">
        <w:rPr>
          <w:rFonts w:ascii="Cambria" w:hAnsi="Cambria" w:cstheme="minorHAnsi"/>
          <w:b/>
          <w:bCs/>
          <w:sz w:val="28"/>
          <w:szCs w:val="28"/>
        </w:rPr>
        <w:t xml:space="preserve">Conclusions </w:t>
      </w:r>
    </w:p>
    <w:p w14:paraId="0E53004E" w14:textId="77777777" w:rsidR="006B4BFE" w:rsidRPr="001B77B2" w:rsidRDefault="006B4BFE" w:rsidP="00081358">
      <w:pPr>
        <w:pStyle w:val="BodyText"/>
        <w:numPr>
          <w:ilvl w:val="0"/>
          <w:numId w:val="70"/>
        </w:numPr>
        <w:spacing w:line="360" w:lineRule="auto"/>
        <w:contextualSpacing/>
        <w:jc w:val="both"/>
        <w:rPr>
          <w:rFonts w:ascii="Cambria" w:hAnsi="Cambria" w:cstheme="minorHAnsi"/>
          <w:b/>
          <w:bCs/>
        </w:rPr>
      </w:pPr>
      <w:r w:rsidRPr="001B77B2">
        <w:rPr>
          <w:rFonts w:ascii="Cambria" w:hAnsi="Cambria" w:cstheme="minorHAnsi"/>
          <w:b/>
          <w:bCs/>
        </w:rPr>
        <w:t xml:space="preserve">Parliament </w:t>
      </w:r>
    </w:p>
    <w:p w14:paraId="2719F3A1" w14:textId="0E573482" w:rsidR="00F76C0D" w:rsidRPr="00F826A1" w:rsidRDefault="00743888" w:rsidP="00081358">
      <w:pPr>
        <w:pStyle w:val="ListParagraph"/>
        <w:numPr>
          <w:ilvl w:val="0"/>
          <w:numId w:val="71"/>
        </w:numPr>
        <w:spacing w:line="360" w:lineRule="auto"/>
        <w:jc w:val="both"/>
        <w:rPr>
          <w:rFonts w:ascii="Cambria" w:hAnsi="Cambria" w:cstheme="minorHAnsi"/>
          <w:bCs/>
          <w:sz w:val="20"/>
          <w:szCs w:val="20"/>
        </w:rPr>
      </w:pPr>
      <w:r w:rsidRPr="00DE207D">
        <w:rPr>
          <w:rFonts w:ascii="Cambria" w:hAnsi="Cambria" w:cs="Calibri"/>
          <w:b/>
          <w:sz w:val="20"/>
          <w:szCs w:val="20"/>
          <w:lang w:val="en-GB"/>
        </w:rPr>
        <w:t>High level responsiveness to targeted activities from the [Former] Speaker and Parliamentary Secretary/Secretariate</w:t>
      </w:r>
      <w:r w:rsidR="00F826A1">
        <w:rPr>
          <w:rFonts w:ascii="Cambria" w:hAnsi="Cambria" w:cs="Calibri"/>
          <w:b/>
          <w:sz w:val="20"/>
          <w:szCs w:val="20"/>
          <w:lang w:val="en-GB"/>
        </w:rPr>
        <w:t xml:space="preserve">: </w:t>
      </w:r>
      <w:r w:rsidR="00F826A1">
        <w:rPr>
          <w:rFonts w:ascii="Cambria" w:hAnsi="Cambria" w:cs="Calibri"/>
          <w:bCs/>
          <w:sz w:val="20"/>
          <w:szCs w:val="20"/>
          <w:lang w:val="en-GB"/>
        </w:rPr>
        <w:t>Interventions to parliament was received with high level support and ownership.</w:t>
      </w:r>
    </w:p>
    <w:p w14:paraId="0F466C9A" w14:textId="0BBB2F80" w:rsidR="007F4F15" w:rsidRDefault="00DA23FC" w:rsidP="00081358">
      <w:pPr>
        <w:pStyle w:val="ListParagraph"/>
        <w:numPr>
          <w:ilvl w:val="0"/>
          <w:numId w:val="71"/>
        </w:numPr>
        <w:spacing w:line="360" w:lineRule="auto"/>
        <w:jc w:val="both"/>
        <w:rPr>
          <w:rFonts w:ascii="Cambria" w:hAnsi="Cambria" w:cstheme="minorHAnsi"/>
          <w:sz w:val="20"/>
          <w:szCs w:val="20"/>
        </w:rPr>
      </w:pPr>
      <w:r>
        <w:rPr>
          <w:rFonts w:ascii="Cambria" w:hAnsi="Cambria" w:cstheme="minorHAnsi"/>
          <w:b/>
          <w:bCs/>
          <w:sz w:val="20"/>
          <w:szCs w:val="20"/>
        </w:rPr>
        <w:t xml:space="preserve">The </w:t>
      </w:r>
      <w:r w:rsidR="008E663A" w:rsidRPr="008E663A">
        <w:rPr>
          <w:rFonts w:ascii="Cambria" w:hAnsi="Cambria" w:cstheme="minorHAnsi"/>
          <w:b/>
          <w:bCs/>
          <w:sz w:val="20"/>
          <w:szCs w:val="20"/>
        </w:rPr>
        <w:t>PDAP identifie</w:t>
      </w:r>
      <w:r w:rsidR="007306D8">
        <w:rPr>
          <w:rFonts w:ascii="Cambria" w:hAnsi="Cambria" w:cstheme="minorHAnsi"/>
          <w:b/>
          <w:bCs/>
          <w:sz w:val="20"/>
          <w:szCs w:val="20"/>
        </w:rPr>
        <w:t>s</w:t>
      </w:r>
      <w:r w:rsidR="008E663A" w:rsidRPr="008E663A">
        <w:rPr>
          <w:rFonts w:ascii="Cambria" w:hAnsi="Cambria" w:cstheme="minorHAnsi"/>
          <w:b/>
          <w:bCs/>
          <w:sz w:val="20"/>
          <w:szCs w:val="20"/>
        </w:rPr>
        <w:t xml:space="preserve"> priorities for the current parliament and provides a strong inclusive platform for effective implementation and ownership by all partners:</w:t>
      </w:r>
      <w:r w:rsidR="008E663A">
        <w:rPr>
          <w:rFonts w:ascii="Cambria" w:hAnsi="Cambria" w:cstheme="minorHAnsi"/>
          <w:sz w:val="20"/>
          <w:szCs w:val="20"/>
        </w:rPr>
        <w:t xml:space="preserve">  </w:t>
      </w:r>
      <w:r w:rsidR="006B4BFE" w:rsidRPr="001B77B2">
        <w:rPr>
          <w:rFonts w:ascii="Cambria" w:hAnsi="Cambria" w:cstheme="minorHAnsi"/>
          <w:sz w:val="20"/>
          <w:szCs w:val="20"/>
        </w:rPr>
        <w:t xml:space="preserve">The consultative strategy adopted to formulate the PDAP provided an inclusive platform and a strong implementation modality by way of an Advisory Board and Project Board. </w:t>
      </w:r>
    </w:p>
    <w:p w14:paraId="1A8D39BD" w14:textId="77777777" w:rsidR="00E23F53" w:rsidRDefault="008F0893" w:rsidP="00081358">
      <w:pPr>
        <w:pStyle w:val="ListParagraph"/>
        <w:numPr>
          <w:ilvl w:val="0"/>
          <w:numId w:val="71"/>
        </w:numPr>
        <w:spacing w:line="360" w:lineRule="auto"/>
        <w:jc w:val="both"/>
        <w:rPr>
          <w:rFonts w:ascii="Cambria" w:hAnsi="Cambria" w:cstheme="minorHAnsi"/>
          <w:sz w:val="20"/>
          <w:szCs w:val="20"/>
        </w:rPr>
      </w:pPr>
      <w:r w:rsidRPr="008F0893">
        <w:rPr>
          <w:rFonts w:ascii="Cambria" w:hAnsi="Cambria" w:cstheme="minorHAnsi"/>
          <w:b/>
          <w:bCs/>
          <w:sz w:val="20"/>
          <w:szCs w:val="20"/>
        </w:rPr>
        <w:t>The current political and pandemic context will have a considerable impact on relevance and effectiveness of interventions during the second phase</w:t>
      </w:r>
      <w:r>
        <w:rPr>
          <w:rFonts w:ascii="Cambria" w:hAnsi="Cambria" w:cstheme="minorHAnsi"/>
          <w:sz w:val="20"/>
          <w:szCs w:val="20"/>
        </w:rPr>
        <w:t xml:space="preserve">: </w:t>
      </w:r>
      <w:r w:rsidRPr="001B77B2">
        <w:rPr>
          <w:rFonts w:ascii="Cambria" w:hAnsi="Cambria" w:cstheme="minorHAnsi"/>
          <w:sz w:val="20"/>
          <w:szCs w:val="20"/>
        </w:rPr>
        <w:t xml:space="preserve">Restrictions imposed by health and safety standards by reason of the pandemic and resulting priorities of the parliament will considerably affect the relevance of interventions and its effectiveness during the second phase of the Portfolio. </w:t>
      </w:r>
    </w:p>
    <w:p w14:paraId="0C04AB95" w14:textId="20DFA9AA" w:rsidR="008F0893" w:rsidRDefault="00E23F53" w:rsidP="00081358">
      <w:pPr>
        <w:pStyle w:val="ListParagraph"/>
        <w:numPr>
          <w:ilvl w:val="0"/>
          <w:numId w:val="71"/>
        </w:numPr>
        <w:spacing w:line="360" w:lineRule="auto"/>
        <w:jc w:val="both"/>
        <w:rPr>
          <w:rFonts w:ascii="Cambria" w:hAnsi="Cambria" w:cstheme="minorHAnsi"/>
          <w:sz w:val="20"/>
          <w:szCs w:val="20"/>
        </w:rPr>
      </w:pPr>
      <w:r w:rsidRPr="00E23F53">
        <w:rPr>
          <w:rFonts w:ascii="Cambria" w:hAnsi="Cambria" w:cstheme="minorHAnsi"/>
          <w:b/>
          <w:bCs/>
          <w:sz w:val="20"/>
          <w:szCs w:val="20"/>
        </w:rPr>
        <w:t xml:space="preserve">Interventions to improve </w:t>
      </w:r>
      <w:r w:rsidR="00D5630F">
        <w:rPr>
          <w:rFonts w:ascii="Cambria" w:hAnsi="Cambria" w:cstheme="minorHAnsi"/>
          <w:b/>
          <w:bCs/>
          <w:sz w:val="20"/>
          <w:szCs w:val="20"/>
        </w:rPr>
        <w:t xml:space="preserve">the </w:t>
      </w:r>
      <w:r w:rsidRPr="00E23F53">
        <w:rPr>
          <w:rFonts w:ascii="Cambria" w:hAnsi="Cambria" w:cstheme="minorHAnsi"/>
          <w:b/>
          <w:bCs/>
          <w:sz w:val="20"/>
          <w:szCs w:val="20"/>
        </w:rPr>
        <w:t xml:space="preserve">capacity of </w:t>
      </w:r>
      <w:r w:rsidR="00D5630F">
        <w:rPr>
          <w:rFonts w:ascii="Cambria" w:hAnsi="Cambria" w:cstheme="minorHAnsi"/>
          <w:b/>
          <w:bCs/>
          <w:sz w:val="20"/>
          <w:szCs w:val="20"/>
        </w:rPr>
        <w:t xml:space="preserve">the staff of </w:t>
      </w:r>
      <w:r w:rsidR="007306D8">
        <w:rPr>
          <w:rFonts w:ascii="Cambria" w:hAnsi="Cambria" w:cstheme="minorHAnsi"/>
          <w:b/>
          <w:bCs/>
          <w:sz w:val="20"/>
          <w:szCs w:val="20"/>
        </w:rPr>
        <w:t xml:space="preserve">the </w:t>
      </w:r>
      <w:r w:rsidR="00D5630F">
        <w:rPr>
          <w:rFonts w:ascii="Cambria" w:hAnsi="Cambria" w:cstheme="minorHAnsi"/>
          <w:b/>
          <w:bCs/>
          <w:sz w:val="20"/>
          <w:szCs w:val="20"/>
        </w:rPr>
        <w:t>P</w:t>
      </w:r>
      <w:r w:rsidR="007306D8">
        <w:rPr>
          <w:rFonts w:ascii="Cambria" w:hAnsi="Cambria" w:cstheme="minorHAnsi"/>
          <w:b/>
          <w:bCs/>
          <w:sz w:val="20"/>
          <w:szCs w:val="20"/>
        </w:rPr>
        <w:t xml:space="preserve">arliament </w:t>
      </w:r>
      <w:r w:rsidR="00D5630F">
        <w:rPr>
          <w:rFonts w:ascii="Cambria" w:hAnsi="Cambria" w:cstheme="minorHAnsi"/>
          <w:b/>
          <w:bCs/>
          <w:sz w:val="20"/>
          <w:szCs w:val="20"/>
        </w:rPr>
        <w:t>S</w:t>
      </w:r>
      <w:r w:rsidR="007306D8">
        <w:rPr>
          <w:rFonts w:ascii="Cambria" w:hAnsi="Cambria" w:cstheme="minorHAnsi"/>
          <w:b/>
          <w:bCs/>
          <w:sz w:val="20"/>
          <w:szCs w:val="20"/>
        </w:rPr>
        <w:t>ecretariat</w:t>
      </w:r>
      <w:r w:rsidR="00D5630F">
        <w:rPr>
          <w:rFonts w:ascii="Cambria" w:hAnsi="Cambria" w:cstheme="minorHAnsi"/>
          <w:b/>
          <w:bCs/>
          <w:sz w:val="20"/>
          <w:szCs w:val="20"/>
        </w:rPr>
        <w:t xml:space="preserve"> (middle management) </w:t>
      </w:r>
      <w:r w:rsidRPr="00E23F53">
        <w:rPr>
          <w:rFonts w:ascii="Cambria" w:hAnsi="Cambria" w:cstheme="minorHAnsi"/>
          <w:b/>
          <w:bCs/>
          <w:sz w:val="20"/>
          <w:szCs w:val="20"/>
        </w:rPr>
        <w:t>was relevant</w:t>
      </w:r>
      <w:r w:rsidR="00D5630F">
        <w:rPr>
          <w:rFonts w:ascii="Cambria" w:hAnsi="Cambria" w:cstheme="minorHAnsi"/>
          <w:b/>
          <w:bCs/>
          <w:sz w:val="20"/>
          <w:szCs w:val="20"/>
        </w:rPr>
        <w:t>, e</w:t>
      </w:r>
      <w:r w:rsidRPr="00E23F53">
        <w:rPr>
          <w:rFonts w:ascii="Cambria" w:hAnsi="Cambria" w:cstheme="minorHAnsi"/>
          <w:b/>
          <w:bCs/>
          <w:sz w:val="20"/>
          <w:szCs w:val="20"/>
        </w:rPr>
        <w:t xml:space="preserve">ffective, efficient and sustainable: </w:t>
      </w:r>
      <w:r w:rsidRPr="001B77B2">
        <w:rPr>
          <w:rFonts w:ascii="Cambria" w:hAnsi="Cambria" w:cstheme="minorHAnsi"/>
          <w:sz w:val="20"/>
          <w:szCs w:val="20"/>
        </w:rPr>
        <w:t>The investment in human development of the PS through capacity building has proven to be effective not only to assure success of investments in structural, process and systems development but also in changing mind sets of different stakeholders</w:t>
      </w:r>
      <w:r w:rsidR="00D5630F">
        <w:rPr>
          <w:rFonts w:ascii="Cambria" w:hAnsi="Cambria" w:cstheme="minorHAnsi"/>
          <w:sz w:val="20"/>
          <w:szCs w:val="20"/>
        </w:rPr>
        <w:t xml:space="preserve">. </w:t>
      </w:r>
    </w:p>
    <w:p w14:paraId="4E963D6C" w14:textId="244301A6" w:rsidR="00EE4C88" w:rsidRDefault="00EE4C88" w:rsidP="00081358">
      <w:pPr>
        <w:pStyle w:val="ListParagraph"/>
        <w:numPr>
          <w:ilvl w:val="0"/>
          <w:numId w:val="71"/>
        </w:numPr>
        <w:spacing w:line="360" w:lineRule="auto"/>
        <w:jc w:val="both"/>
        <w:rPr>
          <w:rFonts w:ascii="Cambria" w:hAnsi="Cambria" w:cstheme="minorHAnsi"/>
          <w:sz w:val="20"/>
          <w:szCs w:val="20"/>
        </w:rPr>
      </w:pPr>
      <w:r w:rsidRPr="00F37048">
        <w:rPr>
          <w:rFonts w:ascii="Cambria" w:hAnsi="Cambria" w:cstheme="minorHAnsi"/>
          <w:b/>
          <w:bCs/>
          <w:sz w:val="20"/>
          <w:szCs w:val="20"/>
        </w:rPr>
        <w:t>There are risks and challenges working with parliament as a result of the 20</w:t>
      </w:r>
      <w:r w:rsidRPr="00F37048">
        <w:rPr>
          <w:rFonts w:ascii="Cambria" w:hAnsi="Cambria" w:cstheme="minorHAnsi"/>
          <w:b/>
          <w:bCs/>
          <w:sz w:val="20"/>
          <w:szCs w:val="20"/>
          <w:vertAlign w:val="superscript"/>
        </w:rPr>
        <w:t>th</w:t>
      </w:r>
      <w:r w:rsidRPr="00F37048">
        <w:rPr>
          <w:rFonts w:ascii="Cambria" w:hAnsi="Cambria" w:cstheme="minorHAnsi"/>
          <w:b/>
          <w:bCs/>
          <w:sz w:val="20"/>
          <w:szCs w:val="20"/>
        </w:rPr>
        <w:t xml:space="preserve"> Amendment: </w:t>
      </w:r>
      <w:r w:rsidRPr="001B77B2">
        <w:rPr>
          <w:rFonts w:ascii="Cambria" w:hAnsi="Cambria" w:cstheme="minorHAnsi"/>
          <w:sz w:val="20"/>
          <w:szCs w:val="20"/>
        </w:rPr>
        <w:t>The position of parliament was severely weakened by the 20</w:t>
      </w:r>
      <w:r w:rsidRPr="001B77B2">
        <w:rPr>
          <w:rFonts w:ascii="Cambria" w:hAnsi="Cambria" w:cstheme="minorHAnsi"/>
          <w:sz w:val="20"/>
          <w:szCs w:val="20"/>
          <w:vertAlign w:val="superscript"/>
        </w:rPr>
        <w:t>th</w:t>
      </w:r>
      <w:r w:rsidRPr="001B77B2">
        <w:rPr>
          <w:rFonts w:ascii="Cambria" w:hAnsi="Cambria" w:cstheme="minorHAnsi"/>
          <w:sz w:val="20"/>
          <w:szCs w:val="20"/>
        </w:rPr>
        <w:t xml:space="preserve"> Amendment and the lack of equal and inclusive representation in parliament only exacerbates the situation.</w:t>
      </w:r>
    </w:p>
    <w:p w14:paraId="39A2F19B" w14:textId="31AA2F53" w:rsidR="007306D8" w:rsidRDefault="007306D8" w:rsidP="00081358">
      <w:pPr>
        <w:pStyle w:val="ListParagraph"/>
        <w:numPr>
          <w:ilvl w:val="0"/>
          <w:numId w:val="71"/>
        </w:numPr>
        <w:spacing w:line="360" w:lineRule="auto"/>
        <w:jc w:val="both"/>
        <w:rPr>
          <w:rFonts w:ascii="Cambria" w:hAnsi="Cambria" w:cstheme="minorHAnsi"/>
          <w:sz w:val="20"/>
          <w:szCs w:val="20"/>
        </w:rPr>
      </w:pPr>
      <w:r w:rsidRPr="007306D8">
        <w:rPr>
          <w:rFonts w:ascii="Cambria" w:hAnsi="Cambria" w:cstheme="minorHAnsi"/>
          <w:b/>
          <w:bCs/>
          <w:sz w:val="20"/>
          <w:szCs w:val="20"/>
        </w:rPr>
        <w:t>The Portfolio did not allocate sufficient resources to improve capacity of CSOs</w:t>
      </w:r>
      <w:r w:rsidR="002A0B29">
        <w:rPr>
          <w:rFonts w:ascii="Cambria" w:hAnsi="Cambria" w:cstheme="minorHAnsi"/>
          <w:b/>
          <w:bCs/>
          <w:sz w:val="20"/>
          <w:szCs w:val="20"/>
        </w:rPr>
        <w:t xml:space="preserve">: </w:t>
      </w:r>
      <w:r w:rsidRPr="001B77B2">
        <w:rPr>
          <w:rFonts w:ascii="Cambria" w:hAnsi="Cambria" w:cstheme="minorHAnsi"/>
          <w:sz w:val="20"/>
          <w:szCs w:val="20"/>
        </w:rPr>
        <w:t xml:space="preserve">Despite strong focus on design, the Output was relatively weak due to its inability to adequately respond and reach targeted vulnerable groups directly or through CSOs, media and other institutions. This </w:t>
      </w:r>
      <w:r w:rsidR="002A4F6F">
        <w:rPr>
          <w:rFonts w:ascii="Cambria" w:hAnsi="Cambria" w:cstheme="minorHAnsi"/>
          <w:sz w:val="20"/>
          <w:szCs w:val="20"/>
        </w:rPr>
        <w:t xml:space="preserve">is </w:t>
      </w:r>
      <w:r w:rsidRPr="001B77B2">
        <w:rPr>
          <w:rFonts w:ascii="Cambria" w:hAnsi="Cambria" w:cstheme="minorHAnsi"/>
          <w:sz w:val="20"/>
          <w:szCs w:val="20"/>
        </w:rPr>
        <w:t>exacerbated by the general perception of civil society</w:t>
      </w:r>
      <w:r w:rsidR="002A4F6F">
        <w:rPr>
          <w:rFonts w:ascii="Cambria" w:hAnsi="Cambria" w:cstheme="minorHAnsi"/>
          <w:sz w:val="20"/>
          <w:szCs w:val="20"/>
        </w:rPr>
        <w:t>,</w:t>
      </w:r>
      <w:r w:rsidRPr="001B77B2">
        <w:rPr>
          <w:rFonts w:ascii="Cambria" w:hAnsi="Cambria" w:cstheme="minorHAnsi"/>
          <w:sz w:val="20"/>
          <w:szCs w:val="20"/>
        </w:rPr>
        <w:t xml:space="preserve"> not </w:t>
      </w:r>
      <w:r w:rsidRPr="001B77B2">
        <w:rPr>
          <w:rFonts w:ascii="Cambria" w:hAnsi="Cambria" w:cstheme="minorHAnsi"/>
          <w:bCs/>
          <w:sz w:val="20"/>
          <w:szCs w:val="20"/>
          <w:lang w:val="en-GB"/>
        </w:rPr>
        <w:t>considering parliament as a formidable forum for policy engagement</w:t>
      </w:r>
      <w:r w:rsidR="002A4F6F">
        <w:rPr>
          <w:rFonts w:ascii="Cambria" w:hAnsi="Cambria" w:cstheme="minorHAnsi"/>
          <w:bCs/>
          <w:sz w:val="20"/>
          <w:szCs w:val="20"/>
          <w:lang w:val="en-GB"/>
        </w:rPr>
        <w:t>,</w:t>
      </w:r>
      <w:r w:rsidRPr="001B77B2">
        <w:rPr>
          <w:rFonts w:ascii="Cambria" w:hAnsi="Cambria" w:cstheme="minorHAnsi"/>
          <w:bCs/>
          <w:sz w:val="20"/>
          <w:szCs w:val="20"/>
          <w:lang w:val="en-GB"/>
        </w:rPr>
        <w:t xml:space="preserve"> despite it being the main repository of legislative power of the people.</w:t>
      </w:r>
    </w:p>
    <w:p w14:paraId="57035406" w14:textId="77777777" w:rsidR="007F4F15" w:rsidRDefault="007F4F15" w:rsidP="007F4F15">
      <w:pPr>
        <w:pStyle w:val="ListParagraph"/>
        <w:spacing w:line="360" w:lineRule="auto"/>
        <w:ind w:left="360"/>
        <w:jc w:val="both"/>
        <w:rPr>
          <w:rFonts w:ascii="Cambria" w:hAnsi="Cambria" w:cstheme="minorHAnsi"/>
          <w:sz w:val="20"/>
          <w:szCs w:val="20"/>
        </w:rPr>
      </w:pPr>
    </w:p>
    <w:p w14:paraId="5BF97523" w14:textId="77777777" w:rsidR="006B4BFE" w:rsidRPr="001B77B2" w:rsidRDefault="006B4BFE" w:rsidP="00081358">
      <w:pPr>
        <w:pStyle w:val="ListParagraph"/>
        <w:numPr>
          <w:ilvl w:val="0"/>
          <w:numId w:val="70"/>
        </w:numPr>
        <w:spacing w:line="360" w:lineRule="auto"/>
        <w:jc w:val="both"/>
        <w:rPr>
          <w:rFonts w:ascii="Cambria" w:hAnsi="Cambria" w:cs="Arial"/>
          <w:b/>
          <w:bCs/>
        </w:rPr>
      </w:pPr>
      <w:r w:rsidRPr="001B77B2">
        <w:rPr>
          <w:rFonts w:ascii="Cambria" w:hAnsi="Cambria" w:cs="Arial"/>
          <w:b/>
          <w:bCs/>
        </w:rPr>
        <w:t>Independent Commissions</w:t>
      </w:r>
    </w:p>
    <w:p w14:paraId="0C0FB967" w14:textId="77777777" w:rsidR="006B4BFE" w:rsidRPr="001B77B2" w:rsidRDefault="006B4BFE" w:rsidP="006B4BFE">
      <w:pPr>
        <w:pStyle w:val="ListParagraph"/>
        <w:spacing w:line="360" w:lineRule="auto"/>
        <w:jc w:val="both"/>
        <w:rPr>
          <w:rFonts w:ascii="Cambria" w:hAnsi="Cambria" w:cs="Arial"/>
          <w:b/>
          <w:bCs/>
          <w:sz w:val="20"/>
          <w:szCs w:val="20"/>
        </w:rPr>
      </w:pPr>
    </w:p>
    <w:p w14:paraId="65A6961D" w14:textId="4DE2B5F7" w:rsidR="00743888" w:rsidRDefault="00743888" w:rsidP="00081358">
      <w:pPr>
        <w:pStyle w:val="ListParagraph"/>
        <w:numPr>
          <w:ilvl w:val="0"/>
          <w:numId w:val="72"/>
        </w:numPr>
        <w:spacing w:after="200" w:line="360" w:lineRule="auto"/>
        <w:jc w:val="both"/>
        <w:rPr>
          <w:rFonts w:ascii="Cambria" w:hAnsi="Cambria" w:cs="Calibri"/>
          <w:bCs/>
          <w:sz w:val="20"/>
          <w:szCs w:val="20"/>
          <w:lang w:val="en-GB"/>
        </w:rPr>
      </w:pPr>
      <w:r w:rsidRPr="00743888">
        <w:rPr>
          <w:rFonts w:ascii="Cambria" w:hAnsi="Cambria" w:cs="Calibri"/>
          <w:b/>
          <w:sz w:val="20"/>
          <w:szCs w:val="20"/>
          <w:lang w:val="en-GB"/>
        </w:rPr>
        <w:lastRenderedPageBreak/>
        <w:t>High level responsiveness to targeted activities from the Chairperson and the Members of the Commissions:</w:t>
      </w:r>
      <w:r>
        <w:rPr>
          <w:rFonts w:ascii="Cambria" w:hAnsi="Cambria" w:cs="Calibri"/>
          <w:bCs/>
          <w:sz w:val="20"/>
          <w:szCs w:val="20"/>
          <w:lang w:val="en-GB"/>
        </w:rPr>
        <w:t xml:space="preserve"> High level responsiveness to targeted activities from the Chairperson and the Members of the Commissions of the all three commissions has pushed forward momentum, in implementation and continued relevance of the interventions. </w:t>
      </w:r>
    </w:p>
    <w:p w14:paraId="5A84ED2C" w14:textId="40966B7E" w:rsidR="006A7F69" w:rsidRPr="00431E5B" w:rsidRDefault="006B4BFE" w:rsidP="00081358">
      <w:pPr>
        <w:pStyle w:val="ListParagraph"/>
        <w:numPr>
          <w:ilvl w:val="0"/>
          <w:numId w:val="72"/>
        </w:numPr>
        <w:spacing w:after="200" w:line="360" w:lineRule="auto"/>
        <w:jc w:val="both"/>
        <w:rPr>
          <w:rFonts w:ascii="Cambria" w:hAnsi="Cambria" w:cs="Calibri"/>
          <w:bCs/>
          <w:sz w:val="20"/>
          <w:szCs w:val="20"/>
          <w:lang w:val="en-GB"/>
        </w:rPr>
      </w:pPr>
      <w:r w:rsidRPr="005C469A">
        <w:rPr>
          <w:rFonts w:ascii="Cambria" w:hAnsi="Cambria" w:cs="Calibri"/>
          <w:b/>
          <w:sz w:val="20"/>
          <w:szCs w:val="20"/>
          <w:lang w:val="en-GB"/>
        </w:rPr>
        <w:t>The 20</w:t>
      </w:r>
      <w:r w:rsidRPr="005C469A">
        <w:rPr>
          <w:rFonts w:ascii="Cambria" w:hAnsi="Cambria" w:cs="Calibri"/>
          <w:b/>
          <w:sz w:val="20"/>
          <w:szCs w:val="20"/>
          <w:vertAlign w:val="superscript"/>
          <w:lang w:val="en-GB"/>
        </w:rPr>
        <w:t>th</w:t>
      </w:r>
      <w:r w:rsidRPr="005C469A">
        <w:rPr>
          <w:rFonts w:ascii="Cambria" w:hAnsi="Cambria" w:cs="Calibri"/>
          <w:b/>
          <w:sz w:val="20"/>
          <w:szCs w:val="20"/>
          <w:lang w:val="en-GB"/>
        </w:rPr>
        <w:t xml:space="preserve"> amendment</w:t>
      </w:r>
      <w:r w:rsidR="009108C4" w:rsidRPr="005C469A">
        <w:rPr>
          <w:rFonts w:ascii="Cambria" w:hAnsi="Cambria" w:cs="Calibri"/>
          <w:b/>
          <w:sz w:val="20"/>
          <w:szCs w:val="20"/>
          <w:lang w:val="en-GB"/>
        </w:rPr>
        <w:t>,</w:t>
      </w:r>
      <w:r w:rsidRPr="005C469A">
        <w:rPr>
          <w:rFonts w:ascii="Cambria" w:hAnsi="Cambria" w:cs="Calibri"/>
          <w:b/>
          <w:sz w:val="20"/>
          <w:szCs w:val="20"/>
          <w:lang w:val="en-GB"/>
        </w:rPr>
        <w:t xml:space="preserve"> the abolition of the CC and current suspension of ICs </w:t>
      </w:r>
      <w:r w:rsidR="005C469A">
        <w:rPr>
          <w:rFonts w:ascii="Cambria" w:hAnsi="Cambria" w:cs="Calibri"/>
          <w:b/>
          <w:sz w:val="20"/>
          <w:szCs w:val="20"/>
          <w:lang w:val="en-GB"/>
        </w:rPr>
        <w:t xml:space="preserve">is </w:t>
      </w:r>
      <w:r w:rsidRPr="005C469A">
        <w:rPr>
          <w:rFonts w:ascii="Cambria" w:hAnsi="Cambria" w:cs="Calibri"/>
          <w:b/>
          <w:sz w:val="20"/>
          <w:szCs w:val="20"/>
          <w:lang w:val="en-GB"/>
        </w:rPr>
        <w:t>a serious impediment to the continuation of interventions as well as a serious risk to improving the accountability and inclusivity of ICs by strengthening their core functions</w:t>
      </w:r>
      <w:r w:rsidR="005C469A">
        <w:rPr>
          <w:rFonts w:ascii="Cambria" w:hAnsi="Cambria" w:cs="Calibri"/>
          <w:b/>
          <w:sz w:val="20"/>
          <w:szCs w:val="20"/>
          <w:lang w:val="en-GB"/>
        </w:rPr>
        <w:t>:</w:t>
      </w:r>
      <w:r w:rsidRPr="005C469A">
        <w:rPr>
          <w:rFonts w:ascii="Cambria" w:hAnsi="Cambria" w:cs="Calibri"/>
          <w:b/>
          <w:sz w:val="20"/>
          <w:szCs w:val="20"/>
          <w:lang w:val="en-GB"/>
        </w:rPr>
        <w:t xml:space="preserve"> </w:t>
      </w:r>
      <w:r w:rsidRPr="001B77B2">
        <w:rPr>
          <w:rFonts w:ascii="Cambria" w:hAnsi="Cambria" w:cs="Calibri"/>
          <w:bCs/>
          <w:sz w:val="20"/>
          <w:szCs w:val="20"/>
          <w:lang w:val="en-GB"/>
        </w:rPr>
        <w:t>The 20</w:t>
      </w:r>
      <w:r w:rsidRPr="001B77B2">
        <w:rPr>
          <w:rFonts w:ascii="Cambria" w:hAnsi="Cambria" w:cs="Calibri"/>
          <w:bCs/>
          <w:sz w:val="20"/>
          <w:szCs w:val="20"/>
          <w:vertAlign w:val="superscript"/>
          <w:lang w:val="en-GB"/>
        </w:rPr>
        <w:t>th</w:t>
      </w:r>
      <w:r w:rsidRPr="001B77B2">
        <w:rPr>
          <w:rFonts w:ascii="Cambria" w:hAnsi="Cambria" w:cs="Calibri"/>
          <w:bCs/>
          <w:sz w:val="20"/>
          <w:szCs w:val="20"/>
          <w:lang w:val="en-GB"/>
        </w:rPr>
        <w:t xml:space="preserve"> Amendment repealed and replaced the Constitutional Council with a much weaker Parliamentary Council. In essence, the Parliamentary Council may function as a body that rubber stamps executive decisions. This is compounded by the fact that the members appointed to the Parliamentary Council comprise solely of MPs unlike the previous council which had representations of eminent members of the civil society. Therefore, the Portfolio faces a dilemma</w:t>
      </w:r>
      <w:r w:rsidR="006A7F69">
        <w:rPr>
          <w:rFonts w:ascii="Cambria" w:hAnsi="Cambria" w:cs="Calibri"/>
          <w:bCs/>
          <w:sz w:val="20"/>
          <w:szCs w:val="20"/>
          <w:lang w:val="en-GB"/>
        </w:rPr>
        <w:t>,</w:t>
      </w:r>
      <w:r w:rsidRPr="001B77B2">
        <w:rPr>
          <w:rFonts w:ascii="Cambria" w:hAnsi="Cambria" w:cs="Calibri"/>
          <w:bCs/>
          <w:sz w:val="20"/>
          <w:szCs w:val="20"/>
          <w:lang w:val="en-GB"/>
        </w:rPr>
        <w:t xml:space="preserve"> having t</w:t>
      </w:r>
      <w:r w:rsidRPr="001B77B2">
        <w:rPr>
          <w:rFonts w:ascii="Cambria" w:eastAsia="Times New Roman" w:hAnsi="Cambria" w:cs="Arial"/>
          <w:sz w:val="20"/>
          <w:szCs w:val="20"/>
        </w:rPr>
        <w:t xml:space="preserve">o work within confined parameters to strengthen structurally and conceptually weak </w:t>
      </w:r>
      <w:r w:rsidRPr="00431E5B">
        <w:rPr>
          <w:rFonts w:ascii="Cambria" w:eastAsia="Times New Roman" w:hAnsi="Cambria" w:cs="Arial"/>
          <w:sz w:val="20"/>
          <w:szCs w:val="20"/>
        </w:rPr>
        <w:t>institutions. However, for pragmatic reasons it is recommended that</w:t>
      </w:r>
      <w:r w:rsidR="006A7F69" w:rsidRPr="00431E5B">
        <w:rPr>
          <w:rFonts w:ascii="Cambria" w:eastAsia="Times New Roman" w:hAnsi="Cambria" w:cs="Arial"/>
          <w:sz w:val="20"/>
          <w:szCs w:val="20"/>
        </w:rPr>
        <w:t>,</w:t>
      </w:r>
      <w:r w:rsidRPr="00431E5B">
        <w:rPr>
          <w:rFonts w:ascii="Cambria" w:eastAsia="Times New Roman" w:hAnsi="Cambria" w:cs="Arial"/>
          <w:sz w:val="20"/>
          <w:szCs w:val="20"/>
        </w:rPr>
        <w:t xml:space="preserve"> the Portfolio continue to engage these institutions</w:t>
      </w:r>
      <w:r w:rsidR="006A7F69" w:rsidRPr="00431E5B">
        <w:rPr>
          <w:rFonts w:ascii="Cambria" w:eastAsia="Times New Roman" w:hAnsi="Cambria" w:cs="Arial"/>
          <w:sz w:val="20"/>
          <w:szCs w:val="20"/>
        </w:rPr>
        <w:t>,</w:t>
      </w:r>
      <w:r w:rsidRPr="00431E5B">
        <w:rPr>
          <w:rFonts w:ascii="Cambria" w:eastAsia="Times New Roman" w:hAnsi="Cambria" w:cs="Arial"/>
          <w:sz w:val="20"/>
          <w:szCs w:val="20"/>
        </w:rPr>
        <w:t xml:space="preserve"> especially with the HRC and RTIC at different levels. </w:t>
      </w:r>
    </w:p>
    <w:p w14:paraId="4A5568C2" w14:textId="587FA18F" w:rsidR="006B4BFE" w:rsidRPr="00857C74" w:rsidRDefault="00857C74" w:rsidP="003B3771">
      <w:pPr>
        <w:pStyle w:val="ListParagraph"/>
        <w:numPr>
          <w:ilvl w:val="0"/>
          <w:numId w:val="22"/>
        </w:numPr>
        <w:spacing w:after="200" w:line="360" w:lineRule="auto"/>
        <w:jc w:val="both"/>
        <w:rPr>
          <w:rFonts w:ascii="Cambria" w:hAnsi="Cambria" w:cs="Arial"/>
          <w:sz w:val="20"/>
          <w:szCs w:val="20"/>
          <w:highlight w:val="cyan"/>
        </w:rPr>
      </w:pPr>
      <w:r w:rsidRPr="00431E5B">
        <w:rPr>
          <w:rFonts w:ascii="Cambria" w:hAnsi="Cambria" w:cstheme="minorHAnsi"/>
          <w:b/>
          <w:bCs/>
          <w:sz w:val="20"/>
          <w:szCs w:val="20"/>
        </w:rPr>
        <w:t>The current political and pandemic context will have a considerable impact on relevance and effectiveness of</w:t>
      </w:r>
      <w:r w:rsidRPr="00857C74">
        <w:rPr>
          <w:rFonts w:ascii="Cambria" w:hAnsi="Cambria" w:cstheme="minorHAnsi"/>
          <w:b/>
          <w:bCs/>
          <w:sz w:val="20"/>
          <w:szCs w:val="20"/>
        </w:rPr>
        <w:t xml:space="preserve"> interventions during the second phase</w:t>
      </w:r>
      <w:r w:rsidRPr="00857C74">
        <w:rPr>
          <w:rFonts w:ascii="Cambria" w:hAnsi="Cambria" w:cstheme="minorHAnsi"/>
          <w:sz w:val="20"/>
          <w:szCs w:val="20"/>
        </w:rPr>
        <w:t xml:space="preserve">: </w:t>
      </w:r>
      <w:r w:rsidR="006B4BFE" w:rsidRPr="00857C74">
        <w:rPr>
          <w:rFonts w:ascii="Cambria" w:hAnsi="Cambria" w:cs="Arial"/>
          <w:sz w:val="20"/>
          <w:szCs w:val="20"/>
        </w:rPr>
        <w:t>Apart from the 20</w:t>
      </w:r>
      <w:r w:rsidR="006B4BFE" w:rsidRPr="00857C74">
        <w:rPr>
          <w:rFonts w:ascii="Cambria" w:hAnsi="Cambria" w:cs="Arial"/>
          <w:sz w:val="20"/>
          <w:szCs w:val="20"/>
          <w:vertAlign w:val="superscript"/>
        </w:rPr>
        <w:t>th</w:t>
      </w:r>
      <w:r w:rsidR="006B4BFE" w:rsidRPr="00857C74">
        <w:rPr>
          <w:rFonts w:ascii="Cambria" w:hAnsi="Cambria" w:cs="Arial"/>
          <w:sz w:val="20"/>
          <w:szCs w:val="20"/>
        </w:rPr>
        <w:t xml:space="preserve"> Amendment, the pandemic will pose severe restrictions in the second phase</w:t>
      </w:r>
      <w:r>
        <w:rPr>
          <w:rFonts w:ascii="Cambria" w:hAnsi="Cambria" w:cs="Arial"/>
          <w:sz w:val="20"/>
          <w:szCs w:val="20"/>
        </w:rPr>
        <w:t>,</w:t>
      </w:r>
      <w:r w:rsidR="006B4BFE" w:rsidRPr="00857C74">
        <w:rPr>
          <w:rFonts w:ascii="Cambria" w:hAnsi="Cambria" w:cs="Arial"/>
          <w:sz w:val="20"/>
          <w:szCs w:val="20"/>
        </w:rPr>
        <w:t xml:space="preserve"> as proven from the delays and constraints suffered by the commissions</w:t>
      </w:r>
      <w:r>
        <w:rPr>
          <w:rFonts w:ascii="Cambria" w:hAnsi="Cambria" w:cs="Arial"/>
          <w:sz w:val="20"/>
          <w:szCs w:val="20"/>
        </w:rPr>
        <w:t>,</w:t>
      </w:r>
      <w:r w:rsidR="006B4BFE" w:rsidRPr="00857C74">
        <w:rPr>
          <w:rFonts w:ascii="Cambria" w:hAnsi="Cambria" w:cs="Arial"/>
          <w:sz w:val="20"/>
          <w:szCs w:val="20"/>
        </w:rPr>
        <w:t xml:space="preserve"> during the first phase. The commissions were only able to conduct inquiries through documentation and had to severely limit or completely stop all applications that required applicants appearing in person. Although the RTIC has </w:t>
      </w:r>
      <w:r>
        <w:rPr>
          <w:rFonts w:ascii="Cambria" w:hAnsi="Cambria" w:cs="Arial"/>
          <w:sz w:val="20"/>
          <w:szCs w:val="20"/>
        </w:rPr>
        <w:t xml:space="preserve">a </w:t>
      </w:r>
      <w:r w:rsidR="006B4BFE" w:rsidRPr="00857C74">
        <w:rPr>
          <w:rFonts w:ascii="Cambria" w:hAnsi="Cambria" w:cs="Arial"/>
          <w:sz w:val="20"/>
          <w:szCs w:val="20"/>
        </w:rPr>
        <w:t xml:space="preserve">system in place to conduct online applications, it was not effectively used during the pandemic. Other commissions were constrained </w:t>
      </w:r>
      <w:r>
        <w:rPr>
          <w:rFonts w:ascii="Cambria" w:hAnsi="Cambria" w:cs="Arial"/>
          <w:sz w:val="20"/>
          <w:szCs w:val="20"/>
        </w:rPr>
        <w:t xml:space="preserve">as well, </w:t>
      </w:r>
      <w:r w:rsidR="006B4BFE" w:rsidRPr="00857C74">
        <w:rPr>
          <w:rFonts w:ascii="Cambria" w:hAnsi="Cambria" w:cs="Arial"/>
          <w:sz w:val="20"/>
          <w:szCs w:val="20"/>
        </w:rPr>
        <w:t xml:space="preserve">since digitisation of case management is still ongoing. </w:t>
      </w:r>
    </w:p>
    <w:p w14:paraId="4F5A5B38" w14:textId="77777777" w:rsidR="00857C74" w:rsidRPr="00857C74" w:rsidRDefault="006B4BFE" w:rsidP="00857C74">
      <w:pPr>
        <w:pStyle w:val="BodyText"/>
        <w:numPr>
          <w:ilvl w:val="0"/>
          <w:numId w:val="22"/>
        </w:numPr>
        <w:spacing w:line="360" w:lineRule="auto"/>
        <w:jc w:val="both"/>
        <w:rPr>
          <w:rFonts w:ascii="Cambria" w:hAnsi="Cambria" w:cs="Calibri"/>
          <w:bCs/>
          <w:sz w:val="20"/>
          <w:szCs w:val="20"/>
          <w:lang w:val="en-GB"/>
        </w:rPr>
      </w:pPr>
      <w:r w:rsidRPr="00857C74">
        <w:rPr>
          <w:rFonts w:ascii="Cambria" w:hAnsi="Cambria" w:cs="Calibri"/>
          <w:b/>
          <w:sz w:val="20"/>
          <w:szCs w:val="20"/>
          <w:lang w:val="en-GB"/>
        </w:rPr>
        <w:t>Independent Commissions</w:t>
      </w:r>
      <w:r w:rsidR="00857C74" w:rsidRPr="00857C74">
        <w:rPr>
          <w:rFonts w:ascii="Cambria" w:hAnsi="Cambria" w:cs="Calibri"/>
          <w:b/>
          <w:sz w:val="20"/>
          <w:szCs w:val="20"/>
          <w:lang w:val="en-GB"/>
        </w:rPr>
        <w:t xml:space="preserve">, </w:t>
      </w:r>
      <w:r w:rsidRPr="00857C74">
        <w:rPr>
          <w:rFonts w:ascii="Cambria" w:hAnsi="Cambria" w:cs="Calibri"/>
          <w:b/>
          <w:sz w:val="20"/>
          <w:szCs w:val="20"/>
          <w:lang w:val="en-GB"/>
        </w:rPr>
        <w:t>identified as a partner to contribute towards research and policy development in the country based on their expertise and practical knowledge</w:t>
      </w:r>
      <w:r w:rsidR="00857C74" w:rsidRPr="00857C74">
        <w:rPr>
          <w:rFonts w:ascii="Cambria" w:hAnsi="Cambria" w:cs="Calibri"/>
          <w:b/>
          <w:sz w:val="20"/>
          <w:szCs w:val="20"/>
          <w:lang w:val="en-GB"/>
        </w:rPr>
        <w:t>,</w:t>
      </w:r>
      <w:r w:rsidRPr="00857C74">
        <w:rPr>
          <w:rFonts w:ascii="Cambria" w:hAnsi="Cambria" w:cs="Calibri"/>
          <w:b/>
          <w:sz w:val="20"/>
          <w:szCs w:val="20"/>
          <w:lang w:val="en-GB"/>
        </w:rPr>
        <w:t xml:space="preserve"> was relevant and proved to be an efficient use of resources.</w:t>
      </w:r>
      <w:r w:rsidR="00857C74" w:rsidRPr="00857C74">
        <w:rPr>
          <w:rFonts w:ascii="Cambria" w:hAnsi="Cambria" w:cs="Calibri"/>
          <w:bCs/>
          <w:sz w:val="20"/>
          <w:szCs w:val="20"/>
          <w:lang w:val="en-GB"/>
        </w:rPr>
        <w:t xml:space="preserve">: During the first phase, NPC initiated and provided valuable input into several important gender studies namely, the Gender Gap Analysis of 42 Police stations, particularly the Women and Children’s Bureau (WCB), The Study on Barriers faced by Women Police Officers, particularly on issues relating to promotions, and the research conducted to develop Gender Standards for the NPC. The HRC too contributed to complete a Prisons Study as part of their mandate to monitor detention centres. </w:t>
      </w:r>
    </w:p>
    <w:p w14:paraId="3401A6CF" w14:textId="1AA28DC1" w:rsidR="006B4BFE" w:rsidRPr="001B77B2" w:rsidRDefault="005B6182" w:rsidP="006B4BFE">
      <w:pPr>
        <w:pStyle w:val="ListParagraph"/>
        <w:numPr>
          <w:ilvl w:val="0"/>
          <w:numId w:val="22"/>
        </w:numPr>
        <w:spacing w:line="360" w:lineRule="auto"/>
        <w:jc w:val="both"/>
        <w:rPr>
          <w:rFonts w:ascii="Cambria" w:hAnsi="Cambria" w:cs="Arial"/>
          <w:sz w:val="20"/>
          <w:szCs w:val="20"/>
        </w:rPr>
      </w:pPr>
      <w:r w:rsidRPr="005B6182">
        <w:rPr>
          <w:rFonts w:ascii="Cambria" w:hAnsi="Cambria" w:cs="Calibri"/>
          <w:b/>
          <w:sz w:val="20"/>
          <w:szCs w:val="20"/>
          <w:lang w:val="en-GB"/>
        </w:rPr>
        <w:t>The National Police Commission is/will be the most adversely affected commission under the 20</w:t>
      </w:r>
      <w:r w:rsidRPr="005B6182">
        <w:rPr>
          <w:rFonts w:ascii="Cambria" w:hAnsi="Cambria" w:cs="Calibri"/>
          <w:b/>
          <w:sz w:val="20"/>
          <w:szCs w:val="20"/>
          <w:vertAlign w:val="superscript"/>
          <w:lang w:val="en-GB"/>
        </w:rPr>
        <w:t>th</w:t>
      </w:r>
      <w:r w:rsidRPr="005B6182">
        <w:rPr>
          <w:rFonts w:ascii="Cambria" w:hAnsi="Cambria" w:cs="Calibri"/>
          <w:b/>
          <w:sz w:val="20"/>
          <w:szCs w:val="20"/>
          <w:lang w:val="en-GB"/>
        </w:rPr>
        <w:t xml:space="preserve"> Amendment: </w:t>
      </w:r>
      <w:r>
        <w:rPr>
          <w:rFonts w:ascii="Cambria" w:hAnsi="Cambria" w:cs="Calibri"/>
          <w:bCs/>
          <w:sz w:val="20"/>
          <w:szCs w:val="20"/>
          <w:lang w:val="en-GB"/>
        </w:rPr>
        <w:t>T</w:t>
      </w:r>
      <w:r w:rsidR="006B4BFE" w:rsidRPr="001B77B2">
        <w:rPr>
          <w:rFonts w:ascii="Cambria" w:hAnsi="Cambria" w:cs="Calibri"/>
          <w:bCs/>
          <w:sz w:val="20"/>
          <w:szCs w:val="20"/>
          <w:lang w:val="en-GB"/>
        </w:rPr>
        <w:t xml:space="preserve">he essential powers and functions of the HRC </w:t>
      </w:r>
      <w:r>
        <w:rPr>
          <w:rFonts w:ascii="Cambria" w:hAnsi="Cambria" w:cs="Calibri"/>
          <w:bCs/>
          <w:sz w:val="20"/>
          <w:szCs w:val="20"/>
          <w:lang w:val="en-GB"/>
        </w:rPr>
        <w:t xml:space="preserve">will </w:t>
      </w:r>
      <w:r w:rsidR="006B4BFE" w:rsidRPr="001B77B2">
        <w:rPr>
          <w:rFonts w:ascii="Cambria" w:hAnsi="Cambria" w:cs="Calibri"/>
          <w:bCs/>
          <w:sz w:val="20"/>
          <w:szCs w:val="20"/>
          <w:lang w:val="en-GB"/>
        </w:rPr>
        <w:t>remain intact</w:t>
      </w:r>
      <w:r>
        <w:rPr>
          <w:rFonts w:ascii="Cambria" w:hAnsi="Cambria" w:cs="Calibri"/>
          <w:bCs/>
          <w:sz w:val="20"/>
          <w:szCs w:val="20"/>
          <w:lang w:val="en-GB"/>
        </w:rPr>
        <w:t>,</w:t>
      </w:r>
      <w:r w:rsidR="006B4BFE" w:rsidRPr="001B77B2">
        <w:rPr>
          <w:rFonts w:ascii="Cambria" w:hAnsi="Cambria" w:cs="Calibri"/>
          <w:bCs/>
          <w:sz w:val="20"/>
          <w:szCs w:val="20"/>
          <w:lang w:val="en-GB"/>
        </w:rPr>
        <w:t xml:space="preserve"> due to </w:t>
      </w:r>
      <w:r>
        <w:rPr>
          <w:rFonts w:ascii="Cambria" w:hAnsi="Cambria" w:cs="Calibri"/>
          <w:bCs/>
          <w:sz w:val="20"/>
          <w:szCs w:val="20"/>
          <w:lang w:val="en-GB"/>
        </w:rPr>
        <w:t xml:space="preserve">its </w:t>
      </w:r>
      <w:r w:rsidR="006B4BFE" w:rsidRPr="001B77B2">
        <w:rPr>
          <w:rFonts w:ascii="Cambria" w:hAnsi="Cambria" w:cs="Calibri"/>
          <w:bCs/>
          <w:sz w:val="20"/>
          <w:szCs w:val="20"/>
          <w:lang w:val="en-GB"/>
        </w:rPr>
        <w:t>recognition by legislation</w:t>
      </w:r>
      <w:r>
        <w:rPr>
          <w:rFonts w:ascii="Cambria" w:hAnsi="Cambria" w:cs="Calibri"/>
          <w:bCs/>
          <w:sz w:val="20"/>
          <w:szCs w:val="20"/>
          <w:lang w:val="en-GB"/>
        </w:rPr>
        <w:t>. The powers and status of the RTIC will also remain intact, due to its recognition by the 19</w:t>
      </w:r>
      <w:r w:rsidRPr="005B6182">
        <w:rPr>
          <w:rFonts w:ascii="Cambria" w:hAnsi="Cambria" w:cs="Calibri"/>
          <w:bCs/>
          <w:sz w:val="20"/>
          <w:szCs w:val="20"/>
          <w:vertAlign w:val="superscript"/>
          <w:lang w:val="en-GB"/>
        </w:rPr>
        <w:t>th</w:t>
      </w:r>
      <w:r>
        <w:rPr>
          <w:rFonts w:ascii="Cambria" w:hAnsi="Cambria" w:cs="Calibri"/>
          <w:bCs/>
          <w:sz w:val="20"/>
          <w:szCs w:val="20"/>
          <w:lang w:val="en-GB"/>
        </w:rPr>
        <w:t xml:space="preserve"> </w:t>
      </w:r>
      <w:r>
        <w:rPr>
          <w:rFonts w:ascii="Cambria" w:hAnsi="Cambria" w:cs="Calibri"/>
          <w:bCs/>
          <w:sz w:val="20"/>
          <w:szCs w:val="20"/>
          <w:lang w:val="en-GB"/>
        </w:rPr>
        <w:lastRenderedPageBreak/>
        <w:t>Amendment. However, t</w:t>
      </w:r>
      <w:r w:rsidR="006B4BFE" w:rsidRPr="001B77B2">
        <w:rPr>
          <w:rFonts w:ascii="Cambria" w:hAnsi="Cambria" w:cs="Calibri"/>
          <w:bCs/>
          <w:sz w:val="20"/>
          <w:szCs w:val="20"/>
          <w:lang w:val="en-GB"/>
        </w:rPr>
        <w:t>he NPC will be the most affected by a severe dilution of</w:t>
      </w:r>
      <w:r>
        <w:rPr>
          <w:rFonts w:ascii="Cambria" w:hAnsi="Cambria" w:cs="Calibri"/>
          <w:bCs/>
          <w:sz w:val="20"/>
          <w:szCs w:val="20"/>
          <w:lang w:val="en-GB"/>
        </w:rPr>
        <w:t xml:space="preserve"> its</w:t>
      </w:r>
      <w:r w:rsidR="006B4BFE" w:rsidRPr="001B77B2">
        <w:rPr>
          <w:rFonts w:ascii="Cambria" w:hAnsi="Cambria" w:cs="Calibri"/>
          <w:bCs/>
          <w:sz w:val="20"/>
          <w:szCs w:val="20"/>
          <w:lang w:val="en-GB"/>
        </w:rPr>
        <w:t xml:space="preserve"> power and control over the police department.</w:t>
      </w:r>
      <w:r w:rsidR="006B4BFE" w:rsidRPr="001B77B2">
        <w:rPr>
          <w:rFonts w:ascii="Cambria" w:hAnsi="Cambria" w:cs="Arial"/>
          <w:sz w:val="20"/>
          <w:szCs w:val="20"/>
        </w:rPr>
        <w:t xml:space="preserve"> </w:t>
      </w:r>
    </w:p>
    <w:p w14:paraId="0C4C8E6A" w14:textId="77777777" w:rsidR="0005596E" w:rsidRDefault="006B4BFE" w:rsidP="006B4BFE">
      <w:pPr>
        <w:pStyle w:val="ListParagraph"/>
        <w:numPr>
          <w:ilvl w:val="0"/>
          <w:numId w:val="22"/>
        </w:numPr>
        <w:spacing w:line="360" w:lineRule="auto"/>
        <w:jc w:val="both"/>
        <w:rPr>
          <w:rFonts w:ascii="Cambria" w:hAnsi="Cambria" w:cs="Arial"/>
          <w:sz w:val="20"/>
          <w:szCs w:val="20"/>
        </w:rPr>
      </w:pPr>
      <w:r w:rsidRPr="002F7CC1">
        <w:rPr>
          <w:rFonts w:ascii="Cambria" w:hAnsi="Cambria" w:cs="Calibri"/>
          <w:b/>
          <w:sz w:val="20"/>
          <w:szCs w:val="20"/>
          <w:lang w:val="en-GB"/>
        </w:rPr>
        <w:t>High level responsiveness to targeted activities from the Chairperson and Commissioners of all three commissions pushed forward momentum in implementation and continued relevance of the interventions</w:t>
      </w:r>
      <w:r w:rsidR="002F7CC1" w:rsidRPr="002F7CC1">
        <w:rPr>
          <w:rFonts w:ascii="Cambria" w:hAnsi="Cambria" w:cs="Calibri"/>
          <w:b/>
          <w:sz w:val="20"/>
          <w:szCs w:val="20"/>
          <w:lang w:val="en-GB"/>
        </w:rPr>
        <w:t>:</w:t>
      </w:r>
      <w:r w:rsidRPr="001B77B2">
        <w:rPr>
          <w:rFonts w:ascii="Cambria" w:hAnsi="Cambria" w:cs="Calibri"/>
          <w:bCs/>
          <w:sz w:val="20"/>
          <w:szCs w:val="20"/>
          <w:lang w:val="en-GB"/>
        </w:rPr>
        <w:t xml:space="preserve"> </w:t>
      </w:r>
      <w:r w:rsidRPr="001B77B2">
        <w:rPr>
          <w:rFonts w:ascii="Cambria" w:hAnsi="Cambria" w:cs="Arial"/>
          <w:sz w:val="20"/>
          <w:szCs w:val="20"/>
        </w:rPr>
        <w:t xml:space="preserve">Although the strength of </w:t>
      </w:r>
      <w:r w:rsidR="002F7CC1">
        <w:rPr>
          <w:rFonts w:ascii="Cambria" w:hAnsi="Cambria" w:cs="Arial"/>
          <w:sz w:val="20"/>
          <w:szCs w:val="20"/>
        </w:rPr>
        <w:t xml:space="preserve">the </w:t>
      </w:r>
      <w:r w:rsidRPr="001B77B2">
        <w:rPr>
          <w:rFonts w:ascii="Cambria" w:hAnsi="Cambria" w:cs="Arial"/>
          <w:sz w:val="20"/>
          <w:szCs w:val="20"/>
        </w:rPr>
        <w:t>commissions should</w:t>
      </w:r>
      <w:r w:rsidR="002F7CC1">
        <w:rPr>
          <w:rFonts w:ascii="Cambria" w:hAnsi="Cambria" w:cs="Arial"/>
          <w:sz w:val="20"/>
          <w:szCs w:val="20"/>
        </w:rPr>
        <w:t xml:space="preserve"> not</w:t>
      </w:r>
      <w:r w:rsidRPr="001B77B2">
        <w:rPr>
          <w:rFonts w:ascii="Cambria" w:hAnsi="Cambria" w:cs="Arial"/>
          <w:sz w:val="20"/>
          <w:szCs w:val="20"/>
        </w:rPr>
        <w:t xml:space="preserve"> </w:t>
      </w:r>
      <w:r w:rsidR="002F7CC1">
        <w:rPr>
          <w:rFonts w:ascii="Cambria" w:hAnsi="Cambria" w:cs="Arial"/>
          <w:sz w:val="20"/>
          <w:szCs w:val="20"/>
        </w:rPr>
        <w:t xml:space="preserve">be measured against individual personalities, </w:t>
      </w:r>
      <w:r w:rsidRPr="001B77B2">
        <w:rPr>
          <w:rFonts w:ascii="Cambria" w:hAnsi="Cambria" w:cs="Arial"/>
          <w:sz w:val="20"/>
          <w:szCs w:val="20"/>
        </w:rPr>
        <w:t>the short history of ICs has shown that</w:t>
      </w:r>
      <w:r w:rsidR="002F7CC1">
        <w:rPr>
          <w:rFonts w:ascii="Cambria" w:hAnsi="Cambria" w:cs="Arial"/>
          <w:sz w:val="20"/>
          <w:szCs w:val="20"/>
        </w:rPr>
        <w:t>,</w:t>
      </w:r>
      <w:r w:rsidRPr="001B77B2">
        <w:rPr>
          <w:rFonts w:ascii="Cambria" w:hAnsi="Cambria" w:cs="Arial"/>
          <w:sz w:val="20"/>
          <w:szCs w:val="20"/>
        </w:rPr>
        <w:t xml:space="preserve"> the relative success or failure of commissions may be attributable to the strength of the commissioners themselves. In 2018 the HRC was accredited as an A Status National Human Rights Institution after being accredited as B Status in 2009. Therefore, particularly with regard to HRC due to its important role in protecting and promoting human rights, its role in monitoring detention centres under the Act as well as under OPCAT and its role in assessing the eligibility of military officers to serve in Peacekeeping forces abroad, the composition of the board is crucial. </w:t>
      </w:r>
    </w:p>
    <w:p w14:paraId="6059D3B0" w14:textId="77777777" w:rsidR="006B4BFE" w:rsidRPr="001B77B2" w:rsidRDefault="006B4BFE" w:rsidP="006B4BFE">
      <w:pPr>
        <w:spacing w:line="360" w:lineRule="auto"/>
        <w:jc w:val="both"/>
        <w:rPr>
          <w:rFonts w:ascii="Cambria" w:hAnsi="Cambria" w:cs="Arial"/>
          <w:b/>
          <w:bCs/>
          <w:sz w:val="20"/>
          <w:szCs w:val="20"/>
        </w:rPr>
      </w:pPr>
    </w:p>
    <w:p w14:paraId="711AEEB6" w14:textId="77777777" w:rsidR="006B4BFE" w:rsidRPr="001B77B2" w:rsidRDefault="006B4BFE" w:rsidP="00081358">
      <w:pPr>
        <w:pStyle w:val="ListParagraph"/>
        <w:numPr>
          <w:ilvl w:val="0"/>
          <w:numId w:val="70"/>
        </w:numPr>
        <w:spacing w:line="360" w:lineRule="auto"/>
        <w:jc w:val="both"/>
        <w:rPr>
          <w:rFonts w:ascii="Cambria" w:hAnsi="Cambria" w:cs="Arial"/>
          <w:b/>
          <w:bCs/>
        </w:rPr>
      </w:pPr>
      <w:r w:rsidRPr="001B77B2">
        <w:rPr>
          <w:rFonts w:ascii="Cambria" w:hAnsi="Cambria" w:cs="Arial"/>
          <w:b/>
          <w:bCs/>
        </w:rPr>
        <w:t xml:space="preserve">Rule of Law and Access to Justice </w:t>
      </w:r>
    </w:p>
    <w:p w14:paraId="3144ABE9" w14:textId="77777777" w:rsidR="006B4BFE" w:rsidRPr="001B77B2" w:rsidRDefault="006B4BFE" w:rsidP="006B4BFE">
      <w:pPr>
        <w:pStyle w:val="ListParagraph"/>
        <w:spacing w:line="360" w:lineRule="auto"/>
        <w:ind w:left="360"/>
        <w:jc w:val="both"/>
        <w:rPr>
          <w:rFonts w:ascii="Cambria" w:hAnsi="Cambria"/>
          <w:b/>
          <w:bCs/>
        </w:rPr>
      </w:pPr>
    </w:p>
    <w:p w14:paraId="6AE312E5" w14:textId="5C9FC483" w:rsidR="00AC321E" w:rsidRPr="00F826A1" w:rsidRDefault="00DE207D" w:rsidP="00081358">
      <w:pPr>
        <w:pStyle w:val="ListParagraph"/>
        <w:numPr>
          <w:ilvl w:val="0"/>
          <w:numId w:val="71"/>
        </w:numPr>
        <w:spacing w:line="360" w:lineRule="auto"/>
        <w:jc w:val="both"/>
        <w:rPr>
          <w:rFonts w:ascii="Cambria" w:hAnsi="Cambria" w:cs="Calibri"/>
          <w:bCs/>
          <w:sz w:val="20"/>
          <w:szCs w:val="20"/>
          <w:highlight w:val="cyan"/>
          <w:lang w:val="en-GB"/>
        </w:rPr>
      </w:pPr>
      <w:r w:rsidRPr="00DE207D">
        <w:rPr>
          <w:rFonts w:ascii="Cambria" w:hAnsi="Cambria" w:cs="Calibri"/>
          <w:b/>
          <w:sz w:val="20"/>
          <w:szCs w:val="20"/>
          <w:lang w:val="en-GB"/>
        </w:rPr>
        <w:t xml:space="preserve">High </w:t>
      </w:r>
      <w:r w:rsidR="00F826A1">
        <w:rPr>
          <w:rFonts w:ascii="Cambria" w:hAnsi="Cambria" w:cs="Calibri"/>
          <w:b/>
          <w:sz w:val="20"/>
          <w:szCs w:val="20"/>
          <w:lang w:val="en-GB"/>
        </w:rPr>
        <w:t>L</w:t>
      </w:r>
      <w:r w:rsidRPr="00DE207D">
        <w:rPr>
          <w:rFonts w:ascii="Cambria" w:hAnsi="Cambria" w:cs="Calibri"/>
          <w:b/>
          <w:sz w:val="20"/>
          <w:szCs w:val="20"/>
          <w:lang w:val="en-GB"/>
        </w:rPr>
        <w:t xml:space="preserve">evel </w:t>
      </w:r>
      <w:r w:rsidR="00F826A1">
        <w:rPr>
          <w:rFonts w:ascii="Cambria" w:hAnsi="Cambria" w:cs="Calibri"/>
          <w:b/>
          <w:sz w:val="20"/>
          <w:szCs w:val="20"/>
          <w:lang w:val="en-GB"/>
        </w:rPr>
        <w:t>R</w:t>
      </w:r>
      <w:r w:rsidRPr="00DE207D">
        <w:rPr>
          <w:rFonts w:ascii="Cambria" w:hAnsi="Cambria" w:cs="Calibri"/>
          <w:b/>
          <w:sz w:val="20"/>
          <w:szCs w:val="20"/>
          <w:lang w:val="en-GB"/>
        </w:rPr>
        <w:t xml:space="preserve">esponsiveness to </w:t>
      </w:r>
      <w:r w:rsidR="00F826A1">
        <w:rPr>
          <w:rFonts w:ascii="Cambria" w:hAnsi="Cambria" w:cs="Calibri"/>
          <w:b/>
          <w:sz w:val="20"/>
          <w:szCs w:val="20"/>
          <w:lang w:val="en-GB"/>
        </w:rPr>
        <w:t>T</w:t>
      </w:r>
      <w:r w:rsidRPr="00DE207D">
        <w:rPr>
          <w:rFonts w:ascii="Cambria" w:hAnsi="Cambria" w:cs="Calibri"/>
          <w:b/>
          <w:sz w:val="20"/>
          <w:szCs w:val="20"/>
          <w:lang w:val="en-GB"/>
        </w:rPr>
        <w:t xml:space="preserve">argeted </w:t>
      </w:r>
      <w:r w:rsidR="00F826A1">
        <w:rPr>
          <w:rFonts w:ascii="Cambria" w:hAnsi="Cambria" w:cs="Calibri"/>
          <w:b/>
          <w:sz w:val="20"/>
          <w:szCs w:val="20"/>
          <w:lang w:val="en-GB"/>
        </w:rPr>
        <w:t>A</w:t>
      </w:r>
      <w:r w:rsidRPr="00DE207D">
        <w:rPr>
          <w:rFonts w:ascii="Cambria" w:hAnsi="Cambria" w:cs="Calibri"/>
          <w:b/>
          <w:sz w:val="20"/>
          <w:szCs w:val="20"/>
          <w:lang w:val="en-GB"/>
        </w:rPr>
        <w:t xml:space="preserve">ctivities from the </w:t>
      </w:r>
      <w:r>
        <w:rPr>
          <w:rFonts w:ascii="Cambria" w:hAnsi="Cambria" w:cs="Calibri"/>
          <w:b/>
          <w:sz w:val="20"/>
          <w:szCs w:val="20"/>
          <w:lang w:val="en-GB"/>
        </w:rPr>
        <w:t xml:space="preserve">relevant Ministries and </w:t>
      </w:r>
      <w:r w:rsidR="00F826A1">
        <w:rPr>
          <w:rFonts w:ascii="Cambria" w:hAnsi="Cambria" w:cs="Calibri"/>
          <w:b/>
          <w:sz w:val="20"/>
          <w:szCs w:val="20"/>
          <w:lang w:val="en-GB"/>
        </w:rPr>
        <w:t>J</w:t>
      </w:r>
      <w:r>
        <w:rPr>
          <w:rFonts w:ascii="Cambria" w:hAnsi="Cambria" w:cs="Calibri"/>
          <w:b/>
          <w:sz w:val="20"/>
          <w:szCs w:val="20"/>
          <w:lang w:val="en-GB"/>
        </w:rPr>
        <w:t xml:space="preserve">ustice </w:t>
      </w:r>
      <w:r w:rsidR="00F826A1">
        <w:rPr>
          <w:rFonts w:ascii="Cambria" w:hAnsi="Cambria" w:cs="Calibri"/>
          <w:b/>
          <w:sz w:val="20"/>
          <w:szCs w:val="20"/>
          <w:lang w:val="en-GB"/>
        </w:rPr>
        <w:t>S</w:t>
      </w:r>
      <w:r>
        <w:rPr>
          <w:rFonts w:ascii="Cambria" w:hAnsi="Cambria" w:cs="Calibri"/>
          <w:b/>
          <w:sz w:val="20"/>
          <w:szCs w:val="20"/>
          <w:lang w:val="en-GB"/>
        </w:rPr>
        <w:t xml:space="preserve">ector </w:t>
      </w:r>
      <w:r w:rsidR="00F826A1">
        <w:rPr>
          <w:rFonts w:ascii="Cambria" w:hAnsi="Cambria" w:cs="Calibri"/>
          <w:b/>
          <w:sz w:val="20"/>
          <w:szCs w:val="20"/>
          <w:lang w:val="en-GB"/>
        </w:rPr>
        <w:t>I</w:t>
      </w:r>
      <w:r>
        <w:rPr>
          <w:rFonts w:ascii="Cambria" w:hAnsi="Cambria" w:cs="Calibri"/>
          <w:b/>
          <w:sz w:val="20"/>
          <w:szCs w:val="20"/>
          <w:lang w:val="en-GB"/>
        </w:rPr>
        <w:t>nstitutions and the Victim and Witness Protection Authority</w:t>
      </w:r>
      <w:r w:rsidR="00F826A1">
        <w:rPr>
          <w:rFonts w:ascii="Cambria" w:hAnsi="Cambria" w:cs="Calibri"/>
          <w:b/>
          <w:sz w:val="20"/>
          <w:szCs w:val="20"/>
          <w:lang w:val="en-GB"/>
        </w:rPr>
        <w:t xml:space="preserve">: </w:t>
      </w:r>
      <w:r w:rsidR="00F826A1">
        <w:rPr>
          <w:rFonts w:ascii="Cambria" w:hAnsi="Cambria" w:cs="Calibri"/>
          <w:bCs/>
          <w:sz w:val="20"/>
          <w:szCs w:val="20"/>
          <w:lang w:val="en-GB"/>
        </w:rPr>
        <w:t xml:space="preserve">Interventions under this Output, directed at the </w:t>
      </w:r>
      <w:r w:rsidR="00F826A1" w:rsidRPr="00F826A1">
        <w:rPr>
          <w:rFonts w:ascii="Cambria" w:hAnsi="Cambria" w:cs="Calibri"/>
          <w:bCs/>
          <w:sz w:val="20"/>
          <w:szCs w:val="20"/>
          <w:lang w:val="en-GB"/>
        </w:rPr>
        <w:t>Ministry of Justice and other justice sector institutions and the VWP Authority was received</w:t>
      </w:r>
      <w:r w:rsidR="00F826A1">
        <w:rPr>
          <w:rFonts w:ascii="Cambria" w:hAnsi="Cambria" w:cs="Calibri"/>
          <w:bCs/>
          <w:sz w:val="20"/>
          <w:szCs w:val="20"/>
          <w:lang w:val="en-GB"/>
        </w:rPr>
        <w:t xml:space="preserve"> with the highest level of support and ownership. </w:t>
      </w:r>
      <w:r w:rsidR="00AC1150">
        <w:rPr>
          <w:rFonts w:ascii="Cambria" w:hAnsi="Cambria" w:cs="Calibri"/>
          <w:bCs/>
          <w:sz w:val="20"/>
          <w:szCs w:val="20"/>
          <w:lang w:val="en-GB"/>
        </w:rPr>
        <w:t xml:space="preserve">due to this, UNDP was able to initiate, complete and operationalise several research studies towards formulating a National Crime Prevention Policy and Strategy for Sri Lanka. Further, UNDP was instrumental is successfully advocating for the amendment of the VWP Act to fall in line with international standards and international commitments. </w:t>
      </w:r>
    </w:p>
    <w:p w14:paraId="3283E3C9" w14:textId="07854CB2" w:rsidR="006B4BFE" w:rsidRPr="00DF2723" w:rsidRDefault="006B4BFE" w:rsidP="006B4BFE">
      <w:pPr>
        <w:pStyle w:val="ListParagraph"/>
        <w:numPr>
          <w:ilvl w:val="0"/>
          <w:numId w:val="28"/>
        </w:numPr>
        <w:spacing w:line="360" w:lineRule="auto"/>
        <w:jc w:val="both"/>
        <w:rPr>
          <w:rFonts w:ascii="Cambria" w:hAnsi="Cambria" w:cs="Calibri"/>
          <w:bCs/>
          <w:sz w:val="20"/>
          <w:szCs w:val="20"/>
          <w:lang w:val="en-GB"/>
        </w:rPr>
      </w:pPr>
      <w:r w:rsidRPr="00310AFC">
        <w:rPr>
          <w:rFonts w:ascii="Cambria" w:hAnsi="Cambria" w:cs="Calibri"/>
          <w:b/>
          <w:sz w:val="20"/>
          <w:szCs w:val="20"/>
          <w:lang w:val="en-GB"/>
        </w:rPr>
        <w:t>There are number of activities initiated during the first phase that has potential to be sustained beyond the project life cycle with realistic planning and support</w:t>
      </w:r>
      <w:r w:rsidR="00AC1150">
        <w:rPr>
          <w:rFonts w:ascii="Cambria" w:hAnsi="Cambria" w:cs="Calibri"/>
          <w:b/>
          <w:sz w:val="20"/>
          <w:szCs w:val="20"/>
          <w:lang w:val="en-GB"/>
        </w:rPr>
        <w:t xml:space="preserve">: </w:t>
      </w:r>
      <w:r w:rsidR="00DF2723">
        <w:rPr>
          <w:rFonts w:ascii="Cambria" w:hAnsi="Cambria" w:cs="Calibri"/>
          <w:bCs/>
          <w:sz w:val="20"/>
          <w:szCs w:val="20"/>
          <w:lang w:val="en-GB"/>
        </w:rPr>
        <w:t>The several research studies and surveys conducted on crime prevention, crime trend analysis, etc. and the study conducted sentencing to formulate a sentencing policy for Sri Lanka are well within the ambit of the current reform policy of the Ministry of Justice, which has potential to be carried forward and sustained beyond the life time of the Portfolio.</w:t>
      </w:r>
    </w:p>
    <w:p w14:paraId="08C65D35" w14:textId="24C316D7" w:rsidR="006B4BFE" w:rsidRPr="001B77B2" w:rsidRDefault="006B4BFE" w:rsidP="006B4BFE">
      <w:pPr>
        <w:pStyle w:val="ListParagraph"/>
        <w:numPr>
          <w:ilvl w:val="0"/>
          <w:numId w:val="28"/>
        </w:numPr>
        <w:spacing w:line="360" w:lineRule="auto"/>
        <w:jc w:val="both"/>
        <w:rPr>
          <w:rFonts w:ascii="Cambria" w:hAnsi="Cambria" w:cs="Calibri"/>
          <w:bCs/>
          <w:sz w:val="20"/>
          <w:szCs w:val="20"/>
          <w:lang w:val="en-GB"/>
        </w:rPr>
      </w:pPr>
      <w:r w:rsidRPr="00AC321E">
        <w:rPr>
          <w:rFonts w:ascii="Cambria" w:hAnsi="Cambria" w:cs="Calibri"/>
          <w:b/>
          <w:sz w:val="20"/>
          <w:szCs w:val="20"/>
          <w:lang w:val="en-GB"/>
        </w:rPr>
        <w:t>Although the Portfolio broadly defined vulnerable groups, the beneficiary reach of interventions has been specifically targeted at victims and witnesses of criminal and civil offences under the VWP law and survivors of the SGBV</w:t>
      </w:r>
    </w:p>
    <w:p w14:paraId="568B4868" w14:textId="64900C76" w:rsidR="006B4BFE" w:rsidRPr="00B7341B" w:rsidRDefault="006B4BFE" w:rsidP="006B4BFE">
      <w:pPr>
        <w:pStyle w:val="ListParagraph"/>
        <w:numPr>
          <w:ilvl w:val="0"/>
          <w:numId w:val="28"/>
        </w:numPr>
        <w:spacing w:line="360" w:lineRule="auto"/>
        <w:jc w:val="both"/>
        <w:rPr>
          <w:rFonts w:ascii="Cambria" w:hAnsi="Cambria" w:cs="Calibri"/>
          <w:bCs/>
          <w:sz w:val="20"/>
          <w:szCs w:val="20"/>
          <w:lang w:val="en-GB"/>
        </w:rPr>
      </w:pPr>
      <w:r w:rsidRPr="004E5792">
        <w:rPr>
          <w:rFonts w:ascii="Cambria" w:hAnsi="Cambria"/>
          <w:b/>
          <w:bCs/>
          <w:sz w:val="20"/>
          <w:szCs w:val="20"/>
        </w:rPr>
        <w:t>The 20</w:t>
      </w:r>
      <w:r w:rsidRPr="004E5792">
        <w:rPr>
          <w:rFonts w:ascii="Cambria" w:hAnsi="Cambria"/>
          <w:b/>
          <w:bCs/>
          <w:sz w:val="20"/>
          <w:szCs w:val="20"/>
          <w:vertAlign w:val="superscript"/>
        </w:rPr>
        <w:t>th</w:t>
      </w:r>
      <w:r w:rsidRPr="004E5792">
        <w:rPr>
          <w:rFonts w:ascii="Cambria" w:hAnsi="Cambria"/>
          <w:b/>
          <w:bCs/>
          <w:sz w:val="20"/>
          <w:szCs w:val="20"/>
        </w:rPr>
        <w:t xml:space="preserve"> Amendment may present challenges for the operations of the OMP and the Office for Reparations</w:t>
      </w:r>
      <w:r w:rsidR="004E5792">
        <w:rPr>
          <w:rFonts w:ascii="Cambria" w:hAnsi="Cambria"/>
          <w:b/>
          <w:bCs/>
          <w:sz w:val="20"/>
          <w:szCs w:val="20"/>
        </w:rPr>
        <w:t>:</w:t>
      </w:r>
      <w:r w:rsidRPr="00B7341B">
        <w:rPr>
          <w:rFonts w:ascii="Cambria" w:hAnsi="Cambria"/>
          <w:sz w:val="20"/>
          <w:szCs w:val="20"/>
        </w:rPr>
        <w:t xml:space="preserve"> The 20</w:t>
      </w:r>
      <w:r w:rsidRPr="00B7341B">
        <w:rPr>
          <w:rFonts w:ascii="Cambria" w:hAnsi="Cambria"/>
          <w:sz w:val="20"/>
          <w:szCs w:val="20"/>
          <w:vertAlign w:val="superscript"/>
        </w:rPr>
        <w:t>th</w:t>
      </w:r>
      <w:r w:rsidRPr="00B7341B">
        <w:rPr>
          <w:rFonts w:ascii="Cambria" w:hAnsi="Cambria"/>
          <w:sz w:val="20"/>
          <w:szCs w:val="20"/>
        </w:rPr>
        <w:t xml:space="preserve"> Amendment failed to set out any transitional provisions dealing with appointments to the above institutions. All three of these Acts require appointments to be made on the Recommendation of the CC. With the Constitutional Council being abolished and the resulting Parliamentary Council not </w:t>
      </w:r>
      <w:r w:rsidRPr="00B7341B">
        <w:rPr>
          <w:rFonts w:ascii="Cambria" w:hAnsi="Cambria"/>
          <w:sz w:val="20"/>
          <w:szCs w:val="20"/>
        </w:rPr>
        <w:lastRenderedPageBreak/>
        <w:t xml:space="preserve">having the power to make recommendations, the individual Acts will require amendments. In the absence of a transitional provision which deals with this situation and without amendment to the </w:t>
      </w:r>
      <w:r w:rsidR="00F339EB">
        <w:rPr>
          <w:rFonts w:ascii="Cambria" w:hAnsi="Cambria"/>
          <w:sz w:val="20"/>
          <w:szCs w:val="20"/>
        </w:rPr>
        <w:t>A</w:t>
      </w:r>
      <w:r w:rsidRPr="00B7341B">
        <w:rPr>
          <w:rFonts w:ascii="Cambria" w:hAnsi="Cambria"/>
          <w:sz w:val="20"/>
          <w:szCs w:val="20"/>
        </w:rPr>
        <w:t xml:space="preserve">cts, the said commissions could become defunct. Although KPIs agree that space for TJ work is narrowing, the space for advocacy on non-recurrence, social cohesion and strengthening justice sector is still open. </w:t>
      </w:r>
    </w:p>
    <w:p w14:paraId="3865AA6E" w14:textId="3C2579D0" w:rsidR="006B4BFE" w:rsidRPr="00D766B9" w:rsidRDefault="004E5792" w:rsidP="006B4BFE">
      <w:pPr>
        <w:pStyle w:val="ListParagraph"/>
        <w:numPr>
          <w:ilvl w:val="0"/>
          <w:numId w:val="28"/>
        </w:numPr>
        <w:spacing w:line="360" w:lineRule="auto"/>
        <w:jc w:val="both"/>
        <w:rPr>
          <w:rFonts w:ascii="Cambria" w:hAnsi="Cambria" w:cs="Calibri"/>
          <w:b/>
          <w:lang w:val="en-GB"/>
        </w:rPr>
      </w:pPr>
      <w:r w:rsidRPr="004E5792">
        <w:rPr>
          <w:rFonts w:ascii="Cambria" w:hAnsi="Cambria"/>
          <w:b/>
          <w:bCs/>
          <w:color w:val="000000" w:themeColor="text1"/>
          <w:sz w:val="20"/>
          <w:szCs w:val="20"/>
        </w:rPr>
        <w:t>T</w:t>
      </w:r>
      <w:r w:rsidR="006B4BFE" w:rsidRPr="004E5792">
        <w:rPr>
          <w:rFonts w:ascii="Cambria" w:hAnsi="Cambria"/>
          <w:b/>
          <w:bCs/>
          <w:color w:val="000000" w:themeColor="text1"/>
          <w:sz w:val="20"/>
          <w:szCs w:val="20"/>
        </w:rPr>
        <w:t>he absence of a sectoral approach to justice sector reform</w:t>
      </w:r>
      <w:r w:rsidRPr="004E5792">
        <w:rPr>
          <w:rFonts w:ascii="Cambria" w:hAnsi="Cambria"/>
          <w:b/>
          <w:bCs/>
          <w:color w:val="000000" w:themeColor="text1"/>
          <w:sz w:val="20"/>
          <w:szCs w:val="20"/>
        </w:rPr>
        <w:t xml:space="preserve"> by the government</w:t>
      </w:r>
      <w:r w:rsidR="006B4BFE" w:rsidRPr="004E5792">
        <w:rPr>
          <w:rFonts w:ascii="Cambria" w:hAnsi="Cambria"/>
          <w:b/>
          <w:bCs/>
          <w:color w:val="000000" w:themeColor="text1"/>
          <w:sz w:val="20"/>
          <w:szCs w:val="20"/>
        </w:rPr>
        <w:t xml:space="preserve">, </w:t>
      </w:r>
      <w:r w:rsidRPr="004E5792">
        <w:rPr>
          <w:rFonts w:ascii="Cambria" w:hAnsi="Cambria"/>
          <w:b/>
          <w:bCs/>
          <w:color w:val="000000" w:themeColor="text1"/>
          <w:sz w:val="20"/>
          <w:szCs w:val="20"/>
        </w:rPr>
        <w:t xml:space="preserve">affected the </w:t>
      </w:r>
      <w:r w:rsidR="006B4BFE" w:rsidRPr="004E5792">
        <w:rPr>
          <w:rFonts w:ascii="Cambria" w:hAnsi="Cambria"/>
          <w:b/>
          <w:bCs/>
          <w:color w:val="000000" w:themeColor="text1"/>
          <w:sz w:val="20"/>
          <w:szCs w:val="20"/>
        </w:rPr>
        <w:t>design and planning of interventions</w:t>
      </w:r>
      <w:r w:rsidRPr="004E5792">
        <w:rPr>
          <w:rFonts w:ascii="Cambria" w:hAnsi="Cambria"/>
          <w:b/>
          <w:bCs/>
          <w:color w:val="000000" w:themeColor="text1"/>
          <w:sz w:val="20"/>
          <w:szCs w:val="20"/>
        </w:rPr>
        <w:t xml:space="preserve"> during the first phase:</w:t>
      </w:r>
      <w:r>
        <w:rPr>
          <w:rFonts w:ascii="Cambria" w:hAnsi="Cambria"/>
          <w:color w:val="000000" w:themeColor="text1"/>
          <w:sz w:val="20"/>
          <w:szCs w:val="20"/>
        </w:rPr>
        <w:t xml:space="preserve"> A</w:t>
      </w:r>
      <w:r w:rsidRPr="00C36F94">
        <w:rPr>
          <w:rFonts w:ascii="Cambria" w:hAnsi="Cambria"/>
          <w:color w:val="000000" w:themeColor="text1"/>
          <w:sz w:val="20"/>
          <w:szCs w:val="20"/>
        </w:rPr>
        <w:t>lthough</w:t>
      </w:r>
      <w:r>
        <w:rPr>
          <w:rFonts w:ascii="Cambria" w:hAnsi="Cambria"/>
          <w:color w:val="000000" w:themeColor="text1"/>
          <w:sz w:val="20"/>
          <w:szCs w:val="20"/>
        </w:rPr>
        <w:t>,</w:t>
      </w:r>
      <w:r w:rsidR="006B4BFE" w:rsidRPr="00C36F94">
        <w:rPr>
          <w:rFonts w:ascii="Cambria" w:hAnsi="Cambria"/>
          <w:color w:val="000000" w:themeColor="text1"/>
          <w:sz w:val="20"/>
          <w:szCs w:val="20"/>
        </w:rPr>
        <w:t xml:space="preserve"> the general country context was conducive for reform</w:t>
      </w:r>
      <w:r>
        <w:rPr>
          <w:rFonts w:ascii="Cambria" w:hAnsi="Cambria"/>
          <w:color w:val="000000" w:themeColor="text1"/>
          <w:sz w:val="20"/>
          <w:szCs w:val="20"/>
        </w:rPr>
        <w:t>, the absence of a sectoral approach to justice reforms by the government was problematic.</w:t>
      </w:r>
      <w:r w:rsidR="006B4BFE" w:rsidRPr="00C36F94">
        <w:rPr>
          <w:rFonts w:ascii="Cambria" w:hAnsi="Cambria"/>
          <w:color w:val="000000" w:themeColor="text1"/>
          <w:sz w:val="20"/>
          <w:szCs w:val="20"/>
        </w:rPr>
        <w:t xml:space="preserve"> Currently the MOJ has designed an umbrella framework that incorporates a wide range of justice sector reforms based on short, </w:t>
      </w:r>
      <w:r w:rsidR="00F339EB">
        <w:rPr>
          <w:rFonts w:ascii="Cambria" w:hAnsi="Cambria"/>
          <w:color w:val="000000" w:themeColor="text1"/>
          <w:sz w:val="20"/>
          <w:szCs w:val="20"/>
        </w:rPr>
        <w:t xml:space="preserve">to </w:t>
      </w:r>
      <w:r w:rsidR="006B4BFE" w:rsidRPr="00C36F94">
        <w:rPr>
          <w:rFonts w:ascii="Cambria" w:hAnsi="Cambria"/>
          <w:color w:val="000000" w:themeColor="text1"/>
          <w:sz w:val="20"/>
          <w:szCs w:val="20"/>
        </w:rPr>
        <w:t xml:space="preserve">medium </w:t>
      </w:r>
      <w:r w:rsidR="00F339EB">
        <w:rPr>
          <w:rFonts w:ascii="Cambria" w:hAnsi="Cambria"/>
          <w:color w:val="000000" w:themeColor="text1"/>
          <w:sz w:val="20"/>
          <w:szCs w:val="20"/>
        </w:rPr>
        <w:t xml:space="preserve">to </w:t>
      </w:r>
      <w:r w:rsidR="006B4BFE" w:rsidRPr="00C36F94">
        <w:rPr>
          <w:rFonts w:ascii="Cambria" w:hAnsi="Cambria"/>
          <w:color w:val="000000" w:themeColor="text1"/>
          <w:sz w:val="20"/>
          <w:szCs w:val="20"/>
        </w:rPr>
        <w:t xml:space="preserve">long term goals. </w:t>
      </w:r>
    </w:p>
    <w:p w14:paraId="3131371A" w14:textId="11E83C93" w:rsidR="00AC321E" w:rsidRPr="004E5792" w:rsidRDefault="004E5792" w:rsidP="00B477B1">
      <w:pPr>
        <w:pStyle w:val="ListParagraph"/>
        <w:numPr>
          <w:ilvl w:val="0"/>
          <w:numId w:val="28"/>
        </w:numPr>
        <w:spacing w:line="360" w:lineRule="auto"/>
        <w:jc w:val="both"/>
        <w:rPr>
          <w:rFonts w:ascii="Cambria" w:hAnsi="Cambria" w:cs="Calibri"/>
          <w:b/>
          <w:lang w:val="en-GB"/>
        </w:rPr>
      </w:pPr>
      <w:r w:rsidRPr="004E5792">
        <w:rPr>
          <w:rFonts w:ascii="Cambria" w:hAnsi="Cambria"/>
          <w:b/>
          <w:bCs/>
          <w:color w:val="000000" w:themeColor="text1"/>
          <w:sz w:val="20"/>
          <w:szCs w:val="20"/>
        </w:rPr>
        <w:t>There was minimal engagement with the private sector during the inception phase:</w:t>
      </w:r>
      <w:r w:rsidRPr="004E5792">
        <w:rPr>
          <w:rFonts w:ascii="Cambria" w:hAnsi="Cambria"/>
          <w:color w:val="000000" w:themeColor="text1"/>
          <w:sz w:val="20"/>
          <w:szCs w:val="20"/>
        </w:rPr>
        <w:t xml:space="preserve"> </w:t>
      </w:r>
      <w:r w:rsidR="002F5059" w:rsidRPr="004E5792">
        <w:rPr>
          <w:rFonts w:ascii="Cambria" w:hAnsi="Cambria"/>
          <w:color w:val="000000" w:themeColor="text1"/>
          <w:sz w:val="20"/>
          <w:szCs w:val="20"/>
        </w:rPr>
        <w:t xml:space="preserve">It was noted that during the inception phase </w:t>
      </w:r>
      <w:r w:rsidR="00D766B9" w:rsidRPr="004E5792">
        <w:rPr>
          <w:rFonts w:ascii="Cambria" w:hAnsi="Cambria"/>
          <w:color w:val="000000" w:themeColor="text1"/>
          <w:sz w:val="20"/>
          <w:szCs w:val="20"/>
        </w:rPr>
        <w:t>UNDP engagement with the private sector was minimal with the exception of engaging with the private sector in order to promote its agenda on Business and Human Rights</w:t>
      </w:r>
    </w:p>
    <w:p w14:paraId="096B63E1" w14:textId="77E375EB" w:rsidR="005611DA" w:rsidRDefault="005611DA" w:rsidP="006B4BFE">
      <w:pPr>
        <w:spacing w:line="360" w:lineRule="auto"/>
        <w:jc w:val="both"/>
        <w:rPr>
          <w:rFonts w:ascii="Cambria" w:hAnsi="Cambria" w:cs="Calibri"/>
          <w:b/>
          <w:sz w:val="24"/>
          <w:szCs w:val="24"/>
          <w:lang w:val="en-GB"/>
        </w:rPr>
      </w:pPr>
    </w:p>
    <w:p w14:paraId="7833CE44" w14:textId="77777777" w:rsidR="006B4BFE" w:rsidRPr="009E6CBA" w:rsidRDefault="006B4BFE" w:rsidP="00081358">
      <w:pPr>
        <w:pStyle w:val="ListParagraph"/>
        <w:numPr>
          <w:ilvl w:val="0"/>
          <w:numId w:val="70"/>
        </w:numPr>
        <w:spacing w:line="360" w:lineRule="auto"/>
        <w:jc w:val="both"/>
        <w:rPr>
          <w:rFonts w:ascii="Cambria" w:hAnsi="Cambria" w:cs="Calibri"/>
          <w:b/>
          <w:lang w:val="en-GB"/>
        </w:rPr>
      </w:pPr>
      <w:r w:rsidRPr="009E6CBA">
        <w:rPr>
          <w:rFonts w:ascii="Cambria" w:hAnsi="Cambria" w:cs="Calibri"/>
          <w:b/>
          <w:lang w:val="en-GB"/>
        </w:rPr>
        <w:t xml:space="preserve">Gender Equality and Gender Empowerment </w:t>
      </w:r>
    </w:p>
    <w:p w14:paraId="767D0C99" w14:textId="77777777" w:rsidR="006B4BFE" w:rsidRPr="009E6CBA" w:rsidRDefault="006B4BFE" w:rsidP="006B4BFE">
      <w:pPr>
        <w:pStyle w:val="ListParagraph"/>
        <w:spacing w:line="360" w:lineRule="auto"/>
        <w:jc w:val="both"/>
        <w:rPr>
          <w:rFonts w:ascii="Cambria" w:hAnsi="Cambria" w:cs="Calibri"/>
          <w:b/>
          <w:lang w:val="en-GB"/>
        </w:rPr>
      </w:pPr>
    </w:p>
    <w:p w14:paraId="36593A33" w14:textId="301D50E8" w:rsidR="006B4BFE" w:rsidRDefault="003135DD" w:rsidP="00081358">
      <w:pPr>
        <w:pStyle w:val="ListParagraph"/>
        <w:numPr>
          <w:ilvl w:val="0"/>
          <w:numId w:val="73"/>
        </w:numPr>
        <w:spacing w:before="180" w:after="180" w:line="360" w:lineRule="auto"/>
        <w:jc w:val="both"/>
        <w:rPr>
          <w:rFonts w:ascii="Cambria" w:hAnsi="Cambria" w:cs="Calibri"/>
          <w:bCs/>
          <w:sz w:val="20"/>
          <w:szCs w:val="20"/>
          <w:lang w:val="en-GB"/>
        </w:rPr>
      </w:pPr>
      <w:r w:rsidRPr="003135DD">
        <w:rPr>
          <w:rFonts w:ascii="Cambria" w:hAnsi="Cambria" w:cs="Calibri"/>
          <w:b/>
          <w:sz w:val="20"/>
          <w:szCs w:val="20"/>
          <w:lang w:val="en-GB"/>
        </w:rPr>
        <w:t xml:space="preserve">Targeted interventions focused on operationalising the SGBV Action Plan: </w:t>
      </w:r>
      <w:r w:rsidR="006B4BFE" w:rsidRPr="009E6CBA">
        <w:rPr>
          <w:rFonts w:ascii="Cambria" w:hAnsi="Cambria" w:cs="Calibri"/>
          <w:bCs/>
          <w:sz w:val="20"/>
          <w:szCs w:val="20"/>
          <w:lang w:val="en-GB"/>
        </w:rPr>
        <w:t xml:space="preserve">Institutional, process and systems developments were directly targeted by the Portfolio towards the MWCA to operationalise the Action Plan by strengthening the different units of the Ministry including the National Committee on Women to collect, collate, report and monitor the progress of Outputs under the SGBV Plan by the 9 sectoral committees. </w:t>
      </w:r>
    </w:p>
    <w:p w14:paraId="181A90AB" w14:textId="15E098FC" w:rsidR="006B4BFE" w:rsidRPr="00AC1452" w:rsidRDefault="003135DD" w:rsidP="006B4BFE">
      <w:pPr>
        <w:pStyle w:val="ListParagraph"/>
        <w:numPr>
          <w:ilvl w:val="0"/>
          <w:numId w:val="24"/>
        </w:numPr>
        <w:spacing w:line="360" w:lineRule="auto"/>
        <w:jc w:val="both"/>
        <w:rPr>
          <w:rFonts w:ascii="Cambria" w:hAnsi="Cambria"/>
          <w:color w:val="000000" w:themeColor="text1"/>
          <w:sz w:val="20"/>
          <w:szCs w:val="20"/>
        </w:rPr>
      </w:pPr>
      <w:r w:rsidRPr="003135DD">
        <w:rPr>
          <w:rFonts w:ascii="Cambria" w:hAnsi="Cambria"/>
          <w:b/>
          <w:bCs/>
          <w:color w:val="000000" w:themeColor="text1"/>
          <w:sz w:val="20"/>
          <w:szCs w:val="20"/>
        </w:rPr>
        <w:t>The Implementation of the SGBV Action Plan is considerably dependent on donor funding</w:t>
      </w:r>
      <w:r>
        <w:rPr>
          <w:rFonts w:ascii="Cambria" w:hAnsi="Cambria"/>
          <w:b/>
          <w:bCs/>
          <w:color w:val="000000" w:themeColor="text1"/>
          <w:sz w:val="20"/>
          <w:szCs w:val="20"/>
        </w:rPr>
        <w:t xml:space="preserve"> and expertise</w:t>
      </w:r>
      <w:r w:rsidRPr="003135DD">
        <w:rPr>
          <w:rFonts w:ascii="Cambria" w:hAnsi="Cambria"/>
          <w:b/>
          <w:bCs/>
          <w:color w:val="000000" w:themeColor="text1"/>
          <w:sz w:val="20"/>
          <w:szCs w:val="20"/>
        </w:rPr>
        <w:t xml:space="preserve">: </w:t>
      </w:r>
      <w:r w:rsidR="006B4BFE" w:rsidRPr="00AC1452">
        <w:rPr>
          <w:rFonts w:ascii="Cambria" w:hAnsi="Cambria"/>
          <w:color w:val="000000" w:themeColor="text1"/>
          <w:sz w:val="20"/>
          <w:szCs w:val="20"/>
        </w:rPr>
        <w:t xml:space="preserve">The SGBV Action plan is a government owned process supported by the Portfolio. Apart from government funding, which is scarce, the Action Plan relies heavily on donor funding and expertise. Donor support to the action plan differs based on different priorities and interests of donors themselves. </w:t>
      </w:r>
    </w:p>
    <w:p w14:paraId="4E2CB74D" w14:textId="2A613C14" w:rsidR="006B4BFE" w:rsidRPr="00811F4A" w:rsidRDefault="006B4BFE" w:rsidP="006B4BFE">
      <w:pPr>
        <w:pStyle w:val="ListParagraph"/>
        <w:numPr>
          <w:ilvl w:val="0"/>
          <w:numId w:val="28"/>
        </w:numPr>
        <w:spacing w:line="360" w:lineRule="auto"/>
        <w:jc w:val="both"/>
        <w:rPr>
          <w:rFonts w:ascii="Cambria" w:hAnsi="Cambria" w:cs="Calibri"/>
          <w:bCs/>
          <w:sz w:val="20"/>
          <w:szCs w:val="20"/>
          <w:lang w:val="en-GB"/>
        </w:rPr>
      </w:pPr>
      <w:r w:rsidRPr="00555DC7">
        <w:rPr>
          <w:rFonts w:ascii="Cambria" w:hAnsi="Cambria" w:cs="Calibri"/>
          <w:b/>
          <w:bCs/>
          <w:sz w:val="20"/>
          <w:szCs w:val="20"/>
          <w:lang w:val="en-GB"/>
        </w:rPr>
        <w:t xml:space="preserve">The Output is </w:t>
      </w:r>
      <w:r w:rsidR="00555DC7" w:rsidRPr="00555DC7">
        <w:rPr>
          <w:rFonts w:ascii="Cambria" w:hAnsi="Cambria" w:cs="Calibri"/>
          <w:b/>
          <w:bCs/>
          <w:sz w:val="20"/>
          <w:szCs w:val="20"/>
          <w:lang w:val="en-GB"/>
        </w:rPr>
        <w:t xml:space="preserve">well </w:t>
      </w:r>
      <w:r w:rsidRPr="00555DC7">
        <w:rPr>
          <w:rFonts w:ascii="Cambria" w:hAnsi="Cambria" w:cs="Calibri"/>
          <w:b/>
          <w:bCs/>
          <w:sz w:val="20"/>
          <w:szCs w:val="20"/>
          <w:lang w:val="en-GB"/>
        </w:rPr>
        <w:t>aligned to UNDP’s global mandate and principles of mainstreaming gender equality and inclusiveness at all levels of programming</w:t>
      </w:r>
      <w:r w:rsidR="00555DC7">
        <w:rPr>
          <w:rFonts w:ascii="Cambria" w:hAnsi="Cambria" w:cs="Calibri"/>
          <w:sz w:val="20"/>
          <w:szCs w:val="20"/>
          <w:lang w:val="en-GB"/>
        </w:rPr>
        <w:t xml:space="preserve">: This is </w:t>
      </w:r>
      <w:r w:rsidRPr="00811F4A">
        <w:rPr>
          <w:rFonts w:ascii="Cambria" w:hAnsi="Cambria" w:cs="Calibri"/>
          <w:sz w:val="20"/>
          <w:szCs w:val="20"/>
          <w:lang w:val="en-GB"/>
        </w:rPr>
        <w:t xml:space="preserve">stipulated in the Gender Equality Strategy and more specifically enunciated in Signature 6 Solution – strengthening gender equality and empowerment (GEWE) of women and girls. As mentioned, UNDP interventions also strategically aligned itself to the SGBV Policy Framework and Action Plan, government policy and strategy on mainstreaming gender within the public service and government’s commitments under CEDAW and other international conventions.  </w:t>
      </w:r>
    </w:p>
    <w:p w14:paraId="2480F43E" w14:textId="3573074F" w:rsidR="006B4BFE" w:rsidRPr="009E6CBA" w:rsidRDefault="00555DC7" w:rsidP="00081358">
      <w:pPr>
        <w:pStyle w:val="ListParagraph"/>
        <w:numPr>
          <w:ilvl w:val="0"/>
          <w:numId w:val="73"/>
        </w:numPr>
        <w:spacing w:before="180" w:after="180" w:line="360" w:lineRule="auto"/>
        <w:jc w:val="both"/>
        <w:rPr>
          <w:rFonts w:ascii="Cambria" w:hAnsi="Cambria" w:cs="Calibri"/>
          <w:bCs/>
          <w:sz w:val="20"/>
          <w:szCs w:val="20"/>
          <w:lang w:val="en-GB"/>
        </w:rPr>
      </w:pPr>
      <w:r w:rsidRPr="00555DC7">
        <w:rPr>
          <w:rFonts w:ascii="Cambria" w:hAnsi="Cambria" w:cs="Calibri"/>
          <w:b/>
          <w:sz w:val="20"/>
          <w:szCs w:val="20"/>
          <w:lang w:val="en-GB"/>
        </w:rPr>
        <w:t xml:space="preserve">UNDP Referral Mechanism has been Successful in bridging the </w:t>
      </w:r>
      <w:r>
        <w:rPr>
          <w:rFonts w:ascii="Cambria" w:hAnsi="Cambria" w:cs="Calibri"/>
          <w:b/>
          <w:sz w:val="20"/>
          <w:szCs w:val="20"/>
          <w:lang w:val="en-GB"/>
        </w:rPr>
        <w:t>G</w:t>
      </w:r>
      <w:r w:rsidRPr="00555DC7">
        <w:rPr>
          <w:rFonts w:ascii="Cambria" w:hAnsi="Cambria" w:cs="Calibri"/>
          <w:b/>
          <w:sz w:val="20"/>
          <w:szCs w:val="20"/>
          <w:lang w:val="en-GB"/>
        </w:rPr>
        <w:t xml:space="preserve">ap between </w:t>
      </w:r>
      <w:r>
        <w:rPr>
          <w:rFonts w:ascii="Cambria" w:hAnsi="Cambria" w:cs="Calibri"/>
          <w:b/>
          <w:sz w:val="20"/>
          <w:szCs w:val="20"/>
          <w:lang w:val="en-GB"/>
        </w:rPr>
        <w:t>St</w:t>
      </w:r>
      <w:r w:rsidRPr="00555DC7">
        <w:rPr>
          <w:rFonts w:ascii="Cambria" w:hAnsi="Cambria" w:cs="Calibri"/>
          <w:b/>
          <w:sz w:val="20"/>
          <w:szCs w:val="20"/>
          <w:lang w:val="en-GB"/>
        </w:rPr>
        <w:t xml:space="preserve">ate and </w:t>
      </w:r>
      <w:r>
        <w:rPr>
          <w:rFonts w:ascii="Cambria" w:hAnsi="Cambria" w:cs="Calibri"/>
          <w:b/>
          <w:sz w:val="20"/>
          <w:szCs w:val="20"/>
          <w:lang w:val="en-GB"/>
        </w:rPr>
        <w:t>N</w:t>
      </w:r>
      <w:r w:rsidRPr="00555DC7">
        <w:rPr>
          <w:rFonts w:ascii="Cambria" w:hAnsi="Cambria" w:cs="Calibri"/>
          <w:b/>
          <w:sz w:val="20"/>
          <w:szCs w:val="20"/>
          <w:lang w:val="en-GB"/>
        </w:rPr>
        <w:t>on</w:t>
      </w:r>
      <w:r>
        <w:rPr>
          <w:rFonts w:ascii="Cambria" w:hAnsi="Cambria" w:cs="Calibri"/>
          <w:b/>
          <w:sz w:val="20"/>
          <w:szCs w:val="20"/>
          <w:lang w:val="en-GB"/>
        </w:rPr>
        <w:t>-S</w:t>
      </w:r>
      <w:r w:rsidRPr="00555DC7">
        <w:rPr>
          <w:rFonts w:ascii="Cambria" w:hAnsi="Cambria" w:cs="Calibri"/>
          <w:b/>
          <w:sz w:val="20"/>
          <w:szCs w:val="20"/>
          <w:lang w:val="en-GB"/>
        </w:rPr>
        <w:t xml:space="preserve">tate </w:t>
      </w:r>
      <w:r>
        <w:rPr>
          <w:rFonts w:ascii="Cambria" w:hAnsi="Cambria" w:cs="Calibri"/>
          <w:b/>
          <w:sz w:val="20"/>
          <w:szCs w:val="20"/>
          <w:lang w:val="en-GB"/>
        </w:rPr>
        <w:t>A</w:t>
      </w:r>
      <w:r w:rsidRPr="00555DC7">
        <w:rPr>
          <w:rFonts w:ascii="Cambria" w:hAnsi="Cambria" w:cs="Calibri"/>
          <w:b/>
          <w:sz w:val="20"/>
          <w:szCs w:val="20"/>
          <w:lang w:val="en-GB"/>
        </w:rPr>
        <w:t>ctors:</w:t>
      </w:r>
      <w:r>
        <w:rPr>
          <w:rFonts w:ascii="Cambria" w:hAnsi="Cambria" w:cs="Calibri"/>
          <w:bCs/>
          <w:sz w:val="20"/>
          <w:szCs w:val="20"/>
          <w:lang w:val="en-GB"/>
        </w:rPr>
        <w:t xml:space="preserve"> </w:t>
      </w:r>
      <w:r w:rsidR="006B4BFE" w:rsidRPr="00223CBF">
        <w:rPr>
          <w:rFonts w:ascii="Cambria" w:hAnsi="Cambria" w:cs="Calibri"/>
          <w:bCs/>
          <w:sz w:val="20"/>
          <w:szCs w:val="20"/>
          <w:lang w:val="en-GB"/>
        </w:rPr>
        <w:t>The Portfolio has been successful in building coordination and referral mechanism</w:t>
      </w:r>
      <w:r w:rsidR="006B4BFE">
        <w:rPr>
          <w:rFonts w:ascii="Cambria" w:hAnsi="Cambria" w:cs="Calibri"/>
          <w:bCs/>
          <w:sz w:val="20"/>
          <w:szCs w:val="20"/>
          <w:lang w:val="en-GB"/>
        </w:rPr>
        <w:t>s</w:t>
      </w:r>
      <w:r w:rsidR="006B4BFE" w:rsidRPr="00223CBF">
        <w:rPr>
          <w:rFonts w:ascii="Cambria" w:hAnsi="Cambria" w:cs="Calibri"/>
          <w:bCs/>
          <w:sz w:val="20"/>
          <w:szCs w:val="20"/>
          <w:lang w:val="en-GB"/>
        </w:rPr>
        <w:t xml:space="preserve"> bridging a gap </w:t>
      </w:r>
      <w:r w:rsidR="006B4BFE" w:rsidRPr="00223CBF">
        <w:rPr>
          <w:rFonts w:ascii="Cambria" w:hAnsi="Cambria" w:cs="Calibri"/>
          <w:bCs/>
          <w:sz w:val="20"/>
          <w:szCs w:val="20"/>
          <w:lang w:val="en-GB"/>
        </w:rPr>
        <w:lastRenderedPageBreak/>
        <w:t>between the national state institutions, regional state institutions and CSOs.</w:t>
      </w:r>
      <w:r w:rsidR="006B4BFE">
        <w:rPr>
          <w:rFonts w:ascii="Cambria" w:hAnsi="Cambria" w:cs="Calibri"/>
          <w:bCs/>
          <w:sz w:val="20"/>
          <w:szCs w:val="20"/>
          <w:lang w:val="en-GB"/>
        </w:rPr>
        <w:t xml:space="preserve"> The </w:t>
      </w:r>
      <w:r w:rsidR="006B4BFE" w:rsidRPr="00223CBF">
        <w:rPr>
          <w:rFonts w:ascii="Cambria" w:hAnsi="Cambria" w:cs="Calibri"/>
          <w:bCs/>
          <w:sz w:val="20"/>
          <w:szCs w:val="20"/>
          <w:lang w:val="en-GB"/>
        </w:rPr>
        <w:t>referral pathway</w:t>
      </w:r>
      <w:r>
        <w:rPr>
          <w:rFonts w:ascii="Cambria" w:hAnsi="Cambria" w:cs="Calibri"/>
          <w:bCs/>
          <w:sz w:val="20"/>
          <w:szCs w:val="20"/>
          <w:lang w:val="en-GB"/>
        </w:rPr>
        <w:t>,</w:t>
      </w:r>
      <w:r w:rsidR="006B4BFE" w:rsidRPr="00223CBF">
        <w:rPr>
          <w:rFonts w:ascii="Cambria" w:hAnsi="Cambria" w:cs="Calibri"/>
          <w:bCs/>
          <w:sz w:val="20"/>
          <w:szCs w:val="20"/>
          <w:lang w:val="en-GB"/>
        </w:rPr>
        <w:t xml:space="preserve"> according to KPI interviews</w:t>
      </w:r>
      <w:r>
        <w:rPr>
          <w:rFonts w:ascii="Cambria" w:hAnsi="Cambria" w:cs="Calibri"/>
          <w:bCs/>
          <w:sz w:val="20"/>
          <w:szCs w:val="20"/>
          <w:lang w:val="en-GB"/>
        </w:rPr>
        <w:t>,</w:t>
      </w:r>
      <w:r w:rsidR="006B4BFE" w:rsidRPr="00223CBF">
        <w:rPr>
          <w:rFonts w:ascii="Cambria" w:hAnsi="Cambria" w:cs="Calibri"/>
          <w:bCs/>
          <w:sz w:val="20"/>
          <w:szCs w:val="20"/>
          <w:lang w:val="en-GB"/>
        </w:rPr>
        <w:t xml:space="preserve"> has improved the efficiency and effectiveness of reporting SBGV at the regional level</w:t>
      </w:r>
      <w:r>
        <w:rPr>
          <w:rFonts w:ascii="Cambria" w:hAnsi="Cambria" w:cs="Calibri"/>
          <w:bCs/>
          <w:sz w:val="20"/>
          <w:szCs w:val="20"/>
          <w:lang w:val="en-GB"/>
        </w:rPr>
        <w:t>. S</w:t>
      </w:r>
      <w:r w:rsidR="006B4BFE">
        <w:rPr>
          <w:rFonts w:ascii="Cambria" w:hAnsi="Cambria" w:cs="Calibri"/>
          <w:bCs/>
          <w:sz w:val="20"/>
          <w:szCs w:val="20"/>
          <w:lang w:val="en-GB"/>
        </w:rPr>
        <w:t xml:space="preserve">everal CSOs work with existing village and divisional level informal forums to expand reach of the pathway. </w:t>
      </w:r>
    </w:p>
    <w:p w14:paraId="7D8AAFC6" w14:textId="697AFE9C" w:rsidR="003135DD" w:rsidRDefault="00D7366F" w:rsidP="00D944EE">
      <w:pPr>
        <w:pStyle w:val="ListParagraph"/>
        <w:numPr>
          <w:ilvl w:val="0"/>
          <w:numId w:val="28"/>
        </w:numPr>
        <w:spacing w:line="360" w:lineRule="auto"/>
        <w:jc w:val="both"/>
        <w:rPr>
          <w:rFonts w:ascii="Cambria" w:hAnsi="Cambria" w:cs="Calibri"/>
          <w:sz w:val="20"/>
          <w:szCs w:val="20"/>
          <w:lang w:val="en-GB"/>
        </w:rPr>
      </w:pPr>
      <w:r w:rsidRPr="009F60E9">
        <w:rPr>
          <w:rFonts w:ascii="Cambria" w:hAnsi="Cambria" w:cs="Calibri"/>
          <w:b/>
          <w:bCs/>
          <w:sz w:val="20"/>
          <w:szCs w:val="20"/>
          <w:lang w:val="en-GB"/>
        </w:rPr>
        <w:t>There are many political</w:t>
      </w:r>
      <w:r w:rsidR="009F60E9" w:rsidRPr="009F60E9">
        <w:rPr>
          <w:rFonts w:ascii="Cambria" w:hAnsi="Cambria" w:cs="Calibri"/>
          <w:b/>
          <w:bCs/>
          <w:sz w:val="20"/>
          <w:szCs w:val="20"/>
          <w:lang w:val="en-GB"/>
        </w:rPr>
        <w:t xml:space="preserve">, </w:t>
      </w:r>
      <w:r w:rsidRPr="009F60E9">
        <w:rPr>
          <w:rFonts w:ascii="Cambria" w:hAnsi="Cambria" w:cs="Calibri"/>
          <w:b/>
          <w:bCs/>
          <w:sz w:val="20"/>
          <w:szCs w:val="20"/>
          <w:lang w:val="en-GB"/>
        </w:rPr>
        <w:t>structural</w:t>
      </w:r>
      <w:r w:rsidR="009F60E9" w:rsidRPr="009F60E9">
        <w:rPr>
          <w:rFonts w:ascii="Cambria" w:hAnsi="Cambria" w:cs="Calibri"/>
          <w:b/>
          <w:bCs/>
          <w:sz w:val="20"/>
          <w:szCs w:val="20"/>
          <w:lang w:val="en-GB"/>
        </w:rPr>
        <w:t xml:space="preserve"> and administrative </w:t>
      </w:r>
      <w:r w:rsidR="006B4BFE" w:rsidRPr="009F60E9">
        <w:rPr>
          <w:rFonts w:ascii="Cambria" w:hAnsi="Cambria" w:cs="Calibri"/>
          <w:b/>
          <w:bCs/>
          <w:sz w:val="20"/>
          <w:szCs w:val="20"/>
          <w:lang w:val="en-GB"/>
        </w:rPr>
        <w:t>challenges to implementing GEWE initiatives</w:t>
      </w:r>
      <w:r w:rsidRPr="009F60E9">
        <w:rPr>
          <w:rFonts w:ascii="Cambria" w:hAnsi="Cambria" w:cs="Calibri"/>
          <w:b/>
          <w:bCs/>
          <w:sz w:val="20"/>
          <w:szCs w:val="20"/>
          <w:lang w:val="en-GB"/>
        </w:rPr>
        <w:t>:</w:t>
      </w:r>
      <w:r w:rsidRPr="009F60E9">
        <w:rPr>
          <w:rFonts w:ascii="Cambria" w:hAnsi="Cambria" w:cs="Calibri"/>
          <w:sz w:val="20"/>
          <w:szCs w:val="20"/>
          <w:lang w:val="en-GB"/>
        </w:rPr>
        <w:t xml:space="preserve"> </w:t>
      </w:r>
      <w:r w:rsidR="006B4BFE" w:rsidRPr="009F60E9">
        <w:rPr>
          <w:rFonts w:ascii="Cambria" w:hAnsi="Cambria" w:cs="Calibri"/>
          <w:sz w:val="20"/>
          <w:szCs w:val="20"/>
          <w:lang w:val="en-GB"/>
        </w:rPr>
        <w:t>Lack of political will and lack of recognition to enhance GEWE at the national level impede</w:t>
      </w:r>
      <w:r w:rsidRPr="009F60E9">
        <w:rPr>
          <w:rFonts w:ascii="Cambria" w:hAnsi="Cambria" w:cs="Calibri"/>
          <w:sz w:val="20"/>
          <w:szCs w:val="20"/>
          <w:lang w:val="en-GB"/>
        </w:rPr>
        <w:t>d</w:t>
      </w:r>
      <w:r w:rsidR="006B4BFE" w:rsidRPr="009F60E9">
        <w:rPr>
          <w:rFonts w:ascii="Cambria" w:hAnsi="Cambria" w:cs="Calibri"/>
          <w:sz w:val="20"/>
          <w:szCs w:val="20"/>
          <w:lang w:val="en-GB"/>
        </w:rPr>
        <w:t xml:space="preserve"> progress at the district and divisional level. Although Portfolio support to the SOC on Women and Gender resulted in presenting three draft bills</w:t>
      </w:r>
      <w:r w:rsidRPr="009F60E9">
        <w:rPr>
          <w:rFonts w:ascii="Cambria" w:hAnsi="Cambria" w:cs="Calibri"/>
          <w:sz w:val="20"/>
          <w:szCs w:val="20"/>
          <w:lang w:val="en-GB"/>
        </w:rPr>
        <w:t>,</w:t>
      </w:r>
      <w:r w:rsidR="006B4BFE" w:rsidRPr="009F60E9">
        <w:rPr>
          <w:rFonts w:ascii="Cambria" w:hAnsi="Cambria" w:cs="Calibri"/>
          <w:sz w:val="20"/>
          <w:szCs w:val="20"/>
          <w:lang w:val="en-GB"/>
        </w:rPr>
        <w:t xml:space="preserve"> increasing age of marriage for all to 18 years of age and amending the Land Development Ordinance to promote equal rights to inheritance, all have fallen through due to lack of priority for GEWE.  Following the general election MWCA was recognised as a State Ministry as opposed to a Cabinet Ministry, during the unity government. Lack of a cabinet portfolio reflects the political will and commitment to GEWE. The current ministry is lodged within the Cabinet Portfolio</w:t>
      </w:r>
      <w:r w:rsidRPr="009F60E9">
        <w:rPr>
          <w:rFonts w:ascii="Cambria" w:hAnsi="Cambria" w:cs="Calibri"/>
          <w:sz w:val="20"/>
          <w:szCs w:val="20"/>
          <w:lang w:val="en-GB"/>
        </w:rPr>
        <w:t>,</w:t>
      </w:r>
      <w:r w:rsidR="006B4BFE" w:rsidRPr="009F60E9">
        <w:rPr>
          <w:rFonts w:ascii="Cambria" w:hAnsi="Cambria" w:cs="Calibri"/>
          <w:sz w:val="20"/>
          <w:szCs w:val="20"/>
          <w:lang w:val="en-GB"/>
        </w:rPr>
        <w:t xml:space="preserve"> under the Ministry of Education</w:t>
      </w:r>
      <w:r w:rsidR="009F60E9" w:rsidRPr="009F60E9">
        <w:rPr>
          <w:rFonts w:ascii="Cambria" w:hAnsi="Cambria" w:cs="Calibri"/>
          <w:sz w:val="20"/>
          <w:szCs w:val="20"/>
          <w:lang w:val="en-GB"/>
        </w:rPr>
        <w:t xml:space="preserve">. </w:t>
      </w:r>
      <w:r w:rsidR="006B4BFE" w:rsidRPr="009F60E9">
        <w:rPr>
          <w:rFonts w:ascii="Cambria" w:hAnsi="Cambria" w:cs="Calibri"/>
          <w:sz w:val="20"/>
          <w:szCs w:val="20"/>
          <w:lang w:val="en-GB"/>
        </w:rPr>
        <w:t>IPs note that</w:t>
      </w:r>
      <w:r w:rsidR="009F60E9" w:rsidRPr="009F60E9">
        <w:rPr>
          <w:rFonts w:ascii="Cambria" w:hAnsi="Cambria" w:cs="Calibri"/>
          <w:sz w:val="20"/>
          <w:szCs w:val="20"/>
          <w:lang w:val="en-GB"/>
        </w:rPr>
        <w:t>,</w:t>
      </w:r>
      <w:r w:rsidR="006B4BFE" w:rsidRPr="009F60E9">
        <w:rPr>
          <w:rFonts w:ascii="Cambria" w:hAnsi="Cambria" w:cs="Calibri"/>
          <w:sz w:val="20"/>
          <w:szCs w:val="20"/>
          <w:lang w:val="en-GB"/>
        </w:rPr>
        <w:t xml:space="preserve"> emphasis is on advocating for universal education as an impetus to alleviating poverty. </w:t>
      </w:r>
    </w:p>
    <w:p w14:paraId="2E869425" w14:textId="77777777" w:rsidR="009F60E9" w:rsidRPr="009F60E9" w:rsidRDefault="009F60E9" w:rsidP="009F60E9">
      <w:pPr>
        <w:pStyle w:val="ListParagraph"/>
        <w:spacing w:line="360" w:lineRule="auto"/>
        <w:ind w:left="360"/>
        <w:jc w:val="both"/>
        <w:rPr>
          <w:rFonts w:ascii="Cambria" w:hAnsi="Cambria" w:cs="Calibri"/>
          <w:sz w:val="20"/>
          <w:szCs w:val="20"/>
          <w:lang w:val="en-GB"/>
        </w:rPr>
      </w:pPr>
    </w:p>
    <w:p w14:paraId="460A87AC" w14:textId="358F6A29" w:rsidR="00716E9C" w:rsidRDefault="00716E9C" w:rsidP="00081358">
      <w:pPr>
        <w:pStyle w:val="ListParagraph"/>
        <w:numPr>
          <w:ilvl w:val="1"/>
          <w:numId w:val="77"/>
        </w:numPr>
        <w:spacing w:line="360" w:lineRule="auto"/>
        <w:jc w:val="both"/>
        <w:rPr>
          <w:rFonts w:ascii="Cambria" w:hAnsi="Cambria" w:cstheme="minorHAnsi"/>
          <w:b/>
          <w:bCs/>
          <w:sz w:val="28"/>
          <w:szCs w:val="28"/>
        </w:rPr>
      </w:pPr>
      <w:r w:rsidRPr="00636218">
        <w:rPr>
          <w:rFonts w:ascii="Cambria" w:hAnsi="Cambria" w:cstheme="minorHAnsi"/>
          <w:b/>
          <w:bCs/>
          <w:sz w:val="28"/>
          <w:szCs w:val="28"/>
        </w:rPr>
        <w:t xml:space="preserve">Subject Specific Recommendations </w:t>
      </w:r>
    </w:p>
    <w:p w14:paraId="59E86442" w14:textId="0CCECFE4" w:rsidR="00716E9C" w:rsidRPr="00716E9C" w:rsidRDefault="00716E9C" w:rsidP="00081358">
      <w:pPr>
        <w:pStyle w:val="ListParagraph"/>
        <w:numPr>
          <w:ilvl w:val="0"/>
          <w:numId w:val="84"/>
        </w:numPr>
        <w:spacing w:line="360" w:lineRule="auto"/>
        <w:jc w:val="both"/>
        <w:rPr>
          <w:rFonts w:ascii="Cambria" w:hAnsi="Cambria" w:cstheme="minorHAnsi"/>
          <w:b/>
          <w:bCs/>
        </w:rPr>
      </w:pPr>
      <w:r w:rsidRPr="00716E9C">
        <w:rPr>
          <w:rFonts w:ascii="Cambria" w:hAnsi="Cambria" w:cstheme="minorHAnsi"/>
          <w:b/>
          <w:bCs/>
        </w:rPr>
        <w:t xml:space="preserve">Parliament </w:t>
      </w:r>
    </w:p>
    <w:p w14:paraId="1D03BA50" w14:textId="77777777" w:rsidR="00716E9C" w:rsidRDefault="00716E9C" w:rsidP="00716E9C">
      <w:pPr>
        <w:pStyle w:val="ListParagraph"/>
        <w:spacing w:line="360" w:lineRule="auto"/>
        <w:ind w:left="360"/>
        <w:jc w:val="both"/>
        <w:rPr>
          <w:rFonts w:ascii="Cambria" w:hAnsi="Cambria" w:cstheme="minorHAnsi"/>
          <w:sz w:val="20"/>
          <w:szCs w:val="20"/>
        </w:rPr>
      </w:pPr>
    </w:p>
    <w:p w14:paraId="330F46F6" w14:textId="77777777" w:rsidR="00716E9C" w:rsidRDefault="00716E9C" w:rsidP="00081358">
      <w:pPr>
        <w:pStyle w:val="ListParagraph"/>
        <w:numPr>
          <w:ilvl w:val="0"/>
          <w:numId w:val="71"/>
        </w:numPr>
        <w:spacing w:line="360" w:lineRule="auto"/>
        <w:jc w:val="both"/>
        <w:rPr>
          <w:rFonts w:ascii="Cambria" w:hAnsi="Cambria" w:cstheme="minorHAnsi"/>
          <w:sz w:val="20"/>
          <w:szCs w:val="20"/>
        </w:rPr>
      </w:pPr>
      <w:r>
        <w:rPr>
          <w:rFonts w:ascii="Cambria" w:hAnsi="Cambria" w:cstheme="minorHAnsi"/>
          <w:b/>
          <w:bCs/>
          <w:sz w:val="20"/>
          <w:szCs w:val="20"/>
        </w:rPr>
        <w:t xml:space="preserve">Take </w:t>
      </w:r>
      <w:r w:rsidRPr="00DA23FC">
        <w:rPr>
          <w:rFonts w:ascii="Cambria" w:hAnsi="Cambria" w:cstheme="minorHAnsi"/>
          <w:b/>
          <w:bCs/>
          <w:sz w:val="20"/>
          <w:szCs w:val="20"/>
        </w:rPr>
        <w:t>Immediate and direct action to consolidate the position of the UNDP as facilitator/convener:</w:t>
      </w:r>
      <w:r>
        <w:rPr>
          <w:rFonts w:ascii="Cambria" w:hAnsi="Cambria" w:cstheme="minorHAnsi"/>
          <w:sz w:val="20"/>
          <w:szCs w:val="20"/>
        </w:rPr>
        <w:t xml:space="preserve"> </w:t>
      </w:r>
      <w:r w:rsidRPr="001B77B2">
        <w:rPr>
          <w:rFonts w:ascii="Cambria" w:hAnsi="Cambria" w:cstheme="minorHAnsi"/>
          <w:sz w:val="20"/>
          <w:szCs w:val="20"/>
        </w:rPr>
        <w:t xml:space="preserve">Although the PDAP was endorsed by the new leadership and shows positive signs towards high level commitment and ownership as in the previous phase, direct action needs to be taken to consolidate the position and role of the UNDP as facilitator/convener and its ability to influence the process and strategic direction in order not to compromise on principles of good governance, accountability and inclusivity. </w:t>
      </w:r>
    </w:p>
    <w:p w14:paraId="6C22122C" w14:textId="77777777" w:rsidR="00716E9C" w:rsidRDefault="00716E9C" w:rsidP="00081358">
      <w:pPr>
        <w:pStyle w:val="ListParagraph"/>
        <w:numPr>
          <w:ilvl w:val="0"/>
          <w:numId w:val="71"/>
        </w:numPr>
        <w:spacing w:line="360" w:lineRule="auto"/>
        <w:jc w:val="both"/>
        <w:rPr>
          <w:rFonts w:ascii="Cambria" w:hAnsi="Cambria" w:cstheme="minorHAnsi"/>
          <w:sz w:val="20"/>
          <w:szCs w:val="20"/>
        </w:rPr>
      </w:pPr>
      <w:r>
        <w:rPr>
          <w:rFonts w:ascii="Cambria" w:hAnsi="Cambria" w:cstheme="minorHAnsi"/>
          <w:b/>
          <w:bCs/>
          <w:sz w:val="20"/>
          <w:szCs w:val="20"/>
        </w:rPr>
        <w:t>Allocate a</w:t>
      </w:r>
      <w:r w:rsidRPr="00636218">
        <w:rPr>
          <w:rFonts w:ascii="Cambria" w:hAnsi="Cambria" w:cstheme="minorHAnsi"/>
          <w:b/>
          <w:bCs/>
          <w:sz w:val="20"/>
          <w:szCs w:val="20"/>
        </w:rPr>
        <w:t>dequate resources to implement selected interventions identified by the PDAP:</w:t>
      </w:r>
      <w:r>
        <w:rPr>
          <w:rFonts w:ascii="Cambria" w:hAnsi="Cambria" w:cstheme="minorHAnsi"/>
          <w:sz w:val="20"/>
          <w:szCs w:val="20"/>
        </w:rPr>
        <w:t xml:space="preserve"> Although, </w:t>
      </w:r>
      <w:r w:rsidRPr="001B77B2">
        <w:rPr>
          <w:rFonts w:ascii="Cambria" w:hAnsi="Cambria" w:cstheme="minorHAnsi"/>
          <w:sz w:val="20"/>
          <w:szCs w:val="20"/>
        </w:rPr>
        <w:t>the willingness of DPs to continue to engage with parliament and new leadership through an agreed framework is promising</w:t>
      </w:r>
      <w:r>
        <w:rPr>
          <w:rFonts w:ascii="Cambria" w:hAnsi="Cambria" w:cstheme="minorHAnsi"/>
          <w:sz w:val="20"/>
          <w:szCs w:val="20"/>
        </w:rPr>
        <w:t xml:space="preserve">, the second phase </w:t>
      </w:r>
      <w:r w:rsidRPr="001B77B2">
        <w:rPr>
          <w:rFonts w:ascii="Cambria" w:hAnsi="Cambria" w:cstheme="minorHAnsi"/>
          <w:sz w:val="20"/>
          <w:szCs w:val="20"/>
        </w:rPr>
        <w:t xml:space="preserve">should consider; focusing on continued buy in of the PDAP with adequate allocation of resources to align with new national priorities and greater investment and ownership, to reduce donor dependency, inclusivity in planning and implementation stages, strategic alignment of resources based on development priorities of the partners and greater strengthening of reporting and monitoring of interventions and results. </w:t>
      </w:r>
    </w:p>
    <w:p w14:paraId="722014C6" w14:textId="77777777" w:rsidR="00716E9C" w:rsidRPr="001B77B2" w:rsidRDefault="00716E9C" w:rsidP="00081358">
      <w:pPr>
        <w:pStyle w:val="ListParagraph"/>
        <w:numPr>
          <w:ilvl w:val="0"/>
          <w:numId w:val="71"/>
        </w:numPr>
        <w:spacing w:line="360" w:lineRule="auto"/>
        <w:jc w:val="both"/>
        <w:rPr>
          <w:rFonts w:ascii="Cambria" w:hAnsi="Cambria" w:cstheme="minorHAnsi"/>
          <w:sz w:val="20"/>
          <w:szCs w:val="20"/>
        </w:rPr>
      </w:pPr>
      <w:r>
        <w:rPr>
          <w:rFonts w:ascii="Cambria" w:hAnsi="Cambria" w:cstheme="minorHAnsi"/>
          <w:b/>
          <w:bCs/>
          <w:sz w:val="20"/>
          <w:szCs w:val="20"/>
        </w:rPr>
        <w:t>Appoint a full time Coordinator for parliament to maintain interest and support:</w:t>
      </w:r>
      <w:r>
        <w:rPr>
          <w:rFonts w:ascii="Cambria" w:hAnsi="Cambria" w:cstheme="minorHAnsi"/>
          <w:sz w:val="20"/>
          <w:szCs w:val="20"/>
        </w:rPr>
        <w:t xml:space="preserve"> </w:t>
      </w:r>
      <w:r w:rsidRPr="001B77B2">
        <w:rPr>
          <w:rFonts w:ascii="Cambria" w:hAnsi="Cambria" w:cstheme="minorHAnsi"/>
          <w:sz w:val="20"/>
          <w:szCs w:val="20"/>
        </w:rPr>
        <w:t>The role of a full-time coordinator</w:t>
      </w:r>
      <w:r>
        <w:rPr>
          <w:rFonts w:ascii="Cambria" w:hAnsi="Cambria" w:cstheme="minorHAnsi"/>
          <w:sz w:val="20"/>
          <w:szCs w:val="20"/>
        </w:rPr>
        <w:t>,</w:t>
      </w:r>
      <w:r w:rsidRPr="001B77B2">
        <w:rPr>
          <w:rFonts w:ascii="Cambria" w:hAnsi="Cambria" w:cstheme="minorHAnsi"/>
          <w:sz w:val="20"/>
          <w:szCs w:val="20"/>
        </w:rPr>
        <w:t xml:space="preserve"> based in parliament</w:t>
      </w:r>
      <w:r>
        <w:rPr>
          <w:rFonts w:ascii="Cambria" w:hAnsi="Cambria" w:cstheme="minorHAnsi"/>
          <w:sz w:val="20"/>
          <w:szCs w:val="20"/>
        </w:rPr>
        <w:t>,</w:t>
      </w:r>
      <w:r w:rsidRPr="001B77B2">
        <w:rPr>
          <w:rFonts w:ascii="Cambria" w:hAnsi="Cambria" w:cstheme="minorHAnsi"/>
          <w:sz w:val="20"/>
          <w:szCs w:val="20"/>
        </w:rPr>
        <w:t xml:space="preserve"> as it was the practice in the past</w:t>
      </w:r>
      <w:r>
        <w:rPr>
          <w:rFonts w:ascii="Cambria" w:hAnsi="Cambria" w:cstheme="minorHAnsi"/>
          <w:sz w:val="20"/>
          <w:szCs w:val="20"/>
        </w:rPr>
        <w:t>,</w:t>
      </w:r>
      <w:r w:rsidRPr="001B77B2">
        <w:rPr>
          <w:rFonts w:ascii="Cambria" w:hAnsi="Cambria" w:cstheme="minorHAnsi"/>
          <w:sz w:val="20"/>
          <w:szCs w:val="20"/>
        </w:rPr>
        <w:t xml:space="preserve"> should be considered in the second phase</w:t>
      </w:r>
      <w:r>
        <w:rPr>
          <w:rFonts w:ascii="Cambria" w:hAnsi="Cambria" w:cstheme="minorHAnsi"/>
          <w:sz w:val="20"/>
          <w:szCs w:val="20"/>
        </w:rPr>
        <w:t>.</w:t>
      </w:r>
      <w:r w:rsidRPr="001B77B2">
        <w:rPr>
          <w:rFonts w:ascii="Cambria" w:hAnsi="Cambria" w:cstheme="minorHAnsi"/>
          <w:sz w:val="20"/>
          <w:szCs w:val="20"/>
        </w:rPr>
        <w:t xml:space="preserve"> assisted by the Technical Specialist for strategic support and direction. </w:t>
      </w:r>
    </w:p>
    <w:p w14:paraId="53C9D442" w14:textId="77777777" w:rsidR="00716E9C" w:rsidRDefault="00716E9C" w:rsidP="00081358">
      <w:pPr>
        <w:pStyle w:val="ListParagraph"/>
        <w:numPr>
          <w:ilvl w:val="0"/>
          <w:numId w:val="71"/>
        </w:numPr>
        <w:spacing w:line="360" w:lineRule="auto"/>
        <w:jc w:val="both"/>
        <w:rPr>
          <w:rFonts w:ascii="Cambria" w:hAnsi="Cambria" w:cstheme="minorHAnsi"/>
          <w:sz w:val="20"/>
          <w:szCs w:val="20"/>
        </w:rPr>
      </w:pPr>
      <w:r w:rsidRPr="00613068">
        <w:rPr>
          <w:rFonts w:ascii="Cambria" w:hAnsi="Cambria" w:cstheme="minorHAnsi"/>
          <w:b/>
          <w:bCs/>
          <w:sz w:val="20"/>
          <w:szCs w:val="20"/>
        </w:rPr>
        <w:lastRenderedPageBreak/>
        <w:t>Prioriti</w:t>
      </w:r>
      <w:r>
        <w:rPr>
          <w:rFonts w:ascii="Cambria" w:hAnsi="Cambria" w:cstheme="minorHAnsi"/>
          <w:b/>
          <w:bCs/>
          <w:sz w:val="20"/>
          <w:szCs w:val="20"/>
        </w:rPr>
        <w:t>s</w:t>
      </w:r>
      <w:r w:rsidRPr="00613068">
        <w:rPr>
          <w:rFonts w:ascii="Cambria" w:hAnsi="Cambria" w:cstheme="minorHAnsi"/>
          <w:b/>
          <w:bCs/>
          <w:sz w:val="20"/>
          <w:szCs w:val="20"/>
        </w:rPr>
        <w:t>e and focus on strategic entry points:</w:t>
      </w:r>
      <w:r>
        <w:rPr>
          <w:rFonts w:ascii="Cambria" w:hAnsi="Cambria" w:cstheme="minorHAnsi"/>
          <w:sz w:val="20"/>
          <w:szCs w:val="20"/>
        </w:rPr>
        <w:t xml:space="preserve"> it is crucial to focus on </w:t>
      </w:r>
      <w:r w:rsidRPr="001B77B2">
        <w:rPr>
          <w:rFonts w:ascii="Cambria" w:hAnsi="Cambria" w:cstheme="minorHAnsi"/>
          <w:sz w:val="20"/>
          <w:szCs w:val="20"/>
        </w:rPr>
        <w:t xml:space="preserve">selected strategic entry points identified by the </w:t>
      </w:r>
      <w:r>
        <w:rPr>
          <w:rFonts w:ascii="Cambria" w:hAnsi="Cambria" w:cstheme="minorHAnsi"/>
          <w:sz w:val="20"/>
          <w:szCs w:val="20"/>
        </w:rPr>
        <w:t>PDAP</w:t>
      </w:r>
      <w:r w:rsidRPr="001B77B2">
        <w:rPr>
          <w:rFonts w:ascii="Cambria" w:hAnsi="Cambria" w:cstheme="minorHAnsi"/>
          <w:sz w:val="20"/>
          <w:szCs w:val="20"/>
        </w:rPr>
        <w:t>, to consolidate interventions</w:t>
      </w:r>
      <w:r>
        <w:rPr>
          <w:rFonts w:ascii="Cambria" w:hAnsi="Cambria" w:cstheme="minorHAnsi"/>
          <w:sz w:val="20"/>
          <w:szCs w:val="20"/>
        </w:rPr>
        <w:t xml:space="preserve">. These should include the following: </w:t>
      </w:r>
    </w:p>
    <w:p w14:paraId="00E0CA36" w14:textId="77777777" w:rsidR="00716E9C" w:rsidRDefault="00716E9C" w:rsidP="00081358">
      <w:pPr>
        <w:pStyle w:val="ListParagraph"/>
        <w:numPr>
          <w:ilvl w:val="0"/>
          <w:numId w:val="82"/>
        </w:numPr>
        <w:spacing w:line="360" w:lineRule="auto"/>
        <w:jc w:val="both"/>
        <w:rPr>
          <w:rFonts w:ascii="Cambria" w:hAnsi="Cambria" w:cstheme="minorHAnsi"/>
          <w:sz w:val="20"/>
          <w:szCs w:val="20"/>
        </w:rPr>
      </w:pPr>
      <w:r>
        <w:rPr>
          <w:rFonts w:ascii="Cambria" w:hAnsi="Cambria" w:cstheme="minorHAnsi"/>
          <w:sz w:val="20"/>
          <w:szCs w:val="20"/>
        </w:rPr>
        <w:t>S</w:t>
      </w:r>
      <w:r w:rsidRPr="001B77B2">
        <w:rPr>
          <w:rFonts w:ascii="Cambria" w:hAnsi="Cambria" w:cstheme="minorHAnsi"/>
          <w:sz w:val="20"/>
          <w:szCs w:val="20"/>
        </w:rPr>
        <w:t>upport to streaml</w:t>
      </w:r>
      <w:r>
        <w:rPr>
          <w:rFonts w:ascii="Cambria" w:hAnsi="Cambria" w:cstheme="minorHAnsi"/>
          <w:sz w:val="20"/>
          <w:szCs w:val="20"/>
        </w:rPr>
        <w:t>ine</w:t>
      </w:r>
      <w:r w:rsidRPr="001B77B2">
        <w:rPr>
          <w:rFonts w:ascii="Cambria" w:hAnsi="Cambria" w:cstheme="minorHAnsi"/>
          <w:sz w:val="20"/>
          <w:szCs w:val="20"/>
        </w:rPr>
        <w:t xml:space="preserve"> SOCs (to ensure support to SOC on women and gender, PSC on SDGs and committees on climate, etc.)</w:t>
      </w:r>
      <w:r>
        <w:rPr>
          <w:rFonts w:ascii="Cambria" w:hAnsi="Cambria" w:cstheme="minorHAnsi"/>
          <w:sz w:val="20"/>
          <w:szCs w:val="20"/>
        </w:rPr>
        <w:t>;</w:t>
      </w:r>
    </w:p>
    <w:p w14:paraId="4ABA321D" w14:textId="77777777" w:rsidR="00716E9C" w:rsidRDefault="00716E9C" w:rsidP="00081358">
      <w:pPr>
        <w:pStyle w:val="ListParagraph"/>
        <w:numPr>
          <w:ilvl w:val="0"/>
          <w:numId w:val="82"/>
        </w:numPr>
        <w:spacing w:line="360" w:lineRule="auto"/>
        <w:jc w:val="both"/>
        <w:rPr>
          <w:rFonts w:ascii="Cambria" w:hAnsi="Cambria" w:cstheme="minorHAnsi"/>
          <w:sz w:val="20"/>
          <w:szCs w:val="20"/>
        </w:rPr>
      </w:pPr>
      <w:r>
        <w:rPr>
          <w:rFonts w:ascii="Cambria" w:hAnsi="Cambria" w:cstheme="minorHAnsi"/>
          <w:sz w:val="20"/>
          <w:szCs w:val="20"/>
        </w:rPr>
        <w:t xml:space="preserve">Support to </w:t>
      </w:r>
      <w:r w:rsidRPr="001B77B2">
        <w:rPr>
          <w:rFonts w:ascii="Cambria" w:hAnsi="Cambria" w:cstheme="minorHAnsi"/>
          <w:sz w:val="20"/>
          <w:szCs w:val="20"/>
        </w:rPr>
        <w:t>implement the communications strategic plan to enhance ‘openness of parliament’ and creating space for open dialogue with MPs and communities</w:t>
      </w:r>
      <w:r>
        <w:rPr>
          <w:rFonts w:ascii="Cambria" w:hAnsi="Cambria" w:cstheme="minorHAnsi"/>
          <w:sz w:val="20"/>
          <w:szCs w:val="20"/>
        </w:rPr>
        <w:t>;</w:t>
      </w:r>
    </w:p>
    <w:p w14:paraId="64215ABA" w14:textId="77777777" w:rsidR="00716E9C" w:rsidRDefault="00716E9C" w:rsidP="00081358">
      <w:pPr>
        <w:pStyle w:val="ListParagraph"/>
        <w:numPr>
          <w:ilvl w:val="0"/>
          <w:numId w:val="82"/>
        </w:numPr>
        <w:spacing w:line="360" w:lineRule="auto"/>
        <w:jc w:val="both"/>
        <w:rPr>
          <w:rFonts w:ascii="Cambria" w:hAnsi="Cambria" w:cstheme="minorHAnsi"/>
          <w:sz w:val="20"/>
          <w:szCs w:val="20"/>
        </w:rPr>
      </w:pPr>
      <w:r>
        <w:rPr>
          <w:rFonts w:ascii="Cambria" w:hAnsi="Cambria" w:cstheme="minorHAnsi"/>
          <w:sz w:val="20"/>
          <w:szCs w:val="20"/>
        </w:rPr>
        <w:t xml:space="preserve">Support to </w:t>
      </w:r>
      <w:r w:rsidRPr="001B77B2">
        <w:rPr>
          <w:rFonts w:ascii="Cambria" w:hAnsi="Cambria" w:cstheme="minorHAnsi"/>
          <w:sz w:val="20"/>
          <w:szCs w:val="20"/>
        </w:rPr>
        <w:t>digitisation and capacity building that, may have a high probability of achievement in the short term</w:t>
      </w:r>
      <w:r>
        <w:rPr>
          <w:rFonts w:ascii="Cambria" w:hAnsi="Cambria" w:cstheme="minorHAnsi"/>
          <w:sz w:val="20"/>
          <w:szCs w:val="20"/>
        </w:rPr>
        <w:t>.</w:t>
      </w:r>
    </w:p>
    <w:p w14:paraId="6EA26EDA" w14:textId="77777777" w:rsidR="00716E9C" w:rsidRDefault="00716E9C" w:rsidP="00716E9C">
      <w:pPr>
        <w:spacing w:line="360" w:lineRule="auto"/>
        <w:jc w:val="both"/>
        <w:rPr>
          <w:rFonts w:ascii="Cambria" w:hAnsi="Cambria" w:cstheme="minorHAnsi"/>
          <w:sz w:val="20"/>
          <w:szCs w:val="20"/>
        </w:rPr>
      </w:pPr>
      <w:r w:rsidRPr="00613068">
        <w:rPr>
          <w:rFonts w:ascii="Cambria" w:hAnsi="Cambria" w:cstheme="minorHAnsi"/>
          <w:sz w:val="20"/>
          <w:szCs w:val="20"/>
        </w:rPr>
        <w:t>Further taking into consideration current support and start up activities, resources, expertise and UNDP core strengths, it is vital to select activities that may have a high impact in the longer term</w:t>
      </w:r>
      <w:r>
        <w:rPr>
          <w:rFonts w:ascii="Cambria" w:hAnsi="Cambria" w:cstheme="minorHAnsi"/>
          <w:sz w:val="20"/>
          <w:szCs w:val="20"/>
        </w:rPr>
        <w:t>. These should include the following:</w:t>
      </w:r>
    </w:p>
    <w:p w14:paraId="6883A6DD" w14:textId="77777777" w:rsidR="00716E9C" w:rsidRDefault="00716E9C" w:rsidP="00081358">
      <w:pPr>
        <w:pStyle w:val="ListParagraph"/>
        <w:numPr>
          <w:ilvl w:val="0"/>
          <w:numId w:val="83"/>
        </w:numPr>
        <w:spacing w:line="360" w:lineRule="auto"/>
        <w:jc w:val="both"/>
        <w:rPr>
          <w:rFonts w:ascii="Cambria" w:hAnsi="Cambria" w:cstheme="minorHAnsi"/>
          <w:sz w:val="20"/>
          <w:szCs w:val="20"/>
        </w:rPr>
      </w:pPr>
      <w:r>
        <w:rPr>
          <w:rFonts w:ascii="Cambria" w:hAnsi="Cambria" w:cstheme="minorHAnsi"/>
          <w:sz w:val="20"/>
          <w:szCs w:val="20"/>
        </w:rPr>
        <w:t xml:space="preserve">Build </w:t>
      </w:r>
      <w:r w:rsidRPr="00613068">
        <w:rPr>
          <w:rFonts w:ascii="Cambria" w:hAnsi="Cambria" w:cstheme="minorHAnsi"/>
          <w:sz w:val="20"/>
          <w:szCs w:val="20"/>
        </w:rPr>
        <w:t>the knowledge base of MPs by expanding the research and development unit of parliament</w:t>
      </w:r>
      <w:r>
        <w:rPr>
          <w:rFonts w:ascii="Cambria" w:hAnsi="Cambria" w:cstheme="minorHAnsi"/>
          <w:sz w:val="20"/>
          <w:szCs w:val="20"/>
        </w:rPr>
        <w:t>;</w:t>
      </w:r>
    </w:p>
    <w:p w14:paraId="1DA56E4A" w14:textId="77777777" w:rsidR="00716E9C" w:rsidRDefault="00716E9C" w:rsidP="00081358">
      <w:pPr>
        <w:pStyle w:val="ListParagraph"/>
        <w:numPr>
          <w:ilvl w:val="0"/>
          <w:numId w:val="83"/>
        </w:numPr>
        <w:spacing w:line="360" w:lineRule="auto"/>
        <w:jc w:val="both"/>
        <w:rPr>
          <w:rFonts w:ascii="Cambria" w:hAnsi="Cambria" w:cstheme="minorHAnsi"/>
          <w:sz w:val="20"/>
          <w:szCs w:val="20"/>
        </w:rPr>
      </w:pPr>
      <w:r w:rsidRPr="00613068">
        <w:rPr>
          <w:rFonts w:ascii="Cambria" w:hAnsi="Cambria" w:cstheme="minorHAnsi"/>
          <w:sz w:val="20"/>
          <w:szCs w:val="20"/>
        </w:rPr>
        <w:t xml:space="preserve">link </w:t>
      </w:r>
      <w:r>
        <w:rPr>
          <w:rFonts w:ascii="Cambria" w:hAnsi="Cambria" w:cstheme="minorHAnsi"/>
          <w:sz w:val="20"/>
          <w:szCs w:val="20"/>
        </w:rPr>
        <w:t xml:space="preserve">MPs </w:t>
      </w:r>
      <w:r w:rsidRPr="00613068">
        <w:rPr>
          <w:rFonts w:ascii="Cambria" w:hAnsi="Cambria" w:cstheme="minorHAnsi"/>
          <w:sz w:val="20"/>
          <w:szCs w:val="20"/>
        </w:rPr>
        <w:t>with peer institutions and university/research institutions</w:t>
      </w:r>
      <w:r>
        <w:rPr>
          <w:rFonts w:ascii="Cambria" w:hAnsi="Cambria" w:cstheme="minorHAnsi"/>
          <w:sz w:val="20"/>
          <w:szCs w:val="20"/>
        </w:rPr>
        <w:t>;</w:t>
      </w:r>
    </w:p>
    <w:p w14:paraId="6E84C5FA" w14:textId="77777777" w:rsidR="00716E9C" w:rsidRDefault="00716E9C" w:rsidP="00081358">
      <w:pPr>
        <w:pStyle w:val="ListParagraph"/>
        <w:numPr>
          <w:ilvl w:val="0"/>
          <w:numId w:val="83"/>
        </w:numPr>
        <w:spacing w:line="360" w:lineRule="auto"/>
        <w:jc w:val="both"/>
        <w:rPr>
          <w:rFonts w:ascii="Cambria" w:hAnsi="Cambria" w:cstheme="minorHAnsi"/>
          <w:sz w:val="20"/>
          <w:szCs w:val="20"/>
        </w:rPr>
      </w:pPr>
      <w:r>
        <w:rPr>
          <w:rFonts w:ascii="Cambria" w:hAnsi="Cambria" w:cstheme="minorHAnsi"/>
          <w:sz w:val="20"/>
          <w:szCs w:val="20"/>
        </w:rPr>
        <w:t>E</w:t>
      </w:r>
      <w:r w:rsidRPr="00613068">
        <w:rPr>
          <w:rFonts w:ascii="Cambria" w:hAnsi="Cambria" w:cstheme="minorHAnsi"/>
          <w:sz w:val="20"/>
          <w:szCs w:val="20"/>
        </w:rPr>
        <w:t>xpand on curriculum</w:t>
      </w:r>
      <w:r>
        <w:rPr>
          <w:rFonts w:ascii="Cambria" w:hAnsi="Cambria" w:cstheme="minorHAnsi"/>
          <w:sz w:val="20"/>
          <w:szCs w:val="20"/>
        </w:rPr>
        <w:t>/</w:t>
      </w:r>
      <w:r w:rsidRPr="00613068">
        <w:rPr>
          <w:rFonts w:ascii="Cambria" w:hAnsi="Cambria" w:cstheme="minorHAnsi"/>
          <w:sz w:val="20"/>
          <w:szCs w:val="20"/>
        </w:rPr>
        <w:t>methodology of the orientation programme for new parliamentarians</w:t>
      </w:r>
    </w:p>
    <w:p w14:paraId="76ABF164" w14:textId="77777777" w:rsidR="00716E9C" w:rsidRPr="00613068" w:rsidRDefault="00716E9C" w:rsidP="00081358">
      <w:pPr>
        <w:pStyle w:val="ListParagraph"/>
        <w:numPr>
          <w:ilvl w:val="0"/>
          <w:numId w:val="83"/>
        </w:numPr>
        <w:spacing w:line="360" w:lineRule="auto"/>
        <w:jc w:val="both"/>
        <w:rPr>
          <w:rFonts w:ascii="Cambria" w:hAnsi="Cambria" w:cstheme="minorHAnsi"/>
          <w:sz w:val="20"/>
          <w:szCs w:val="20"/>
        </w:rPr>
      </w:pPr>
      <w:r>
        <w:rPr>
          <w:rFonts w:ascii="Cambria" w:hAnsi="Cambria" w:cstheme="minorHAnsi"/>
          <w:sz w:val="20"/>
          <w:szCs w:val="20"/>
        </w:rPr>
        <w:t>C</w:t>
      </w:r>
      <w:r w:rsidRPr="00613068">
        <w:rPr>
          <w:rFonts w:ascii="Cambria" w:hAnsi="Cambria" w:cstheme="minorHAnsi"/>
          <w:sz w:val="20"/>
          <w:szCs w:val="20"/>
        </w:rPr>
        <w:t>reat</w:t>
      </w:r>
      <w:r>
        <w:rPr>
          <w:rFonts w:ascii="Cambria" w:hAnsi="Cambria" w:cstheme="minorHAnsi"/>
          <w:sz w:val="20"/>
          <w:szCs w:val="20"/>
        </w:rPr>
        <w:t>e</w:t>
      </w:r>
      <w:r w:rsidRPr="00613068">
        <w:rPr>
          <w:rFonts w:ascii="Cambria" w:hAnsi="Cambria" w:cstheme="minorHAnsi"/>
          <w:sz w:val="20"/>
          <w:szCs w:val="20"/>
        </w:rPr>
        <w:t xml:space="preserve"> space for open dialogue with MPs and cross section of experts such as academics, retired judges, UN experts, visiting MPs from other countries, etc. through collaborations, national and district forums, peer contacts and developing South-South Cooperation</w:t>
      </w:r>
      <w:r>
        <w:rPr>
          <w:rFonts w:ascii="Cambria" w:hAnsi="Cambria" w:cstheme="minorHAnsi"/>
          <w:sz w:val="20"/>
          <w:szCs w:val="20"/>
        </w:rPr>
        <w:t>, through the Research Unit or through the ‘Speaker’s Forum’ initiative of the parliament.</w:t>
      </w:r>
    </w:p>
    <w:p w14:paraId="3D5886FC" w14:textId="77777777" w:rsidR="00716E9C" w:rsidRPr="001B77B2" w:rsidRDefault="00716E9C" w:rsidP="00716E9C">
      <w:pPr>
        <w:pStyle w:val="BodyText"/>
        <w:numPr>
          <w:ilvl w:val="0"/>
          <w:numId w:val="20"/>
        </w:numPr>
        <w:spacing w:line="360" w:lineRule="auto"/>
        <w:contextualSpacing/>
        <w:jc w:val="both"/>
        <w:rPr>
          <w:rFonts w:ascii="Cambria" w:hAnsi="Cambria" w:cstheme="minorHAnsi"/>
          <w:sz w:val="20"/>
          <w:szCs w:val="20"/>
        </w:rPr>
      </w:pPr>
      <w:r w:rsidRPr="00D5630F">
        <w:rPr>
          <w:rFonts w:ascii="Cambria" w:hAnsi="Cambria" w:cstheme="minorHAnsi"/>
          <w:b/>
          <w:bCs/>
          <w:sz w:val="20"/>
          <w:szCs w:val="20"/>
        </w:rPr>
        <w:t>Continue support to the Parliamentary Secretariate during the second phase:</w:t>
      </w:r>
      <w:r>
        <w:rPr>
          <w:rFonts w:ascii="Cambria" w:hAnsi="Cambria" w:cstheme="minorHAnsi"/>
          <w:sz w:val="20"/>
          <w:szCs w:val="20"/>
        </w:rPr>
        <w:t xml:space="preserve"> I</w:t>
      </w:r>
      <w:r w:rsidRPr="001B77B2">
        <w:rPr>
          <w:rFonts w:ascii="Cambria" w:hAnsi="Cambria" w:cstheme="minorHAnsi"/>
          <w:sz w:val="20"/>
          <w:szCs w:val="20"/>
        </w:rPr>
        <w:t xml:space="preserve">t is crucial to continue to invest in capacity building of the staff of the PS to strengthen institutional resilience to political shifts and shocks.  </w:t>
      </w:r>
    </w:p>
    <w:p w14:paraId="083F3C8E" w14:textId="77777777" w:rsidR="00716E9C" w:rsidRPr="001B77B2" w:rsidRDefault="00716E9C" w:rsidP="00716E9C">
      <w:pPr>
        <w:pStyle w:val="ListParagraph"/>
        <w:numPr>
          <w:ilvl w:val="0"/>
          <w:numId w:val="20"/>
        </w:numPr>
        <w:spacing w:line="360" w:lineRule="auto"/>
        <w:jc w:val="both"/>
        <w:rPr>
          <w:rFonts w:ascii="Cambria" w:hAnsi="Cambria" w:cstheme="minorHAnsi"/>
          <w:sz w:val="20"/>
          <w:szCs w:val="20"/>
        </w:rPr>
      </w:pPr>
      <w:r w:rsidRPr="004E17C8">
        <w:rPr>
          <w:rFonts w:ascii="Cambria" w:hAnsi="Cambria" w:cstheme="minorHAnsi"/>
          <w:b/>
          <w:bCs/>
          <w:sz w:val="20"/>
          <w:szCs w:val="20"/>
        </w:rPr>
        <w:t>Identify key players in parliament (eg. women parliamentarians and new parliamentarians)</w:t>
      </w:r>
      <w:r>
        <w:rPr>
          <w:rFonts w:ascii="Cambria" w:hAnsi="Cambria" w:cstheme="minorHAnsi"/>
          <w:b/>
          <w:bCs/>
          <w:sz w:val="20"/>
          <w:szCs w:val="20"/>
        </w:rPr>
        <w:t xml:space="preserve"> and target discussions to prioratise rule of law, access to justice, GEWE and transitional justice issues</w:t>
      </w:r>
      <w:r w:rsidRPr="004E17C8">
        <w:rPr>
          <w:rFonts w:ascii="Cambria" w:hAnsi="Cambria" w:cstheme="minorHAnsi"/>
          <w:b/>
          <w:bCs/>
          <w:sz w:val="20"/>
          <w:szCs w:val="20"/>
        </w:rPr>
        <w:t>:</w:t>
      </w:r>
      <w:r>
        <w:rPr>
          <w:rFonts w:ascii="Cambria" w:hAnsi="Cambria" w:cstheme="minorHAnsi"/>
          <w:sz w:val="20"/>
          <w:szCs w:val="20"/>
        </w:rPr>
        <w:t xml:space="preserve"> I</w:t>
      </w:r>
      <w:r w:rsidRPr="001B77B2">
        <w:rPr>
          <w:rFonts w:ascii="Cambria" w:hAnsi="Cambria" w:cstheme="minorHAnsi"/>
          <w:sz w:val="20"/>
          <w:szCs w:val="20"/>
        </w:rPr>
        <w:t>t is crucial to identify key players in parliament, especially female and young/new parliamentarians</w:t>
      </w:r>
      <w:r>
        <w:rPr>
          <w:rFonts w:ascii="Cambria" w:hAnsi="Cambria" w:cstheme="minorHAnsi"/>
          <w:sz w:val="20"/>
          <w:szCs w:val="20"/>
        </w:rPr>
        <w:t xml:space="preserve">. It is important to </w:t>
      </w:r>
      <w:r w:rsidRPr="001B77B2">
        <w:rPr>
          <w:rFonts w:ascii="Cambria" w:hAnsi="Cambria" w:cstheme="minorHAnsi"/>
          <w:sz w:val="20"/>
          <w:szCs w:val="20"/>
        </w:rPr>
        <w:t>expand and support the research/open dialogue initiative of parliament</w:t>
      </w:r>
      <w:r>
        <w:rPr>
          <w:rFonts w:ascii="Cambria" w:hAnsi="Cambria" w:cstheme="minorHAnsi"/>
          <w:sz w:val="20"/>
          <w:szCs w:val="20"/>
        </w:rPr>
        <w:t>,</w:t>
      </w:r>
      <w:r w:rsidRPr="001B77B2">
        <w:rPr>
          <w:rFonts w:ascii="Cambria" w:hAnsi="Cambria" w:cstheme="minorHAnsi"/>
          <w:sz w:val="20"/>
          <w:szCs w:val="20"/>
        </w:rPr>
        <w:t xml:space="preserve"> to inform MPs of bills and other matters that come before parliament</w:t>
      </w:r>
      <w:r>
        <w:rPr>
          <w:rFonts w:ascii="Cambria" w:hAnsi="Cambria" w:cstheme="minorHAnsi"/>
          <w:sz w:val="20"/>
          <w:szCs w:val="20"/>
        </w:rPr>
        <w:t>,</w:t>
      </w:r>
      <w:r w:rsidRPr="001B77B2">
        <w:rPr>
          <w:rFonts w:ascii="Cambria" w:hAnsi="Cambria" w:cstheme="minorHAnsi"/>
          <w:sz w:val="20"/>
          <w:szCs w:val="20"/>
        </w:rPr>
        <w:t xml:space="preserve"> for better monitoring and reporting. For example, initiatives such as</w:t>
      </w:r>
      <w:r>
        <w:rPr>
          <w:rFonts w:ascii="Cambria" w:hAnsi="Cambria" w:cstheme="minorHAnsi"/>
          <w:sz w:val="20"/>
          <w:szCs w:val="20"/>
        </w:rPr>
        <w:t>,</w:t>
      </w:r>
      <w:r w:rsidRPr="001B77B2">
        <w:rPr>
          <w:rFonts w:ascii="Cambria" w:hAnsi="Cambria" w:cstheme="minorHAnsi"/>
          <w:sz w:val="20"/>
          <w:szCs w:val="20"/>
        </w:rPr>
        <w:t xml:space="preserve"> the preparation of expert summaries </w:t>
      </w:r>
      <w:r>
        <w:rPr>
          <w:rFonts w:ascii="Cambria" w:hAnsi="Cambria" w:cstheme="minorHAnsi"/>
          <w:sz w:val="20"/>
          <w:szCs w:val="20"/>
        </w:rPr>
        <w:t xml:space="preserve">for MPs </w:t>
      </w:r>
      <w:r w:rsidRPr="001B77B2">
        <w:rPr>
          <w:rFonts w:ascii="Cambria" w:hAnsi="Cambria" w:cstheme="minorHAnsi"/>
          <w:sz w:val="20"/>
          <w:szCs w:val="20"/>
        </w:rPr>
        <w:t>on each and every bill tabled in parliament</w:t>
      </w:r>
      <w:r>
        <w:rPr>
          <w:rFonts w:ascii="Cambria" w:hAnsi="Cambria" w:cstheme="minorHAnsi"/>
          <w:sz w:val="20"/>
          <w:szCs w:val="20"/>
        </w:rPr>
        <w:t xml:space="preserve">, </w:t>
      </w:r>
      <w:r w:rsidRPr="001B77B2">
        <w:rPr>
          <w:rFonts w:ascii="Cambria" w:hAnsi="Cambria" w:cstheme="minorHAnsi"/>
          <w:sz w:val="20"/>
          <w:szCs w:val="20"/>
        </w:rPr>
        <w:t>by the research unit</w:t>
      </w:r>
      <w:r>
        <w:rPr>
          <w:rFonts w:ascii="Cambria" w:hAnsi="Cambria" w:cstheme="minorHAnsi"/>
          <w:sz w:val="20"/>
          <w:szCs w:val="20"/>
        </w:rPr>
        <w:t xml:space="preserve"> or the </w:t>
      </w:r>
      <w:r w:rsidRPr="001B77B2">
        <w:rPr>
          <w:rFonts w:ascii="Cambria" w:hAnsi="Cambria" w:cstheme="minorHAnsi"/>
          <w:sz w:val="20"/>
          <w:szCs w:val="20"/>
        </w:rPr>
        <w:t>‘Speaker’s Forum’ to invite eminent persons from civil society to speak on specialised subjects</w:t>
      </w:r>
      <w:r>
        <w:rPr>
          <w:rFonts w:ascii="Cambria" w:hAnsi="Cambria" w:cstheme="minorHAnsi"/>
          <w:sz w:val="20"/>
          <w:szCs w:val="20"/>
        </w:rPr>
        <w:t>,</w:t>
      </w:r>
      <w:r w:rsidRPr="001B77B2">
        <w:rPr>
          <w:rFonts w:ascii="Cambria" w:hAnsi="Cambria" w:cstheme="minorHAnsi"/>
          <w:sz w:val="20"/>
          <w:szCs w:val="20"/>
        </w:rPr>
        <w:t xml:space="preserve"> are opportunities to support</w:t>
      </w:r>
      <w:r>
        <w:rPr>
          <w:rFonts w:ascii="Cambria" w:hAnsi="Cambria" w:cstheme="minorHAnsi"/>
          <w:sz w:val="20"/>
          <w:szCs w:val="20"/>
        </w:rPr>
        <w:t>,</w:t>
      </w:r>
      <w:r w:rsidRPr="001B77B2">
        <w:rPr>
          <w:rFonts w:ascii="Cambria" w:hAnsi="Cambria" w:cstheme="minorHAnsi"/>
          <w:sz w:val="20"/>
          <w:szCs w:val="20"/>
        </w:rPr>
        <w:t xml:space="preserve"> to </w:t>
      </w:r>
      <w:r>
        <w:rPr>
          <w:rFonts w:ascii="Cambria" w:hAnsi="Cambria" w:cstheme="minorHAnsi"/>
          <w:sz w:val="20"/>
          <w:szCs w:val="20"/>
        </w:rPr>
        <w:t>minimize,</w:t>
      </w:r>
      <w:r w:rsidRPr="001B77B2">
        <w:rPr>
          <w:rFonts w:ascii="Cambria" w:hAnsi="Cambria" w:cstheme="minorHAnsi"/>
          <w:sz w:val="20"/>
          <w:szCs w:val="20"/>
        </w:rPr>
        <w:t xml:space="preserve"> the impact of limited space for parliament and civil society under the 20</w:t>
      </w:r>
      <w:r w:rsidRPr="001B77B2">
        <w:rPr>
          <w:rFonts w:ascii="Cambria" w:hAnsi="Cambria" w:cstheme="minorHAnsi"/>
          <w:sz w:val="20"/>
          <w:szCs w:val="20"/>
          <w:vertAlign w:val="superscript"/>
        </w:rPr>
        <w:t>th</w:t>
      </w:r>
      <w:r w:rsidRPr="001B77B2">
        <w:rPr>
          <w:rFonts w:ascii="Cambria" w:hAnsi="Cambria" w:cstheme="minorHAnsi"/>
          <w:sz w:val="20"/>
          <w:szCs w:val="20"/>
        </w:rPr>
        <w:t xml:space="preserve"> Amendment.</w:t>
      </w:r>
    </w:p>
    <w:p w14:paraId="42E4BCA5" w14:textId="0ECDB3ED" w:rsidR="00716E9C" w:rsidRPr="00F36709" w:rsidRDefault="00716E9C" w:rsidP="00F36709">
      <w:pPr>
        <w:pStyle w:val="ListParagraph"/>
        <w:numPr>
          <w:ilvl w:val="0"/>
          <w:numId w:val="20"/>
        </w:numPr>
        <w:spacing w:line="360" w:lineRule="auto"/>
        <w:jc w:val="both"/>
        <w:rPr>
          <w:rFonts w:ascii="Cambria" w:hAnsi="Cambria" w:cstheme="minorHAnsi"/>
          <w:bCs/>
          <w:sz w:val="20"/>
          <w:szCs w:val="20"/>
          <w:lang w:val="en-GB"/>
        </w:rPr>
      </w:pPr>
      <w:r w:rsidRPr="00F36709">
        <w:rPr>
          <w:rFonts w:ascii="Cambria" w:hAnsi="Cambria" w:cstheme="minorHAnsi"/>
          <w:b/>
          <w:sz w:val="20"/>
          <w:szCs w:val="20"/>
          <w:lang w:val="en-GB"/>
        </w:rPr>
        <w:t xml:space="preserve">Focus aggressively on strengthening the capacity of CSOs and the Portfolio’s engagement modality in the second phase: </w:t>
      </w:r>
      <w:r w:rsidRPr="00F36709">
        <w:rPr>
          <w:rFonts w:ascii="Cambria" w:hAnsi="Cambria" w:cstheme="minorHAnsi"/>
          <w:bCs/>
          <w:sz w:val="20"/>
          <w:szCs w:val="20"/>
          <w:lang w:val="en-GB"/>
        </w:rPr>
        <w:t xml:space="preserve">The second phase of the Portfolio, should aggressively focus on strengthening and engaging with CSOs, Media, etc. to act as civilian watchdog institutions. Activities should reinforce internal institutional mechanisms of integrity and accountability and their ability to disseminate accurate information ethically.  The next phase, should also focus on building capacity of professional and academic institutions such as, research institutions, universities, law schools, professional bodies such as BASL, etc. to contribute to parliamentary debates or committee proceedings. The Portfolio should also maximise </w:t>
      </w:r>
      <w:r w:rsidRPr="00F36709">
        <w:rPr>
          <w:rFonts w:ascii="Cambria" w:hAnsi="Cambria" w:cstheme="minorHAnsi"/>
          <w:bCs/>
          <w:sz w:val="20"/>
          <w:szCs w:val="20"/>
          <w:lang w:val="en-GB"/>
        </w:rPr>
        <w:lastRenderedPageBreak/>
        <w:t>existing channels for public petitions such as, the public inquiry procedure under the Parliament Standing Orders.</w:t>
      </w:r>
    </w:p>
    <w:p w14:paraId="2CE9A58B" w14:textId="01DBFCF5" w:rsidR="00B5673E" w:rsidRDefault="00B5673E" w:rsidP="00B5673E">
      <w:pPr>
        <w:spacing w:line="360" w:lineRule="auto"/>
        <w:jc w:val="both"/>
        <w:rPr>
          <w:rFonts w:ascii="Cambria" w:hAnsi="Cambria" w:cs="Arial"/>
          <w:sz w:val="20"/>
          <w:szCs w:val="20"/>
        </w:rPr>
      </w:pPr>
    </w:p>
    <w:p w14:paraId="6F83FAAC" w14:textId="77777777" w:rsidR="00EE19A9" w:rsidRDefault="00EE19A9" w:rsidP="00B5673E">
      <w:pPr>
        <w:spacing w:line="360" w:lineRule="auto"/>
        <w:jc w:val="both"/>
        <w:rPr>
          <w:rFonts w:ascii="Cambria" w:hAnsi="Cambria" w:cs="Arial"/>
          <w:sz w:val="20"/>
          <w:szCs w:val="20"/>
        </w:rPr>
      </w:pPr>
    </w:p>
    <w:p w14:paraId="1A8086C3" w14:textId="7D6B313B" w:rsidR="00B5673E" w:rsidRDefault="00B5673E" w:rsidP="00081358">
      <w:pPr>
        <w:pStyle w:val="ListParagraph"/>
        <w:numPr>
          <w:ilvl w:val="0"/>
          <w:numId w:val="84"/>
        </w:numPr>
        <w:spacing w:line="360" w:lineRule="auto"/>
        <w:jc w:val="both"/>
        <w:rPr>
          <w:rFonts w:ascii="Cambria" w:hAnsi="Cambria" w:cs="Arial"/>
          <w:b/>
          <w:bCs/>
        </w:rPr>
      </w:pPr>
      <w:r w:rsidRPr="00B5673E">
        <w:rPr>
          <w:rFonts w:ascii="Cambria" w:hAnsi="Cambria" w:cs="Arial"/>
          <w:b/>
          <w:bCs/>
        </w:rPr>
        <w:t xml:space="preserve">Independent Commissions </w:t>
      </w:r>
    </w:p>
    <w:p w14:paraId="144CA098" w14:textId="77777777" w:rsidR="00B5673E" w:rsidRPr="00B5673E" w:rsidRDefault="00B5673E" w:rsidP="00B5673E">
      <w:pPr>
        <w:pStyle w:val="ListParagraph"/>
        <w:spacing w:line="360" w:lineRule="auto"/>
        <w:jc w:val="both"/>
        <w:rPr>
          <w:rFonts w:ascii="Cambria" w:hAnsi="Cambria" w:cs="Arial"/>
          <w:b/>
          <w:bCs/>
        </w:rPr>
      </w:pPr>
    </w:p>
    <w:p w14:paraId="4FBEA255" w14:textId="77777777" w:rsidR="00B5673E" w:rsidRPr="001B77B2" w:rsidRDefault="00B5673E" w:rsidP="00081358">
      <w:pPr>
        <w:pStyle w:val="ListParagraph"/>
        <w:numPr>
          <w:ilvl w:val="0"/>
          <w:numId w:val="72"/>
        </w:numPr>
        <w:spacing w:after="200" w:line="360" w:lineRule="auto"/>
        <w:jc w:val="both"/>
        <w:rPr>
          <w:rFonts w:ascii="Cambria" w:hAnsi="Cambria" w:cs="Calibri"/>
          <w:bCs/>
          <w:sz w:val="20"/>
          <w:szCs w:val="20"/>
          <w:lang w:val="en-GB"/>
        </w:rPr>
      </w:pPr>
      <w:r w:rsidRPr="006A7F69">
        <w:rPr>
          <w:rFonts w:ascii="Cambria" w:eastAsia="Times New Roman" w:hAnsi="Cambria" w:cs="Arial"/>
          <w:b/>
          <w:bCs/>
          <w:sz w:val="20"/>
          <w:szCs w:val="20"/>
        </w:rPr>
        <w:t>Continue to support Independent Commissions:</w:t>
      </w:r>
      <w:r>
        <w:rPr>
          <w:rFonts w:ascii="Cambria" w:eastAsia="Times New Roman" w:hAnsi="Cambria" w:cs="Arial"/>
          <w:sz w:val="20"/>
          <w:szCs w:val="20"/>
        </w:rPr>
        <w:t xml:space="preserve"> However, i</w:t>
      </w:r>
      <w:r w:rsidRPr="001B77B2">
        <w:rPr>
          <w:rFonts w:ascii="Cambria" w:eastAsia="Times New Roman" w:hAnsi="Cambria" w:cs="Arial"/>
          <w:sz w:val="20"/>
          <w:szCs w:val="20"/>
        </w:rPr>
        <w:t xml:space="preserve">n order to move forward with support to ICs without compromising on key principles </w:t>
      </w:r>
      <w:r>
        <w:rPr>
          <w:rFonts w:ascii="Cambria" w:eastAsia="Times New Roman" w:hAnsi="Cambria" w:cs="Arial"/>
          <w:sz w:val="20"/>
          <w:szCs w:val="20"/>
        </w:rPr>
        <w:t xml:space="preserve">such as, </w:t>
      </w:r>
      <w:r w:rsidRPr="001B77B2">
        <w:rPr>
          <w:rFonts w:ascii="Cambria" w:eastAsia="Times New Roman" w:hAnsi="Cambria" w:cs="Arial"/>
          <w:sz w:val="20"/>
          <w:szCs w:val="20"/>
        </w:rPr>
        <w:t>independence, responsiveness, accountability and inclusivity</w:t>
      </w:r>
      <w:r>
        <w:rPr>
          <w:rFonts w:ascii="Cambria" w:eastAsia="Times New Roman" w:hAnsi="Cambria" w:cs="Arial"/>
          <w:sz w:val="20"/>
          <w:szCs w:val="20"/>
        </w:rPr>
        <w:t>,</w:t>
      </w:r>
      <w:r w:rsidRPr="001B77B2">
        <w:rPr>
          <w:rFonts w:ascii="Cambria" w:eastAsia="Times New Roman" w:hAnsi="Cambria" w:cs="Arial"/>
          <w:sz w:val="20"/>
          <w:szCs w:val="20"/>
        </w:rPr>
        <w:t xml:space="preserve"> </w:t>
      </w:r>
      <w:r>
        <w:rPr>
          <w:rFonts w:ascii="Cambria" w:eastAsia="Times New Roman" w:hAnsi="Cambria" w:cs="Arial"/>
          <w:sz w:val="20"/>
          <w:szCs w:val="20"/>
        </w:rPr>
        <w:t>in the aftermath of the 20</w:t>
      </w:r>
      <w:r w:rsidRPr="006A7F69">
        <w:rPr>
          <w:rFonts w:ascii="Cambria" w:eastAsia="Times New Roman" w:hAnsi="Cambria" w:cs="Arial"/>
          <w:sz w:val="20"/>
          <w:szCs w:val="20"/>
          <w:vertAlign w:val="superscript"/>
        </w:rPr>
        <w:t>th</w:t>
      </w:r>
      <w:r>
        <w:rPr>
          <w:rFonts w:ascii="Cambria" w:eastAsia="Times New Roman" w:hAnsi="Cambria" w:cs="Arial"/>
          <w:sz w:val="20"/>
          <w:szCs w:val="20"/>
        </w:rPr>
        <w:t xml:space="preserve"> Amendment, </w:t>
      </w:r>
      <w:r w:rsidRPr="001B77B2">
        <w:rPr>
          <w:rFonts w:ascii="Cambria" w:eastAsia="Times New Roman" w:hAnsi="Cambria" w:cs="Arial"/>
          <w:sz w:val="20"/>
          <w:szCs w:val="20"/>
        </w:rPr>
        <w:t xml:space="preserve">the Portfolio </w:t>
      </w:r>
      <w:r>
        <w:rPr>
          <w:rFonts w:ascii="Cambria" w:eastAsia="Times New Roman" w:hAnsi="Cambria" w:cs="Arial"/>
          <w:sz w:val="20"/>
          <w:szCs w:val="20"/>
        </w:rPr>
        <w:t>should</w:t>
      </w:r>
      <w:r w:rsidRPr="001B77B2">
        <w:rPr>
          <w:rFonts w:ascii="Cambria" w:eastAsia="Times New Roman" w:hAnsi="Cambria" w:cs="Arial"/>
          <w:sz w:val="20"/>
          <w:szCs w:val="20"/>
        </w:rPr>
        <w:t xml:space="preserve"> consider the following</w:t>
      </w:r>
      <w:r>
        <w:rPr>
          <w:rFonts w:ascii="Cambria" w:eastAsia="Times New Roman" w:hAnsi="Cambria" w:cs="Arial"/>
          <w:sz w:val="20"/>
          <w:szCs w:val="20"/>
        </w:rPr>
        <w:t xml:space="preserve"> interventions:</w:t>
      </w:r>
    </w:p>
    <w:p w14:paraId="5F667942" w14:textId="77777777" w:rsidR="00B5673E" w:rsidRPr="001B77B2" w:rsidRDefault="00B5673E" w:rsidP="00081358">
      <w:pPr>
        <w:pStyle w:val="ListParagraph"/>
        <w:numPr>
          <w:ilvl w:val="0"/>
          <w:numId w:val="85"/>
        </w:numPr>
        <w:spacing w:line="360" w:lineRule="auto"/>
        <w:jc w:val="both"/>
        <w:rPr>
          <w:rFonts w:ascii="Cambria" w:hAnsi="Cambria" w:cs="Arial"/>
          <w:sz w:val="20"/>
          <w:szCs w:val="20"/>
        </w:rPr>
      </w:pPr>
      <w:r>
        <w:rPr>
          <w:rFonts w:ascii="Cambria" w:hAnsi="Cambria" w:cs="Arial"/>
          <w:sz w:val="20"/>
          <w:szCs w:val="20"/>
        </w:rPr>
        <w:t>R</w:t>
      </w:r>
      <w:r w:rsidRPr="001B77B2">
        <w:rPr>
          <w:rFonts w:ascii="Cambria" w:hAnsi="Cambria" w:cs="Arial"/>
          <w:sz w:val="20"/>
          <w:szCs w:val="20"/>
        </w:rPr>
        <w:t>eview activities initiated during the first phase of the Portfolio and target selected activities that</w:t>
      </w:r>
      <w:r>
        <w:rPr>
          <w:rFonts w:ascii="Cambria" w:hAnsi="Cambria" w:cs="Arial"/>
          <w:sz w:val="20"/>
          <w:szCs w:val="20"/>
        </w:rPr>
        <w:t>,</w:t>
      </w:r>
      <w:r w:rsidRPr="001B77B2">
        <w:rPr>
          <w:rFonts w:ascii="Cambria" w:hAnsi="Cambria" w:cs="Arial"/>
          <w:sz w:val="20"/>
          <w:szCs w:val="20"/>
        </w:rPr>
        <w:t xml:space="preserve"> has a high probability of achievability during the next two years; For example, the completion of digitisation of case management systems for the HRC and the NPC</w:t>
      </w:r>
      <w:r>
        <w:rPr>
          <w:rFonts w:ascii="Cambria" w:hAnsi="Cambria" w:cs="Arial"/>
          <w:sz w:val="20"/>
          <w:szCs w:val="20"/>
        </w:rPr>
        <w:t>,</w:t>
      </w:r>
      <w:r w:rsidRPr="001B77B2">
        <w:rPr>
          <w:rFonts w:ascii="Cambria" w:hAnsi="Cambria" w:cs="Arial"/>
          <w:sz w:val="20"/>
          <w:szCs w:val="20"/>
        </w:rPr>
        <w:t xml:space="preserve"> where substantial investment has already been made to improve inquiry and investigation procedures, which has shown tangible results in the first phase; </w:t>
      </w:r>
    </w:p>
    <w:p w14:paraId="7946C5C5" w14:textId="77777777" w:rsidR="00B5673E" w:rsidRPr="006A7F69" w:rsidRDefault="00B5673E" w:rsidP="00081358">
      <w:pPr>
        <w:pStyle w:val="ListParagraph"/>
        <w:numPr>
          <w:ilvl w:val="0"/>
          <w:numId w:val="85"/>
        </w:numPr>
        <w:spacing w:line="360" w:lineRule="auto"/>
        <w:jc w:val="both"/>
        <w:rPr>
          <w:rFonts w:ascii="Cambria" w:hAnsi="Cambria" w:cs="Arial"/>
          <w:sz w:val="20"/>
          <w:szCs w:val="20"/>
        </w:rPr>
      </w:pPr>
      <w:r>
        <w:rPr>
          <w:rFonts w:ascii="Cambria" w:hAnsi="Cambria" w:cs="Calibri"/>
          <w:bCs/>
          <w:sz w:val="20"/>
          <w:szCs w:val="20"/>
          <w:lang w:val="en-GB"/>
        </w:rPr>
        <w:t>R</w:t>
      </w:r>
      <w:r w:rsidRPr="006A7F69">
        <w:rPr>
          <w:rFonts w:ascii="Cambria" w:hAnsi="Cambria" w:cs="Calibri"/>
          <w:bCs/>
          <w:sz w:val="20"/>
          <w:szCs w:val="20"/>
          <w:lang w:val="en-GB"/>
        </w:rPr>
        <w:t xml:space="preserve">evise Output </w:t>
      </w:r>
      <w:r>
        <w:rPr>
          <w:rFonts w:ascii="Cambria" w:hAnsi="Cambria" w:cs="Calibri"/>
          <w:bCs/>
          <w:sz w:val="20"/>
          <w:szCs w:val="20"/>
          <w:lang w:val="en-GB"/>
        </w:rPr>
        <w:t xml:space="preserve">with the insertion </w:t>
      </w:r>
      <w:r w:rsidRPr="006A7F69">
        <w:rPr>
          <w:rFonts w:ascii="Cambria" w:hAnsi="Cambria" w:cs="Calibri"/>
          <w:bCs/>
          <w:sz w:val="20"/>
          <w:szCs w:val="20"/>
          <w:lang w:val="en-GB"/>
        </w:rPr>
        <w:t xml:space="preserve">‘independent institutions’ to consider initiating support with a long-term aim to other independent institutions. </w:t>
      </w:r>
      <w:r w:rsidRPr="006A7F69">
        <w:rPr>
          <w:rFonts w:ascii="Cambria" w:hAnsi="Cambria" w:cs="Arial"/>
          <w:sz w:val="20"/>
          <w:szCs w:val="20"/>
        </w:rPr>
        <w:t>The Portfolio should consider initiating discussion</w:t>
      </w:r>
      <w:r>
        <w:rPr>
          <w:rFonts w:ascii="Cambria" w:hAnsi="Cambria" w:cs="Arial"/>
          <w:sz w:val="20"/>
          <w:szCs w:val="20"/>
        </w:rPr>
        <w:t>s</w:t>
      </w:r>
      <w:r w:rsidRPr="006A7F69">
        <w:rPr>
          <w:rFonts w:ascii="Cambria" w:hAnsi="Cambria" w:cs="Arial"/>
          <w:sz w:val="20"/>
          <w:szCs w:val="20"/>
        </w:rPr>
        <w:t xml:space="preserve"> with other independent institutions/commissions, which have been given high priority through the current national policy</w:t>
      </w:r>
      <w:r>
        <w:rPr>
          <w:rFonts w:ascii="Cambria" w:hAnsi="Cambria" w:cs="Arial"/>
          <w:sz w:val="20"/>
          <w:szCs w:val="20"/>
        </w:rPr>
        <w:t>,</w:t>
      </w:r>
      <w:r w:rsidRPr="006A7F69">
        <w:rPr>
          <w:rFonts w:ascii="Cambria" w:hAnsi="Cambria" w:cs="Arial"/>
          <w:sz w:val="20"/>
          <w:szCs w:val="20"/>
        </w:rPr>
        <w:t xml:space="preserve"> namely the </w:t>
      </w:r>
      <w:r>
        <w:rPr>
          <w:rFonts w:ascii="Cambria" w:hAnsi="Cambria" w:cs="Arial"/>
          <w:sz w:val="20"/>
          <w:szCs w:val="20"/>
        </w:rPr>
        <w:t>B</w:t>
      </w:r>
      <w:r w:rsidRPr="006A7F69">
        <w:rPr>
          <w:rFonts w:ascii="Cambria" w:hAnsi="Cambria" w:cs="Arial"/>
          <w:sz w:val="20"/>
          <w:szCs w:val="20"/>
        </w:rPr>
        <w:t xml:space="preserve">ribery </w:t>
      </w:r>
      <w:r>
        <w:rPr>
          <w:rFonts w:ascii="Cambria" w:hAnsi="Cambria" w:cs="Arial"/>
          <w:sz w:val="20"/>
          <w:szCs w:val="20"/>
        </w:rPr>
        <w:t>C</w:t>
      </w:r>
      <w:r w:rsidRPr="006A7F69">
        <w:rPr>
          <w:rFonts w:ascii="Cambria" w:hAnsi="Cambria" w:cs="Arial"/>
          <w:sz w:val="20"/>
          <w:szCs w:val="20"/>
        </w:rPr>
        <w:t xml:space="preserve">ommission, the </w:t>
      </w:r>
      <w:r>
        <w:rPr>
          <w:rFonts w:ascii="Cambria" w:hAnsi="Cambria" w:cs="Arial"/>
          <w:sz w:val="20"/>
          <w:szCs w:val="20"/>
        </w:rPr>
        <w:t>P</w:t>
      </w:r>
      <w:r w:rsidRPr="006A7F69">
        <w:rPr>
          <w:rFonts w:ascii="Cambria" w:hAnsi="Cambria" w:cs="Arial"/>
          <w:sz w:val="20"/>
          <w:szCs w:val="20"/>
        </w:rPr>
        <w:t xml:space="preserve">ublic </w:t>
      </w:r>
      <w:r>
        <w:rPr>
          <w:rFonts w:ascii="Cambria" w:hAnsi="Cambria" w:cs="Arial"/>
          <w:sz w:val="20"/>
          <w:szCs w:val="20"/>
        </w:rPr>
        <w:t>S</w:t>
      </w:r>
      <w:r w:rsidRPr="006A7F69">
        <w:rPr>
          <w:rFonts w:ascii="Cambria" w:hAnsi="Cambria" w:cs="Arial"/>
          <w:sz w:val="20"/>
          <w:szCs w:val="20"/>
        </w:rPr>
        <w:t xml:space="preserve">ervice </w:t>
      </w:r>
      <w:r>
        <w:rPr>
          <w:rFonts w:ascii="Cambria" w:hAnsi="Cambria" w:cs="Arial"/>
          <w:sz w:val="20"/>
          <w:szCs w:val="20"/>
        </w:rPr>
        <w:t>C</w:t>
      </w:r>
      <w:r w:rsidRPr="006A7F69">
        <w:rPr>
          <w:rFonts w:ascii="Cambria" w:hAnsi="Cambria" w:cs="Arial"/>
          <w:sz w:val="20"/>
          <w:szCs w:val="20"/>
        </w:rPr>
        <w:t xml:space="preserve">ommission (PSC) and the Elections Commission., all which are important oversight bodies to improve accountability and inclusivity. There is record of support in the past to the Bribery Commission by UNDP. The PSC </w:t>
      </w:r>
      <w:r>
        <w:rPr>
          <w:rFonts w:ascii="Cambria" w:hAnsi="Cambria" w:cs="Arial"/>
          <w:sz w:val="20"/>
          <w:szCs w:val="20"/>
        </w:rPr>
        <w:t>should</w:t>
      </w:r>
      <w:r w:rsidRPr="006A7F69">
        <w:rPr>
          <w:rFonts w:ascii="Cambria" w:hAnsi="Cambria" w:cs="Arial"/>
          <w:sz w:val="20"/>
          <w:szCs w:val="20"/>
        </w:rPr>
        <w:t xml:space="preserve"> </w:t>
      </w:r>
      <w:r>
        <w:rPr>
          <w:rFonts w:ascii="Cambria" w:hAnsi="Cambria" w:cs="Arial"/>
          <w:sz w:val="20"/>
          <w:szCs w:val="20"/>
        </w:rPr>
        <w:t xml:space="preserve">be </w:t>
      </w:r>
      <w:r w:rsidRPr="006A7F69">
        <w:rPr>
          <w:rFonts w:ascii="Cambria" w:hAnsi="Cambria" w:cs="Arial"/>
          <w:sz w:val="20"/>
          <w:szCs w:val="20"/>
        </w:rPr>
        <w:t>considered as another avenue for improving effectiveness and efficiency of public service</w:t>
      </w:r>
      <w:r>
        <w:rPr>
          <w:rFonts w:ascii="Cambria" w:hAnsi="Cambria" w:cs="Arial"/>
          <w:sz w:val="20"/>
          <w:szCs w:val="20"/>
        </w:rPr>
        <w:t>,</w:t>
      </w:r>
      <w:r w:rsidRPr="006A7F69">
        <w:rPr>
          <w:rFonts w:ascii="Cambria" w:hAnsi="Cambria" w:cs="Arial"/>
          <w:sz w:val="20"/>
          <w:szCs w:val="20"/>
        </w:rPr>
        <w:t xml:space="preserve"> during the second phase; </w:t>
      </w:r>
    </w:p>
    <w:p w14:paraId="2B1E0CE1" w14:textId="77777777" w:rsidR="00B5673E" w:rsidRPr="00E1302F" w:rsidRDefault="00B5673E" w:rsidP="00081358">
      <w:pPr>
        <w:pStyle w:val="ListParagraph"/>
        <w:numPr>
          <w:ilvl w:val="0"/>
          <w:numId w:val="85"/>
        </w:numPr>
        <w:spacing w:line="360" w:lineRule="auto"/>
        <w:jc w:val="both"/>
        <w:rPr>
          <w:rFonts w:ascii="Cambria" w:hAnsi="Cambria" w:cs="Arial"/>
          <w:sz w:val="20"/>
          <w:szCs w:val="20"/>
        </w:rPr>
      </w:pPr>
      <w:r>
        <w:rPr>
          <w:rFonts w:ascii="Cambria" w:hAnsi="Cambria" w:cs="Arial"/>
          <w:sz w:val="20"/>
          <w:szCs w:val="20"/>
        </w:rPr>
        <w:t>P</w:t>
      </w:r>
      <w:r w:rsidRPr="00E1302F">
        <w:rPr>
          <w:rFonts w:ascii="Cambria" w:hAnsi="Cambria" w:cs="Arial"/>
          <w:sz w:val="20"/>
          <w:szCs w:val="20"/>
        </w:rPr>
        <w:t xml:space="preserve">romote collaboration with like regional and international independent institutions and develop South-South Cooperation to promote peer review, cooperation and engagement.; and </w:t>
      </w:r>
    </w:p>
    <w:p w14:paraId="3AE0E663" w14:textId="77777777" w:rsidR="00B5673E" w:rsidRPr="005B6182" w:rsidRDefault="00B5673E" w:rsidP="00081358">
      <w:pPr>
        <w:pStyle w:val="ListParagraph"/>
        <w:numPr>
          <w:ilvl w:val="0"/>
          <w:numId w:val="85"/>
        </w:numPr>
        <w:spacing w:after="200" w:line="360" w:lineRule="auto"/>
        <w:jc w:val="both"/>
        <w:rPr>
          <w:rFonts w:ascii="Cambria" w:hAnsi="Cambria" w:cs="Calibri"/>
          <w:bCs/>
          <w:sz w:val="20"/>
          <w:szCs w:val="20"/>
          <w:lang w:val="en-GB"/>
        </w:rPr>
      </w:pPr>
      <w:r>
        <w:rPr>
          <w:rFonts w:ascii="Cambria" w:hAnsi="Cambria" w:cs="Calibri"/>
          <w:bCs/>
          <w:sz w:val="20"/>
          <w:szCs w:val="20"/>
          <w:lang w:val="en-GB"/>
        </w:rPr>
        <w:t>D</w:t>
      </w:r>
      <w:r w:rsidRPr="00E1302F">
        <w:rPr>
          <w:rFonts w:ascii="Cambria" w:hAnsi="Cambria" w:cs="Calibri"/>
          <w:bCs/>
          <w:sz w:val="20"/>
          <w:szCs w:val="20"/>
          <w:lang w:val="en-GB"/>
        </w:rPr>
        <w:t xml:space="preserve">evise a strategy to </w:t>
      </w:r>
      <w:r w:rsidRPr="00E1302F">
        <w:rPr>
          <w:rFonts w:ascii="Cambria" w:eastAsia="Times New Roman" w:hAnsi="Cambria" w:cs="Arial"/>
          <w:sz w:val="20"/>
          <w:szCs w:val="20"/>
        </w:rPr>
        <w:t xml:space="preserve">empower civil society voices that critique these institutions. </w:t>
      </w:r>
    </w:p>
    <w:p w14:paraId="60F324DA" w14:textId="77777777" w:rsidR="00B5673E" w:rsidRPr="00CA012E" w:rsidRDefault="00B5673E" w:rsidP="00081358">
      <w:pPr>
        <w:pStyle w:val="ListParagraph"/>
        <w:numPr>
          <w:ilvl w:val="0"/>
          <w:numId w:val="86"/>
        </w:numPr>
        <w:spacing w:after="200" w:line="360" w:lineRule="auto"/>
        <w:jc w:val="both"/>
        <w:rPr>
          <w:rFonts w:ascii="Cambria" w:hAnsi="Cambria" w:cs="Calibri"/>
          <w:bCs/>
          <w:sz w:val="20"/>
          <w:szCs w:val="20"/>
          <w:lang w:val="en-GB"/>
        </w:rPr>
      </w:pPr>
      <w:r w:rsidRPr="00CA012E">
        <w:rPr>
          <w:rFonts w:ascii="Cambria" w:hAnsi="Cambria" w:cs="Arial"/>
          <w:b/>
          <w:bCs/>
          <w:sz w:val="20"/>
          <w:szCs w:val="20"/>
        </w:rPr>
        <w:t xml:space="preserve">Prioratise and support select initiatives for the National Police Commission during the second phase: </w:t>
      </w:r>
      <w:r w:rsidRPr="00CA012E">
        <w:rPr>
          <w:rFonts w:ascii="Cambria" w:hAnsi="Cambria" w:cs="Arial"/>
          <w:sz w:val="20"/>
          <w:szCs w:val="20"/>
        </w:rPr>
        <w:t>The studies conducted by the NPC, provide a list of progressive recommendations to be handpicked, which has a high probability of implementation in the short term and impact in the longer term, beyond the life cycle of the project. The Portfolio should build on the long-term partnership and ongoing support to the Police Department and focus directly on initiatives of the NPC recognised by the research. For instance:</w:t>
      </w:r>
    </w:p>
    <w:p w14:paraId="6AD9A492" w14:textId="77777777" w:rsidR="00B5673E" w:rsidRPr="00CA012E" w:rsidRDefault="00B5673E" w:rsidP="00081358">
      <w:pPr>
        <w:pStyle w:val="ListParagraph"/>
        <w:numPr>
          <w:ilvl w:val="0"/>
          <w:numId w:val="86"/>
        </w:numPr>
        <w:spacing w:after="200" w:line="360" w:lineRule="auto"/>
        <w:jc w:val="both"/>
        <w:rPr>
          <w:rFonts w:ascii="Cambria" w:hAnsi="Cambria" w:cs="Calibri"/>
          <w:bCs/>
          <w:sz w:val="20"/>
          <w:szCs w:val="20"/>
          <w:lang w:val="en-GB"/>
        </w:rPr>
      </w:pPr>
      <w:r>
        <w:rPr>
          <w:rFonts w:ascii="Cambria" w:hAnsi="Cambria" w:cs="Arial"/>
          <w:sz w:val="20"/>
          <w:szCs w:val="20"/>
        </w:rPr>
        <w:t xml:space="preserve">To </w:t>
      </w:r>
      <w:r w:rsidRPr="00CA012E">
        <w:rPr>
          <w:rFonts w:ascii="Cambria" w:hAnsi="Cambria" w:cs="Arial"/>
          <w:sz w:val="20"/>
          <w:szCs w:val="20"/>
        </w:rPr>
        <w:t>improve the gender standards of the commission</w:t>
      </w:r>
      <w:r>
        <w:rPr>
          <w:rFonts w:ascii="Cambria" w:hAnsi="Cambria" w:cs="Arial"/>
          <w:sz w:val="20"/>
          <w:szCs w:val="20"/>
        </w:rPr>
        <w:t>;</w:t>
      </w:r>
    </w:p>
    <w:p w14:paraId="3A8B6C07" w14:textId="77777777" w:rsidR="00B5673E" w:rsidRPr="00CA012E" w:rsidRDefault="00B5673E" w:rsidP="00081358">
      <w:pPr>
        <w:pStyle w:val="ListParagraph"/>
        <w:numPr>
          <w:ilvl w:val="0"/>
          <w:numId w:val="86"/>
        </w:numPr>
        <w:spacing w:after="200" w:line="360" w:lineRule="auto"/>
        <w:jc w:val="both"/>
        <w:rPr>
          <w:rFonts w:ascii="Cambria" w:hAnsi="Cambria" w:cs="Calibri"/>
          <w:bCs/>
          <w:sz w:val="20"/>
          <w:szCs w:val="20"/>
          <w:lang w:val="en-GB"/>
        </w:rPr>
      </w:pPr>
      <w:r w:rsidRPr="00CA012E">
        <w:rPr>
          <w:rFonts w:ascii="Cambria" w:hAnsi="Cambria" w:cs="Arial"/>
          <w:sz w:val="20"/>
          <w:szCs w:val="20"/>
        </w:rPr>
        <w:t>to improve victim centric services of the WCB</w:t>
      </w:r>
      <w:r>
        <w:rPr>
          <w:rFonts w:ascii="Cambria" w:hAnsi="Cambria" w:cs="Arial"/>
          <w:sz w:val="20"/>
          <w:szCs w:val="20"/>
        </w:rPr>
        <w:t>; and</w:t>
      </w:r>
    </w:p>
    <w:p w14:paraId="11BC0D1B" w14:textId="77777777" w:rsidR="00B5673E" w:rsidRPr="00CA012E" w:rsidRDefault="00B5673E" w:rsidP="00081358">
      <w:pPr>
        <w:pStyle w:val="ListParagraph"/>
        <w:numPr>
          <w:ilvl w:val="0"/>
          <w:numId w:val="86"/>
        </w:numPr>
        <w:spacing w:after="200" w:line="360" w:lineRule="auto"/>
        <w:jc w:val="both"/>
        <w:rPr>
          <w:rFonts w:ascii="Cambria" w:hAnsi="Cambria" w:cs="Calibri"/>
          <w:bCs/>
          <w:sz w:val="20"/>
          <w:szCs w:val="20"/>
          <w:lang w:val="en-GB"/>
        </w:rPr>
      </w:pPr>
      <w:r>
        <w:rPr>
          <w:rFonts w:ascii="Cambria" w:hAnsi="Cambria" w:cs="Arial"/>
          <w:sz w:val="20"/>
          <w:szCs w:val="20"/>
        </w:rPr>
        <w:t>T</w:t>
      </w:r>
      <w:r w:rsidRPr="00CA012E">
        <w:rPr>
          <w:rFonts w:ascii="Cambria" w:hAnsi="Cambria" w:cs="Arial"/>
          <w:sz w:val="20"/>
          <w:szCs w:val="20"/>
        </w:rPr>
        <w:t>o improve the facilities and capacities of the police for video evidence recording</w:t>
      </w:r>
      <w:r>
        <w:rPr>
          <w:rFonts w:ascii="Cambria" w:hAnsi="Cambria" w:cs="Arial"/>
          <w:sz w:val="20"/>
          <w:szCs w:val="20"/>
        </w:rPr>
        <w:t>.</w:t>
      </w:r>
    </w:p>
    <w:p w14:paraId="764F8000" w14:textId="77777777" w:rsidR="00B5673E" w:rsidRPr="00CA012E" w:rsidRDefault="00B5673E" w:rsidP="00081358">
      <w:pPr>
        <w:pStyle w:val="ListParagraph"/>
        <w:numPr>
          <w:ilvl w:val="0"/>
          <w:numId w:val="72"/>
        </w:numPr>
        <w:spacing w:after="200" w:line="360" w:lineRule="auto"/>
        <w:jc w:val="both"/>
        <w:rPr>
          <w:rFonts w:ascii="Cambria" w:hAnsi="Cambria" w:cs="Calibri"/>
          <w:b/>
          <w:sz w:val="20"/>
          <w:szCs w:val="20"/>
          <w:lang w:val="en-GB"/>
        </w:rPr>
      </w:pPr>
      <w:r w:rsidRPr="00CA012E">
        <w:rPr>
          <w:rFonts w:ascii="Cambria" w:hAnsi="Cambria" w:cs="Calibri"/>
          <w:b/>
          <w:sz w:val="20"/>
          <w:szCs w:val="20"/>
          <w:lang w:val="en-GB"/>
        </w:rPr>
        <w:lastRenderedPageBreak/>
        <w:t xml:space="preserve">Prioratise interventions aimed at digitisation of case management systems to cope with the ongoing pandemic situation. </w:t>
      </w:r>
    </w:p>
    <w:p w14:paraId="62EE6CDE" w14:textId="77777777" w:rsidR="00B5673E" w:rsidRDefault="00B5673E" w:rsidP="00081358">
      <w:pPr>
        <w:pStyle w:val="ListParagraph"/>
        <w:numPr>
          <w:ilvl w:val="0"/>
          <w:numId w:val="72"/>
        </w:numPr>
        <w:spacing w:line="360" w:lineRule="auto"/>
        <w:jc w:val="both"/>
        <w:rPr>
          <w:rFonts w:ascii="Cambria" w:hAnsi="Cambria" w:cs="Arial"/>
          <w:sz w:val="20"/>
          <w:szCs w:val="20"/>
        </w:rPr>
      </w:pPr>
      <w:r w:rsidRPr="005B6182">
        <w:rPr>
          <w:rFonts w:ascii="Cambria" w:hAnsi="Cambria" w:cs="Calibri"/>
          <w:b/>
          <w:sz w:val="20"/>
          <w:szCs w:val="20"/>
          <w:lang w:val="en-GB"/>
        </w:rPr>
        <w:t xml:space="preserve">Continue to support research and policy development efforts of the Independent Commissions/Institutions: </w:t>
      </w:r>
      <w:r>
        <w:rPr>
          <w:rFonts w:ascii="Cambria" w:hAnsi="Cambria" w:cs="Calibri"/>
          <w:bCs/>
          <w:sz w:val="20"/>
          <w:szCs w:val="20"/>
          <w:lang w:val="en-GB"/>
        </w:rPr>
        <w:t>C</w:t>
      </w:r>
      <w:r w:rsidRPr="001B77B2">
        <w:rPr>
          <w:rFonts w:ascii="Cambria" w:hAnsi="Cambria" w:cs="Arial"/>
          <w:sz w:val="20"/>
          <w:szCs w:val="20"/>
        </w:rPr>
        <w:t xml:space="preserve">continued support to complete/launch as the case maybe and take steps to implement, short </w:t>
      </w:r>
      <w:r>
        <w:rPr>
          <w:rFonts w:ascii="Cambria" w:hAnsi="Cambria" w:cs="Arial"/>
          <w:sz w:val="20"/>
          <w:szCs w:val="20"/>
        </w:rPr>
        <w:t xml:space="preserve">to </w:t>
      </w:r>
      <w:r w:rsidRPr="001B77B2">
        <w:rPr>
          <w:rFonts w:ascii="Cambria" w:hAnsi="Cambria" w:cs="Arial"/>
          <w:sz w:val="20"/>
          <w:szCs w:val="20"/>
        </w:rPr>
        <w:t>medium term recommendations</w:t>
      </w:r>
      <w:r>
        <w:rPr>
          <w:rFonts w:ascii="Cambria" w:hAnsi="Cambria" w:cs="Arial"/>
          <w:sz w:val="20"/>
          <w:szCs w:val="20"/>
        </w:rPr>
        <w:t>,</w:t>
      </w:r>
      <w:r w:rsidRPr="001B77B2">
        <w:rPr>
          <w:rFonts w:ascii="Cambria" w:hAnsi="Cambria" w:cs="Arial"/>
          <w:sz w:val="20"/>
          <w:szCs w:val="20"/>
        </w:rPr>
        <w:t xml:space="preserve"> of research studies initiated by the NPC and HRC (The prisons study) with relevant line ministries or departments namely, the police and prisons department, which UNDP already has a long-standing relationship, would consolidate activities initiated and also enhance impact and sustainability of the Output. </w:t>
      </w:r>
    </w:p>
    <w:p w14:paraId="6FD37E00" w14:textId="77777777" w:rsidR="00B5673E" w:rsidRDefault="00B5673E" w:rsidP="00081358">
      <w:pPr>
        <w:pStyle w:val="ListParagraph"/>
        <w:numPr>
          <w:ilvl w:val="0"/>
          <w:numId w:val="72"/>
        </w:numPr>
        <w:spacing w:line="360" w:lineRule="auto"/>
        <w:jc w:val="both"/>
        <w:rPr>
          <w:rFonts w:ascii="Cambria" w:hAnsi="Cambria" w:cs="Arial"/>
          <w:sz w:val="20"/>
          <w:szCs w:val="20"/>
        </w:rPr>
      </w:pPr>
      <w:r w:rsidRPr="0005596E">
        <w:rPr>
          <w:rFonts w:ascii="Cambria" w:hAnsi="Cambria" w:cs="Arial"/>
          <w:b/>
          <w:bCs/>
          <w:sz w:val="20"/>
          <w:szCs w:val="20"/>
        </w:rPr>
        <w:t>Focus and support capacity building of staff members of Independent Commissions/Institutions (middle management):</w:t>
      </w:r>
      <w:r>
        <w:rPr>
          <w:rFonts w:ascii="Cambria" w:hAnsi="Cambria" w:cs="Arial"/>
          <w:sz w:val="20"/>
          <w:szCs w:val="20"/>
        </w:rPr>
        <w:t xml:space="preserve"> During the first phase, the Portfolio primarily engaged with the Chairperson or selected members of the commissions. However, this proved to be counter-productive especially with regard to the HRC as highlighted in the MTE. T</w:t>
      </w:r>
      <w:r w:rsidRPr="001B77B2">
        <w:rPr>
          <w:rFonts w:ascii="Cambria" w:hAnsi="Cambria" w:cs="Arial"/>
          <w:sz w:val="20"/>
          <w:szCs w:val="20"/>
        </w:rPr>
        <w:t>he second phase should consider building capacities</w:t>
      </w:r>
      <w:r>
        <w:rPr>
          <w:rFonts w:ascii="Cambria" w:hAnsi="Cambria" w:cs="Arial"/>
          <w:sz w:val="20"/>
          <w:szCs w:val="20"/>
        </w:rPr>
        <w:t>,</w:t>
      </w:r>
      <w:r w:rsidRPr="001B77B2">
        <w:rPr>
          <w:rFonts w:ascii="Cambria" w:hAnsi="Cambria" w:cs="Arial"/>
          <w:sz w:val="20"/>
          <w:szCs w:val="20"/>
        </w:rPr>
        <w:t xml:space="preserve"> not only of </w:t>
      </w:r>
      <w:r>
        <w:rPr>
          <w:rFonts w:ascii="Cambria" w:hAnsi="Cambria" w:cs="Arial"/>
          <w:sz w:val="20"/>
          <w:szCs w:val="20"/>
        </w:rPr>
        <w:t>Commissioners/senior management, bu</w:t>
      </w:r>
      <w:r w:rsidRPr="001B77B2">
        <w:rPr>
          <w:rFonts w:ascii="Cambria" w:hAnsi="Cambria" w:cs="Arial"/>
          <w:sz w:val="20"/>
          <w:szCs w:val="20"/>
        </w:rPr>
        <w:t xml:space="preserve">t also </w:t>
      </w:r>
      <w:r>
        <w:rPr>
          <w:rFonts w:ascii="Cambria" w:hAnsi="Cambria" w:cs="Arial"/>
          <w:sz w:val="20"/>
          <w:szCs w:val="20"/>
        </w:rPr>
        <w:t xml:space="preserve">of the </w:t>
      </w:r>
      <w:r w:rsidRPr="001B77B2">
        <w:rPr>
          <w:rFonts w:ascii="Cambria" w:hAnsi="Cambria" w:cs="Arial"/>
          <w:sz w:val="20"/>
          <w:szCs w:val="20"/>
        </w:rPr>
        <w:t>staff</w:t>
      </w:r>
      <w:r>
        <w:rPr>
          <w:rFonts w:ascii="Cambria" w:hAnsi="Cambria" w:cs="Arial"/>
          <w:sz w:val="20"/>
          <w:szCs w:val="20"/>
        </w:rPr>
        <w:t xml:space="preserve"> members/middle management of the commissions/</w:t>
      </w:r>
      <w:r w:rsidRPr="001B77B2">
        <w:rPr>
          <w:rFonts w:ascii="Cambria" w:hAnsi="Cambria" w:cs="Arial"/>
          <w:sz w:val="20"/>
          <w:szCs w:val="20"/>
        </w:rPr>
        <w:t xml:space="preserve">institutions. </w:t>
      </w:r>
    </w:p>
    <w:p w14:paraId="1F95C1C9" w14:textId="5C2168EA" w:rsidR="00B5673E" w:rsidRDefault="00B5673E" w:rsidP="00081358">
      <w:pPr>
        <w:pStyle w:val="ListParagraph"/>
        <w:numPr>
          <w:ilvl w:val="0"/>
          <w:numId w:val="72"/>
        </w:numPr>
        <w:spacing w:line="360" w:lineRule="auto"/>
        <w:jc w:val="both"/>
        <w:rPr>
          <w:rFonts w:ascii="Cambria" w:hAnsi="Cambria" w:cs="Arial"/>
          <w:sz w:val="20"/>
          <w:szCs w:val="20"/>
        </w:rPr>
      </w:pPr>
      <w:r>
        <w:rPr>
          <w:rFonts w:ascii="Cambria" w:hAnsi="Cambria" w:cs="Arial"/>
          <w:b/>
          <w:bCs/>
          <w:sz w:val="20"/>
          <w:szCs w:val="20"/>
        </w:rPr>
        <w:t>Strengthen Capacities of selected Regional Offices of the Commissions/</w:t>
      </w:r>
      <w:r w:rsidR="00F36709">
        <w:rPr>
          <w:rFonts w:ascii="Cambria" w:hAnsi="Cambria" w:cs="Arial"/>
          <w:b/>
          <w:bCs/>
          <w:sz w:val="20"/>
          <w:szCs w:val="20"/>
        </w:rPr>
        <w:t>I</w:t>
      </w:r>
      <w:r>
        <w:rPr>
          <w:rFonts w:ascii="Cambria" w:hAnsi="Cambria" w:cs="Arial"/>
          <w:b/>
          <w:bCs/>
          <w:sz w:val="20"/>
          <w:szCs w:val="20"/>
        </w:rPr>
        <w:t>nstitutions:</w:t>
      </w:r>
      <w:r>
        <w:rPr>
          <w:rFonts w:ascii="Cambria" w:hAnsi="Cambria" w:cs="Arial"/>
          <w:sz w:val="20"/>
          <w:szCs w:val="20"/>
        </w:rPr>
        <w:t xml:space="preserve"> </w:t>
      </w:r>
      <w:r w:rsidRPr="001B77B2">
        <w:rPr>
          <w:rFonts w:ascii="Cambria" w:hAnsi="Cambria" w:cs="Arial"/>
          <w:sz w:val="20"/>
          <w:szCs w:val="20"/>
        </w:rPr>
        <w:t>Another area of supp</w:t>
      </w:r>
      <w:r>
        <w:rPr>
          <w:rFonts w:ascii="Cambria" w:hAnsi="Cambria" w:cs="Arial"/>
          <w:sz w:val="20"/>
          <w:szCs w:val="20"/>
        </w:rPr>
        <w:t>o</w:t>
      </w:r>
      <w:r w:rsidRPr="001B77B2">
        <w:rPr>
          <w:rFonts w:ascii="Cambria" w:hAnsi="Cambria" w:cs="Arial"/>
          <w:sz w:val="20"/>
          <w:szCs w:val="20"/>
        </w:rPr>
        <w:t>rt to be targeted during the second phase is to strengthen the capacities of regional offices of the commissions. This would not only improve the visibility of regional officers of commissions through increase in inquiries and investigations</w:t>
      </w:r>
      <w:r>
        <w:rPr>
          <w:rFonts w:ascii="Cambria" w:hAnsi="Cambria" w:cs="Arial"/>
          <w:sz w:val="20"/>
          <w:szCs w:val="20"/>
        </w:rPr>
        <w:t>,</w:t>
      </w:r>
      <w:r w:rsidRPr="001B77B2">
        <w:rPr>
          <w:rFonts w:ascii="Cambria" w:hAnsi="Cambria" w:cs="Arial"/>
          <w:sz w:val="20"/>
          <w:szCs w:val="20"/>
        </w:rPr>
        <w:t xml:space="preserve"> but also provide a medium through which the Portfolio may reach vulnerable groups in the regions. This initiative should be </w:t>
      </w:r>
      <w:r>
        <w:rPr>
          <w:rFonts w:ascii="Cambria" w:hAnsi="Cambria" w:cs="Arial"/>
          <w:sz w:val="20"/>
          <w:szCs w:val="20"/>
        </w:rPr>
        <w:t>synchronised</w:t>
      </w:r>
      <w:r w:rsidRPr="001B77B2">
        <w:rPr>
          <w:rFonts w:ascii="Cambria" w:hAnsi="Cambria" w:cs="Arial"/>
          <w:sz w:val="20"/>
          <w:szCs w:val="20"/>
        </w:rPr>
        <w:t xml:space="preserve"> with the strategy adopted for CSO engagement for the Portfolio. </w:t>
      </w:r>
    </w:p>
    <w:p w14:paraId="31DAEEEB" w14:textId="6EF72F21" w:rsidR="00333E3F" w:rsidRDefault="00333E3F" w:rsidP="00333E3F">
      <w:pPr>
        <w:spacing w:line="360" w:lineRule="auto"/>
        <w:jc w:val="both"/>
        <w:rPr>
          <w:rFonts w:ascii="Cambria" w:hAnsi="Cambria" w:cs="Calibri"/>
          <w:b/>
          <w:lang w:val="en-GB"/>
        </w:rPr>
      </w:pPr>
    </w:p>
    <w:p w14:paraId="1BD7E5F3" w14:textId="2B77B9A3" w:rsidR="00333E3F" w:rsidRDefault="00333E3F" w:rsidP="00081358">
      <w:pPr>
        <w:pStyle w:val="ListParagraph"/>
        <w:numPr>
          <w:ilvl w:val="0"/>
          <w:numId w:val="84"/>
        </w:numPr>
        <w:spacing w:line="360" w:lineRule="auto"/>
        <w:jc w:val="both"/>
        <w:rPr>
          <w:rFonts w:ascii="Cambria" w:hAnsi="Cambria" w:cs="Calibri"/>
          <w:b/>
          <w:lang w:val="en-GB"/>
        </w:rPr>
      </w:pPr>
      <w:r>
        <w:rPr>
          <w:rFonts w:ascii="Cambria" w:hAnsi="Cambria" w:cs="Calibri"/>
          <w:b/>
          <w:lang w:val="en-GB"/>
        </w:rPr>
        <w:t>Rule of Law and Access to Justice</w:t>
      </w:r>
    </w:p>
    <w:p w14:paraId="2B1971A4" w14:textId="77777777" w:rsidR="00333E3F" w:rsidRPr="00333E3F" w:rsidRDefault="00333E3F" w:rsidP="00333E3F">
      <w:pPr>
        <w:pStyle w:val="ListParagraph"/>
        <w:spacing w:line="360" w:lineRule="auto"/>
        <w:jc w:val="both"/>
        <w:rPr>
          <w:rFonts w:ascii="Cambria" w:hAnsi="Cambria" w:cs="Calibri"/>
          <w:b/>
          <w:lang w:val="en-GB"/>
        </w:rPr>
      </w:pPr>
    </w:p>
    <w:p w14:paraId="370C6F62" w14:textId="77777777" w:rsidR="00333E3F" w:rsidRPr="00310AFC" w:rsidRDefault="00333E3F" w:rsidP="00081358">
      <w:pPr>
        <w:pStyle w:val="ListParagraph"/>
        <w:numPr>
          <w:ilvl w:val="0"/>
          <w:numId w:val="87"/>
        </w:numPr>
        <w:spacing w:line="360" w:lineRule="auto"/>
        <w:jc w:val="both"/>
        <w:rPr>
          <w:rFonts w:ascii="Cambria" w:hAnsi="Cambria" w:cs="Calibri"/>
          <w:b/>
          <w:lang w:val="en-GB"/>
        </w:rPr>
      </w:pPr>
      <w:r w:rsidRPr="00310AFC">
        <w:rPr>
          <w:rFonts w:ascii="Cambria" w:hAnsi="Cambria" w:cs="Calibri"/>
          <w:b/>
          <w:sz w:val="20"/>
          <w:szCs w:val="20"/>
          <w:lang w:val="en-GB"/>
        </w:rPr>
        <w:t xml:space="preserve">Prioratise and Select interventions which has potential to be sustained beyond the project life cycle with realistic planning and support: </w:t>
      </w:r>
      <w:r w:rsidRPr="00310AFC">
        <w:rPr>
          <w:rFonts w:ascii="Cambria" w:hAnsi="Cambria" w:cs="Calibri"/>
          <w:bCs/>
          <w:sz w:val="20"/>
          <w:szCs w:val="20"/>
          <w:lang w:val="en-GB"/>
        </w:rPr>
        <w:t>For example,</w:t>
      </w:r>
      <w:r>
        <w:rPr>
          <w:rFonts w:ascii="Cambria" w:hAnsi="Cambria" w:cs="Calibri"/>
          <w:bCs/>
          <w:sz w:val="20"/>
          <w:szCs w:val="20"/>
          <w:lang w:val="en-GB"/>
        </w:rPr>
        <w:t xml:space="preserve"> consider the following:</w:t>
      </w:r>
    </w:p>
    <w:p w14:paraId="7319DD69" w14:textId="77777777" w:rsidR="00333E3F" w:rsidRPr="00310AFC" w:rsidRDefault="00333E3F" w:rsidP="00081358">
      <w:pPr>
        <w:pStyle w:val="ListParagraph"/>
        <w:numPr>
          <w:ilvl w:val="0"/>
          <w:numId w:val="88"/>
        </w:numPr>
        <w:spacing w:line="360" w:lineRule="auto"/>
        <w:jc w:val="both"/>
        <w:rPr>
          <w:rFonts w:ascii="Cambria" w:hAnsi="Cambria" w:cs="Calibri"/>
          <w:b/>
          <w:lang w:val="en-GB"/>
        </w:rPr>
      </w:pPr>
      <w:r>
        <w:rPr>
          <w:rFonts w:ascii="Cambria" w:hAnsi="Cambria" w:cs="Calibri"/>
          <w:bCs/>
          <w:sz w:val="20"/>
          <w:szCs w:val="20"/>
          <w:lang w:val="en-GB"/>
        </w:rPr>
        <w:t xml:space="preserve">Adopt a strategic road map to implement the law on VWP, which should include </w:t>
      </w:r>
      <w:r w:rsidRPr="00310AFC">
        <w:rPr>
          <w:rFonts w:ascii="Cambria" w:hAnsi="Cambria" w:cs="Calibri"/>
          <w:bCs/>
          <w:sz w:val="20"/>
          <w:szCs w:val="20"/>
          <w:lang w:val="en-GB"/>
        </w:rPr>
        <w:t>support to relevant state institutions to ensure the expeditious enactment of the law in parliament</w:t>
      </w:r>
      <w:r>
        <w:rPr>
          <w:rFonts w:ascii="Cambria" w:hAnsi="Cambria" w:cs="Calibri"/>
          <w:bCs/>
          <w:sz w:val="20"/>
          <w:szCs w:val="20"/>
          <w:lang w:val="en-GB"/>
        </w:rPr>
        <w:t>, c</w:t>
      </w:r>
      <w:r w:rsidRPr="00310AFC">
        <w:rPr>
          <w:rFonts w:ascii="Cambria" w:hAnsi="Cambria" w:cs="Calibri"/>
          <w:bCs/>
          <w:sz w:val="20"/>
          <w:szCs w:val="20"/>
          <w:lang w:val="en-GB"/>
        </w:rPr>
        <w:t>apacity building for the Authority and relevant state institutions such as the PPD of the police department</w:t>
      </w:r>
      <w:r>
        <w:rPr>
          <w:rFonts w:ascii="Cambria" w:hAnsi="Cambria" w:cs="Calibri"/>
          <w:bCs/>
          <w:sz w:val="20"/>
          <w:szCs w:val="20"/>
          <w:lang w:val="en-GB"/>
        </w:rPr>
        <w:t>,</w:t>
      </w:r>
      <w:r w:rsidRPr="00310AFC">
        <w:rPr>
          <w:rFonts w:ascii="Cambria" w:hAnsi="Cambria" w:cs="Calibri"/>
          <w:bCs/>
          <w:sz w:val="20"/>
          <w:szCs w:val="20"/>
          <w:lang w:val="en-GB"/>
        </w:rPr>
        <w:t xml:space="preserve"> to improve gender and victim centric service delivery</w:t>
      </w:r>
      <w:r>
        <w:rPr>
          <w:rFonts w:ascii="Cambria" w:hAnsi="Cambria" w:cs="Calibri"/>
          <w:bCs/>
          <w:sz w:val="20"/>
          <w:szCs w:val="20"/>
          <w:lang w:val="en-GB"/>
        </w:rPr>
        <w:t>;</w:t>
      </w:r>
    </w:p>
    <w:p w14:paraId="42500B0B" w14:textId="77777777" w:rsidR="00333E3F" w:rsidRPr="00310AFC" w:rsidRDefault="00333E3F" w:rsidP="00081358">
      <w:pPr>
        <w:pStyle w:val="ListParagraph"/>
        <w:numPr>
          <w:ilvl w:val="0"/>
          <w:numId w:val="88"/>
        </w:numPr>
        <w:spacing w:line="360" w:lineRule="auto"/>
        <w:jc w:val="both"/>
        <w:rPr>
          <w:rFonts w:ascii="Cambria" w:hAnsi="Cambria" w:cs="Calibri"/>
          <w:b/>
          <w:lang w:val="en-GB"/>
        </w:rPr>
      </w:pPr>
      <w:r>
        <w:rPr>
          <w:rFonts w:ascii="Cambria" w:hAnsi="Cambria" w:cs="Calibri"/>
          <w:bCs/>
          <w:sz w:val="20"/>
          <w:szCs w:val="20"/>
          <w:lang w:val="en-GB"/>
        </w:rPr>
        <w:t xml:space="preserve">Initiate dialogue with the Chairperson and the </w:t>
      </w:r>
      <w:r w:rsidRPr="00310AFC">
        <w:rPr>
          <w:rFonts w:ascii="Cambria" w:hAnsi="Cambria" w:cs="Calibri"/>
          <w:bCs/>
          <w:sz w:val="20"/>
          <w:szCs w:val="20"/>
          <w:lang w:val="en-GB"/>
        </w:rPr>
        <w:t>newly established Board of the NVWPA to resume activities that were interrupted during the first phase</w:t>
      </w:r>
      <w:r>
        <w:rPr>
          <w:rFonts w:ascii="Cambria" w:hAnsi="Cambria" w:cs="Calibri"/>
          <w:bCs/>
          <w:sz w:val="20"/>
          <w:szCs w:val="20"/>
          <w:lang w:val="en-GB"/>
        </w:rPr>
        <w:t>; and</w:t>
      </w:r>
    </w:p>
    <w:p w14:paraId="13C46F41" w14:textId="77777777" w:rsidR="00333E3F" w:rsidRPr="00AC321E" w:rsidRDefault="00333E3F" w:rsidP="00081358">
      <w:pPr>
        <w:pStyle w:val="ListParagraph"/>
        <w:numPr>
          <w:ilvl w:val="0"/>
          <w:numId w:val="88"/>
        </w:numPr>
        <w:spacing w:line="360" w:lineRule="auto"/>
        <w:jc w:val="both"/>
        <w:rPr>
          <w:rFonts w:ascii="Cambria" w:hAnsi="Cambria" w:cs="Calibri"/>
          <w:b/>
          <w:lang w:val="en-GB"/>
        </w:rPr>
      </w:pPr>
      <w:r>
        <w:rPr>
          <w:rFonts w:ascii="Cambria" w:hAnsi="Cambria" w:cs="Calibri"/>
          <w:bCs/>
          <w:sz w:val="20"/>
          <w:szCs w:val="20"/>
          <w:lang w:val="en-GB"/>
        </w:rPr>
        <w:t xml:space="preserve">Develop </w:t>
      </w:r>
      <w:r w:rsidRPr="00310AFC">
        <w:rPr>
          <w:rFonts w:ascii="Cambria" w:hAnsi="Cambria" w:cs="Calibri"/>
          <w:bCs/>
          <w:sz w:val="20"/>
          <w:szCs w:val="20"/>
          <w:lang w:val="en-GB"/>
        </w:rPr>
        <w:t xml:space="preserve">a sustainable communications strategy for VWP promotion apart from short term media campaigns, which are expensive and donor dependent. The strategy should include engagement with CSOs </w:t>
      </w:r>
      <w:r w:rsidRPr="00310AFC">
        <w:rPr>
          <w:rFonts w:ascii="Cambria" w:hAnsi="Cambria" w:cs="Calibri"/>
          <w:bCs/>
          <w:sz w:val="20"/>
          <w:szCs w:val="20"/>
          <w:lang w:val="en-GB"/>
        </w:rPr>
        <w:lastRenderedPageBreak/>
        <w:t>strengthening their capacity as highlighted above and more broadly with other NGOs and professional bodies such as the BASL, to promote the law and services.</w:t>
      </w:r>
    </w:p>
    <w:p w14:paraId="71ECC450" w14:textId="77777777" w:rsidR="00333E3F" w:rsidRPr="00AC321E" w:rsidRDefault="00333E3F" w:rsidP="00081358">
      <w:pPr>
        <w:pStyle w:val="ListParagraph"/>
        <w:numPr>
          <w:ilvl w:val="0"/>
          <w:numId w:val="87"/>
        </w:numPr>
        <w:spacing w:line="360" w:lineRule="auto"/>
        <w:jc w:val="both"/>
        <w:rPr>
          <w:rFonts w:ascii="Cambria" w:hAnsi="Cambria" w:cs="Calibri"/>
          <w:b/>
          <w:lang w:val="en-GB"/>
        </w:rPr>
      </w:pPr>
      <w:r w:rsidRPr="00AC321E">
        <w:rPr>
          <w:rFonts w:ascii="Cambria" w:hAnsi="Cambria" w:cs="Calibri"/>
          <w:b/>
          <w:sz w:val="20"/>
          <w:szCs w:val="20"/>
          <w:lang w:val="en-GB"/>
        </w:rPr>
        <w:t xml:space="preserve">Expand Beneficiary base of the Output: </w:t>
      </w:r>
      <w:r w:rsidRPr="00AC321E">
        <w:rPr>
          <w:rFonts w:ascii="Cambria" w:hAnsi="Cambria" w:cs="Calibri"/>
          <w:bCs/>
          <w:sz w:val="20"/>
          <w:szCs w:val="20"/>
          <w:lang w:val="en-GB"/>
        </w:rPr>
        <w:t>The beneficiary reach of interventions has been specifically targeted at victims and witnesses of criminal and civil offences under the VWP law and survivors of the SGBV</w:t>
      </w:r>
      <w:r>
        <w:rPr>
          <w:rFonts w:ascii="Cambria" w:hAnsi="Cambria" w:cs="Calibri"/>
          <w:bCs/>
          <w:sz w:val="20"/>
          <w:szCs w:val="20"/>
          <w:lang w:val="en-GB"/>
        </w:rPr>
        <w:t>.</w:t>
      </w:r>
      <w:r w:rsidRPr="00AC321E">
        <w:rPr>
          <w:rFonts w:ascii="Cambria" w:hAnsi="Cambria" w:cs="Calibri"/>
          <w:bCs/>
          <w:sz w:val="20"/>
          <w:szCs w:val="20"/>
          <w:lang w:val="en-GB"/>
        </w:rPr>
        <w:t xml:space="preserve"> Whilst the focus for these categories should continue in the next phase, it is also important to identify new ‘vulnerable categories’ as well as ‘new vulnerabilities’, especially as a result of the ongoing pandemic.</w:t>
      </w:r>
    </w:p>
    <w:p w14:paraId="233417A4" w14:textId="77777777" w:rsidR="00333E3F" w:rsidRPr="00AC321E" w:rsidRDefault="00333E3F" w:rsidP="00081358">
      <w:pPr>
        <w:pStyle w:val="ListParagraph"/>
        <w:numPr>
          <w:ilvl w:val="0"/>
          <w:numId w:val="87"/>
        </w:numPr>
        <w:spacing w:line="360" w:lineRule="auto"/>
        <w:jc w:val="both"/>
        <w:rPr>
          <w:rFonts w:ascii="Cambria" w:hAnsi="Cambria" w:cs="Calibri"/>
          <w:bCs/>
          <w:sz w:val="20"/>
          <w:szCs w:val="20"/>
          <w:lang w:val="en-GB"/>
        </w:rPr>
      </w:pPr>
      <w:r w:rsidRPr="00AC321E">
        <w:rPr>
          <w:rFonts w:ascii="Cambria" w:hAnsi="Cambria"/>
          <w:b/>
          <w:bCs/>
          <w:sz w:val="20"/>
          <w:szCs w:val="20"/>
        </w:rPr>
        <w:t xml:space="preserve">Expand Partnerships to include other Justice Sector Partners: </w:t>
      </w:r>
      <w:r w:rsidRPr="001B77B2">
        <w:rPr>
          <w:rFonts w:ascii="Cambria" w:hAnsi="Cambria"/>
          <w:sz w:val="20"/>
          <w:szCs w:val="20"/>
        </w:rPr>
        <w:t xml:space="preserve">UNDP should consider expanding their partnership base with </w:t>
      </w:r>
      <w:r>
        <w:rPr>
          <w:rFonts w:ascii="Cambria" w:hAnsi="Cambria"/>
          <w:sz w:val="20"/>
          <w:szCs w:val="20"/>
        </w:rPr>
        <w:t xml:space="preserve">other </w:t>
      </w:r>
      <w:r w:rsidRPr="001B77B2">
        <w:rPr>
          <w:rFonts w:ascii="Cambria" w:hAnsi="Cambria"/>
          <w:sz w:val="20"/>
          <w:szCs w:val="20"/>
        </w:rPr>
        <w:t xml:space="preserve">justice sector partners during the second phase of the Portfolio, based on their strategic alignment with the justice sector reform agenda. Minimal work was carried out during the first phase of the Portfolio working with the JSC and the </w:t>
      </w:r>
      <w:r>
        <w:rPr>
          <w:rFonts w:ascii="Cambria" w:hAnsi="Cambria"/>
          <w:sz w:val="20"/>
          <w:szCs w:val="20"/>
        </w:rPr>
        <w:t>Judges Training Institute (</w:t>
      </w:r>
      <w:r w:rsidRPr="001B77B2">
        <w:rPr>
          <w:rFonts w:ascii="Cambria" w:hAnsi="Cambria"/>
          <w:sz w:val="20"/>
          <w:szCs w:val="20"/>
        </w:rPr>
        <w:t>JTI</w:t>
      </w:r>
      <w:r>
        <w:rPr>
          <w:rFonts w:ascii="Cambria" w:hAnsi="Cambria"/>
          <w:sz w:val="20"/>
          <w:szCs w:val="20"/>
        </w:rPr>
        <w:t>)</w:t>
      </w:r>
      <w:r w:rsidRPr="001B77B2">
        <w:rPr>
          <w:rFonts w:ascii="Cambria" w:hAnsi="Cambria"/>
          <w:sz w:val="20"/>
          <w:szCs w:val="20"/>
        </w:rPr>
        <w:t xml:space="preserve"> to promote access to justice. It is important to recognise the judiciary as an equal and relevant actor within the justice sector reform process, as it is the executing arm of the judicial power of people. Especially in the wake of the 20</w:t>
      </w:r>
      <w:r w:rsidRPr="001B77B2">
        <w:rPr>
          <w:rFonts w:ascii="Cambria" w:hAnsi="Cambria"/>
          <w:sz w:val="20"/>
          <w:szCs w:val="20"/>
          <w:vertAlign w:val="superscript"/>
        </w:rPr>
        <w:t>th</w:t>
      </w:r>
      <w:r w:rsidRPr="001B77B2">
        <w:rPr>
          <w:rFonts w:ascii="Cambria" w:hAnsi="Cambria"/>
          <w:sz w:val="20"/>
          <w:szCs w:val="20"/>
        </w:rPr>
        <w:t xml:space="preserve"> Amendment, it is paramount to focus on building accountability, inclusivity and responsiveness of the judiciary, especially at the highest level. The JSC and the JTI are strong and influential institutions to generate and accelerate reform as evidenced by the sentencing study, which was instigated by the Chief Justice. UNDP has a long history of working with the judiciary in Sri Lanka and the strength of that relationship was manifested in the immediate support provided by the Chief Justice in issuing a judicial circular to operate remote court hearings and remote legal counselling during the lockdown. </w:t>
      </w:r>
    </w:p>
    <w:p w14:paraId="207BBBAE" w14:textId="77777777" w:rsidR="00333E3F" w:rsidRPr="00AC321E" w:rsidRDefault="00333E3F" w:rsidP="00081358">
      <w:pPr>
        <w:pStyle w:val="ListParagraph"/>
        <w:numPr>
          <w:ilvl w:val="0"/>
          <w:numId w:val="87"/>
        </w:numPr>
        <w:spacing w:line="360" w:lineRule="auto"/>
        <w:jc w:val="both"/>
        <w:rPr>
          <w:rFonts w:ascii="Cambria" w:hAnsi="Cambria" w:cs="Calibri"/>
          <w:bCs/>
          <w:sz w:val="20"/>
          <w:szCs w:val="20"/>
          <w:lang w:val="en-GB"/>
        </w:rPr>
      </w:pPr>
      <w:r>
        <w:rPr>
          <w:rFonts w:ascii="Cambria" w:hAnsi="Cambria"/>
          <w:b/>
          <w:bCs/>
          <w:sz w:val="20"/>
          <w:szCs w:val="20"/>
        </w:rPr>
        <w:t>allocate adequate resources for continuing legal education for the Judiciary:</w:t>
      </w:r>
      <w:r>
        <w:rPr>
          <w:rFonts w:ascii="Cambria" w:hAnsi="Cambria"/>
          <w:sz w:val="20"/>
          <w:szCs w:val="20"/>
        </w:rPr>
        <w:t xml:space="preserve"> C</w:t>
      </w:r>
      <w:r w:rsidRPr="001B77B2">
        <w:rPr>
          <w:rFonts w:ascii="Cambria" w:hAnsi="Cambria"/>
          <w:sz w:val="20"/>
          <w:szCs w:val="20"/>
        </w:rPr>
        <w:t xml:space="preserve">onsiderable resources should be allocated for continuing legal education for </w:t>
      </w:r>
      <w:r>
        <w:rPr>
          <w:rFonts w:ascii="Cambria" w:hAnsi="Cambria"/>
          <w:sz w:val="20"/>
          <w:szCs w:val="20"/>
        </w:rPr>
        <w:t xml:space="preserve">the </w:t>
      </w:r>
      <w:r w:rsidRPr="001B77B2">
        <w:rPr>
          <w:rFonts w:ascii="Cambria" w:hAnsi="Cambria"/>
          <w:sz w:val="20"/>
          <w:szCs w:val="20"/>
        </w:rPr>
        <w:t xml:space="preserve">judiciary. In addition to current judges, retired judges too have played an active role in the past in the justice reform process. Therefore, engaging with the Retired Judges Association to inform policy, to organise public discussions/forums to raise current issues across partners in Pillars One and Two should be areas prioritised in the second phase. </w:t>
      </w:r>
    </w:p>
    <w:p w14:paraId="45DBD887" w14:textId="77777777" w:rsidR="00333E3F" w:rsidRDefault="00333E3F" w:rsidP="00081358">
      <w:pPr>
        <w:pStyle w:val="ListParagraph"/>
        <w:numPr>
          <w:ilvl w:val="0"/>
          <w:numId w:val="87"/>
        </w:numPr>
        <w:spacing w:line="360" w:lineRule="auto"/>
        <w:jc w:val="both"/>
        <w:rPr>
          <w:rFonts w:ascii="Cambria" w:hAnsi="Cambria" w:cs="Calibri"/>
          <w:bCs/>
          <w:sz w:val="20"/>
          <w:szCs w:val="20"/>
          <w:lang w:val="en-GB"/>
        </w:rPr>
      </w:pPr>
      <w:r w:rsidRPr="00AC321E">
        <w:rPr>
          <w:rFonts w:ascii="Cambria" w:hAnsi="Cambria" w:cs="Calibri"/>
          <w:b/>
          <w:sz w:val="20"/>
          <w:szCs w:val="20"/>
          <w:lang w:val="en-GB"/>
        </w:rPr>
        <w:t xml:space="preserve">Focus on legal aid mechanisms to improve access to justice: </w:t>
      </w:r>
      <w:r w:rsidRPr="007C2964">
        <w:rPr>
          <w:rFonts w:ascii="Cambria" w:hAnsi="Cambria" w:cs="Calibri"/>
          <w:bCs/>
          <w:sz w:val="20"/>
          <w:szCs w:val="20"/>
          <w:lang w:val="en-GB"/>
        </w:rPr>
        <w:t xml:space="preserve">The MTE highlighted the importance of ensuring greater access to affordable quality legal aid and community mediation and other forms of ADR mechanisms to increase access to justice to vulnerable groups, which is considered as a well-established cost effective and popular form of dispute resolution. </w:t>
      </w:r>
      <w:r>
        <w:rPr>
          <w:rFonts w:ascii="Cambria" w:hAnsi="Cambria" w:cs="Calibri"/>
          <w:bCs/>
          <w:sz w:val="20"/>
          <w:szCs w:val="20"/>
          <w:lang w:val="en-GB"/>
        </w:rPr>
        <w:t>The following should be considered:</w:t>
      </w:r>
    </w:p>
    <w:p w14:paraId="1E0E967A" w14:textId="77777777" w:rsidR="00333E3F" w:rsidRPr="00AC321E" w:rsidRDefault="00333E3F" w:rsidP="00081358">
      <w:pPr>
        <w:pStyle w:val="ListParagraph"/>
        <w:numPr>
          <w:ilvl w:val="0"/>
          <w:numId w:val="89"/>
        </w:numPr>
        <w:spacing w:line="360" w:lineRule="auto"/>
        <w:jc w:val="both"/>
        <w:rPr>
          <w:rFonts w:ascii="Cambria" w:hAnsi="Cambria" w:cs="Calibri"/>
          <w:bCs/>
          <w:sz w:val="20"/>
          <w:szCs w:val="20"/>
          <w:lang w:val="en-GB"/>
        </w:rPr>
      </w:pPr>
      <w:r>
        <w:rPr>
          <w:rFonts w:ascii="Cambria" w:hAnsi="Cambria"/>
          <w:sz w:val="20"/>
          <w:szCs w:val="20"/>
        </w:rPr>
        <w:t>S</w:t>
      </w:r>
      <w:r w:rsidRPr="00AC321E">
        <w:rPr>
          <w:rFonts w:ascii="Cambria" w:hAnsi="Cambria"/>
          <w:sz w:val="20"/>
          <w:szCs w:val="20"/>
        </w:rPr>
        <w:t>trengthen the provision of legal aid of state and non-state legal aid organisations, within the legal aid policy developed</w:t>
      </w:r>
      <w:r>
        <w:rPr>
          <w:rFonts w:ascii="Cambria" w:hAnsi="Cambria"/>
          <w:sz w:val="20"/>
          <w:szCs w:val="20"/>
        </w:rPr>
        <w:t>;</w:t>
      </w:r>
    </w:p>
    <w:p w14:paraId="30AF7B39" w14:textId="77777777" w:rsidR="00333E3F" w:rsidRPr="00AC321E" w:rsidRDefault="00333E3F" w:rsidP="00081358">
      <w:pPr>
        <w:pStyle w:val="ListParagraph"/>
        <w:numPr>
          <w:ilvl w:val="0"/>
          <w:numId w:val="89"/>
        </w:numPr>
        <w:spacing w:line="360" w:lineRule="auto"/>
        <w:jc w:val="both"/>
        <w:rPr>
          <w:rFonts w:ascii="Cambria" w:hAnsi="Cambria" w:cs="Calibri"/>
          <w:bCs/>
          <w:sz w:val="20"/>
          <w:szCs w:val="20"/>
          <w:lang w:val="en-GB"/>
        </w:rPr>
      </w:pPr>
      <w:r>
        <w:rPr>
          <w:rFonts w:ascii="Cambria" w:hAnsi="Cambria"/>
          <w:sz w:val="20"/>
          <w:szCs w:val="20"/>
        </w:rPr>
        <w:t>L</w:t>
      </w:r>
      <w:r w:rsidRPr="00AC321E">
        <w:rPr>
          <w:rFonts w:ascii="Cambria" w:hAnsi="Cambria"/>
          <w:sz w:val="20"/>
          <w:szCs w:val="20"/>
        </w:rPr>
        <w:t>aunch the National Legal Aid Policy during the second phase to consolidate activities initiated in previous phases of programming and to explore different models with different implementing partners and beneficiaries.</w:t>
      </w:r>
    </w:p>
    <w:p w14:paraId="5716F653" w14:textId="77777777" w:rsidR="00333E3F" w:rsidRPr="004E5792" w:rsidRDefault="00333E3F" w:rsidP="00081358">
      <w:pPr>
        <w:pStyle w:val="ListParagraph"/>
        <w:numPr>
          <w:ilvl w:val="0"/>
          <w:numId w:val="89"/>
        </w:numPr>
        <w:spacing w:line="360" w:lineRule="auto"/>
        <w:jc w:val="both"/>
        <w:rPr>
          <w:rFonts w:ascii="Cambria" w:hAnsi="Cambria" w:cs="Calibri"/>
          <w:bCs/>
          <w:sz w:val="20"/>
          <w:szCs w:val="20"/>
          <w:lang w:val="en-GB"/>
        </w:rPr>
      </w:pPr>
      <w:r>
        <w:rPr>
          <w:rFonts w:ascii="Cambria" w:hAnsi="Cambria"/>
          <w:sz w:val="20"/>
          <w:szCs w:val="20"/>
        </w:rPr>
        <w:t xml:space="preserve">Support the LAC and establish referral pathways between CSOs and LAC - </w:t>
      </w:r>
      <w:r w:rsidRPr="00AC321E">
        <w:rPr>
          <w:rFonts w:ascii="Cambria" w:hAnsi="Cambria"/>
          <w:sz w:val="20"/>
          <w:szCs w:val="20"/>
        </w:rPr>
        <w:t xml:space="preserve">Although three CSOs are supported by the Portfolio to improve service provision primarily for SGBV survivors, these initiatives are </w:t>
      </w:r>
      <w:r w:rsidRPr="00AC321E">
        <w:rPr>
          <w:rFonts w:ascii="Cambria" w:hAnsi="Cambria"/>
          <w:sz w:val="20"/>
          <w:szCs w:val="20"/>
        </w:rPr>
        <w:lastRenderedPageBreak/>
        <w:t>painfully donor dependent and cannot be sustained by CSOs themselves. Greater support for the LAC and referral pathways between CSOs and LAC should be an area of focus in the next phase</w:t>
      </w:r>
      <w:r>
        <w:rPr>
          <w:rFonts w:ascii="Cambria" w:hAnsi="Cambria"/>
          <w:sz w:val="20"/>
          <w:szCs w:val="20"/>
        </w:rPr>
        <w:t xml:space="preserve">; and </w:t>
      </w:r>
    </w:p>
    <w:p w14:paraId="26F4A5F8" w14:textId="77777777" w:rsidR="00333E3F" w:rsidRPr="004E5792" w:rsidRDefault="00333E3F" w:rsidP="00081358">
      <w:pPr>
        <w:pStyle w:val="ListParagraph"/>
        <w:numPr>
          <w:ilvl w:val="0"/>
          <w:numId w:val="89"/>
        </w:numPr>
        <w:spacing w:line="360" w:lineRule="auto"/>
        <w:jc w:val="both"/>
        <w:rPr>
          <w:rFonts w:ascii="Cambria" w:hAnsi="Cambria" w:cs="Calibri"/>
          <w:b/>
          <w:sz w:val="20"/>
          <w:szCs w:val="20"/>
          <w:lang w:val="en-GB"/>
        </w:rPr>
      </w:pPr>
      <w:r>
        <w:rPr>
          <w:rFonts w:ascii="Cambria" w:hAnsi="Cambria"/>
          <w:sz w:val="20"/>
          <w:szCs w:val="20"/>
        </w:rPr>
        <w:t xml:space="preserve">Consolidate a </w:t>
      </w:r>
      <w:r w:rsidRPr="00AC321E">
        <w:rPr>
          <w:rFonts w:ascii="Cambria" w:hAnsi="Cambria"/>
          <w:sz w:val="20"/>
          <w:szCs w:val="20"/>
        </w:rPr>
        <w:t>strong alliance with the BASL given their extensive membership, and extensive coverage across the country through regional associations</w:t>
      </w:r>
      <w:r>
        <w:rPr>
          <w:rFonts w:ascii="Cambria" w:hAnsi="Cambria"/>
          <w:sz w:val="20"/>
          <w:szCs w:val="20"/>
        </w:rPr>
        <w:t>-</w:t>
      </w:r>
      <w:r w:rsidRPr="00AC321E">
        <w:rPr>
          <w:rFonts w:ascii="Cambria" w:hAnsi="Cambria"/>
          <w:sz w:val="20"/>
          <w:szCs w:val="20"/>
        </w:rPr>
        <w:t>The BASL is also currently a prominent player in the justice sector, given their role as members serving in the five major reforms committees appointed by the Minister of Justice.</w:t>
      </w:r>
      <w:r w:rsidRPr="004E5792">
        <w:rPr>
          <w:rFonts w:ascii="Cambria" w:hAnsi="Cambria"/>
          <w:b/>
          <w:sz w:val="20"/>
          <w:szCs w:val="20"/>
        </w:rPr>
        <w:t xml:space="preserve"> </w:t>
      </w:r>
    </w:p>
    <w:p w14:paraId="128FF071" w14:textId="77777777" w:rsidR="00333E3F" w:rsidRDefault="00333E3F" w:rsidP="00081358">
      <w:pPr>
        <w:pStyle w:val="ListParagraph"/>
        <w:numPr>
          <w:ilvl w:val="0"/>
          <w:numId w:val="90"/>
        </w:numPr>
        <w:spacing w:line="360" w:lineRule="auto"/>
        <w:jc w:val="both"/>
        <w:rPr>
          <w:rFonts w:ascii="Cambria" w:hAnsi="Cambria" w:cs="Calibri"/>
          <w:bCs/>
          <w:sz w:val="20"/>
          <w:szCs w:val="20"/>
          <w:lang w:val="en-GB"/>
        </w:rPr>
      </w:pPr>
      <w:r w:rsidRPr="004E5792">
        <w:rPr>
          <w:rFonts w:ascii="Cambria" w:hAnsi="Cambria" w:cs="Calibri"/>
          <w:b/>
          <w:sz w:val="20"/>
          <w:szCs w:val="20"/>
          <w:lang w:val="en-GB"/>
        </w:rPr>
        <w:t xml:space="preserve">Support </w:t>
      </w:r>
      <w:r>
        <w:rPr>
          <w:rFonts w:ascii="Cambria" w:hAnsi="Cambria" w:cs="Calibri"/>
          <w:b/>
          <w:sz w:val="20"/>
          <w:szCs w:val="20"/>
          <w:lang w:val="en-GB"/>
        </w:rPr>
        <w:t xml:space="preserve">key </w:t>
      </w:r>
      <w:r w:rsidRPr="004E5792">
        <w:rPr>
          <w:rFonts w:ascii="Cambria" w:hAnsi="Cambria" w:cs="Calibri"/>
          <w:b/>
          <w:sz w:val="20"/>
          <w:szCs w:val="20"/>
          <w:lang w:val="en-GB"/>
        </w:rPr>
        <w:t xml:space="preserve">initiatives of the Justice Sector Reform Strategy: </w:t>
      </w:r>
      <w:r w:rsidRPr="004E5792">
        <w:rPr>
          <w:rFonts w:ascii="Cambria" w:hAnsi="Cambria" w:cs="Calibri"/>
          <w:bCs/>
          <w:sz w:val="20"/>
          <w:szCs w:val="20"/>
          <w:lang w:val="en-GB"/>
        </w:rPr>
        <w:t xml:space="preserve">The second phase provides an opportunity to work within a new sectoral approach to justice sector reform and thereby an opportunity to engage in a participatory approach to programme planning, implementation, prioritisation, monitoring and reporting. The newly establish Reforms Unit of the MOJ consisting of legal experts from the private bar is a strategic entry point for UNDP. Further </w:t>
      </w:r>
      <w:r w:rsidRPr="004E5792">
        <w:rPr>
          <w:rFonts w:ascii="Cambria" w:hAnsi="Cambria" w:cs="Calibri"/>
          <w:bCs/>
          <w:color w:val="000000" w:themeColor="text1"/>
          <w:sz w:val="20"/>
          <w:szCs w:val="20"/>
          <w:lang w:val="en-GB"/>
        </w:rPr>
        <w:t>the willingness of the MOJ to consider UNDP in the role of facilitator for donor coordination is also a strategic entry point for UNDP to push reforms that has already being initiated</w:t>
      </w:r>
      <w:r>
        <w:rPr>
          <w:rFonts w:ascii="Cambria" w:hAnsi="Cambria" w:cs="Calibri"/>
          <w:bCs/>
          <w:color w:val="000000" w:themeColor="text1"/>
          <w:sz w:val="20"/>
          <w:szCs w:val="20"/>
          <w:lang w:val="en-GB"/>
        </w:rPr>
        <w:t>,</w:t>
      </w:r>
      <w:r w:rsidRPr="004E5792">
        <w:rPr>
          <w:rFonts w:ascii="Cambria" w:hAnsi="Cambria" w:cs="Calibri"/>
          <w:bCs/>
          <w:color w:val="000000" w:themeColor="text1"/>
          <w:sz w:val="20"/>
          <w:szCs w:val="20"/>
          <w:lang w:val="en-GB"/>
        </w:rPr>
        <w:t xml:space="preserve"> either through the first phase of the Portfolio (eg. pioneering studies on victims and crime trends in Sri Lanka to develop a national crime prevention strategy, sentencing study to develop a sentencing policy, victim and witness protection related studies to develop compensations schemes and trauma informed care models for victims, remote court hearing, etc.) or through previous project phases (eg. Research on Case-flow management and laws delays) and </w:t>
      </w:r>
      <w:r w:rsidRPr="004E5792">
        <w:rPr>
          <w:rFonts w:ascii="Cambria" w:hAnsi="Cambria" w:cs="Calibri"/>
          <w:bCs/>
          <w:sz w:val="20"/>
          <w:szCs w:val="20"/>
          <w:lang w:val="en-GB"/>
        </w:rPr>
        <w:t>an opportunity to identify and invest in reforms that are already in the pipeline to ensure ownership and sustainability.</w:t>
      </w:r>
    </w:p>
    <w:p w14:paraId="3707CE42" w14:textId="77777777" w:rsidR="00333E3F" w:rsidRPr="00310AFC" w:rsidRDefault="00333E3F" w:rsidP="00333E3F">
      <w:pPr>
        <w:pStyle w:val="ListParagraph"/>
        <w:numPr>
          <w:ilvl w:val="0"/>
          <w:numId w:val="28"/>
        </w:numPr>
        <w:spacing w:line="360" w:lineRule="auto"/>
        <w:jc w:val="both"/>
        <w:rPr>
          <w:rFonts w:ascii="Cambria" w:hAnsi="Cambria" w:cs="Calibri"/>
          <w:b/>
          <w:lang w:val="en-GB"/>
        </w:rPr>
      </w:pPr>
      <w:r>
        <w:rPr>
          <w:rFonts w:ascii="Cambria" w:hAnsi="Cambria" w:cs="Calibri"/>
          <w:b/>
          <w:sz w:val="20"/>
          <w:szCs w:val="20"/>
          <w:lang w:val="en-GB"/>
        </w:rPr>
        <w:t xml:space="preserve">Engage with the private sector: </w:t>
      </w:r>
      <w:r w:rsidRPr="006610B3">
        <w:rPr>
          <w:rFonts w:ascii="Cambria" w:hAnsi="Cambria"/>
          <w:color w:val="000000" w:themeColor="text1"/>
          <w:sz w:val="20"/>
          <w:szCs w:val="20"/>
        </w:rPr>
        <w:t>Whilst the private sector is identified as a key stakeholder within the Business and Human Rights agenda, the full potential of the private sector to directly or indirectly contribute towards the achievement of SDG 16</w:t>
      </w:r>
      <w:r>
        <w:rPr>
          <w:rFonts w:ascii="Cambria" w:hAnsi="Cambria"/>
          <w:color w:val="000000" w:themeColor="text1"/>
          <w:sz w:val="20"/>
          <w:szCs w:val="20"/>
        </w:rPr>
        <w:t>,</w:t>
      </w:r>
      <w:r w:rsidRPr="006610B3">
        <w:rPr>
          <w:rFonts w:ascii="Cambria" w:hAnsi="Cambria"/>
          <w:color w:val="000000" w:themeColor="text1"/>
          <w:sz w:val="20"/>
          <w:szCs w:val="20"/>
        </w:rPr>
        <w:t xml:space="preserve"> is currently understated and unexplored. There is equal benefit to be gained by the private sector as other stakeholders in enhancing the rule of law and access to justice. Therefore, the Portfolio should consider rethinking their engagement strategy with the private sector, especially as an entry point for reforms with respect to access to justice.</w:t>
      </w:r>
    </w:p>
    <w:p w14:paraId="41807E16" w14:textId="77777777" w:rsidR="00333E3F" w:rsidRPr="004E5792" w:rsidRDefault="00333E3F" w:rsidP="00333E3F">
      <w:pPr>
        <w:pStyle w:val="ListParagraph"/>
        <w:spacing w:line="360" w:lineRule="auto"/>
        <w:ind w:left="360"/>
        <w:jc w:val="both"/>
        <w:rPr>
          <w:rFonts w:ascii="Cambria" w:hAnsi="Cambria" w:cs="Calibri"/>
          <w:bCs/>
          <w:sz w:val="20"/>
          <w:szCs w:val="20"/>
          <w:lang w:val="en-GB"/>
        </w:rPr>
      </w:pPr>
    </w:p>
    <w:p w14:paraId="1C749FB5" w14:textId="6B230012" w:rsidR="008601F5" w:rsidRDefault="008601F5" w:rsidP="00081358">
      <w:pPr>
        <w:pStyle w:val="ListParagraph"/>
        <w:numPr>
          <w:ilvl w:val="0"/>
          <w:numId w:val="84"/>
        </w:numPr>
        <w:spacing w:line="360" w:lineRule="auto"/>
        <w:jc w:val="both"/>
        <w:rPr>
          <w:rFonts w:ascii="Cambria" w:hAnsi="Cambria" w:cs="Calibri"/>
          <w:b/>
          <w:bCs/>
          <w:lang w:val="en-GB"/>
        </w:rPr>
      </w:pPr>
      <w:r w:rsidRPr="008601F5">
        <w:rPr>
          <w:rFonts w:ascii="Cambria" w:hAnsi="Cambria" w:cs="Calibri"/>
          <w:b/>
          <w:bCs/>
          <w:lang w:val="en-GB"/>
        </w:rPr>
        <w:t xml:space="preserve">Gender Equality and Gender Empowerment </w:t>
      </w:r>
    </w:p>
    <w:p w14:paraId="38C69884" w14:textId="77777777" w:rsidR="008601F5" w:rsidRPr="008601F5" w:rsidRDefault="008601F5" w:rsidP="008601F5">
      <w:pPr>
        <w:pStyle w:val="ListParagraph"/>
        <w:spacing w:line="360" w:lineRule="auto"/>
        <w:jc w:val="both"/>
        <w:rPr>
          <w:rFonts w:ascii="Cambria" w:hAnsi="Cambria" w:cs="Calibri"/>
          <w:b/>
          <w:bCs/>
          <w:lang w:val="en-GB"/>
        </w:rPr>
      </w:pPr>
    </w:p>
    <w:p w14:paraId="411F9209" w14:textId="77777777" w:rsidR="008601F5" w:rsidRDefault="008601F5" w:rsidP="008601F5">
      <w:pPr>
        <w:pStyle w:val="ListParagraph"/>
        <w:numPr>
          <w:ilvl w:val="0"/>
          <w:numId w:val="28"/>
        </w:numPr>
        <w:spacing w:line="360" w:lineRule="auto"/>
        <w:jc w:val="both"/>
        <w:rPr>
          <w:rFonts w:ascii="Cambria" w:hAnsi="Cambria" w:cs="Calibri"/>
          <w:bCs/>
          <w:sz w:val="20"/>
          <w:szCs w:val="20"/>
          <w:lang w:val="en-GB"/>
        </w:rPr>
      </w:pPr>
      <w:r w:rsidRPr="003135DD">
        <w:rPr>
          <w:rFonts w:ascii="Cambria" w:hAnsi="Cambria" w:cs="Calibri"/>
          <w:b/>
          <w:sz w:val="20"/>
          <w:szCs w:val="20"/>
          <w:lang w:val="en-GB"/>
        </w:rPr>
        <w:t>Continue to support the Ministry of Women and Child Affairs to operationalise the SGBV Action Plan:</w:t>
      </w:r>
      <w:r>
        <w:rPr>
          <w:rFonts w:ascii="Cambria" w:hAnsi="Cambria" w:cs="Calibri"/>
          <w:bCs/>
          <w:sz w:val="20"/>
          <w:szCs w:val="20"/>
          <w:lang w:val="en-GB"/>
        </w:rPr>
        <w:t xml:space="preserve"> </w:t>
      </w:r>
      <w:r w:rsidRPr="009E6CBA">
        <w:rPr>
          <w:rFonts w:ascii="Cambria" w:hAnsi="Cambria" w:cs="Calibri"/>
          <w:bCs/>
          <w:sz w:val="20"/>
          <w:szCs w:val="20"/>
          <w:lang w:val="en-GB"/>
        </w:rPr>
        <w:t xml:space="preserve">The Output </w:t>
      </w:r>
      <w:r>
        <w:rPr>
          <w:rFonts w:ascii="Cambria" w:hAnsi="Cambria" w:cs="Calibri"/>
          <w:bCs/>
          <w:sz w:val="20"/>
          <w:szCs w:val="20"/>
          <w:lang w:val="en-GB"/>
        </w:rPr>
        <w:t xml:space="preserve">should </w:t>
      </w:r>
      <w:r w:rsidRPr="009E6CBA">
        <w:rPr>
          <w:rFonts w:ascii="Cambria" w:hAnsi="Cambria" w:cs="Calibri"/>
          <w:bCs/>
          <w:sz w:val="20"/>
          <w:szCs w:val="20"/>
          <w:lang w:val="en-GB"/>
        </w:rPr>
        <w:t>continue</w:t>
      </w:r>
      <w:r>
        <w:rPr>
          <w:rFonts w:ascii="Cambria" w:hAnsi="Cambria" w:cs="Calibri"/>
          <w:bCs/>
          <w:sz w:val="20"/>
          <w:szCs w:val="20"/>
          <w:lang w:val="en-GB"/>
        </w:rPr>
        <w:t xml:space="preserve"> </w:t>
      </w:r>
      <w:r w:rsidRPr="009E6CBA">
        <w:rPr>
          <w:rFonts w:ascii="Cambria" w:hAnsi="Cambria" w:cs="Calibri"/>
          <w:bCs/>
          <w:sz w:val="20"/>
          <w:szCs w:val="20"/>
          <w:lang w:val="en-GB"/>
        </w:rPr>
        <w:t>to resource and reinforce the development of strategic planning of the MWCA</w:t>
      </w:r>
      <w:r>
        <w:rPr>
          <w:rFonts w:ascii="Cambria" w:hAnsi="Cambria" w:cs="Calibri"/>
          <w:bCs/>
          <w:sz w:val="20"/>
          <w:szCs w:val="20"/>
          <w:lang w:val="en-GB"/>
        </w:rPr>
        <w:t xml:space="preserve"> to </w:t>
      </w:r>
      <w:r w:rsidRPr="009E6CBA">
        <w:rPr>
          <w:rFonts w:ascii="Cambria" w:hAnsi="Cambria" w:cs="Calibri"/>
          <w:bCs/>
          <w:sz w:val="20"/>
          <w:szCs w:val="20"/>
          <w:lang w:val="en-GB"/>
        </w:rPr>
        <w:t>review</w:t>
      </w:r>
      <w:r>
        <w:rPr>
          <w:rFonts w:ascii="Cambria" w:hAnsi="Cambria" w:cs="Calibri"/>
          <w:bCs/>
          <w:sz w:val="20"/>
          <w:szCs w:val="20"/>
          <w:lang w:val="en-GB"/>
        </w:rPr>
        <w:t xml:space="preserve"> and develop the next SGBV Action Plan </w:t>
      </w:r>
      <w:r w:rsidRPr="009E6CBA">
        <w:rPr>
          <w:rFonts w:ascii="Cambria" w:hAnsi="Cambria" w:cs="Calibri"/>
          <w:bCs/>
          <w:sz w:val="20"/>
          <w:szCs w:val="20"/>
          <w:lang w:val="en-GB"/>
        </w:rPr>
        <w:t>taking into consideration international best practices and standards and lessons learned to reduce risks imposed by the pandemi</w:t>
      </w:r>
      <w:r>
        <w:rPr>
          <w:rFonts w:ascii="Cambria" w:hAnsi="Cambria" w:cs="Calibri"/>
          <w:bCs/>
          <w:sz w:val="20"/>
          <w:szCs w:val="20"/>
          <w:lang w:val="en-GB"/>
        </w:rPr>
        <w:t>c.</w:t>
      </w:r>
    </w:p>
    <w:p w14:paraId="73322E58" w14:textId="77777777" w:rsidR="008601F5" w:rsidRPr="00555DC7" w:rsidRDefault="008601F5" w:rsidP="008601F5">
      <w:pPr>
        <w:pStyle w:val="ListParagraph"/>
        <w:numPr>
          <w:ilvl w:val="0"/>
          <w:numId w:val="28"/>
        </w:numPr>
        <w:spacing w:line="360" w:lineRule="auto"/>
        <w:jc w:val="both"/>
        <w:rPr>
          <w:rFonts w:ascii="Cambria" w:hAnsi="Cambria" w:cs="Calibri"/>
          <w:bCs/>
          <w:sz w:val="20"/>
          <w:szCs w:val="20"/>
          <w:lang w:val="en-GB"/>
        </w:rPr>
      </w:pPr>
      <w:r w:rsidRPr="003135DD">
        <w:rPr>
          <w:rFonts w:ascii="Cambria" w:hAnsi="Cambria"/>
          <w:b/>
          <w:bCs/>
          <w:color w:val="000000" w:themeColor="text1"/>
          <w:sz w:val="20"/>
          <w:szCs w:val="20"/>
        </w:rPr>
        <w:t>Develop a Strategy to</w:t>
      </w:r>
      <w:r>
        <w:rPr>
          <w:rFonts w:ascii="Cambria" w:hAnsi="Cambria"/>
          <w:b/>
          <w:bCs/>
          <w:color w:val="000000" w:themeColor="text1"/>
          <w:sz w:val="20"/>
          <w:szCs w:val="20"/>
        </w:rPr>
        <w:t xml:space="preserve"> reduce </w:t>
      </w:r>
      <w:r w:rsidRPr="003135DD">
        <w:rPr>
          <w:rFonts w:ascii="Cambria" w:hAnsi="Cambria"/>
          <w:b/>
          <w:bCs/>
          <w:color w:val="000000" w:themeColor="text1"/>
          <w:sz w:val="20"/>
          <w:szCs w:val="20"/>
        </w:rPr>
        <w:t>donor dependenc</w:t>
      </w:r>
      <w:r>
        <w:rPr>
          <w:rFonts w:ascii="Cambria" w:hAnsi="Cambria"/>
          <w:b/>
          <w:bCs/>
          <w:color w:val="000000" w:themeColor="text1"/>
          <w:sz w:val="20"/>
          <w:szCs w:val="20"/>
        </w:rPr>
        <w:t>y and increase sustainability</w:t>
      </w:r>
      <w:r w:rsidRPr="003135DD">
        <w:rPr>
          <w:rFonts w:ascii="Cambria" w:hAnsi="Cambria"/>
          <w:b/>
          <w:bCs/>
          <w:color w:val="000000" w:themeColor="text1"/>
          <w:sz w:val="20"/>
          <w:szCs w:val="20"/>
        </w:rPr>
        <w:t xml:space="preserve">: </w:t>
      </w:r>
      <w:r w:rsidRPr="00AC1452">
        <w:rPr>
          <w:rFonts w:ascii="Cambria" w:hAnsi="Cambria"/>
          <w:color w:val="000000" w:themeColor="text1"/>
          <w:sz w:val="20"/>
          <w:szCs w:val="20"/>
        </w:rPr>
        <w:t xml:space="preserve">In order to maximise impact and long-term sustainability of the Action plan the Output must support a strategy towards self-sustenance, building high level and middle level institutional capacity to coordinate with other sectors, </w:t>
      </w:r>
      <w:r w:rsidRPr="00AC1452">
        <w:rPr>
          <w:rFonts w:ascii="Cambria" w:hAnsi="Cambria"/>
          <w:color w:val="000000" w:themeColor="text1"/>
          <w:sz w:val="20"/>
          <w:szCs w:val="20"/>
        </w:rPr>
        <w:lastRenderedPageBreak/>
        <w:t>collect data and monitor implementation. The second cycle of the Action Plan is an opportunity to draft a plan with objectives that are relevant, achievable within the time frame, flexible to adapt to changing political and economic contexts</w:t>
      </w:r>
      <w:r>
        <w:rPr>
          <w:rFonts w:ascii="Cambria" w:hAnsi="Cambria"/>
          <w:color w:val="000000" w:themeColor="text1"/>
          <w:sz w:val="20"/>
          <w:szCs w:val="20"/>
        </w:rPr>
        <w:t xml:space="preserve"> and the pandemic</w:t>
      </w:r>
      <w:r w:rsidRPr="00AC1452">
        <w:rPr>
          <w:rFonts w:ascii="Cambria" w:hAnsi="Cambria"/>
          <w:color w:val="000000" w:themeColor="text1"/>
          <w:sz w:val="20"/>
          <w:szCs w:val="20"/>
        </w:rPr>
        <w:t xml:space="preserve"> and measurable to monitor outcomes and outputs, which </w:t>
      </w:r>
      <w:r>
        <w:rPr>
          <w:rFonts w:ascii="Cambria" w:hAnsi="Cambria"/>
          <w:color w:val="000000" w:themeColor="text1"/>
          <w:sz w:val="20"/>
          <w:szCs w:val="20"/>
        </w:rPr>
        <w:t>will</w:t>
      </w:r>
      <w:r w:rsidRPr="00AC1452">
        <w:rPr>
          <w:rFonts w:ascii="Cambria" w:hAnsi="Cambria"/>
          <w:color w:val="000000" w:themeColor="text1"/>
          <w:sz w:val="20"/>
          <w:szCs w:val="20"/>
        </w:rPr>
        <w:t xml:space="preserve"> contribute towards better planning and programming in the future. The second cycle is also an opportunity for the Portfolio to construct a forum for donor coordination, participatory management and planning and engagement.  </w:t>
      </w:r>
    </w:p>
    <w:p w14:paraId="6728E652" w14:textId="77777777" w:rsidR="008601F5" w:rsidRPr="009F60E9" w:rsidRDefault="008601F5" w:rsidP="008601F5">
      <w:pPr>
        <w:pStyle w:val="ListParagraph"/>
        <w:numPr>
          <w:ilvl w:val="0"/>
          <w:numId w:val="28"/>
        </w:numPr>
        <w:spacing w:line="360" w:lineRule="auto"/>
        <w:jc w:val="both"/>
        <w:rPr>
          <w:rFonts w:ascii="Cambria" w:hAnsi="Cambria" w:cs="Calibri"/>
          <w:bCs/>
          <w:sz w:val="20"/>
          <w:szCs w:val="20"/>
          <w:lang w:val="en-GB"/>
        </w:rPr>
      </w:pPr>
      <w:r w:rsidRPr="00555DC7">
        <w:rPr>
          <w:rFonts w:ascii="Cambria" w:hAnsi="Cambria" w:cs="Calibri"/>
          <w:b/>
          <w:bCs/>
          <w:sz w:val="20"/>
          <w:szCs w:val="20"/>
          <w:lang w:val="en-GB"/>
        </w:rPr>
        <w:t xml:space="preserve">Identify key </w:t>
      </w:r>
      <w:r>
        <w:rPr>
          <w:rFonts w:ascii="Cambria" w:hAnsi="Cambria" w:cs="Calibri"/>
          <w:b/>
          <w:bCs/>
          <w:sz w:val="20"/>
          <w:szCs w:val="20"/>
          <w:lang w:val="en-GB"/>
        </w:rPr>
        <w:t>I</w:t>
      </w:r>
      <w:r w:rsidRPr="00555DC7">
        <w:rPr>
          <w:rFonts w:ascii="Cambria" w:hAnsi="Cambria" w:cs="Calibri"/>
          <w:b/>
          <w:bCs/>
          <w:sz w:val="20"/>
          <w:szCs w:val="20"/>
          <w:lang w:val="en-GB"/>
        </w:rPr>
        <w:t xml:space="preserve">nterventions of the </w:t>
      </w:r>
      <w:r>
        <w:rPr>
          <w:rFonts w:ascii="Cambria" w:hAnsi="Cambria" w:cs="Calibri"/>
          <w:b/>
          <w:bCs/>
          <w:sz w:val="20"/>
          <w:szCs w:val="20"/>
          <w:lang w:val="en-GB"/>
        </w:rPr>
        <w:t>G</w:t>
      </w:r>
      <w:r w:rsidRPr="00555DC7">
        <w:rPr>
          <w:rFonts w:ascii="Cambria" w:hAnsi="Cambria" w:cs="Calibri"/>
          <w:b/>
          <w:bCs/>
          <w:sz w:val="20"/>
          <w:szCs w:val="20"/>
          <w:lang w:val="en-GB"/>
        </w:rPr>
        <w:t>overnment</w:t>
      </w:r>
      <w:r w:rsidRPr="009F60E9">
        <w:rPr>
          <w:rFonts w:ascii="Cambria" w:hAnsi="Cambria" w:cs="Calibri"/>
          <w:b/>
          <w:bCs/>
          <w:sz w:val="20"/>
          <w:szCs w:val="20"/>
          <w:lang w:val="en-GB"/>
        </w:rPr>
        <w:t xml:space="preserve"> (Ministry of Women and Child Affairs)</w:t>
      </w:r>
      <w:r w:rsidRPr="00555DC7">
        <w:rPr>
          <w:rFonts w:ascii="Cambria" w:hAnsi="Cambria" w:cs="Calibri"/>
          <w:b/>
          <w:bCs/>
          <w:sz w:val="20"/>
          <w:szCs w:val="20"/>
          <w:lang w:val="en-GB"/>
        </w:rPr>
        <w:t xml:space="preserve"> to </w:t>
      </w:r>
      <w:r>
        <w:rPr>
          <w:rFonts w:ascii="Cambria" w:hAnsi="Cambria" w:cs="Calibri"/>
          <w:b/>
          <w:bCs/>
          <w:sz w:val="20"/>
          <w:szCs w:val="20"/>
          <w:lang w:val="en-GB"/>
        </w:rPr>
        <w:t>M</w:t>
      </w:r>
      <w:r w:rsidRPr="00555DC7">
        <w:rPr>
          <w:rFonts w:ascii="Cambria" w:hAnsi="Cambria" w:cs="Calibri"/>
          <w:b/>
          <w:bCs/>
          <w:sz w:val="20"/>
          <w:szCs w:val="20"/>
          <w:lang w:val="en-GB"/>
        </w:rPr>
        <w:t xml:space="preserve">ainstream </w:t>
      </w:r>
      <w:r>
        <w:rPr>
          <w:rFonts w:ascii="Cambria" w:hAnsi="Cambria" w:cs="Calibri"/>
          <w:b/>
          <w:bCs/>
          <w:sz w:val="20"/>
          <w:szCs w:val="20"/>
          <w:lang w:val="en-GB"/>
        </w:rPr>
        <w:t>G</w:t>
      </w:r>
      <w:r w:rsidRPr="00555DC7">
        <w:rPr>
          <w:rFonts w:ascii="Cambria" w:hAnsi="Cambria" w:cs="Calibri"/>
          <w:b/>
          <w:bCs/>
          <w:sz w:val="20"/>
          <w:szCs w:val="20"/>
          <w:lang w:val="en-GB"/>
        </w:rPr>
        <w:t>ender</w:t>
      </w:r>
      <w:r>
        <w:rPr>
          <w:rFonts w:ascii="Cambria" w:hAnsi="Cambria" w:cs="Calibri"/>
          <w:b/>
          <w:bCs/>
          <w:sz w:val="20"/>
          <w:szCs w:val="20"/>
          <w:lang w:val="en-GB"/>
        </w:rPr>
        <w:t xml:space="preserve"> in the Public Service</w:t>
      </w:r>
      <w:r w:rsidRPr="00555DC7">
        <w:rPr>
          <w:rFonts w:ascii="Cambria" w:hAnsi="Cambria" w:cs="Calibri"/>
          <w:b/>
          <w:bCs/>
          <w:sz w:val="20"/>
          <w:szCs w:val="20"/>
          <w:lang w:val="en-GB"/>
        </w:rPr>
        <w:t>:</w:t>
      </w:r>
      <w:r>
        <w:rPr>
          <w:rFonts w:ascii="Cambria" w:hAnsi="Cambria" w:cs="Calibri"/>
          <w:sz w:val="20"/>
          <w:szCs w:val="20"/>
          <w:lang w:val="en-GB"/>
        </w:rPr>
        <w:t xml:space="preserve"> </w:t>
      </w:r>
      <w:r w:rsidRPr="00811F4A">
        <w:rPr>
          <w:rFonts w:ascii="Cambria" w:hAnsi="Cambria" w:cs="Calibri"/>
          <w:sz w:val="20"/>
          <w:szCs w:val="20"/>
          <w:lang w:val="en-GB"/>
        </w:rPr>
        <w:t>The Portfolio should focus support to mainstream gender through identified government activities to ensure impact and sustainability. For instance</w:t>
      </w:r>
      <w:r>
        <w:rPr>
          <w:rFonts w:ascii="Cambria" w:hAnsi="Cambria" w:cs="Calibri"/>
          <w:sz w:val="20"/>
          <w:szCs w:val="20"/>
          <w:lang w:val="en-GB"/>
        </w:rPr>
        <w:t>,</w:t>
      </w:r>
      <w:r w:rsidRPr="00811F4A">
        <w:rPr>
          <w:rFonts w:ascii="Cambria" w:hAnsi="Cambria" w:cs="Calibri"/>
          <w:sz w:val="20"/>
          <w:szCs w:val="20"/>
          <w:lang w:val="en-GB"/>
        </w:rPr>
        <w:t xml:space="preserve"> </w:t>
      </w:r>
      <w:r>
        <w:rPr>
          <w:rFonts w:ascii="Cambria" w:hAnsi="Cambria" w:cs="Calibri"/>
          <w:sz w:val="20"/>
          <w:szCs w:val="20"/>
          <w:lang w:val="en-GB"/>
        </w:rPr>
        <w:t xml:space="preserve">the former </w:t>
      </w:r>
      <w:r w:rsidRPr="00811F4A">
        <w:rPr>
          <w:rFonts w:ascii="Cambria" w:hAnsi="Cambria" w:cs="Calibri"/>
          <w:sz w:val="20"/>
          <w:szCs w:val="20"/>
          <w:lang w:val="en-GB"/>
        </w:rPr>
        <w:t xml:space="preserve">government led initiative of gender focal point in every ministry to integrate GEWE into works plans and ethics although introduced with good intentions failed due to lack of follow through. The new initiative to appoint an </w:t>
      </w:r>
      <w:r>
        <w:rPr>
          <w:rFonts w:ascii="Cambria" w:hAnsi="Cambria" w:cs="Calibri"/>
          <w:sz w:val="20"/>
          <w:szCs w:val="20"/>
          <w:lang w:val="en-GB"/>
        </w:rPr>
        <w:t>A</w:t>
      </w:r>
      <w:r w:rsidRPr="00811F4A">
        <w:rPr>
          <w:rFonts w:ascii="Cambria" w:hAnsi="Cambria" w:cs="Calibri"/>
          <w:sz w:val="20"/>
          <w:szCs w:val="20"/>
          <w:lang w:val="en-GB"/>
        </w:rPr>
        <w:t xml:space="preserve">dditional </w:t>
      </w:r>
      <w:r>
        <w:rPr>
          <w:rFonts w:ascii="Cambria" w:hAnsi="Cambria" w:cs="Calibri"/>
          <w:sz w:val="20"/>
          <w:szCs w:val="20"/>
          <w:lang w:val="en-GB"/>
        </w:rPr>
        <w:t>S</w:t>
      </w:r>
      <w:r w:rsidRPr="00811F4A">
        <w:rPr>
          <w:rFonts w:ascii="Cambria" w:hAnsi="Cambria" w:cs="Calibri"/>
          <w:sz w:val="20"/>
          <w:szCs w:val="20"/>
          <w:lang w:val="en-GB"/>
        </w:rPr>
        <w:t>ecretary as gender focal point to elevate its status and thus its work and expand the concept to other relevant public institutions should be a strategic entry point for the Portfolio during its second phase.</w:t>
      </w:r>
    </w:p>
    <w:p w14:paraId="2718B779" w14:textId="77777777" w:rsidR="008601F5" w:rsidRPr="003135DD" w:rsidRDefault="008601F5" w:rsidP="008601F5">
      <w:pPr>
        <w:pStyle w:val="ListParagraph"/>
        <w:numPr>
          <w:ilvl w:val="0"/>
          <w:numId w:val="28"/>
        </w:numPr>
        <w:spacing w:line="360" w:lineRule="auto"/>
        <w:jc w:val="both"/>
        <w:rPr>
          <w:rFonts w:ascii="Cambria" w:hAnsi="Cambria" w:cs="Calibri"/>
          <w:bCs/>
          <w:sz w:val="20"/>
          <w:szCs w:val="20"/>
          <w:lang w:val="en-GB"/>
        </w:rPr>
      </w:pPr>
      <w:r w:rsidRPr="009F60E9">
        <w:rPr>
          <w:rFonts w:ascii="Cambria" w:hAnsi="Cambria" w:cs="Calibri"/>
          <w:b/>
          <w:bCs/>
          <w:sz w:val="20"/>
          <w:szCs w:val="20"/>
          <w:lang w:val="en-GB"/>
        </w:rPr>
        <w:t xml:space="preserve">Align Interventions to Identified Key Policy Initiatives of the Government (Ministry of Women and Child Affairs): </w:t>
      </w:r>
      <w:r>
        <w:rPr>
          <w:rFonts w:ascii="Cambria" w:hAnsi="Cambria" w:cs="Calibri"/>
          <w:sz w:val="20"/>
          <w:szCs w:val="20"/>
          <w:lang w:val="en-GB"/>
        </w:rPr>
        <w:t xml:space="preserve"> for instance, </w:t>
      </w:r>
      <w:r w:rsidRPr="009E6CBA">
        <w:rPr>
          <w:rFonts w:ascii="Cambria" w:hAnsi="Cambria" w:cs="Calibri"/>
          <w:sz w:val="20"/>
          <w:szCs w:val="20"/>
          <w:lang w:val="en-GB"/>
        </w:rPr>
        <w:t xml:space="preserve">the current </w:t>
      </w:r>
      <w:r>
        <w:rPr>
          <w:rFonts w:ascii="Cambria" w:hAnsi="Cambria" w:cs="Calibri"/>
          <w:sz w:val="20"/>
          <w:szCs w:val="20"/>
          <w:lang w:val="en-GB"/>
        </w:rPr>
        <w:t>M</w:t>
      </w:r>
      <w:r w:rsidRPr="009E6CBA">
        <w:rPr>
          <w:rFonts w:ascii="Cambria" w:hAnsi="Cambria" w:cs="Calibri"/>
          <w:sz w:val="20"/>
          <w:szCs w:val="20"/>
          <w:lang w:val="en-GB"/>
        </w:rPr>
        <w:t>inistry has the mandate to eliminate SGBV, increase political participation of women and increase women’s participation in the labour force, which are serious impediments for GEWE. IPs believe that</w:t>
      </w:r>
      <w:r>
        <w:rPr>
          <w:rFonts w:ascii="Cambria" w:hAnsi="Cambria" w:cs="Calibri"/>
          <w:sz w:val="20"/>
          <w:szCs w:val="20"/>
          <w:lang w:val="en-GB"/>
        </w:rPr>
        <w:t>,</w:t>
      </w:r>
      <w:r w:rsidRPr="009E6CBA">
        <w:rPr>
          <w:rFonts w:ascii="Cambria" w:hAnsi="Cambria" w:cs="Calibri"/>
          <w:sz w:val="20"/>
          <w:szCs w:val="20"/>
          <w:lang w:val="en-GB"/>
        </w:rPr>
        <w:t xml:space="preserve"> current</w:t>
      </w:r>
      <w:r>
        <w:rPr>
          <w:rFonts w:ascii="Cambria" w:hAnsi="Cambria" w:cs="Calibri"/>
          <w:sz w:val="20"/>
          <w:szCs w:val="20"/>
          <w:lang w:val="en-GB"/>
        </w:rPr>
        <w:t xml:space="preserve">ly the </w:t>
      </w:r>
      <w:r w:rsidRPr="009E6CBA">
        <w:rPr>
          <w:rFonts w:ascii="Cambria" w:hAnsi="Cambria" w:cs="Calibri"/>
          <w:sz w:val="20"/>
          <w:szCs w:val="20"/>
          <w:lang w:val="en-GB"/>
        </w:rPr>
        <w:t>Portfolio</w:t>
      </w:r>
      <w:r>
        <w:rPr>
          <w:rFonts w:ascii="Cambria" w:hAnsi="Cambria" w:cs="Calibri"/>
          <w:sz w:val="20"/>
          <w:szCs w:val="20"/>
          <w:lang w:val="en-GB"/>
        </w:rPr>
        <w:t xml:space="preserve"> focus </w:t>
      </w:r>
      <w:r w:rsidRPr="009E6CBA">
        <w:rPr>
          <w:rFonts w:ascii="Cambria" w:hAnsi="Cambria" w:cs="Calibri"/>
          <w:sz w:val="20"/>
          <w:szCs w:val="20"/>
          <w:lang w:val="en-GB"/>
        </w:rPr>
        <w:t>has been on improving protection and coping mechanisms</w:t>
      </w:r>
      <w:r>
        <w:rPr>
          <w:rFonts w:ascii="Cambria" w:hAnsi="Cambria" w:cs="Calibri"/>
          <w:sz w:val="20"/>
          <w:szCs w:val="20"/>
          <w:lang w:val="en-GB"/>
        </w:rPr>
        <w:t xml:space="preserve">. During the second phase, the Portfolio </w:t>
      </w:r>
      <w:r w:rsidRPr="009E6CBA">
        <w:rPr>
          <w:rFonts w:ascii="Cambria" w:hAnsi="Cambria" w:cs="Calibri"/>
          <w:sz w:val="20"/>
          <w:szCs w:val="20"/>
          <w:lang w:val="en-GB"/>
        </w:rPr>
        <w:t xml:space="preserve">should align itself to educations pathways and opportunities </w:t>
      </w:r>
      <w:r>
        <w:rPr>
          <w:rFonts w:ascii="Cambria" w:hAnsi="Cambria" w:cs="Calibri"/>
          <w:sz w:val="20"/>
          <w:szCs w:val="20"/>
          <w:lang w:val="en-GB"/>
        </w:rPr>
        <w:t xml:space="preserve">provided by being an entity within the Ministry of Education, </w:t>
      </w:r>
      <w:r w:rsidRPr="009E6CBA">
        <w:rPr>
          <w:rFonts w:ascii="Cambria" w:hAnsi="Cambria" w:cs="Calibri"/>
          <w:sz w:val="20"/>
          <w:szCs w:val="20"/>
          <w:lang w:val="en-GB"/>
        </w:rPr>
        <w:t>to provide human rights education, GEWE education and reduce school drops out that contribute to many political, economic, social and cultural impediments for women</w:t>
      </w:r>
      <w:r>
        <w:rPr>
          <w:rFonts w:ascii="Cambria" w:hAnsi="Cambria" w:cs="Calibri"/>
          <w:sz w:val="20"/>
          <w:szCs w:val="20"/>
          <w:lang w:val="en-GB"/>
        </w:rPr>
        <w:t xml:space="preserve">. </w:t>
      </w:r>
    </w:p>
    <w:p w14:paraId="7A437512" w14:textId="77777777" w:rsidR="008601F5" w:rsidRPr="00555DC7" w:rsidRDefault="008601F5" w:rsidP="008601F5">
      <w:pPr>
        <w:pStyle w:val="ListParagraph"/>
        <w:spacing w:line="360" w:lineRule="auto"/>
        <w:ind w:left="360"/>
        <w:jc w:val="both"/>
        <w:rPr>
          <w:rFonts w:ascii="Cambria" w:hAnsi="Cambria" w:cs="Calibri"/>
          <w:bCs/>
          <w:sz w:val="20"/>
          <w:szCs w:val="20"/>
          <w:lang w:val="en-GB"/>
        </w:rPr>
      </w:pPr>
    </w:p>
    <w:p w14:paraId="08EF24C2" w14:textId="77777777" w:rsidR="008601F5" w:rsidRPr="00716E9C" w:rsidRDefault="008601F5" w:rsidP="008601F5">
      <w:pPr>
        <w:pStyle w:val="ListParagraph"/>
        <w:numPr>
          <w:ilvl w:val="0"/>
          <w:numId w:val="28"/>
        </w:numPr>
        <w:spacing w:line="360" w:lineRule="auto"/>
        <w:jc w:val="both"/>
        <w:rPr>
          <w:rFonts w:ascii="Cambria" w:hAnsi="Cambria" w:cs="Calibri"/>
          <w:bCs/>
          <w:sz w:val="20"/>
          <w:szCs w:val="20"/>
          <w:lang w:val="en-GB"/>
        </w:rPr>
      </w:pPr>
      <w:r>
        <w:rPr>
          <w:rFonts w:ascii="Cambria" w:hAnsi="Cambria" w:cs="Calibri"/>
          <w:b/>
          <w:bCs/>
          <w:sz w:val="20"/>
          <w:szCs w:val="20"/>
          <w:lang w:val="en-GB"/>
        </w:rPr>
        <w:t>Continue Support to Expand the Referral Pathway:</w:t>
      </w:r>
      <w:r>
        <w:rPr>
          <w:rFonts w:ascii="Cambria" w:hAnsi="Cambria" w:cs="Calibri"/>
          <w:bCs/>
          <w:sz w:val="20"/>
          <w:szCs w:val="20"/>
          <w:lang w:val="en-GB"/>
        </w:rPr>
        <w:t xml:space="preserve"> Recognising the prevalence and importance of informal committees at the community level, it is crucial to continue support in a targeted way to promote the interface between formal and informal justice mechanisms. Interventions should focus on capacity building and training of informal justice systems. These training programmes should be based on human rights standards and include skills development (eg. leadership, conflict resolution, mediation, due process in decision making and resource management). Initiatives, should also encourage men and boys as drivers of social change, encourage community leaders using traditional art and theatre to build community awareness and buy in to build in systems and processes to ensure participation, accountability and inclusivity. These interventions maybe strategised together with Rule of Law and Access to Justice approaches to enhance legal aid and mediation, at the community level, in the second phase of the Portfolio.</w:t>
      </w:r>
    </w:p>
    <w:p w14:paraId="5961EBA2" w14:textId="77777777" w:rsidR="008601F5" w:rsidRPr="00716E9C" w:rsidRDefault="008601F5" w:rsidP="008601F5">
      <w:pPr>
        <w:pStyle w:val="ListParagraph"/>
        <w:spacing w:line="360" w:lineRule="auto"/>
        <w:ind w:left="360"/>
        <w:jc w:val="both"/>
        <w:rPr>
          <w:rFonts w:ascii="Cambria" w:hAnsi="Cambria" w:cs="Calibri"/>
          <w:bCs/>
          <w:sz w:val="20"/>
          <w:szCs w:val="20"/>
          <w:lang w:val="en-GB"/>
        </w:rPr>
      </w:pPr>
    </w:p>
    <w:p w14:paraId="7971F019" w14:textId="77777777" w:rsidR="00333E3F" w:rsidRPr="001B77B2" w:rsidRDefault="00333E3F" w:rsidP="00333E3F">
      <w:pPr>
        <w:pStyle w:val="ListParagraph"/>
        <w:spacing w:line="360" w:lineRule="auto"/>
        <w:ind w:left="360"/>
        <w:jc w:val="both"/>
        <w:rPr>
          <w:rFonts w:ascii="Cambria" w:hAnsi="Cambria" w:cs="Calibri"/>
          <w:bCs/>
          <w:sz w:val="20"/>
          <w:szCs w:val="20"/>
          <w:lang w:val="en-GB"/>
        </w:rPr>
      </w:pPr>
    </w:p>
    <w:p w14:paraId="23E41F9D" w14:textId="019D8D66" w:rsidR="00F44EA4" w:rsidRPr="00A07543" w:rsidRDefault="00F44EA4" w:rsidP="00333E3F">
      <w:pPr>
        <w:pStyle w:val="ListParagraph"/>
        <w:spacing w:line="360" w:lineRule="auto"/>
        <w:ind w:left="360"/>
        <w:jc w:val="both"/>
        <w:rPr>
          <w:rFonts w:ascii="Cambria" w:hAnsi="Cambria" w:cs="Arial"/>
          <w:b/>
          <w:bCs/>
          <w:sz w:val="20"/>
          <w:szCs w:val="20"/>
        </w:rPr>
      </w:pPr>
    </w:p>
    <w:p w14:paraId="04982F3D" w14:textId="1090FB71" w:rsidR="006B4BFE" w:rsidRDefault="006B4BFE" w:rsidP="00081358">
      <w:pPr>
        <w:pStyle w:val="ListParagraph"/>
        <w:numPr>
          <w:ilvl w:val="1"/>
          <w:numId w:val="77"/>
        </w:numPr>
        <w:spacing w:line="360" w:lineRule="auto"/>
        <w:rPr>
          <w:rFonts w:ascii="Cambria" w:hAnsi="Cambria"/>
          <w:b/>
          <w:bCs/>
          <w:sz w:val="28"/>
          <w:szCs w:val="28"/>
        </w:rPr>
      </w:pPr>
      <w:r w:rsidRPr="0055598A">
        <w:rPr>
          <w:rFonts w:ascii="Cambria" w:hAnsi="Cambria"/>
          <w:b/>
          <w:bCs/>
          <w:sz w:val="28"/>
          <w:szCs w:val="28"/>
        </w:rPr>
        <w:t xml:space="preserve"> General Conclus</w:t>
      </w:r>
      <w:r w:rsidR="00C3701E">
        <w:rPr>
          <w:rFonts w:ascii="Cambria" w:hAnsi="Cambria"/>
          <w:b/>
          <w:bCs/>
          <w:sz w:val="28"/>
          <w:szCs w:val="28"/>
        </w:rPr>
        <w:t xml:space="preserve">ions and </w:t>
      </w:r>
      <w:r w:rsidR="002966B3">
        <w:rPr>
          <w:rFonts w:ascii="Cambria" w:hAnsi="Cambria"/>
          <w:b/>
          <w:bCs/>
          <w:sz w:val="28"/>
          <w:szCs w:val="28"/>
        </w:rPr>
        <w:t xml:space="preserve">Recommendations </w:t>
      </w:r>
    </w:p>
    <w:p w14:paraId="2824216E" w14:textId="1C845414" w:rsidR="002966B3" w:rsidRDefault="002966B3" w:rsidP="002966B3">
      <w:pPr>
        <w:spacing w:line="360" w:lineRule="auto"/>
        <w:rPr>
          <w:rFonts w:ascii="Cambria" w:hAnsi="Cambria"/>
          <w:b/>
          <w:bCs/>
          <w:sz w:val="24"/>
          <w:szCs w:val="24"/>
        </w:rPr>
      </w:pPr>
      <w:r w:rsidRPr="002966B3">
        <w:rPr>
          <w:rFonts w:ascii="Cambria" w:hAnsi="Cambria"/>
          <w:b/>
          <w:bCs/>
          <w:sz w:val="24"/>
          <w:szCs w:val="24"/>
        </w:rPr>
        <w:t xml:space="preserve">General Conclusions </w:t>
      </w:r>
    </w:p>
    <w:p w14:paraId="35D90E6D" w14:textId="06194B8B" w:rsidR="001D22FC" w:rsidRPr="001D22FC" w:rsidRDefault="00EC0E23" w:rsidP="00170F7C">
      <w:pPr>
        <w:pStyle w:val="ListParagraph"/>
        <w:numPr>
          <w:ilvl w:val="0"/>
          <w:numId w:val="23"/>
        </w:numPr>
        <w:spacing w:line="360" w:lineRule="auto"/>
        <w:jc w:val="both"/>
        <w:rPr>
          <w:rFonts w:ascii="Cambria" w:hAnsi="Cambria" w:cs="Calibri"/>
          <w:bCs/>
          <w:sz w:val="20"/>
          <w:szCs w:val="20"/>
          <w:lang w:val="en-GB"/>
        </w:rPr>
      </w:pPr>
      <w:r>
        <w:rPr>
          <w:rFonts w:ascii="Cambria" w:hAnsi="Cambria" w:cs="Calibri"/>
          <w:b/>
          <w:sz w:val="20"/>
          <w:szCs w:val="20"/>
          <w:lang w:val="en-GB"/>
        </w:rPr>
        <w:t xml:space="preserve">Partnership engagement strategy </w:t>
      </w:r>
      <w:r w:rsidR="001D22FC">
        <w:rPr>
          <w:rFonts w:ascii="Cambria" w:hAnsi="Cambria" w:cs="Calibri"/>
          <w:b/>
          <w:sz w:val="20"/>
          <w:szCs w:val="20"/>
          <w:lang w:val="en-GB"/>
        </w:rPr>
        <w:t>focused primarily on duty bearers</w:t>
      </w:r>
      <w:r w:rsidR="001D22FC" w:rsidRPr="001D22FC">
        <w:rPr>
          <w:rFonts w:ascii="Cambria" w:hAnsi="Cambria" w:cs="Calibri"/>
          <w:b/>
          <w:sz w:val="20"/>
          <w:szCs w:val="20"/>
          <w:lang w:val="en-GB"/>
        </w:rPr>
        <w:t xml:space="preserve">: </w:t>
      </w:r>
      <w:r w:rsidR="001D22FC" w:rsidRPr="001D22FC">
        <w:rPr>
          <w:rFonts w:ascii="Cambria" w:hAnsi="Cambria" w:cs="Calibri"/>
          <w:bCs/>
          <w:sz w:val="20"/>
          <w:szCs w:val="20"/>
          <w:lang w:val="en-GB"/>
        </w:rPr>
        <w:t xml:space="preserve">The MTE concluded that not enough attention was given to build the capacity of non-government organisations during the first phase of the project, especially under Pillar One. KPIs expressed the view that UNDP may risk the reputation of being ‘state centric’, unless support to build the community base in concert with efforts to build institutional base is realised. KPIs highlighted the need to maintain legitimacy with CSOs, as no amount of operational space afforded by the government can compensate for the loss of confidence among CSOs. </w:t>
      </w:r>
    </w:p>
    <w:p w14:paraId="630B34F3" w14:textId="7FF75760" w:rsidR="001D22FC" w:rsidRPr="004E00F7" w:rsidRDefault="001D22FC" w:rsidP="00081358">
      <w:pPr>
        <w:pStyle w:val="ListParagraph"/>
        <w:numPr>
          <w:ilvl w:val="0"/>
          <w:numId w:val="93"/>
        </w:numPr>
        <w:spacing w:line="360" w:lineRule="auto"/>
        <w:jc w:val="both"/>
        <w:rPr>
          <w:rFonts w:ascii="Cambria" w:hAnsi="Cambria" w:cs="Calibri"/>
          <w:b/>
          <w:sz w:val="20"/>
          <w:szCs w:val="20"/>
          <w:lang w:val="en-GB"/>
        </w:rPr>
      </w:pPr>
      <w:r w:rsidRPr="004E00F7">
        <w:rPr>
          <w:rFonts w:ascii="Cambria" w:hAnsi="Cambria" w:cs="Calibri"/>
          <w:bCs/>
          <w:sz w:val="20"/>
          <w:szCs w:val="20"/>
          <w:lang w:val="en-GB"/>
        </w:rPr>
        <w:t>Feedback received from various KPIs disclose</w:t>
      </w:r>
      <w:r>
        <w:rPr>
          <w:rFonts w:ascii="Cambria" w:hAnsi="Cambria" w:cs="Calibri"/>
          <w:bCs/>
          <w:sz w:val="20"/>
          <w:szCs w:val="20"/>
          <w:lang w:val="en-GB"/>
        </w:rPr>
        <w:t>,</w:t>
      </w:r>
      <w:r w:rsidRPr="004E00F7">
        <w:rPr>
          <w:rFonts w:ascii="Cambria" w:hAnsi="Cambria" w:cs="Calibri"/>
          <w:bCs/>
          <w:sz w:val="20"/>
          <w:szCs w:val="20"/>
          <w:lang w:val="en-GB"/>
        </w:rPr>
        <w:t xml:space="preserve"> the uncertainty towards the operation of non-government organisations such as CSOs and Media within the current political context. On the one hand</w:t>
      </w:r>
      <w:r>
        <w:rPr>
          <w:rFonts w:ascii="Cambria" w:hAnsi="Cambria" w:cs="Calibri"/>
          <w:bCs/>
          <w:sz w:val="20"/>
          <w:szCs w:val="20"/>
          <w:lang w:val="en-GB"/>
        </w:rPr>
        <w:t>,</w:t>
      </w:r>
      <w:r w:rsidRPr="004E00F7">
        <w:rPr>
          <w:rFonts w:ascii="Cambria" w:hAnsi="Cambria" w:cs="Calibri"/>
          <w:bCs/>
          <w:sz w:val="20"/>
          <w:szCs w:val="20"/>
          <w:lang w:val="en-GB"/>
        </w:rPr>
        <w:t xml:space="preserve"> CSOs fear greater regulation, surveillance or system of prior approval of activities, especially activities that are not popular with the current political regime</w:t>
      </w:r>
      <w:r>
        <w:rPr>
          <w:rFonts w:ascii="Cambria" w:hAnsi="Cambria" w:cs="Calibri"/>
          <w:bCs/>
          <w:sz w:val="20"/>
          <w:szCs w:val="20"/>
          <w:lang w:val="en-GB"/>
        </w:rPr>
        <w:t>,</w:t>
      </w:r>
      <w:r w:rsidRPr="004E00F7">
        <w:rPr>
          <w:rFonts w:ascii="Cambria" w:hAnsi="Cambria" w:cs="Calibri"/>
          <w:bCs/>
          <w:sz w:val="20"/>
          <w:szCs w:val="20"/>
          <w:lang w:val="en-GB"/>
        </w:rPr>
        <w:t xml:space="preserve"> such as TJ mechanisms relating to prosecution, accountability or issues touching on counter terrorism measures and national security.</w:t>
      </w:r>
      <w:r>
        <w:rPr>
          <w:rStyle w:val="FootnoteReference"/>
          <w:rFonts w:ascii="Cambria" w:hAnsi="Cambria" w:cs="Calibri"/>
          <w:bCs/>
          <w:sz w:val="20"/>
          <w:szCs w:val="20"/>
          <w:lang w:val="en-GB"/>
        </w:rPr>
        <w:footnoteReference w:id="77"/>
      </w:r>
      <w:r w:rsidRPr="004E00F7">
        <w:rPr>
          <w:rFonts w:ascii="Cambria" w:hAnsi="Cambria" w:cs="Calibri"/>
          <w:bCs/>
          <w:sz w:val="20"/>
          <w:szCs w:val="20"/>
          <w:lang w:val="en-GB"/>
        </w:rPr>
        <w:t xml:space="preserve"> On the other hand, CSOs believe that space to lobby for non-contentious issues such as governance and justice sector reforms still exist.</w:t>
      </w:r>
    </w:p>
    <w:p w14:paraId="030A72FB" w14:textId="5054CC34" w:rsidR="001D22FC" w:rsidRPr="00EC0E23" w:rsidRDefault="001D22FC" w:rsidP="00081358">
      <w:pPr>
        <w:pStyle w:val="ListParagraph"/>
        <w:numPr>
          <w:ilvl w:val="0"/>
          <w:numId w:val="93"/>
        </w:numPr>
        <w:spacing w:line="360" w:lineRule="auto"/>
        <w:jc w:val="both"/>
        <w:rPr>
          <w:rFonts w:ascii="Cambria" w:hAnsi="Cambria" w:cs="Calibri"/>
          <w:b/>
          <w:sz w:val="20"/>
          <w:szCs w:val="20"/>
          <w:lang w:val="en-GB"/>
        </w:rPr>
      </w:pPr>
      <w:r w:rsidRPr="001D22FC">
        <w:rPr>
          <w:rFonts w:ascii="Cambria" w:hAnsi="Cambria" w:cs="Calibri"/>
          <w:bCs/>
          <w:sz w:val="20"/>
          <w:szCs w:val="20"/>
          <w:lang w:val="en-GB"/>
        </w:rPr>
        <w:t xml:space="preserve">It must be noted that, taking account of discussions, past experience and secondary data, although CSOs in general have been influential in the direct lobbying of government for reforms, they have been less successful in generating public support for reforms due to their lack of investing in building awareness and consciousness at the ground level.  Either way the general opinion of KPIs was the need of the day to strengthen the CSO base in the country and to engage with CSOs more vigourously and ambitiously. </w:t>
      </w:r>
    </w:p>
    <w:p w14:paraId="7A126E69" w14:textId="77777777" w:rsidR="00EC0E23" w:rsidRDefault="00EC0E23" w:rsidP="00EC0E23">
      <w:pPr>
        <w:spacing w:line="360" w:lineRule="auto"/>
        <w:jc w:val="both"/>
        <w:rPr>
          <w:rFonts w:ascii="Cambria" w:hAnsi="Cambria" w:cs="Calibri"/>
          <w:b/>
          <w:sz w:val="20"/>
          <w:szCs w:val="20"/>
          <w:lang w:val="en-GB"/>
        </w:rPr>
      </w:pPr>
    </w:p>
    <w:p w14:paraId="683AD6DD" w14:textId="2B562A7A" w:rsidR="00EC0E23" w:rsidRDefault="001A7EC2" w:rsidP="00EC0E23">
      <w:pPr>
        <w:pStyle w:val="ListParagraph"/>
        <w:numPr>
          <w:ilvl w:val="0"/>
          <w:numId w:val="23"/>
        </w:numPr>
        <w:spacing w:line="360" w:lineRule="auto"/>
        <w:jc w:val="both"/>
        <w:rPr>
          <w:rFonts w:ascii="Cambria" w:hAnsi="Cambria" w:cs="Calibri"/>
          <w:bCs/>
          <w:sz w:val="20"/>
          <w:szCs w:val="20"/>
          <w:lang w:val="en-GB"/>
        </w:rPr>
      </w:pPr>
      <w:r>
        <w:rPr>
          <w:rFonts w:ascii="Cambria" w:hAnsi="Cambria" w:cs="Calibri"/>
          <w:b/>
          <w:sz w:val="20"/>
          <w:szCs w:val="20"/>
          <w:lang w:val="en-GB"/>
        </w:rPr>
        <w:t xml:space="preserve">The </w:t>
      </w:r>
      <w:r w:rsidR="00EC0E23" w:rsidRPr="00EC0E23">
        <w:rPr>
          <w:rFonts w:ascii="Cambria" w:hAnsi="Cambria" w:cs="Calibri"/>
          <w:b/>
          <w:sz w:val="20"/>
          <w:szCs w:val="20"/>
          <w:lang w:val="en-GB"/>
        </w:rPr>
        <w:t xml:space="preserve">UNDP </w:t>
      </w:r>
      <w:r>
        <w:rPr>
          <w:rFonts w:ascii="Cambria" w:hAnsi="Cambria" w:cs="Calibri"/>
          <w:b/>
          <w:sz w:val="20"/>
          <w:szCs w:val="20"/>
          <w:lang w:val="en-GB"/>
        </w:rPr>
        <w:t xml:space="preserve">has a </w:t>
      </w:r>
      <w:r w:rsidR="00EC0E23" w:rsidRPr="00EC0E23">
        <w:rPr>
          <w:rFonts w:ascii="Cambria" w:hAnsi="Cambria" w:cs="Calibri"/>
          <w:b/>
          <w:sz w:val="20"/>
          <w:szCs w:val="20"/>
          <w:lang w:val="en-GB"/>
        </w:rPr>
        <w:t>Comparative Advantage</w:t>
      </w:r>
      <w:r>
        <w:rPr>
          <w:rFonts w:ascii="Cambria" w:hAnsi="Cambria" w:cs="Calibri"/>
          <w:b/>
          <w:sz w:val="20"/>
          <w:szCs w:val="20"/>
          <w:lang w:val="en-GB"/>
        </w:rPr>
        <w:t xml:space="preserve"> especially within the Governance and Justice Sector</w:t>
      </w:r>
      <w:r w:rsidR="00EC0E23" w:rsidRPr="00EC0E23">
        <w:rPr>
          <w:rFonts w:ascii="Cambria" w:hAnsi="Cambria" w:cs="Calibri"/>
          <w:bCs/>
          <w:sz w:val="20"/>
          <w:szCs w:val="20"/>
          <w:lang w:val="en-GB"/>
        </w:rPr>
        <w:t xml:space="preserve">: It can be concluded that the comparative advantage of UNDP in governance specifically within the justice sector can be attributed to many factors. Firstly, UNDP has been a long-term contributor to governance and justice sector reforms in Sri Lanka contributing to strengthening institutions and systems, service delivery, coordination and facilitation between various stakeholders. Due to its engagement, responsiveness and investment in improving the governance sector, UNDP has established a reputation of being a knowledge broker, convener and connector. Senior officers of IPs acknowledged the positive contribution made by UNDP through the Portfolio and recognised its ability to facilitate on behalf of stakeholders, which is manifested by many examples such as facilitating the development partner forum for parliamentary reforms and leading the support to MWCA to operationalise the SGBV Plan. Many DPs interviewed also </w:t>
      </w:r>
      <w:r w:rsidR="00EC0E23" w:rsidRPr="00EC0E23">
        <w:rPr>
          <w:rFonts w:ascii="Cambria" w:hAnsi="Cambria" w:cs="Calibri"/>
          <w:bCs/>
          <w:sz w:val="20"/>
          <w:szCs w:val="20"/>
          <w:lang w:val="en-GB"/>
        </w:rPr>
        <w:lastRenderedPageBreak/>
        <w:t xml:space="preserve">recognised the proclivity of UNDP to convene and coordinate such high-level meetings/forums. The significant level of credibility exercised by national partners is also visible from the Secretary of the Ministry of Justice inviting UNDP to coordinate the donor forum for justice sector reform this year. </w:t>
      </w:r>
    </w:p>
    <w:p w14:paraId="0B992748" w14:textId="06236E54" w:rsidR="00E93D22" w:rsidRDefault="00E93D22" w:rsidP="00E93D22">
      <w:pPr>
        <w:pStyle w:val="ListParagraph"/>
        <w:numPr>
          <w:ilvl w:val="0"/>
          <w:numId w:val="23"/>
        </w:numPr>
        <w:spacing w:line="360" w:lineRule="auto"/>
        <w:jc w:val="both"/>
        <w:rPr>
          <w:rFonts w:ascii="Cambria" w:hAnsi="Cambria" w:cs="Calibri"/>
          <w:bCs/>
          <w:sz w:val="20"/>
          <w:szCs w:val="20"/>
          <w:lang w:val="en-GB"/>
        </w:rPr>
      </w:pPr>
      <w:r>
        <w:rPr>
          <w:rFonts w:ascii="Cambria" w:hAnsi="Cambria" w:cs="Calibri"/>
          <w:b/>
          <w:sz w:val="20"/>
          <w:szCs w:val="20"/>
          <w:lang w:val="en-GB"/>
        </w:rPr>
        <w:t xml:space="preserve">There is collaboration and coordination between UNDP and other UN Agencies: </w:t>
      </w:r>
      <w:r w:rsidRPr="00A93277">
        <w:rPr>
          <w:rFonts w:ascii="Cambria" w:hAnsi="Cambria" w:cs="Calibri"/>
          <w:bCs/>
          <w:sz w:val="20"/>
          <w:szCs w:val="20"/>
          <w:lang w:val="en-GB"/>
        </w:rPr>
        <w:t xml:space="preserve">Although UNDP works in collaboration with other UN agencies such as UNICEF, UNFPA and UN Women across the three pillars to implement many activities, the level of coordination between agencies is </w:t>
      </w:r>
      <w:r>
        <w:rPr>
          <w:rFonts w:ascii="Cambria" w:hAnsi="Cambria" w:cs="Calibri"/>
          <w:bCs/>
          <w:sz w:val="20"/>
          <w:szCs w:val="20"/>
          <w:lang w:val="en-GB"/>
        </w:rPr>
        <w:t xml:space="preserve">minimal </w:t>
      </w:r>
      <w:r w:rsidRPr="00A93277">
        <w:rPr>
          <w:rFonts w:ascii="Cambria" w:hAnsi="Cambria" w:cs="Calibri"/>
          <w:bCs/>
          <w:sz w:val="20"/>
          <w:szCs w:val="20"/>
          <w:lang w:val="en-GB"/>
        </w:rPr>
        <w:t xml:space="preserve">especially in comparison to the opportunities available for coordination and cooperation, under the ‘One UN’ policy. The best example of collaboration is presented by the donor forum facilitated by UNDP for parliamentary reform, which may be a result of a requirement of the IP rather than an initiative of donors. Further, although transitional justice related activities were enforced by OHCHR there is little evidence to show active </w:t>
      </w:r>
      <w:r>
        <w:rPr>
          <w:rFonts w:ascii="Cambria" w:hAnsi="Cambria" w:cs="Calibri"/>
          <w:bCs/>
          <w:sz w:val="20"/>
          <w:szCs w:val="20"/>
          <w:lang w:val="en-GB"/>
        </w:rPr>
        <w:t xml:space="preserve">interaction </w:t>
      </w:r>
      <w:r w:rsidRPr="00A93277">
        <w:rPr>
          <w:rFonts w:ascii="Cambria" w:hAnsi="Cambria" w:cs="Calibri"/>
          <w:bCs/>
          <w:sz w:val="20"/>
          <w:szCs w:val="20"/>
          <w:lang w:val="en-GB"/>
        </w:rPr>
        <w:t xml:space="preserve">between the two agencies. </w:t>
      </w:r>
    </w:p>
    <w:p w14:paraId="0CC7606B" w14:textId="7AAD944B" w:rsidR="00382699" w:rsidRPr="00382699" w:rsidRDefault="00382699" w:rsidP="008C4334">
      <w:pPr>
        <w:pStyle w:val="ListParagraph"/>
        <w:numPr>
          <w:ilvl w:val="0"/>
          <w:numId w:val="23"/>
        </w:numPr>
        <w:spacing w:line="360" w:lineRule="auto"/>
        <w:jc w:val="both"/>
        <w:rPr>
          <w:rFonts w:ascii="Cambria" w:hAnsi="Cambria" w:cstheme="minorHAnsi"/>
          <w:sz w:val="20"/>
          <w:szCs w:val="20"/>
        </w:rPr>
      </w:pPr>
      <w:r w:rsidRPr="00382699">
        <w:rPr>
          <w:rFonts w:ascii="Cambria" w:hAnsi="Cambria"/>
          <w:b/>
          <w:bCs/>
          <w:sz w:val="20"/>
          <w:szCs w:val="20"/>
        </w:rPr>
        <w:t>Interventions were not Integrated Across the Three Pillars:</w:t>
      </w:r>
      <w:r w:rsidRPr="00382699">
        <w:rPr>
          <w:rFonts w:ascii="Cambria" w:hAnsi="Cambria"/>
          <w:sz w:val="20"/>
          <w:szCs w:val="20"/>
        </w:rPr>
        <w:t xml:space="preserve"> </w:t>
      </w:r>
      <w:r w:rsidRPr="00382699">
        <w:rPr>
          <w:rFonts w:ascii="Cambria" w:eastAsia="Times New Roman" w:hAnsi="Cambria" w:cs="Arial"/>
          <w:color w:val="222222"/>
          <w:sz w:val="20"/>
          <w:szCs w:val="20"/>
        </w:rPr>
        <w:t>In general, Technical Specialists and KPIs recognised the ideological as well as its pragmatic value of a Portfolio model. However, there were concerns with regard to several aspects. The Outcome/Outputs were designed to apply and appeal to one another in order to produce the overall goal of the Portfolio. However, considering the realities of planning and implementation, the individual Outcomes/Outputs, functioned as separate ‘projects’ and for the most part worked as ‘silos’, disjoined and disconnected. The projects not only fell short of drawing linkages across the pillars but overall struggled to draw linkages within the individual outcome as well. This may be owing to the diversity of activities, multiple implementing partners, the volume of activities undertaken during the short span of time and the macro factors such as political instability, national security issues and the pandemic that, continue to present challenge after challenge from the inception of the Portfolio.</w:t>
      </w:r>
    </w:p>
    <w:p w14:paraId="1894F5C8" w14:textId="77777777" w:rsidR="00CD5B95" w:rsidRDefault="00CD5B95" w:rsidP="00081358">
      <w:pPr>
        <w:pStyle w:val="ListParagraph"/>
        <w:numPr>
          <w:ilvl w:val="0"/>
          <w:numId w:val="95"/>
        </w:numPr>
        <w:spacing w:before="180" w:after="180" w:line="360" w:lineRule="auto"/>
        <w:jc w:val="both"/>
        <w:rPr>
          <w:rFonts w:ascii="Cambria" w:hAnsi="Cambria" w:cs="Calibri"/>
          <w:bCs/>
          <w:sz w:val="20"/>
          <w:szCs w:val="20"/>
          <w:lang w:val="en-GB"/>
        </w:rPr>
      </w:pPr>
      <w:r w:rsidRPr="00AF645C">
        <w:rPr>
          <w:rFonts w:ascii="Cambria" w:hAnsi="Cambria" w:cs="Calibri"/>
          <w:bCs/>
          <w:sz w:val="20"/>
          <w:szCs w:val="20"/>
          <w:lang w:val="en-GB"/>
        </w:rPr>
        <w:t>There are several areas where access to justice overlap with Outputs under Pillar three. Particularly, under Outputs 3.4 and 3.5 improving social economic conditions and social cohesion of excluded and vulnerable groups and to increase understanding of rights, civic duties and access enforcement/redressal mechanisms are interdependent on Output 2.2. and may mutually reinforce one another, if these synergies are recognised at an early stage of planning. Although there is effort to integrate GEWE under Pillar three</w:t>
      </w:r>
      <w:r>
        <w:rPr>
          <w:rFonts w:ascii="Cambria" w:hAnsi="Cambria" w:cs="Calibri"/>
          <w:bCs/>
          <w:sz w:val="20"/>
          <w:szCs w:val="20"/>
          <w:lang w:val="en-GB"/>
        </w:rPr>
        <w:t>,</w:t>
      </w:r>
      <w:r w:rsidRPr="00AF645C">
        <w:rPr>
          <w:rFonts w:ascii="Cambria" w:hAnsi="Cambria" w:cs="Calibri"/>
          <w:bCs/>
          <w:sz w:val="20"/>
          <w:szCs w:val="20"/>
          <w:lang w:val="en-GB"/>
        </w:rPr>
        <w:t xml:space="preserve"> through programmes addressing sexual exploitation and bribery among war and military widows, a joint programme with UN Women and through peace building and reconciliation work, </w:t>
      </w:r>
      <w:r>
        <w:rPr>
          <w:rFonts w:ascii="Cambria" w:hAnsi="Cambria" w:cs="Calibri"/>
          <w:bCs/>
          <w:sz w:val="20"/>
          <w:szCs w:val="20"/>
          <w:lang w:val="en-GB"/>
        </w:rPr>
        <w:t xml:space="preserve">evidence based on </w:t>
      </w:r>
      <w:r w:rsidRPr="00AF645C">
        <w:rPr>
          <w:rFonts w:ascii="Cambria" w:hAnsi="Cambria" w:cs="Calibri"/>
          <w:bCs/>
          <w:sz w:val="20"/>
          <w:szCs w:val="20"/>
          <w:lang w:val="en-GB"/>
        </w:rPr>
        <w:t xml:space="preserve">interviews with KPIs and secondary data does not support collaborations between the access to justice work carried under Pillar two and access to justice work carried under pillar three. </w:t>
      </w:r>
    </w:p>
    <w:p w14:paraId="5EFC4557" w14:textId="77777777" w:rsidR="00D86589" w:rsidRDefault="00D86589" w:rsidP="00081358">
      <w:pPr>
        <w:pStyle w:val="ListParagraph"/>
        <w:numPr>
          <w:ilvl w:val="0"/>
          <w:numId w:val="95"/>
        </w:numPr>
        <w:spacing w:before="180" w:after="180" w:line="360" w:lineRule="auto"/>
        <w:jc w:val="both"/>
        <w:rPr>
          <w:rFonts w:ascii="Cambria" w:hAnsi="Cambria" w:cs="Calibri"/>
          <w:bCs/>
          <w:sz w:val="20"/>
          <w:szCs w:val="20"/>
          <w:lang w:val="en-GB"/>
        </w:rPr>
      </w:pPr>
      <w:r w:rsidRPr="00AF645C">
        <w:rPr>
          <w:rFonts w:ascii="Cambria" w:hAnsi="Cambria" w:cs="Calibri"/>
          <w:bCs/>
          <w:sz w:val="20"/>
          <w:szCs w:val="20"/>
          <w:lang w:val="en-GB"/>
        </w:rPr>
        <w:t xml:space="preserve">It is noteworthy that although interventions under Pillar Three was not within the scope of the MTE, a </w:t>
      </w:r>
      <w:r>
        <w:rPr>
          <w:rFonts w:ascii="Cambria" w:hAnsi="Cambria" w:cs="Calibri"/>
          <w:bCs/>
          <w:sz w:val="20"/>
          <w:szCs w:val="20"/>
          <w:lang w:val="en-GB"/>
        </w:rPr>
        <w:t xml:space="preserve">cursory </w:t>
      </w:r>
      <w:r w:rsidRPr="00AF645C">
        <w:rPr>
          <w:rFonts w:ascii="Cambria" w:hAnsi="Cambria" w:cs="Calibri"/>
          <w:bCs/>
          <w:sz w:val="20"/>
          <w:szCs w:val="20"/>
          <w:lang w:val="en-GB"/>
        </w:rPr>
        <w:t xml:space="preserve">assessment of the Outputs of Pillar three indicate a strong engagement with identified CSOs for sustainable and cohesive development of communities. The strategy adopted also emphasise on building </w:t>
      </w:r>
      <w:r w:rsidRPr="00AF645C">
        <w:rPr>
          <w:rFonts w:ascii="Cambria" w:hAnsi="Cambria" w:cs="Calibri"/>
          <w:bCs/>
          <w:sz w:val="20"/>
          <w:szCs w:val="20"/>
          <w:lang w:val="en-GB"/>
        </w:rPr>
        <w:lastRenderedPageBreak/>
        <w:t xml:space="preserve">forums for monitoring and reporting to prevent extreme violence, CSO forums to promote peacebuilding and reconciliation, media engagement for non-violent communications and ethical journalism. </w:t>
      </w:r>
    </w:p>
    <w:p w14:paraId="17D12C8B" w14:textId="77777777" w:rsidR="00D30578" w:rsidRDefault="00D86589" w:rsidP="00081358">
      <w:pPr>
        <w:pStyle w:val="ListParagraph"/>
        <w:numPr>
          <w:ilvl w:val="0"/>
          <w:numId w:val="95"/>
        </w:numPr>
        <w:spacing w:before="180" w:after="180" w:line="360" w:lineRule="auto"/>
        <w:jc w:val="both"/>
        <w:rPr>
          <w:rFonts w:ascii="Cambria" w:hAnsi="Cambria" w:cs="Calibri"/>
          <w:bCs/>
          <w:sz w:val="20"/>
          <w:szCs w:val="20"/>
          <w:lang w:val="en-GB"/>
        </w:rPr>
      </w:pPr>
      <w:r w:rsidRPr="00AF645C">
        <w:rPr>
          <w:rFonts w:ascii="Cambria" w:hAnsi="Cambria" w:cs="Calibri"/>
          <w:bCs/>
          <w:sz w:val="20"/>
          <w:szCs w:val="20"/>
          <w:lang w:val="en-GB"/>
        </w:rPr>
        <w:t>Interestingly Pillar Three also contains several initiatives to promote GEWE</w:t>
      </w:r>
      <w:r>
        <w:rPr>
          <w:rFonts w:ascii="Cambria" w:hAnsi="Cambria" w:cs="Calibri"/>
          <w:bCs/>
          <w:sz w:val="20"/>
          <w:szCs w:val="20"/>
          <w:lang w:val="en-GB"/>
        </w:rPr>
        <w:t xml:space="preserve">, This is done </w:t>
      </w:r>
      <w:r w:rsidRPr="00AF645C">
        <w:rPr>
          <w:rFonts w:ascii="Cambria" w:hAnsi="Cambria" w:cs="Calibri"/>
          <w:bCs/>
          <w:sz w:val="20"/>
          <w:szCs w:val="20"/>
          <w:lang w:val="en-GB"/>
        </w:rPr>
        <w:t xml:space="preserve">by influencing policy, legislative and pragmatic action on sexual bribery and sexual exploitation, support to newly formed Sexual </w:t>
      </w:r>
      <w:r>
        <w:rPr>
          <w:rFonts w:ascii="Cambria" w:hAnsi="Cambria" w:cs="Calibri"/>
          <w:bCs/>
          <w:sz w:val="20"/>
          <w:szCs w:val="20"/>
          <w:lang w:val="en-GB"/>
        </w:rPr>
        <w:t>H</w:t>
      </w:r>
      <w:r w:rsidRPr="00AF645C">
        <w:rPr>
          <w:rFonts w:ascii="Cambria" w:hAnsi="Cambria" w:cs="Calibri"/>
          <w:bCs/>
          <w:sz w:val="20"/>
          <w:szCs w:val="20"/>
          <w:lang w:val="en-GB"/>
        </w:rPr>
        <w:t xml:space="preserve">arassment </w:t>
      </w:r>
      <w:r>
        <w:rPr>
          <w:rFonts w:ascii="Cambria" w:hAnsi="Cambria" w:cs="Calibri"/>
          <w:bCs/>
          <w:sz w:val="20"/>
          <w:szCs w:val="20"/>
          <w:lang w:val="en-GB"/>
        </w:rPr>
        <w:t>C</w:t>
      </w:r>
      <w:r w:rsidRPr="00AF645C">
        <w:rPr>
          <w:rFonts w:ascii="Cambria" w:hAnsi="Cambria" w:cs="Calibri"/>
          <w:bCs/>
          <w:sz w:val="20"/>
          <w:szCs w:val="20"/>
          <w:lang w:val="en-GB"/>
        </w:rPr>
        <w:t xml:space="preserve">ommittees in public institutions and supporting women through livelihood and rural development projects. These areas overlap with Outputs 2.2 and therefore should be merged to increase effectiveness and impact. </w:t>
      </w:r>
    </w:p>
    <w:p w14:paraId="33D25E90" w14:textId="77777777" w:rsidR="00D30578" w:rsidRDefault="00D30578" w:rsidP="00D30578">
      <w:pPr>
        <w:pStyle w:val="ListParagraph"/>
        <w:spacing w:line="360" w:lineRule="auto"/>
        <w:ind w:left="360"/>
        <w:jc w:val="both"/>
        <w:rPr>
          <w:rFonts w:ascii="Cambria" w:hAnsi="Cambria" w:cs="Calibri"/>
          <w:b/>
          <w:sz w:val="20"/>
          <w:szCs w:val="20"/>
          <w:lang w:val="en-GB"/>
        </w:rPr>
      </w:pPr>
    </w:p>
    <w:p w14:paraId="4EA699C7" w14:textId="0C2EE8A8" w:rsidR="00D30578" w:rsidRPr="00D30578" w:rsidRDefault="00D30578" w:rsidP="00081358">
      <w:pPr>
        <w:pStyle w:val="ListParagraph"/>
        <w:numPr>
          <w:ilvl w:val="0"/>
          <w:numId w:val="96"/>
        </w:numPr>
        <w:spacing w:line="360" w:lineRule="auto"/>
        <w:jc w:val="both"/>
        <w:rPr>
          <w:rFonts w:ascii="Cambria" w:hAnsi="Cambria" w:cs="Calibri"/>
          <w:bCs/>
          <w:sz w:val="20"/>
          <w:szCs w:val="20"/>
          <w:lang w:val="en-GB"/>
        </w:rPr>
      </w:pPr>
      <w:r>
        <w:rPr>
          <w:rFonts w:ascii="Cambria" w:hAnsi="Cambria" w:cs="Calibri"/>
          <w:b/>
          <w:sz w:val="20"/>
          <w:szCs w:val="20"/>
          <w:lang w:val="en-GB"/>
        </w:rPr>
        <w:t xml:space="preserve">The Portfolio is </w:t>
      </w:r>
      <w:r w:rsidRPr="00785D40">
        <w:rPr>
          <w:rFonts w:ascii="Cambria" w:hAnsi="Cambria" w:cs="Calibri"/>
          <w:b/>
          <w:sz w:val="20"/>
          <w:szCs w:val="20"/>
          <w:lang w:val="en-GB"/>
        </w:rPr>
        <w:t>Strategic</w:t>
      </w:r>
      <w:r>
        <w:rPr>
          <w:rFonts w:ascii="Cambria" w:hAnsi="Cambria" w:cs="Calibri"/>
          <w:b/>
          <w:sz w:val="20"/>
          <w:szCs w:val="20"/>
          <w:lang w:val="en-GB"/>
        </w:rPr>
        <w:t>ally</w:t>
      </w:r>
      <w:r w:rsidRPr="00785D40">
        <w:rPr>
          <w:rFonts w:ascii="Cambria" w:hAnsi="Cambria" w:cs="Calibri"/>
          <w:b/>
          <w:sz w:val="20"/>
          <w:szCs w:val="20"/>
          <w:lang w:val="en-GB"/>
        </w:rPr>
        <w:t xml:space="preserve"> align</w:t>
      </w:r>
      <w:r>
        <w:rPr>
          <w:rFonts w:ascii="Cambria" w:hAnsi="Cambria" w:cs="Calibri"/>
          <w:b/>
          <w:sz w:val="20"/>
          <w:szCs w:val="20"/>
          <w:lang w:val="en-GB"/>
        </w:rPr>
        <w:t xml:space="preserve">ed </w:t>
      </w:r>
      <w:r w:rsidRPr="00785D40">
        <w:rPr>
          <w:rFonts w:ascii="Cambria" w:hAnsi="Cambria" w:cs="Calibri"/>
          <w:b/>
          <w:sz w:val="20"/>
          <w:szCs w:val="20"/>
          <w:lang w:val="en-GB"/>
        </w:rPr>
        <w:t>to SDGs</w:t>
      </w:r>
      <w:r>
        <w:rPr>
          <w:rFonts w:ascii="Cambria" w:hAnsi="Cambria" w:cs="Calibri"/>
          <w:b/>
          <w:sz w:val="20"/>
          <w:szCs w:val="20"/>
          <w:lang w:val="en-GB"/>
        </w:rPr>
        <w:t xml:space="preserve"> and Cross Cutting Issues</w:t>
      </w:r>
      <w:r w:rsidRPr="00785D40">
        <w:rPr>
          <w:rFonts w:ascii="Cambria" w:hAnsi="Cambria" w:cs="Calibri"/>
          <w:b/>
          <w:sz w:val="20"/>
          <w:szCs w:val="20"/>
          <w:lang w:val="en-GB"/>
        </w:rPr>
        <w:t xml:space="preserve">: </w:t>
      </w:r>
      <w:r w:rsidRPr="00785D40">
        <w:rPr>
          <w:rFonts w:ascii="Cambria" w:hAnsi="Cambria" w:cs="Calibri"/>
          <w:bCs/>
          <w:sz w:val="20"/>
          <w:szCs w:val="20"/>
          <w:lang w:val="en-GB"/>
        </w:rPr>
        <w:t xml:space="preserve"> </w:t>
      </w:r>
      <w:r w:rsidRPr="00785D40">
        <w:rPr>
          <w:rFonts w:ascii="Cambria" w:hAnsi="Cambria" w:cs="Arial"/>
          <w:color w:val="000000" w:themeColor="text1"/>
          <w:sz w:val="20"/>
          <w:szCs w:val="20"/>
        </w:rPr>
        <w:t xml:space="preserve">SDG 16, which is identified as both an outcome and an enabler to realise Goals 1-15 is an acknowledgement by the international community that, </w:t>
      </w:r>
      <w:r w:rsidRPr="00785D40">
        <w:rPr>
          <w:rFonts w:ascii="Cambria" w:hAnsi="Cambria" w:cs="Arial"/>
          <w:color w:val="000000" w:themeColor="text1"/>
          <w:sz w:val="20"/>
          <w:szCs w:val="20"/>
          <w:shd w:val="clear" w:color="auto" w:fill="FFFFFF"/>
        </w:rPr>
        <w:t>conflict, insecurity, weak institutions and limited access to justice remain a great threat to sustainable development. </w:t>
      </w:r>
      <w:r w:rsidRPr="00785D40">
        <w:rPr>
          <w:rFonts w:ascii="Cambria" w:hAnsi="Cambria" w:cs="Arial"/>
          <w:sz w:val="20"/>
          <w:szCs w:val="20"/>
        </w:rPr>
        <w:t>The UNDP Flagship Portfolio was designed in 2018 to address governance deficits and strengthen the effectiveness of key institutions to deliver people-centred services. It was also expected to build space, capacity and trust for excluded and vulnerable groups, to actively participate and inform policy and decision making through a holistic lens, by explicitly recognising the importance of governance and institution building in development and peacebuilding efforts in the country</w:t>
      </w:r>
      <w:r>
        <w:rPr>
          <w:rFonts w:ascii="Cambria" w:hAnsi="Cambria" w:cs="Arial"/>
          <w:sz w:val="20"/>
          <w:szCs w:val="20"/>
        </w:rPr>
        <w:t xml:space="preserve">. It is also aligned through the </w:t>
      </w:r>
      <w:r w:rsidRPr="00FC160F">
        <w:rPr>
          <w:rFonts w:ascii="Cambria" w:hAnsi="Cambria"/>
          <w:color w:val="000000" w:themeColor="text1"/>
          <w:sz w:val="20"/>
          <w:szCs w:val="20"/>
        </w:rPr>
        <w:t>Output</w:t>
      </w:r>
      <w:r>
        <w:rPr>
          <w:rFonts w:ascii="Cambria" w:hAnsi="Cambria"/>
          <w:color w:val="000000" w:themeColor="text1"/>
          <w:sz w:val="20"/>
          <w:szCs w:val="20"/>
        </w:rPr>
        <w:t xml:space="preserve"> 2.4. </w:t>
      </w:r>
      <w:r w:rsidRPr="00FC160F">
        <w:rPr>
          <w:rFonts w:ascii="Cambria" w:hAnsi="Cambria"/>
          <w:color w:val="000000" w:themeColor="text1"/>
          <w:sz w:val="20"/>
          <w:szCs w:val="20"/>
        </w:rPr>
        <w:t>directly reference the UNGP</w:t>
      </w:r>
      <w:r>
        <w:rPr>
          <w:rFonts w:ascii="Cambria" w:hAnsi="Cambria"/>
          <w:color w:val="000000" w:themeColor="text1"/>
          <w:sz w:val="20"/>
          <w:szCs w:val="20"/>
        </w:rPr>
        <w:t>s</w:t>
      </w:r>
      <w:r w:rsidRPr="00FC160F">
        <w:rPr>
          <w:rFonts w:ascii="Cambria" w:hAnsi="Cambria"/>
          <w:color w:val="000000" w:themeColor="text1"/>
          <w:sz w:val="20"/>
          <w:szCs w:val="20"/>
        </w:rPr>
        <w:t xml:space="preserve"> on Business and Human Rights and the SDGs, particularly the SDGs 5, 8, 10, 16 and 17</w:t>
      </w:r>
      <w:r>
        <w:rPr>
          <w:rFonts w:ascii="Cambria" w:hAnsi="Cambria"/>
          <w:color w:val="000000" w:themeColor="text1"/>
          <w:sz w:val="20"/>
          <w:szCs w:val="20"/>
        </w:rPr>
        <w:t xml:space="preserve">. </w:t>
      </w:r>
    </w:p>
    <w:p w14:paraId="0EFCFCD7" w14:textId="7EA01E63" w:rsidR="00D86589" w:rsidRDefault="00D86589" w:rsidP="00D30578">
      <w:pPr>
        <w:pStyle w:val="ListParagraph"/>
        <w:spacing w:before="180" w:after="180" w:line="360" w:lineRule="auto"/>
        <w:ind w:left="360"/>
        <w:jc w:val="both"/>
        <w:rPr>
          <w:rFonts w:ascii="Cambria" w:hAnsi="Cambria" w:cs="Calibri"/>
          <w:bCs/>
          <w:sz w:val="20"/>
          <w:szCs w:val="20"/>
          <w:lang w:val="en-GB"/>
        </w:rPr>
      </w:pPr>
    </w:p>
    <w:p w14:paraId="6FB606E4" w14:textId="3627510E" w:rsidR="00C3701E" w:rsidRPr="00A07543" w:rsidRDefault="00C3701E" w:rsidP="00A07543">
      <w:pPr>
        <w:spacing w:line="360" w:lineRule="auto"/>
        <w:jc w:val="both"/>
        <w:rPr>
          <w:rFonts w:ascii="Cambria" w:hAnsi="Cambria" w:cs="Calibri"/>
          <w:b/>
          <w:sz w:val="24"/>
          <w:szCs w:val="24"/>
          <w:lang w:val="en-GB"/>
        </w:rPr>
      </w:pPr>
      <w:r w:rsidRPr="00A07543">
        <w:rPr>
          <w:rFonts w:ascii="Cambria" w:hAnsi="Cambria" w:cs="Calibri"/>
          <w:b/>
          <w:sz w:val="24"/>
          <w:szCs w:val="24"/>
          <w:lang w:val="en-GB"/>
        </w:rPr>
        <w:t xml:space="preserve">General Recommendations </w:t>
      </w:r>
    </w:p>
    <w:p w14:paraId="1D5D463A" w14:textId="77777777" w:rsidR="00C3701E" w:rsidRDefault="00C3701E" w:rsidP="00C3701E">
      <w:pPr>
        <w:pStyle w:val="ListParagraph"/>
        <w:spacing w:line="360" w:lineRule="auto"/>
        <w:ind w:left="360"/>
        <w:jc w:val="both"/>
        <w:rPr>
          <w:rFonts w:ascii="Cambria" w:hAnsi="Cambria" w:cs="Calibri"/>
          <w:bCs/>
          <w:sz w:val="20"/>
          <w:szCs w:val="20"/>
          <w:lang w:val="en-GB"/>
        </w:rPr>
      </w:pPr>
    </w:p>
    <w:p w14:paraId="5D58E7F0" w14:textId="60735413" w:rsidR="006B4BFE" w:rsidRDefault="005279BD" w:rsidP="006B4BFE">
      <w:pPr>
        <w:pStyle w:val="ListParagraph"/>
        <w:numPr>
          <w:ilvl w:val="0"/>
          <w:numId w:val="23"/>
        </w:numPr>
        <w:spacing w:line="360" w:lineRule="auto"/>
        <w:jc w:val="both"/>
        <w:rPr>
          <w:rFonts w:ascii="Cambria" w:hAnsi="Cambria" w:cs="Calibri"/>
          <w:bCs/>
          <w:sz w:val="20"/>
          <w:szCs w:val="20"/>
          <w:lang w:val="en-GB"/>
        </w:rPr>
      </w:pPr>
      <w:r>
        <w:rPr>
          <w:rFonts w:ascii="Cambria" w:hAnsi="Cambria" w:cs="Calibri"/>
          <w:b/>
          <w:sz w:val="20"/>
          <w:szCs w:val="20"/>
          <w:lang w:val="en-GB"/>
        </w:rPr>
        <w:t xml:space="preserve">Adopt a Strategic Approach to respond to the </w:t>
      </w:r>
      <w:r w:rsidR="00C3701E" w:rsidRPr="00C3701E">
        <w:rPr>
          <w:rFonts w:ascii="Cambria" w:hAnsi="Cambria" w:cs="Calibri"/>
          <w:b/>
          <w:sz w:val="20"/>
          <w:szCs w:val="20"/>
          <w:lang w:val="en-GB"/>
        </w:rPr>
        <w:t xml:space="preserve">Covid 19 </w:t>
      </w:r>
      <w:r>
        <w:rPr>
          <w:rFonts w:ascii="Cambria" w:hAnsi="Cambria" w:cs="Calibri"/>
          <w:b/>
          <w:sz w:val="20"/>
          <w:szCs w:val="20"/>
          <w:lang w:val="en-GB"/>
        </w:rPr>
        <w:t>Pan</w:t>
      </w:r>
      <w:r w:rsidR="00096784">
        <w:rPr>
          <w:rFonts w:ascii="Cambria" w:hAnsi="Cambria" w:cs="Calibri"/>
          <w:b/>
          <w:sz w:val="20"/>
          <w:szCs w:val="20"/>
          <w:lang w:val="en-GB"/>
        </w:rPr>
        <w:t>d</w:t>
      </w:r>
      <w:r>
        <w:rPr>
          <w:rFonts w:ascii="Cambria" w:hAnsi="Cambria" w:cs="Calibri"/>
          <w:b/>
          <w:sz w:val="20"/>
          <w:szCs w:val="20"/>
          <w:lang w:val="en-GB"/>
        </w:rPr>
        <w:t>emic</w:t>
      </w:r>
      <w:r w:rsidR="00C3701E" w:rsidRPr="00C3701E">
        <w:rPr>
          <w:rFonts w:ascii="Cambria" w:hAnsi="Cambria" w:cs="Calibri"/>
          <w:b/>
          <w:sz w:val="20"/>
          <w:szCs w:val="20"/>
          <w:lang w:val="en-GB"/>
        </w:rPr>
        <w:t xml:space="preserve">: </w:t>
      </w:r>
      <w:r w:rsidR="006B4BFE" w:rsidRPr="002C5D23">
        <w:rPr>
          <w:rFonts w:ascii="Cambria" w:hAnsi="Cambria" w:cs="Calibri"/>
          <w:bCs/>
          <w:sz w:val="20"/>
          <w:szCs w:val="20"/>
          <w:lang w:val="en-GB"/>
        </w:rPr>
        <w:t>Although the Portfolio successfully reacted to the pandemic with emergency relief to implementing partners through a rapid assessment, a more strategic approach to preparing beneficiaries, whether state or non-state actors to respond to the pandemic in the next two years is critical. UNDP has been recognised as a connector</w:t>
      </w:r>
      <w:r w:rsidR="00457786">
        <w:rPr>
          <w:rFonts w:ascii="Cambria" w:hAnsi="Cambria" w:cs="Calibri"/>
          <w:bCs/>
          <w:sz w:val="20"/>
          <w:szCs w:val="20"/>
          <w:lang w:val="en-GB"/>
        </w:rPr>
        <w:t xml:space="preserve"> </w:t>
      </w:r>
      <w:r w:rsidR="00390A99">
        <w:rPr>
          <w:rFonts w:ascii="Cambria" w:hAnsi="Cambria" w:cs="Calibri"/>
          <w:bCs/>
          <w:sz w:val="20"/>
          <w:szCs w:val="20"/>
          <w:lang w:val="en-GB"/>
        </w:rPr>
        <w:t>i</w:t>
      </w:r>
      <w:r w:rsidR="006B4BFE" w:rsidRPr="002C5D23">
        <w:rPr>
          <w:rFonts w:ascii="Cambria" w:hAnsi="Cambria" w:cs="Calibri"/>
          <w:bCs/>
          <w:sz w:val="20"/>
          <w:szCs w:val="20"/>
          <w:lang w:val="en-GB"/>
        </w:rPr>
        <w:t xml:space="preserve"> between organisations and institutions, a knowledge broker due to its access to vast resources and networks</w:t>
      </w:r>
      <w:r w:rsidR="006B4BFE" w:rsidRPr="001B77B2">
        <w:rPr>
          <w:rStyle w:val="FootnoteReference"/>
          <w:rFonts w:ascii="Cambria" w:hAnsi="Cambria" w:cs="Calibri"/>
          <w:bCs/>
          <w:sz w:val="20"/>
          <w:szCs w:val="20"/>
          <w:lang w:val="en-GB"/>
        </w:rPr>
        <w:footnoteReference w:id="78"/>
      </w:r>
      <w:r w:rsidR="006B4BFE" w:rsidRPr="002C5D23">
        <w:rPr>
          <w:rFonts w:ascii="Cambria" w:hAnsi="Cambria" w:cs="Calibri"/>
          <w:bCs/>
          <w:sz w:val="20"/>
          <w:szCs w:val="20"/>
          <w:lang w:val="en-GB"/>
        </w:rPr>
        <w:t xml:space="preserve"> and convener, bringing groups together for a common purpose. In the second phase, UNDP should harness this role and invest in building resilience of beneficiaries not only to manage political shifts and shocks but also to manage environment and public health crisis such as the current pandemic. </w:t>
      </w:r>
    </w:p>
    <w:p w14:paraId="3FA54AA8" w14:textId="77777777" w:rsidR="0054661A" w:rsidRDefault="006B4BFE" w:rsidP="00081358">
      <w:pPr>
        <w:pStyle w:val="ListParagraph"/>
        <w:numPr>
          <w:ilvl w:val="0"/>
          <w:numId w:val="91"/>
        </w:numPr>
        <w:spacing w:line="360" w:lineRule="auto"/>
        <w:jc w:val="both"/>
        <w:rPr>
          <w:rFonts w:ascii="Cambria" w:hAnsi="Cambria" w:cs="Calibri"/>
          <w:bCs/>
          <w:sz w:val="20"/>
          <w:szCs w:val="20"/>
          <w:lang w:val="en-GB"/>
        </w:rPr>
      </w:pPr>
      <w:r w:rsidRPr="002C5D23">
        <w:rPr>
          <w:rFonts w:ascii="Cambria" w:hAnsi="Cambria" w:cs="Calibri"/>
          <w:bCs/>
          <w:sz w:val="20"/>
          <w:szCs w:val="20"/>
          <w:lang w:val="en-GB"/>
        </w:rPr>
        <w:lastRenderedPageBreak/>
        <w:t>Therefore, preparing the leadership and middle management to: firstly, recognise the crisis to mount a response and get over the ‘normalcy bias’; secondly, to improvise and innovate for effective responses; thirdly to change the mindset and behaviour that is required for crisis management for short to long term is indispensable to maximise effective and impact of activities introduced even after the crisis has passed.</w:t>
      </w:r>
      <w:r w:rsidRPr="001B77B2">
        <w:rPr>
          <w:rStyle w:val="FootnoteReference"/>
          <w:rFonts w:ascii="Cambria" w:hAnsi="Cambria" w:cs="Calibri"/>
          <w:bCs/>
          <w:sz w:val="20"/>
          <w:szCs w:val="20"/>
          <w:lang w:val="en-GB"/>
        </w:rPr>
        <w:footnoteReference w:id="79"/>
      </w:r>
      <w:r w:rsidRPr="002C5D23">
        <w:rPr>
          <w:rFonts w:ascii="Cambria" w:hAnsi="Cambria" w:cs="Calibri"/>
          <w:bCs/>
          <w:sz w:val="20"/>
          <w:szCs w:val="20"/>
          <w:lang w:val="en-GB"/>
        </w:rPr>
        <w:t xml:space="preserve"> </w:t>
      </w:r>
    </w:p>
    <w:p w14:paraId="36C6C58B" w14:textId="47E53815" w:rsidR="006B4BFE" w:rsidRDefault="006B4BFE" w:rsidP="00081358">
      <w:pPr>
        <w:pStyle w:val="ListParagraph"/>
        <w:numPr>
          <w:ilvl w:val="0"/>
          <w:numId w:val="91"/>
        </w:numPr>
        <w:spacing w:line="360" w:lineRule="auto"/>
        <w:jc w:val="both"/>
        <w:rPr>
          <w:rFonts w:ascii="Cambria" w:hAnsi="Cambria" w:cs="Calibri"/>
          <w:bCs/>
          <w:sz w:val="20"/>
          <w:szCs w:val="20"/>
          <w:lang w:val="en-GB"/>
        </w:rPr>
      </w:pPr>
      <w:r w:rsidRPr="002C5D23">
        <w:rPr>
          <w:rFonts w:ascii="Cambria" w:hAnsi="Cambria" w:cs="Calibri"/>
          <w:bCs/>
          <w:sz w:val="20"/>
          <w:szCs w:val="20"/>
          <w:lang w:val="en-GB"/>
        </w:rPr>
        <w:t xml:space="preserve">The </w:t>
      </w:r>
      <w:r w:rsidRPr="002C5D23">
        <w:rPr>
          <w:rFonts w:ascii="Cambria" w:hAnsi="Cambria" w:cs="Calibri"/>
          <w:bCs/>
          <w:i/>
          <w:iCs/>
          <w:sz w:val="20"/>
          <w:szCs w:val="20"/>
          <w:lang w:val="en-GB"/>
        </w:rPr>
        <w:t>UN Advisory Paper: Immediate Socio -Economic Response to Covid-19 in Sri Lanka</w:t>
      </w:r>
      <w:r w:rsidRPr="001B77B2">
        <w:rPr>
          <w:rStyle w:val="FootnoteReference"/>
          <w:rFonts w:ascii="Cambria" w:hAnsi="Cambria" w:cs="Calibri"/>
          <w:bCs/>
          <w:sz w:val="20"/>
          <w:szCs w:val="20"/>
          <w:lang w:val="en-GB"/>
        </w:rPr>
        <w:footnoteReference w:id="80"/>
      </w:r>
      <w:r w:rsidRPr="002C5D23">
        <w:rPr>
          <w:rFonts w:ascii="Cambria" w:hAnsi="Cambria" w:cs="Calibri"/>
          <w:bCs/>
          <w:sz w:val="20"/>
          <w:szCs w:val="20"/>
          <w:lang w:val="en-GB"/>
        </w:rPr>
        <w:t xml:space="preserve"> provides a credible and informative recommendations that may be considered to inform the Portfolio’s Covid response strategy in the next two years as well as incorporate it into existing activities that will be affected by the pandemic. The report identifies categories of ‘people who must be reached’ and key strategic priorities namely, advancing health first, people first, economic responses and recovery, social cohesion and community resilience and macroeconomic responses and multi-lateral cooperation promoting immediate, to medium </w:t>
      </w:r>
      <w:r w:rsidR="00814B3A">
        <w:rPr>
          <w:rFonts w:ascii="Cambria" w:hAnsi="Cambria" w:cs="Calibri"/>
          <w:bCs/>
          <w:sz w:val="20"/>
          <w:szCs w:val="20"/>
          <w:lang w:val="en-GB"/>
        </w:rPr>
        <w:t xml:space="preserve">to </w:t>
      </w:r>
      <w:r w:rsidRPr="002C5D23">
        <w:rPr>
          <w:rFonts w:ascii="Cambria" w:hAnsi="Cambria" w:cs="Calibri"/>
          <w:bCs/>
          <w:sz w:val="20"/>
          <w:szCs w:val="20"/>
          <w:lang w:val="en-GB"/>
        </w:rPr>
        <w:t>long term responses for each priority, strategically aligning to the relevant SDGs towards the 2030 Agenda. Therefore, the report would provide a strong basis to align activities during the second phase of the Portfolio to overcome challenges faced by the pan</w:t>
      </w:r>
      <w:r w:rsidR="00814B3A">
        <w:rPr>
          <w:rFonts w:ascii="Cambria" w:hAnsi="Cambria" w:cs="Calibri"/>
          <w:bCs/>
          <w:sz w:val="20"/>
          <w:szCs w:val="20"/>
          <w:lang w:val="en-GB"/>
        </w:rPr>
        <w:t>d</w:t>
      </w:r>
      <w:r w:rsidRPr="002C5D23">
        <w:rPr>
          <w:rFonts w:ascii="Cambria" w:hAnsi="Cambria" w:cs="Calibri"/>
          <w:bCs/>
          <w:sz w:val="20"/>
          <w:szCs w:val="20"/>
          <w:lang w:val="en-GB"/>
        </w:rPr>
        <w:t>emic whilst maintaining its relevance to achieve the overall goals under SDGs particularly SDG 16.</w:t>
      </w:r>
    </w:p>
    <w:p w14:paraId="55EAF928" w14:textId="77777777" w:rsidR="001D22FC" w:rsidRDefault="001D22FC" w:rsidP="001D22FC">
      <w:pPr>
        <w:pStyle w:val="ListParagraph"/>
        <w:spacing w:line="360" w:lineRule="auto"/>
        <w:ind w:left="360"/>
        <w:jc w:val="both"/>
        <w:rPr>
          <w:rFonts w:ascii="Cambria" w:hAnsi="Cambria" w:cs="Calibri"/>
          <w:bCs/>
          <w:sz w:val="20"/>
          <w:szCs w:val="20"/>
          <w:lang w:val="en-GB"/>
        </w:rPr>
      </w:pPr>
    </w:p>
    <w:p w14:paraId="0F2BAA2B" w14:textId="002F4391" w:rsidR="001D22FC" w:rsidRPr="001D22FC" w:rsidRDefault="001D22FC" w:rsidP="00A34B74">
      <w:pPr>
        <w:pStyle w:val="ListParagraph"/>
        <w:numPr>
          <w:ilvl w:val="0"/>
          <w:numId w:val="23"/>
        </w:numPr>
        <w:spacing w:line="360" w:lineRule="auto"/>
        <w:jc w:val="both"/>
        <w:rPr>
          <w:rFonts w:ascii="Cambria" w:hAnsi="Cambria"/>
          <w:b/>
          <w:bCs/>
        </w:rPr>
      </w:pPr>
      <w:r w:rsidRPr="001D22FC">
        <w:rPr>
          <w:rFonts w:ascii="Cambria" w:hAnsi="Cambria" w:cs="Calibri"/>
          <w:b/>
          <w:sz w:val="20"/>
          <w:szCs w:val="20"/>
          <w:lang w:val="en-GB"/>
        </w:rPr>
        <w:t xml:space="preserve">The Portfolio should </w:t>
      </w:r>
      <w:r w:rsidR="00E356EB">
        <w:rPr>
          <w:rFonts w:ascii="Cambria" w:hAnsi="Cambria" w:cs="Calibri"/>
          <w:b/>
          <w:sz w:val="20"/>
          <w:szCs w:val="20"/>
          <w:lang w:val="en-GB"/>
        </w:rPr>
        <w:t>R</w:t>
      </w:r>
      <w:r w:rsidRPr="001D22FC">
        <w:rPr>
          <w:rFonts w:ascii="Cambria" w:hAnsi="Cambria" w:cs="Calibri"/>
          <w:b/>
          <w:sz w:val="20"/>
          <w:szCs w:val="20"/>
          <w:lang w:val="en-GB"/>
        </w:rPr>
        <w:t xml:space="preserve">evisit the </w:t>
      </w:r>
      <w:r w:rsidR="00E356EB">
        <w:rPr>
          <w:rFonts w:ascii="Cambria" w:hAnsi="Cambria" w:cs="Calibri"/>
          <w:b/>
          <w:sz w:val="20"/>
          <w:szCs w:val="20"/>
          <w:lang w:val="en-GB"/>
        </w:rPr>
        <w:t>C</w:t>
      </w:r>
      <w:r w:rsidRPr="001D22FC">
        <w:rPr>
          <w:rFonts w:ascii="Cambria" w:hAnsi="Cambria" w:cs="Calibri"/>
          <w:b/>
          <w:sz w:val="20"/>
          <w:szCs w:val="20"/>
          <w:lang w:val="en-GB"/>
        </w:rPr>
        <w:t xml:space="preserve">urrent </w:t>
      </w:r>
      <w:r w:rsidR="00250B4C">
        <w:rPr>
          <w:rFonts w:ascii="Cambria" w:hAnsi="Cambria" w:cs="Calibri"/>
          <w:b/>
          <w:sz w:val="20"/>
          <w:szCs w:val="20"/>
          <w:lang w:val="en-GB"/>
        </w:rPr>
        <w:t xml:space="preserve">Partnership </w:t>
      </w:r>
      <w:r w:rsidRPr="001D22FC">
        <w:rPr>
          <w:rFonts w:ascii="Cambria" w:hAnsi="Cambria" w:cs="Calibri"/>
          <w:b/>
          <w:sz w:val="20"/>
          <w:szCs w:val="20"/>
          <w:lang w:val="en-GB"/>
        </w:rPr>
        <w:t xml:space="preserve">Engagement Strategy: </w:t>
      </w:r>
      <w:r w:rsidRPr="001D22FC">
        <w:rPr>
          <w:rFonts w:ascii="Cambria" w:hAnsi="Cambria" w:cs="Calibri"/>
          <w:bCs/>
          <w:sz w:val="20"/>
          <w:szCs w:val="20"/>
          <w:lang w:val="en-GB"/>
        </w:rPr>
        <w:t xml:space="preserve">There was general agreement among KPIs that donors and UN agencies tend to partner with ‘usual suspects’, CSOs that are relatively visible and Colombo centric. </w:t>
      </w:r>
    </w:p>
    <w:p w14:paraId="1B95297E" w14:textId="1ADF1156" w:rsidR="006B4BFE" w:rsidRPr="004E00F7" w:rsidRDefault="006B4BFE" w:rsidP="00081358">
      <w:pPr>
        <w:pStyle w:val="ListParagraph"/>
        <w:numPr>
          <w:ilvl w:val="0"/>
          <w:numId w:val="92"/>
        </w:numPr>
        <w:spacing w:line="360" w:lineRule="auto"/>
        <w:jc w:val="both"/>
        <w:rPr>
          <w:rFonts w:ascii="Cambria" w:hAnsi="Cambria" w:cs="Calibri"/>
          <w:b/>
          <w:sz w:val="20"/>
          <w:szCs w:val="20"/>
          <w:lang w:val="en-GB"/>
        </w:rPr>
      </w:pPr>
      <w:r w:rsidRPr="004E00F7">
        <w:rPr>
          <w:rFonts w:ascii="Cambria" w:hAnsi="Cambria" w:cs="Calibri"/>
          <w:bCs/>
          <w:sz w:val="20"/>
          <w:szCs w:val="20"/>
          <w:lang w:val="en-GB"/>
        </w:rPr>
        <w:t>Therefore, as mentioned in the report, the Portfolio should design an engagement strategy to select organisations that</w:t>
      </w:r>
      <w:r w:rsidR="001D22FC">
        <w:rPr>
          <w:rFonts w:ascii="Cambria" w:hAnsi="Cambria" w:cs="Calibri"/>
          <w:bCs/>
          <w:sz w:val="20"/>
          <w:szCs w:val="20"/>
          <w:lang w:val="en-GB"/>
        </w:rPr>
        <w:t>,</w:t>
      </w:r>
      <w:r w:rsidRPr="004E00F7">
        <w:rPr>
          <w:rFonts w:ascii="Cambria" w:hAnsi="Cambria" w:cs="Calibri"/>
          <w:bCs/>
          <w:sz w:val="20"/>
          <w:szCs w:val="20"/>
          <w:lang w:val="en-GB"/>
        </w:rPr>
        <w:t xml:space="preserve"> represents different </w:t>
      </w:r>
      <w:r w:rsidR="002E39A9" w:rsidRPr="004E00F7">
        <w:rPr>
          <w:rFonts w:ascii="Cambria" w:hAnsi="Cambria" w:cs="Calibri"/>
          <w:bCs/>
          <w:sz w:val="20"/>
          <w:szCs w:val="20"/>
          <w:lang w:val="en-GB"/>
        </w:rPr>
        <w:t>interest</w:t>
      </w:r>
      <w:r w:rsidR="002E39A9">
        <w:rPr>
          <w:rFonts w:ascii="Cambria" w:hAnsi="Cambria" w:cs="Calibri"/>
          <w:bCs/>
          <w:sz w:val="20"/>
          <w:szCs w:val="20"/>
          <w:lang w:val="en-GB"/>
        </w:rPr>
        <w:t>s</w:t>
      </w:r>
      <w:r w:rsidRPr="004E00F7">
        <w:rPr>
          <w:rFonts w:ascii="Cambria" w:hAnsi="Cambria" w:cs="Calibri"/>
          <w:bCs/>
          <w:sz w:val="20"/>
          <w:szCs w:val="20"/>
          <w:lang w:val="en-GB"/>
        </w:rPr>
        <w:t xml:space="preserve"> related to the Portfolio, that represents diversity and inclusivity and the ability to reach out to traditionally excluded vulnerable communities as envisaged by the Portfolio rationale.  Non-government base should be expanded to include media, research institutes, universities, professional bodies, youth councils</w:t>
      </w:r>
      <w:r w:rsidR="00A36CD6">
        <w:rPr>
          <w:rFonts w:ascii="Cambria" w:hAnsi="Cambria" w:cs="Calibri"/>
          <w:bCs/>
          <w:sz w:val="20"/>
          <w:szCs w:val="20"/>
          <w:lang w:val="en-GB"/>
        </w:rPr>
        <w:t>, youth parliament</w:t>
      </w:r>
      <w:r w:rsidRPr="004E00F7">
        <w:rPr>
          <w:rFonts w:ascii="Cambria" w:hAnsi="Cambria" w:cs="Calibri"/>
          <w:bCs/>
          <w:sz w:val="20"/>
          <w:szCs w:val="20"/>
          <w:lang w:val="en-GB"/>
        </w:rPr>
        <w:t xml:space="preserve"> and youth led societies and forums, inter religious bodies, etc. </w:t>
      </w:r>
    </w:p>
    <w:p w14:paraId="2C3E86F4" w14:textId="77777777" w:rsidR="001D22FC" w:rsidRPr="001D22FC" w:rsidRDefault="001D22FC" w:rsidP="00081358">
      <w:pPr>
        <w:pStyle w:val="ListParagraph"/>
        <w:numPr>
          <w:ilvl w:val="0"/>
          <w:numId w:val="92"/>
        </w:numPr>
        <w:spacing w:line="360" w:lineRule="auto"/>
        <w:jc w:val="both"/>
        <w:rPr>
          <w:rFonts w:ascii="Cambria" w:hAnsi="Cambria" w:cs="Calibri"/>
          <w:b/>
          <w:sz w:val="20"/>
          <w:szCs w:val="20"/>
          <w:lang w:val="en-GB"/>
        </w:rPr>
      </w:pPr>
      <w:r>
        <w:rPr>
          <w:rFonts w:ascii="Cambria" w:hAnsi="Cambria" w:cs="Arial"/>
          <w:sz w:val="20"/>
          <w:szCs w:val="20"/>
        </w:rPr>
        <w:t>Th</w:t>
      </w:r>
      <w:r w:rsidR="006B4BFE" w:rsidRPr="004E00F7">
        <w:rPr>
          <w:rFonts w:ascii="Cambria" w:hAnsi="Cambria" w:cs="Arial"/>
          <w:sz w:val="20"/>
          <w:szCs w:val="20"/>
        </w:rPr>
        <w:t xml:space="preserve">e second phase of the Portfolio should </w:t>
      </w:r>
      <w:r>
        <w:rPr>
          <w:rFonts w:ascii="Cambria" w:hAnsi="Cambria" w:cs="Arial"/>
          <w:sz w:val="20"/>
          <w:szCs w:val="20"/>
        </w:rPr>
        <w:t xml:space="preserve">also </w:t>
      </w:r>
      <w:r w:rsidR="006B4BFE" w:rsidRPr="004E00F7">
        <w:rPr>
          <w:rFonts w:ascii="Cambria" w:hAnsi="Cambria" w:cs="Arial"/>
          <w:sz w:val="20"/>
          <w:szCs w:val="20"/>
        </w:rPr>
        <w:t xml:space="preserve">focus on directly building long-term resilience </w:t>
      </w:r>
      <w:r>
        <w:rPr>
          <w:rFonts w:ascii="Cambria" w:hAnsi="Cambria" w:cs="Arial"/>
          <w:sz w:val="20"/>
          <w:szCs w:val="20"/>
        </w:rPr>
        <w:t xml:space="preserve">of CSOs </w:t>
      </w:r>
      <w:r w:rsidR="006B4BFE" w:rsidRPr="004E00F7">
        <w:rPr>
          <w:rFonts w:ascii="Cambria" w:hAnsi="Cambria" w:cs="Arial"/>
          <w:sz w:val="20"/>
          <w:szCs w:val="20"/>
        </w:rPr>
        <w:t>to counteract political shifts, focusing on approaches that may be outside the traditional experience and expertise of civil society but grounded in real life examples, including: strengthening their constituency base; enhancing collaboration; and communicating with a broader audience. </w:t>
      </w:r>
    </w:p>
    <w:p w14:paraId="44659047" w14:textId="1B9E8AC6" w:rsidR="006B4BFE" w:rsidRPr="000D653E" w:rsidRDefault="006B4BFE" w:rsidP="00081358">
      <w:pPr>
        <w:pStyle w:val="ListParagraph"/>
        <w:numPr>
          <w:ilvl w:val="0"/>
          <w:numId w:val="92"/>
        </w:numPr>
        <w:spacing w:line="360" w:lineRule="auto"/>
        <w:jc w:val="both"/>
        <w:rPr>
          <w:rFonts w:ascii="Cambria" w:hAnsi="Cambria" w:cs="Calibri"/>
          <w:b/>
          <w:sz w:val="20"/>
          <w:szCs w:val="20"/>
          <w:lang w:val="en-GB"/>
        </w:rPr>
      </w:pPr>
      <w:r w:rsidRPr="004E00F7">
        <w:rPr>
          <w:rFonts w:ascii="Cambria" w:hAnsi="Cambria" w:cs="Arial"/>
          <w:sz w:val="20"/>
          <w:szCs w:val="20"/>
        </w:rPr>
        <w:lastRenderedPageBreak/>
        <w:t>Further, investing in collation of existing research on innovative business models for CSO</w:t>
      </w:r>
      <w:r>
        <w:rPr>
          <w:rFonts w:ascii="Cambria" w:hAnsi="Cambria" w:cs="Arial"/>
          <w:sz w:val="20"/>
          <w:szCs w:val="20"/>
        </w:rPr>
        <w:t xml:space="preserve">s </w:t>
      </w:r>
      <w:r w:rsidRPr="004E00F7">
        <w:rPr>
          <w:rFonts w:ascii="Cambria" w:hAnsi="Cambria" w:cs="Arial"/>
          <w:sz w:val="20"/>
          <w:szCs w:val="20"/>
        </w:rPr>
        <w:t xml:space="preserve">to protect civic space </w:t>
      </w:r>
      <w:r w:rsidR="00A36CD6">
        <w:rPr>
          <w:rFonts w:ascii="Cambria" w:hAnsi="Cambria" w:cs="Arial"/>
          <w:sz w:val="20"/>
          <w:szCs w:val="20"/>
        </w:rPr>
        <w:t>could</w:t>
      </w:r>
      <w:r w:rsidRPr="004E00F7">
        <w:rPr>
          <w:rFonts w:ascii="Cambria" w:hAnsi="Cambria" w:cs="Arial"/>
          <w:sz w:val="20"/>
          <w:szCs w:val="20"/>
        </w:rPr>
        <w:t xml:space="preserve"> also enhance the impact and relevancy of human rights groups.</w:t>
      </w:r>
      <w:r w:rsidRPr="001B77B2">
        <w:rPr>
          <w:rStyle w:val="FootnoteReference"/>
          <w:rFonts w:ascii="Cambria" w:hAnsi="Cambria" w:cs="Arial"/>
          <w:sz w:val="20"/>
          <w:szCs w:val="20"/>
        </w:rPr>
        <w:footnoteReference w:id="81"/>
      </w:r>
    </w:p>
    <w:p w14:paraId="24A0B5C5" w14:textId="71C32736" w:rsidR="00A7472D" w:rsidRPr="00A7472D" w:rsidRDefault="006B4BFE" w:rsidP="00081358">
      <w:pPr>
        <w:pStyle w:val="ListParagraph"/>
        <w:numPr>
          <w:ilvl w:val="0"/>
          <w:numId w:val="92"/>
        </w:numPr>
        <w:spacing w:before="180" w:after="180" w:line="360" w:lineRule="auto"/>
        <w:jc w:val="both"/>
        <w:rPr>
          <w:rFonts w:ascii="Cambria" w:hAnsi="Cambria" w:cs="Calibri"/>
          <w:bCs/>
          <w:sz w:val="20"/>
          <w:szCs w:val="20"/>
          <w:lang w:val="en-GB"/>
        </w:rPr>
      </w:pPr>
      <w:r w:rsidRPr="00E04636">
        <w:rPr>
          <w:rFonts w:ascii="Cambria" w:hAnsi="Cambria" w:cs="Arial"/>
          <w:sz w:val="20"/>
          <w:szCs w:val="20"/>
        </w:rPr>
        <w:t>Further it is important to support organi</w:t>
      </w:r>
      <w:r w:rsidR="00A36CD6">
        <w:rPr>
          <w:rFonts w:ascii="Cambria" w:hAnsi="Cambria" w:cs="Arial"/>
          <w:sz w:val="20"/>
          <w:szCs w:val="20"/>
        </w:rPr>
        <w:t>s</w:t>
      </w:r>
      <w:r w:rsidRPr="00E04636">
        <w:rPr>
          <w:rFonts w:ascii="Cambria" w:hAnsi="Cambria" w:cs="Arial"/>
          <w:sz w:val="20"/>
          <w:szCs w:val="20"/>
        </w:rPr>
        <w:t xml:space="preserve">ational strengthening of CSO partners, including assistance to improve their internal reporting and monitoring mechanisms to enhance effectiveness and efficiency in partnerships. Support </w:t>
      </w:r>
      <w:r w:rsidR="00A7472D">
        <w:rPr>
          <w:rFonts w:ascii="Cambria" w:hAnsi="Cambria" w:cs="Arial"/>
          <w:sz w:val="20"/>
          <w:szCs w:val="20"/>
        </w:rPr>
        <w:t xml:space="preserve">for </w:t>
      </w:r>
      <w:r w:rsidRPr="00E04636">
        <w:rPr>
          <w:rFonts w:ascii="Cambria" w:hAnsi="Cambria" w:cs="Arial"/>
          <w:sz w:val="20"/>
          <w:szCs w:val="20"/>
        </w:rPr>
        <w:t>the development of CS</w:t>
      </w:r>
      <w:r w:rsidR="00A7472D">
        <w:rPr>
          <w:rFonts w:ascii="Cambria" w:hAnsi="Cambria" w:cs="Arial"/>
          <w:sz w:val="20"/>
          <w:szCs w:val="20"/>
        </w:rPr>
        <w:t>O</w:t>
      </w:r>
      <w:r w:rsidRPr="00E04636">
        <w:rPr>
          <w:rFonts w:ascii="Cambria" w:hAnsi="Cambria" w:cs="Arial"/>
          <w:sz w:val="20"/>
          <w:szCs w:val="20"/>
        </w:rPr>
        <w:t xml:space="preserve"> capacity to undertake objective monitoring of service delivery of government institutions</w:t>
      </w:r>
      <w:r w:rsidR="00AB6553">
        <w:rPr>
          <w:rFonts w:ascii="Cambria" w:hAnsi="Cambria" w:cs="Arial"/>
          <w:sz w:val="20"/>
          <w:szCs w:val="20"/>
        </w:rPr>
        <w:t>,</w:t>
      </w:r>
      <w:r w:rsidRPr="00E04636">
        <w:rPr>
          <w:rFonts w:ascii="Cambria" w:hAnsi="Cambria" w:cs="Arial"/>
          <w:sz w:val="20"/>
          <w:szCs w:val="20"/>
        </w:rPr>
        <w:t xml:space="preserve"> as an important contribution to increase demand for quality and participatory delivery of services</w:t>
      </w:r>
      <w:r w:rsidR="00A7472D">
        <w:rPr>
          <w:rFonts w:ascii="Cambria" w:hAnsi="Cambria" w:cs="Arial"/>
          <w:sz w:val="20"/>
          <w:szCs w:val="20"/>
        </w:rPr>
        <w:t xml:space="preserve"> is crucial moving forward</w:t>
      </w:r>
      <w:r w:rsidRPr="00E04636">
        <w:rPr>
          <w:rFonts w:ascii="Cambria" w:hAnsi="Cambria" w:cs="Arial"/>
          <w:sz w:val="20"/>
          <w:szCs w:val="20"/>
        </w:rPr>
        <w:t xml:space="preserve">. </w:t>
      </w:r>
    </w:p>
    <w:p w14:paraId="075CD4E7" w14:textId="4F46CBDC" w:rsidR="006B4BFE" w:rsidRPr="00E04636" w:rsidRDefault="00A7472D" w:rsidP="006B4BFE">
      <w:pPr>
        <w:pStyle w:val="ListParagraph"/>
        <w:numPr>
          <w:ilvl w:val="0"/>
          <w:numId w:val="23"/>
        </w:numPr>
        <w:spacing w:before="180" w:after="180" w:line="360" w:lineRule="auto"/>
        <w:jc w:val="both"/>
        <w:rPr>
          <w:rFonts w:ascii="Cambria" w:hAnsi="Cambria" w:cs="Calibri"/>
          <w:bCs/>
          <w:sz w:val="20"/>
          <w:szCs w:val="20"/>
          <w:lang w:val="en-GB"/>
        </w:rPr>
      </w:pPr>
      <w:r>
        <w:rPr>
          <w:rFonts w:ascii="Cambria" w:hAnsi="Cambria" w:cs="Arial"/>
          <w:sz w:val="20"/>
          <w:szCs w:val="20"/>
        </w:rPr>
        <w:t xml:space="preserve">To strengthen CSOs and to ensure resilience in the face of increasing political shifts and state scrutiny, UMDP should also invest in a strategy to deal with the perennial dilemma of donor dependency and the continuous impact on CSOs due to rapid changes in donor priorities.  </w:t>
      </w:r>
    </w:p>
    <w:p w14:paraId="0F6064FB" w14:textId="77777777" w:rsidR="006B4BFE" w:rsidRPr="00E04636" w:rsidRDefault="006B4BFE" w:rsidP="006B4BFE">
      <w:pPr>
        <w:pStyle w:val="ListParagraph"/>
        <w:numPr>
          <w:ilvl w:val="0"/>
          <w:numId w:val="23"/>
        </w:numPr>
        <w:spacing w:before="180" w:after="180" w:line="360" w:lineRule="auto"/>
        <w:jc w:val="both"/>
        <w:rPr>
          <w:rFonts w:ascii="Cambria" w:hAnsi="Cambria" w:cs="Calibri"/>
          <w:bCs/>
          <w:sz w:val="20"/>
          <w:szCs w:val="20"/>
          <w:lang w:val="en-GB"/>
        </w:rPr>
      </w:pPr>
      <w:r w:rsidRPr="00E04636">
        <w:rPr>
          <w:rFonts w:ascii="Cambria" w:hAnsi="Cambria" w:cs="Calibri"/>
          <w:bCs/>
          <w:sz w:val="20"/>
          <w:szCs w:val="20"/>
          <w:lang w:val="en-GB"/>
        </w:rPr>
        <w:t>The Portfolio overall could benefit from the study on ‘</w:t>
      </w:r>
      <w:r w:rsidRPr="00E04636">
        <w:rPr>
          <w:rFonts w:ascii="Cambria" w:hAnsi="Cambria" w:cs="Calibri"/>
          <w:bCs/>
          <w:i/>
          <w:iCs/>
          <w:sz w:val="20"/>
          <w:szCs w:val="20"/>
          <w:lang w:val="en-GB"/>
        </w:rPr>
        <w:t>Civil Society Engagement Strategy for the UN Country Team Sri Lanka: Inclusive Engagement of Civil Society in SDG Implementation and Monitoring Processes’</w:t>
      </w:r>
      <w:r w:rsidRPr="00E04636">
        <w:rPr>
          <w:rFonts w:ascii="Cambria" w:hAnsi="Cambria" w:cs="Calibri"/>
          <w:bCs/>
          <w:sz w:val="20"/>
          <w:szCs w:val="20"/>
          <w:lang w:val="en-GB"/>
        </w:rPr>
        <w:t xml:space="preserve"> developed in December 2019. The report discloses the UN-CSO engagement strategy to establish clear engagement platforms, enhance CSO capacities, regularise internal UN mechanisms and CSO mapping to enforce SDGs in Sri Lanka. There again aligning to the CSO strategy may allow the Portfolio to remain focused in contributing towards SDGs, particularly SDG 16. </w:t>
      </w:r>
    </w:p>
    <w:p w14:paraId="000EBA78" w14:textId="77777777" w:rsidR="006B4BFE" w:rsidRPr="004E00F7" w:rsidRDefault="006B4BFE" w:rsidP="006B4BFE">
      <w:pPr>
        <w:pStyle w:val="ListParagraph"/>
        <w:spacing w:line="360" w:lineRule="auto"/>
        <w:ind w:left="360"/>
        <w:jc w:val="both"/>
        <w:rPr>
          <w:rFonts w:ascii="Cambria" w:hAnsi="Cambria" w:cs="Calibri"/>
          <w:b/>
          <w:sz w:val="20"/>
          <w:szCs w:val="20"/>
          <w:lang w:val="en-GB"/>
        </w:rPr>
      </w:pPr>
    </w:p>
    <w:p w14:paraId="3205F8C0" w14:textId="2CB51971" w:rsidR="006B4BFE" w:rsidRPr="00DE125A" w:rsidRDefault="006B4BFE" w:rsidP="007D3403">
      <w:pPr>
        <w:pStyle w:val="ListParagraph"/>
        <w:numPr>
          <w:ilvl w:val="0"/>
          <w:numId w:val="23"/>
        </w:numPr>
        <w:spacing w:line="360" w:lineRule="auto"/>
        <w:jc w:val="both"/>
        <w:rPr>
          <w:rFonts w:ascii="Cambria" w:hAnsi="Cambria" w:cs="Calibri"/>
          <w:bCs/>
          <w:sz w:val="20"/>
          <w:szCs w:val="20"/>
          <w:lang w:val="en-GB"/>
        </w:rPr>
      </w:pPr>
      <w:r w:rsidRPr="00DE125A">
        <w:rPr>
          <w:rFonts w:ascii="Cambria" w:hAnsi="Cambria" w:cs="Calibri"/>
          <w:b/>
          <w:sz w:val="20"/>
          <w:szCs w:val="20"/>
          <w:lang w:val="en-GB"/>
        </w:rPr>
        <w:t>UNDP</w:t>
      </w:r>
      <w:r w:rsidR="00DE125A" w:rsidRPr="00DE125A">
        <w:rPr>
          <w:rFonts w:ascii="Cambria" w:hAnsi="Cambria" w:cs="Calibri"/>
          <w:b/>
          <w:sz w:val="20"/>
          <w:szCs w:val="20"/>
          <w:lang w:val="en-GB"/>
        </w:rPr>
        <w:t xml:space="preserve"> should</w:t>
      </w:r>
      <w:r w:rsidR="00E356EB">
        <w:rPr>
          <w:rFonts w:ascii="Cambria" w:hAnsi="Cambria" w:cs="Calibri"/>
          <w:b/>
          <w:sz w:val="20"/>
          <w:szCs w:val="20"/>
          <w:lang w:val="en-GB"/>
        </w:rPr>
        <w:t xml:space="preserve"> be</w:t>
      </w:r>
      <w:r w:rsidR="00DE125A" w:rsidRPr="00DE125A">
        <w:rPr>
          <w:rFonts w:ascii="Cambria" w:hAnsi="Cambria" w:cs="Calibri"/>
          <w:b/>
          <w:sz w:val="20"/>
          <w:szCs w:val="20"/>
          <w:lang w:val="en-GB"/>
        </w:rPr>
        <w:t xml:space="preserve"> Strategic</w:t>
      </w:r>
      <w:r w:rsidR="00E356EB">
        <w:rPr>
          <w:rFonts w:ascii="Cambria" w:hAnsi="Cambria" w:cs="Calibri"/>
          <w:b/>
          <w:sz w:val="20"/>
          <w:szCs w:val="20"/>
          <w:lang w:val="en-GB"/>
        </w:rPr>
        <w:t xml:space="preserve"> in</w:t>
      </w:r>
      <w:r w:rsidR="00DE125A" w:rsidRPr="00DE125A">
        <w:rPr>
          <w:rFonts w:ascii="Cambria" w:hAnsi="Cambria" w:cs="Calibri"/>
          <w:b/>
          <w:sz w:val="20"/>
          <w:szCs w:val="20"/>
          <w:lang w:val="en-GB"/>
        </w:rPr>
        <w:t xml:space="preserve"> focus</w:t>
      </w:r>
      <w:r w:rsidR="00E356EB">
        <w:rPr>
          <w:rFonts w:ascii="Cambria" w:hAnsi="Cambria" w:cs="Calibri"/>
          <w:b/>
          <w:sz w:val="20"/>
          <w:szCs w:val="20"/>
          <w:lang w:val="en-GB"/>
        </w:rPr>
        <w:t>ing</w:t>
      </w:r>
      <w:r w:rsidR="00DE125A" w:rsidRPr="00DE125A">
        <w:rPr>
          <w:rFonts w:ascii="Cambria" w:hAnsi="Cambria" w:cs="Calibri"/>
          <w:b/>
          <w:sz w:val="20"/>
          <w:szCs w:val="20"/>
          <w:lang w:val="en-GB"/>
        </w:rPr>
        <w:t xml:space="preserve"> its </w:t>
      </w:r>
      <w:r w:rsidRPr="00DE125A">
        <w:rPr>
          <w:rFonts w:ascii="Cambria" w:hAnsi="Cambria" w:cs="Calibri"/>
          <w:b/>
          <w:sz w:val="20"/>
          <w:szCs w:val="20"/>
          <w:lang w:val="en-GB"/>
        </w:rPr>
        <w:t>Comparative Advantage</w:t>
      </w:r>
      <w:r w:rsidRPr="00DE125A">
        <w:rPr>
          <w:rFonts w:ascii="Cambria" w:hAnsi="Cambria" w:cs="Calibri"/>
          <w:bCs/>
          <w:sz w:val="20"/>
          <w:szCs w:val="20"/>
          <w:lang w:val="en-GB"/>
        </w:rPr>
        <w:t>:</w:t>
      </w:r>
      <w:r w:rsidR="00DE125A" w:rsidRPr="00DE125A">
        <w:rPr>
          <w:rFonts w:ascii="Cambria" w:hAnsi="Cambria" w:cs="Calibri"/>
          <w:bCs/>
          <w:sz w:val="20"/>
          <w:szCs w:val="20"/>
          <w:lang w:val="en-GB"/>
        </w:rPr>
        <w:t xml:space="preserve"> </w:t>
      </w:r>
      <w:r w:rsidRPr="00DE125A">
        <w:rPr>
          <w:rFonts w:ascii="Cambria" w:hAnsi="Cambria" w:cs="Calibri"/>
          <w:bCs/>
          <w:sz w:val="20"/>
          <w:szCs w:val="20"/>
          <w:lang w:val="en-GB"/>
        </w:rPr>
        <w:t xml:space="preserve">Although the UNDP has used this leverage to advocate for improvement of laws, systems and processes based on international standards and best practices and inclusion of a victim centric approach to service delivery, from the perspective of KPIs UNDP needs to play a more aggressive role to push forward reforms that may not always be a priority of the government of the day but a priority for beneficiaries. For instance, KPIs strongly believe that UNDP should advocate and strengthen the role of CSOs to create space for </w:t>
      </w:r>
      <w:r w:rsidR="00B5033C" w:rsidRPr="00DE125A">
        <w:rPr>
          <w:rFonts w:ascii="Cambria" w:hAnsi="Cambria" w:cs="Calibri"/>
          <w:bCs/>
          <w:sz w:val="20"/>
          <w:szCs w:val="20"/>
          <w:lang w:val="en-GB"/>
        </w:rPr>
        <w:t xml:space="preserve">initiatives on </w:t>
      </w:r>
      <w:r w:rsidRPr="00DE125A">
        <w:rPr>
          <w:rFonts w:ascii="Cambria" w:hAnsi="Cambria" w:cs="Calibri"/>
          <w:bCs/>
          <w:sz w:val="20"/>
          <w:szCs w:val="20"/>
          <w:lang w:val="en-GB"/>
        </w:rPr>
        <w:t xml:space="preserve">peacebuilding, reconciliation, inter religious harmony, prevention of violent extremism and TJ mechanisms such as reparations.   </w:t>
      </w:r>
    </w:p>
    <w:p w14:paraId="2A24B38B" w14:textId="77777777" w:rsidR="006B4BFE" w:rsidRPr="001B3E8B" w:rsidRDefault="006B4BFE" w:rsidP="006B4BFE">
      <w:pPr>
        <w:pStyle w:val="ListParagraph"/>
        <w:spacing w:line="360" w:lineRule="auto"/>
        <w:ind w:left="360"/>
        <w:jc w:val="both"/>
        <w:rPr>
          <w:rFonts w:ascii="Cambria" w:hAnsi="Cambria" w:cs="Calibri"/>
          <w:bCs/>
          <w:sz w:val="20"/>
          <w:szCs w:val="20"/>
          <w:lang w:val="en-GB"/>
        </w:rPr>
      </w:pPr>
    </w:p>
    <w:p w14:paraId="3201D756" w14:textId="6CA87DE0" w:rsidR="006B4BFE" w:rsidRPr="0006351C" w:rsidRDefault="00E93D22" w:rsidP="007959D6">
      <w:pPr>
        <w:pStyle w:val="ListParagraph"/>
        <w:numPr>
          <w:ilvl w:val="0"/>
          <w:numId w:val="23"/>
        </w:numPr>
        <w:spacing w:line="360" w:lineRule="auto"/>
        <w:jc w:val="both"/>
        <w:rPr>
          <w:rFonts w:ascii="Cambria" w:hAnsi="Cambria" w:cs="Arial"/>
          <w:color w:val="000000" w:themeColor="text1"/>
          <w:spacing w:val="4"/>
          <w:sz w:val="20"/>
          <w:szCs w:val="20"/>
          <w:shd w:val="clear" w:color="auto" w:fill="BCD9DE" w:themeFill="accent5" w:themeFillTint="66"/>
        </w:rPr>
      </w:pPr>
      <w:r w:rsidRPr="0006351C">
        <w:rPr>
          <w:rFonts w:ascii="Cambria" w:hAnsi="Cambria" w:cs="Calibri"/>
          <w:b/>
          <w:sz w:val="20"/>
          <w:szCs w:val="20"/>
          <w:lang w:val="en-GB"/>
        </w:rPr>
        <w:t xml:space="preserve">Increase </w:t>
      </w:r>
      <w:r w:rsidR="008145BD">
        <w:rPr>
          <w:rFonts w:ascii="Cambria" w:hAnsi="Cambria" w:cs="Calibri"/>
          <w:b/>
          <w:sz w:val="20"/>
          <w:szCs w:val="20"/>
          <w:lang w:val="en-GB"/>
        </w:rPr>
        <w:t>C</w:t>
      </w:r>
      <w:r w:rsidRPr="0006351C">
        <w:rPr>
          <w:rFonts w:ascii="Cambria" w:hAnsi="Cambria" w:cs="Calibri"/>
          <w:b/>
          <w:sz w:val="20"/>
          <w:szCs w:val="20"/>
          <w:lang w:val="en-GB"/>
        </w:rPr>
        <w:t xml:space="preserve">ollaboration and </w:t>
      </w:r>
      <w:r w:rsidR="008145BD">
        <w:rPr>
          <w:rFonts w:ascii="Cambria" w:hAnsi="Cambria" w:cs="Calibri"/>
          <w:b/>
          <w:sz w:val="20"/>
          <w:szCs w:val="20"/>
          <w:lang w:val="en-GB"/>
        </w:rPr>
        <w:t>C</w:t>
      </w:r>
      <w:r w:rsidRPr="0006351C">
        <w:rPr>
          <w:rFonts w:ascii="Cambria" w:hAnsi="Cambria" w:cs="Calibri"/>
          <w:b/>
          <w:sz w:val="20"/>
          <w:szCs w:val="20"/>
          <w:lang w:val="en-GB"/>
        </w:rPr>
        <w:t xml:space="preserve">oordination </w:t>
      </w:r>
      <w:r w:rsidR="008145BD">
        <w:rPr>
          <w:rFonts w:ascii="Cambria" w:hAnsi="Cambria" w:cs="Calibri"/>
          <w:b/>
          <w:sz w:val="20"/>
          <w:szCs w:val="20"/>
          <w:lang w:val="en-GB"/>
        </w:rPr>
        <w:t>E</w:t>
      </w:r>
      <w:r w:rsidRPr="0006351C">
        <w:rPr>
          <w:rFonts w:ascii="Cambria" w:hAnsi="Cambria" w:cs="Calibri"/>
          <w:b/>
          <w:sz w:val="20"/>
          <w:szCs w:val="20"/>
          <w:lang w:val="en-GB"/>
        </w:rPr>
        <w:t>fforts between U</w:t>
      </w:r>
      <w:r w:rsidR="008145BD">
        <w:rPr>
          <w:rFonts w:ascii="Cambria" w:hAnsi="Cambria" w:cs="Calibri"/>
          <w:b/>
          <w:sz w:val="20"/>
          <w:szCs w:val="20"/>
          <w:lang w:val="en-GB"/>
        </w:rPr>
        <w:t>N</w:t>
      </w:r>
      <w:r w:rsidRPr="0006351C">
        <w:rPr>
          <w:rFonts w:ascii="Cambria" w:hAnsi="Cambria" w:cs="Calibri"/>
          <w:b/>
          <w:sz w:val="20"/>
          <w:szCs w:val="20"/>
          <w:lang w:val="en-GB"/>
        </w:rPr>
        <w:t xml:space="preserve"> Agencies under the ‘</w:t>
      </w:r>
      <w:r w:rsidR="006B4BFE" w:rsidRPr="0006351C">
        <w:rPr>
          <w:rFonts w:ascii="Cambria" w:hAnsi="Cambria" w:cs="Calibri"/>
          <w:b/>
          <w:sz w:val="20"/>
          <w:szCs w:val="20"/>
          <w:lang w:val="en-GB"/>
        </w:rPr>
        <w:t>One UN Policy</w:t>
      </w:r>
      <w:r w:rsidRPr="0006351C">
        <w:rPr>
          <w:rFonts w:ascii="Cambria" w:hAnsi="Cambria" w:cs="Calibri"/>
          <w:b/>
          <w:sz w:val="20"/>
          <w:szCs w:val="20"/>
          <w:lang w:val="en-GB"/>
        </w:rPr>
        <w:t>’</w:t>
      </w:r>
      <w:r w:rsidR="006B4BFE" w:rsidRPr="0006351C">
        <w:rPr>
          <w:rFonts w:ascii="Cambria" w:hAnsi="Cambria" w:cs="Calibri"/>
          <w:b/>
          <w:sz w:val="20"/>
          <w:szCs w:val="20"/>
          <w:lang w:val="en-GB"/>
        </w:rPr>
        <w:t>:</w:t>
      </w:r>
      <w:r w:rsidR="006B4BFE" w:rsidRPr="0006351C">
        <w:rPr>
          <w:rFonts w:ascii="Cambria" w:hAnsi="Cambria" w:cs="Calibri"/>
          <w:bCs/>
          <w:sz w:val="20"/>
          <w:szCs w:val="20"/>
          <w:lang w:val="en-GB"/>
        </w:rPr>
        <w:t xml:space="preserve"> </w:t>
      </w:r>
      <w:r w:rsidR="0006351C">
        <w:rPr>
          <w:rFonts w:ascii="Cambria" w:hAnsi="Cambria" w:cs="Calibri"/>
          <w:bCs/>
          <w:sz w:val="20"/>
          <w:szCs w:val="20"/>
          <w:lang w:val="en-GB"/>
        </w:rPr>
        <w:t>M</w:t>
      </w:r>
      <w:r w:rsidR="006B4BFE" w:rsidRPr="0006351C">
        <w:rPr>
          <w:rFonts w:ascii="Cambria" w:hAnsi="Cambria" w:cs="Calibri"/>
          <w:bCs/>
          <w:sz w:val="20"/>
          <w:szCs w:val="20"/>
          <w:lang w:val="en-GB"/>
        </w:rPr>
        <w:t>ore effective coordination and cooperation may be required in the second phase to improve effectiveness and impact. Discussions with IPs highlighted that, t</w:t>
      </w:r>
      <w:r w:rsidR="006B4BFE" w:rsidRPr="0006351C">
        <w:rPr>
          <w:rFonts w:ascii="Cambria" w:hAnsi="Cambria" w:cs="Arial"/>
          <w:color w:val="000000" w:themeColor="text1"/>
          <w:spacing w:val="4"/>
          <w:sz w:val="20"/>
          <w:szCs w:val="20"/>
        </w:rPr>
        <w:t xml:space="preserve">here are instances where there is considerable overlap between activities and overlap of support to IPs, namely the MWCA. This may be illustrated by the convergence of activities relating to SGBV by UNFPA and UNDP. Both agencies support to eliminate SGBV and harmful practices by initiatives through the MWCA. Both agencies support CSOs </w:t>
      </w:r>
      <w:r w:rsidR="006B4BFE" w:rsidRPr="0006351C">
        <w:rPr>
          <w:rFonts w:ascii="Cambria" w:hAnsi="Cambria" w:cs="Arial"/>
          <w:color w:val="000000" w:themeColor="text1"/>
          <w:spacing w:val="4"/>
          <w:sz w:val="20"/>
          <w:szCs w:val="20"/>
        </w:rPr>
        <w:lastRenderedPageBreak/>
        <w:t>to provide shelter facilities and operate referral pathways, which are similar in nature but implemented through different modalities. IPs stressed the possibility of agencies coordinating areas of work, best suited to their core strengths. For example, UNDP is best suited to focus support on legal protection services and strengthening the justice sector to minimise SGBV. Feedback from DPs also indicate a strong willingness to collaborate in areas of complementarity each focusing on their exclusive niche and experience, which should be maximised during the second phase</w:t>
      </w:r>
      <w:r w:rsidR="006B4BFE" w:rsidRPr="0006351C">
        <w:rPr>
          <w:rFonts w:ascii="Cambria" w:hAnsi="Cambria" w:cs="Arial"/>
          <w:color w:val="000000" w:themeColor="text1"/>
          <w:spacing w:val="4"/>
          <w:sz w:val="20"/>
          <w:szCs w:val="20"/>
          <w:shd w:val="clear" w:color="auto" w:fill="BCD9DE" w:themeFill="accent5" w:themeFillTint="66"/>
        </w:rPr>
        <w:t>.</w:t>
      </w:r>
    </w:p>
    <w:p w14:paraId="0BAEDE9A" w14:textId="561AB494" w:rsidR="006B4BFE" w:rsidRPr="001B77B2" w:rsidRDefault="006B4BFE" w:rsidP="006B4BFE">
      <w:pPr>
        <w:pStyle w:val="ListParagraph"/>
        <w:numPr>
          <w:ilvl w:val="0"/>
          <w:numId w:val="23"/>
        </w:numPr>
        <w:spacing w:line="360" w:lineRule="auto"/>
        <w:jc w:val="both"/>
        <w:rPr>
          <w:rFonts w:ascii="Cambria" w:hAnsi="Cambria" w:cs="Calibri"/>
          <w:bCs/>
          <w:sz w:val="20"/>
          <w:szCs w:val="20"/>
          <w:lang w:val="en-GB"/>
        </w:rPr>
      </w:pPr>
      <w:r w:rsidRPr="001B77B2">
        <w:rPr>
          <w:rFonts w:ascii="Cambria" w:hAnsi="Cambria" w:cs="Calibri"/>
          <w:bCs/>
          <w:sz w:val="20"/>
          <w:szCs w:val="20"/>
          <w:lang w:val="en-GB"/>
        </w:rPr>
        <w:t>Although there is willingness to undertake collaborative tasks and share resources and contacts within UN agencies and although there are examples of that in practice, IPs and KPIs recognise the need for greater engagement across UN agencies for sector wide approach to governance, justice, development and peacebuilding issues</w:t>
      </w:r>
      <w:r w:rsidR="00455AD7">
        <w:rPr>
          <w:rFonts w:ascii="Cambria" w:hAnsi="Cambria" w:cs="Calibri"/>
          <w:bCs/>
          <w:sz w:val="20"/>
          <w:szCs w:val="20"/>
          <w:lang w:val="en-GB"/>
        </w:rPr>
        <w:t xml:space="preserve"> as well as greater coordination and engagement between UNDP and other development agencies</w:t>
      </w:r>
      <w:r w:rsidRPr="001B77B2">
        <w:rPr>
          <w:rFonts w:ascii="Cambria" w:hAnsi="Cambria" w:cs="Calibri"/>
          <w:bCs/>
          <w:sz w:val="20"/>
          <w:szCs w:val="20"/>
          <w:lang w:val="en-GB"/>
        </w:rPr>
        <w:t xml:space="preserve">. </w:t>
      </w:r>
    </w:p>
    <w:p w14:paraId="4E9E840D" w14:textId="77777777" w:rsidR="006B4BFE" w:rsidRDefault="006B4BFE" w:rsidP="006B4BFE">
      <w:pPr>
        <w:spacing w:line="360" w:lineRule="auto"/>
        <w:jc w:val="both"/>
        <w:rPr>
          <w:rFonts w:ascii="Cambria" w:hAnsi="Cambria"/>
          <w:sz w:val="20"/>
          <w:szCs w:val="20"/>
        </w:rPr>
      </w:pPr>
    </w:p>
    <w:p w14:paraId="4C688B1C" w14:textId="77777777" w:rsidR="00382699" w:rsidRDefault="00604381" w:rsidP="00382699">
      <w:pPr>
        <w:pStyle w:val="ListParagraph"/>
        <w:numPr>
          <w:ilvl w:val="0"/>
          <w:numId w:val="20"/>
        </w:numPr>
        <w:spacing w:line="360" w:lineRule="auto"/>
        <w:jc w:val="both"/>
        <w:rPr>
          <w:rFonts w:ascii="Cambria" w:hAnsi="Cambria" w:cstheme="minorHAnsi"/>
          <w:sz w:val="20"/>
          <w:szCs w:val="20"/>
        </w:rPr>
      </w:pPr>
      <w:r>
        <w:rPr>
          <w:rFonts w:ascii="Cambria" w:hAnsi="Cambria"/>
          <w:b/>
          <w:bCs/>
          <w:sz w:val="20"/>
          <w:szCs w:val="20"/>
        </w:rPr>
        <w:t xml:space="preserve">The Portfolio should Adopt an </w:t>
      </w:r>
      <w:r w:rsidR="006B4BFE" w:rsidRPr="00AF645C">
        <w:rPr>
          <w:rFonts w:ascii="Cambria" w:hAnsi="Cambria"/>
          <w:b/>
          <w:bCs/>
          <w:sz w:val="20"/>
          <w:szCs w:val="20"/>
        </w:rPr>
        <w:t xml:space="preserve">Integrated Approach </w:t>
      </w:r>
      <w:r>
        <w:rPr>
          <w:rFonts w:ascii="Cambria" w:hAnsi="Cambria"/>
          <w:b/>
          <w:bCs/>
          <w:sz w:val="20"/>
          <w:szCs w:val="20"/>
        </w:rPr>
        <w:t>A</w:t>
      </w:r>
      <w:r w:rsidR="006B4BFE" w:rsidRPr="00AF645C">
        <w:rPr>
          <w:rFonts w:ascii="Cambria" w:hAnsi="Cambria"/>
          <w:b/>
          <w:bCs/>
          <w:sz w:val="20"/>
          <w:szCs w:val="20"/>
        </w:rPr>
        <w:t>cross the Three Pillars:</w:t>
      </w:r>
      <w:r w:rsidR="006B4BFE" w:rsidRPr="00AF645C">
        <w:rPr>
          <w:rFonts w:ascii="Cambria" w:hAnsi="Cambria"/>
          <w:sz w:val="20"/>
          <w:szCs w:val="20"/>
        </w:rPr>
        <w:t xml:space="preserve"> </w:t>
      </w:r>
      <w:r w:rsidR="006B4BFE" w:rsidRPr="00AF645C">
        <w:rPr>
          <w:rFonts w:ascii="Cambria" w:eastAsia="Times New Roman" w:hAnsi="Cambria" w:cs="Arial"/>
          <w:color w:val="222222"/>
          <w:sz w:val="20"/>
          <w:szCs w:val="20"/>
        </w:rPr>
        <w:t xml:space="preserve">Better integration across Pillars has the potential to enhance relevance, effectiveness, efficiency, impact and sustainability of activities in the second phase of the Portfolio. For instance, </w:t>
      </w:r>
      <w:r w:rsidR="006B4BFE" w:rsidRPr="00AF645C">
        <w:rPr>
          <w:rFonts w:ascii="Cambria" w:hAnsi="Cambria" w:cstheme="minorHAnsi"/>
          <w:sz w:val="20"/>
          <w:szCs w:val="20"/>
        </w:rPr>
        <w:t>the strategy to engage with communities, especially traditionally excluded communities</w:t>
      </w:r>
      <w:r w:rsidR="00382699">
        <w:rPr>
          <w:rFonts w:ascii="Cambria" w:hAnsi="Cambria" w:cstheme="minorHAnsi"/>
          <w:sz w:val="20"/>
          <w:szCs w:val="20"/>
        </w:rPr>
        <w:t>,</w:t>
      </w:r>
      <w:r w:rsidR="006B4BFE" w:rsidRPr="00AF645C">
        <w:rPr>
          <w:rFonts w:ascii="Cambria" w:hAnsi="Cambria" w:cstheme="minorHAnsi"/>
          <w:sz w:val="20"/>
          <w:szCs w:val="20"/>
        </w:rPr>
        <w:t xml:space="preserve"> either through CSOs or Media or through other mediums is crucial</w:t>
      </w:r>
      <w:r w:rsidR="00382699">
        <w:rPr>
          <w:rFonts w:ascii="Cambria" w:hAnsi="Cambria" w:cstheme="minorHAnsi"/>
          <w:sz w:val="20"/>
          <w:szCs w:val="20"/>
        </w:rPr>
        <w:t>,</w:t>
      </w:r>
      <w:r w:rsidR="006B4BFE" w:rsidRPr="00AF645C">
        <w:rPr>
          <w:rFonts w:ascii="Cambria" w:hAnsi="Cambria" w:cstheme="minorHAnsi"/>
          <w:sz w:val="20"/>
          <w:szCs w:val="20"/>
        </w:rPr>
        <w:t xml:space="preserve"> for medium to long term results of activities. </w:t>
      </w:r>
    </w:p>
    <w:p w14:paraId="5DA61DA6" w14:textId="07A2CFE4" w:rsidR="006B4BFE" w:rsidRPr="00AF645C" w:rsidRDefault="006B4BFE" w:rsidP="00081358">
      <w:pPr>
        <w:pStyle w:val="ListParagraph"/>
        <w:numPr>
          <w:ilvl w:val="0"/>
          <w:numId w:val="94"/>
        </w:numPr>
        <w:spacing w:line="360" w:lineRule="auto"/>
        <w:jc w:val="both"/>
        <w:rPr>
          <w:rFonts w:ascii="Cambria" w:hAnsi="Cambria" w:cstheme="minorHAnsi"/>
          <w:sz w:val="20"/>
          <w:szCs w:val="20"/>
        </w:rPr>
      </w:pPr>
      <w:r w:rsidRPr="00AF645C">
        <w:rPr>
          <w:rFonts w:ascii="Cambria" w:hAnsi="Cambria" w:cstheme="minorHAnsi"/>
          <w:sz w:val="20"/>
          <w:szCs w:val="20"/>
        </w:rPr>
        <w:t>Strategies engaged under Pillar Two for gender inclusion or strategies engaged by Pillar three for peacebuilding and reconciliation efforts should be assessed</w:t>
      </w:r>
      <w:r w:rsidR="00382699">
        <w:rPr>
          <w:rFonts w:ascii="Cambria" w:hAnsi="Cambria" w:cstheme="minorHAnsi"/>
          <w:sz w:val="20"/>
          <w:szCs w:val="20"/>
        </w:rPr>
        <w:t>,</w:t>
      </w:r>
      <w:r w:rsidRPr="00AF645C">
        <w:rPr>
          <w:rFonts w:ascii="Cambria" w:hAnsi="Cambria" w:cstheme="minorHAnsi"/>
          <w:sz w:val="20"/>
          <w:szCs w:val="20"/>
        </w:rPr>
        <w:t xml:space="preserve"> for a cohesive plan for CSO engagement for the Portfolio. The CSO engagement for monitoring and implementing the SDGs</w:t>
      </w:r>
      <w:r w:rsidR="00382699">
        <w:rPr>
          <w:rFonts w:ascii="Cambria" w:hAnsi="Cambria" w:cstheme="minorHAnsi"/>
          <w:sz w:val="20"/>
          <w:szCs w:val="20"/>
        </w:rPr>
        <w:t>,</w:t>
      </w:r>
      <w:r w:rsidRPr="00AF645C">
        <w:rPr>
          <w:rFonts w:ascii="Cambria" w:hAnsi="Cambria" w:cstheme="minorHAnsi"/>
          <w:sz w:val="20"/>
          <w:szCs w:val="20"/>
        </w:rPr>
        <w:t xml:space="preserve"> developed by UNDP in December 2019</w:t>
      </w:r>
      <w:r w:rsidR="00382699">
        <w:rPr>
          <w:rFonts w:ascii="Cambria" w:hAnsi="Cambria" w:cstheme="minorHAnsi"/>
          <w:sz w:val="20"/>
          <w:szCs w:val="20"/>
        </w:rPr>
        <w:t>,</w:t>
      </w:r>
      <w:r w:rsidRPr="00AF645C">
        <w:rPr>
          <w:rFonts w:ascii="Cambria" w:hAnsi="Cambria" w:cstheme="minorHAnsi"/>
          <w:sz w:val="20"/>
          <w:szCs w:val="20"/>
        </w:rPr>
        <w:t xml:space="preserve"> should be considered as a guide. Further</w:t>
      </w:r>
      <w:r w:rsidR="00382699">
        <w:rPr>
          <w:rFonts w:ascii="Cambria" w:hAnsi="Cambria" w:cstheme="minorHAnsi"/>
          <w:sz w:val="20"/>
          <w:szCs w:val="20"/>
        </w:rPr>
        <w:t>,</w:t>
      </w:r>
      <w:r w:rsidRPr="00AF645C">
        <w:rPr>
          <w:rFonts w:ascii="Cambria" w:hAnsi="Cambria" w:cstheme="minorHAnsi"/>
          <w:sz w:val="20"/>
          <w:szCs w:val="20"/>
        </w:rPr>
        <w:t xml:space="preserve"> it is imperative to expand the CSO base to forge new partnerships, specifically identifying CSOs that</w:t>
      </w:r>
      <w:r w:rsidR="00382699">
        <w:rPr>
          <w:rFonts w:ascii="Cambria" w:hAnsi="Cambria" w:cstheme="minorHAnsi"/>
          <w:sz w:val="20"/>
          <w:szCs w:val="20"/>
        </w:rPr>
        <w:t>,</w:t>
      </w:r>
      <w:r w:rsidRPr="00AF645C">
        <w:rPr>
          <w:rFonts w:ascii="Cambria" w:hAnsi="Cambria" w:cstheme="minorHAnsi"/>
          <w:sz w:val="20"/>
          <w:szCs w:val="20"/>
        </w:rPr>
        <w:t xml:space="preserve"> work on parliamentary reforms, youth parliament, universities and colleges, etc. and to strengthen them to be effective monitoring and reporting bodies. </w:t>
      </w:r>
    </w:p>
    <w:p w14:paraId="48CC5BF2" w14:textId="3F003FCE" w:rsidR="006B4BFE" w:rsidRDefault="006B4BFE" w:rsidP="00081358">
      <w:pPr>
        <w:pStyle w:val="ListParagraph"/>
        <w:numPr>
          <w:ilvl w:val="0"/>
          <w:numId w:val="94"/>
        </w:numPr>
        <w:spacing w:before="180" w:after="180" w:line="360" w:lineRule="auto"/>
        <w:jc w:val="both"/>
        <w:rPr>
          <w:rFonts w:ascii="Cambria" w:hAnsi="Cambria" w:cs="Calibri"/>
          <w:bCs/>
          <w:sz w:val="20"/>
          <w:szCs w:val="20"/>
          <w:lang w:val="en-GB"/>
        </w:rPr>
      </w:pPr>
      <w:r w:rsidRPr="00AF645C">
        <w:rPr>
          <w:rFonts w:ascii="Cambria" w:hAnsi="Cambria" w:cs="Calibri"/>
          <w:bCs/>
          <w:sz w:val="20"/>
          <w:szCs w:val="20"/>
          <w:lang w:val="en-GB"/>
        </w:rPr>
        <w:t>Since Capacity building is a cross cutting issue identified by the Portfolio, all three pillars should follow a coherent amalgamated approach to capacity building, particularly in terms of advocacy and outreach</w:t>
      </w:r>
      <w:r w:rsidR="00A063F9">
        <w:rPr>
          <w:rFonts w:ascii="Cambria" w:hAnsi="Cambria" w:cs="Calibri"/>
          <w:bCs/>
          <w:sz w:val="20"/>
          <w:szCs w:val="20"/>
          <w:lang w:val="en-GB"/>
        </w:rPr>
        <w:t>.</w:t>
      </w:r>
      <w:r w:rsidRPr="00AF645C">
        <w:rPr>
          <w:rFonts w:ascii="Cambria" w:hAnsi="Cambria" w:cs="Calibri"/>
          <w:bCs/>
          <w:sz w:val="20"/>
          <w:szCs w:val="20"/>
          <w:lang w:val="en-GB"/>
        </w:rPr>
        <w:t xml:space="preserve"> </w:t>
      </w:r>
      <w:r w:rsidR="00A063F9">
        <w:rPr>
          <w:rFonts w:ascii="Cambria" w:hAnsi="Cambria" w:cs="Calibri"/>
          <w:bCs/>
          <w:sz w:val="20"/>
          <w:szCs w:val="20"/>
          <w:lang w:val="en-GB"/>
        </w:rPr>
        <w:t>F</w:t>
      </w:r>
      <w:r w:rsidRPr="00AF645C">
        <w:rPr>
          <w:rFonts w:ascii="Cambria" w:hAnsi="Cambria" w:cs="Calibri"/>
          <w:bCs/>
          <w:sz w:val="20"/>
          <w:szCs w:val="20"/>
          <w:lang w:val="en-GB"/>
        </w:rPr>
        <w:t>irstly</w:t>
      </w:r>
      <w:r w:rsidR="00A063F9">
        <w:rPr>
          <w:rFonts w:ascii="Cambria" w:hAnsi="Cambria" w:cs="Calibri"/>
          <w:bCs/>
          <w:sz w:val="20"/>
          <w:szCs w:val="20"/>
          <w:lang w:val="en-GB"/>
        </w:rPr>
        <w:t>,</w:t>
      </w:r>
      <w:r w:rsidRPr="00AF645C">
        <w:rPr>
          <w:rFonts w:ascii="Cambria" w:hAnsi="Cambria" w:cs="Calibri"/>
          <w:bCs/>
          <w:sz w:val="20"/>
          <w:szCs w:val="20"/>
          <w:lang w:val="en-GB"/>
        </w:rPr>
        <w:t xml:space="preserve"> to provide a holistic and integrated service to beneficiaries</w:t>
      </w:r>
      <w:r w:rsidR="00D86589">
        <w:rPr>
          <w:rFonts w:ascii="Cambria" w:hAnsi="Cambria" w:cs="Calibri"/>
          <w:bCs/>
          <w:sz w:val="20"/>
          <w:szCs w:val="20"/>
          <w:lang w:val="en-GB"/>
        </w:rPr>
        <w:t>,</w:t>
      </w:r>
      <w:r w:rsidRPr="00AF645C">
        <w:rPr>
          <w:rFonts w:ascii="Cambria" w:hAnsi="Cambria" w:cs="Calibri"/>
          <w:bCs/>
          <w:sz w:val="20"/>
          <w:szCs w:val="20"/>
          <w:lang w:val="en-GB"/>
        </w:rPr>
        <w:t xml:space="preserve"> which includes livelihood support and legal protection</w:t>
      </w:r>
      <w:r w:rsidR="00D86589">
        <w:rPr>
          <w:rFonts w:ascii="Cambria" w:hAnsi="Cambria" w:cs="Calibri"/>
          <w:bCs/>
          <w:sz w:val="20"/>
          <w:szCs w:val="20"/>
          <w:lang w:val="en-GB"/>
        </w:rPr>
        <w:t>. S</w:t>
      </w:r>
      <w:r w:rsidRPr="00AF645C">
        <w:rPr>
          <w:rFonts w:ascii="Cambria" w:hAnsi="Cambria" w:cs="Calibri"/>
          <w:bCs/>
          <w:sz w:val="20"/>
          <w:szCs w:val="20"/>
          <w:lang w:val="en-GB"/>
        </w:rPr>
        <w:t>econdly, to expand and diversify outreach to capture the most vulnerable groups</w:t>
      </w:r>
      <w:r w:rsidR="00D86589">
        <w:rPr>
          <w:rFonts w:ascii="Cambria" w:hAnsi="Cambria" w:cs="Calibri"/>
          <w:bCs/>
          <w:sz w:val="20"/>
          <w:szCs w:val="20"/>
          <w:lang w:val="en-GB"/>
        </w:rPr>
        <w:t>. T</w:t>
      </w:r>
      <w:r w:rsidRPr="00AF645C">
        <w:rPr>
          <w:rFonts w:ascii="Cambria" w:hAnsi="Cambria" w:cs="Calibri"/>
          <w:bCs/>
          <w:sz w:val="20"/>
          <w:szCs w:val="20"/>
          <w:lang w:val="en-GB"/>
        </w:rPr>
        <w:t>hirdly to strengthen the institutional capacity of CSOs linking with state and non-state actors</w:t>
      </w:r>
      <w:r w:rsidR="00D86589">
        <w:rPr>
          <w:rFonts w:ascii="Cambria" w:hAnsi="Cambria" w:cs="Calibri"/>
          <w:bCs/>
          <w:sz w:val="20"/>
          <w:szCs w:val="20"/>
          <w:lang w:val="en-GB"/>
        </w:rPr>
        <w:t>,</w:t>
      </w:r>
      <w:r w:rsidRPr="00AF645C">
        <w:rPr>
          <w:rFonts w:ascii="Cambria" w:hAnsi="Cambria" w:cs="Calibri"/>
          <w:bCs/>
          <w:sz w:val="20"/>
          <w:szCs w:val="20"/>
          <w:lang w:val="en-GB"/>
        </w:rPr>
        <w:t xml:space="preserve"> for improved coordination and participation using UNDP core strength as connector</w:t>
      </w:r>
      <w:r w:rsidR="00D86589">
        <w:rPr>
          <w:rFonts w:ascii="Cambria" w:hAnsi="Cambria" w:cs="Calibri"/>
          <w:bCs/>
          <w:sz w:val="20"/>
          <w:szCs w:val="20"/>
          <w:lang w:val="en-GB"/>
        </w:rPr>
        <w:t xml:space="preserve"> </w:t>
      </w:r>
      <w:r w:rsidRPr="00AF645C">
        <w:rPr>
          <w:rFonts w:ascii="Cambria" w:hAnsi="Cambria" w:cs="Calibri"/>
          <w:bCs/>
          <w:sz w:val="20"/>
          <w:szCs w:val="20"/>
          <w:lang w:val="en-GB"/>
        </w:rPr>
        <w:t xml:space="preserve">and fourthly contributing to livelihood, peacebuilding, reconciliation and prevention of violent extremism work by improving processes through international best practices and standards. </w:t>
      </w:r>
    </w:p>
    <w:p w14:paraId="62F0294E" w14:textId="094B09AA" w:rsidR="006B4BFE" w:rsidRDefault="006B4BFE" w:rsidP="00081358">
      <w:pPr>
        <w:pStyle w:val="ListParagraph"/>
        <w:numPr>
          <w:ilvl w:val="0"/>
          <w:numId w:val="94"/>
        </w:numPr>
        <w:spacing w:before="180" w:after="180" w:line="360" w:lineRule="auto"/>
        <w:jc w:val="both"/>
        <w:rPr>
          <w:rFonts w:ascii="Cambria" w:hAnsi="Cambria" w:cs="Calibri"/>
          <w:bCs/>
          <w:sz w:val="20"/>
          <w:szCs w:val="20"/>
          <w:lang w:val="en-GB"/>
        </w:rPr>
      </w:pPr>
      <w:r w:rsidRPr="00AF645C">
        <w:rPr>
          <w:rFonts w:ascii="Cambria" w:hAnsi="Cambria" w:cs="Calibri"/>
          <w:bCs/>
          <w:sz w:val="20"/>
          <w:szCs w:val="20"/>
          <w:lang w:val="en-GB"/>
        </w:rPr>
        <w:t>Interestingly Pillar Three also contains several initiatives to promote GEWE</w:t>
      </w:r>
      <w:r w:rsidR="00D86589">
        <w:rPr>
          <w:rFonts w:ascii="Cambria" w:hAnsi="Cambria" w:cs="Calibri"/>
          <w:bCs/>
          <w:sz w:val="20"/>
          <w:szCs w:val="20"/>
          <w:lang w:val="en-GB"/>
        </w:rPr>
        <w:t xml:space="preserve">, This is done </w:t>
      </w:r>
      <w:r w:rsidRPr="00AF645C">
        <w:rPr>
          <w:rFonts w:ascii="Cambria" w:hAnsi="Cambria" w:cs="Calibri"/>
          <w:bCs/>
          <w:sz w:val="20"/>
          <w:szCs w:val="20"/>
          <w:lang w:val="en-GB"/>
        </w:rPr>
        <w:t xml:space="preserve">by influencing policy, legislative and pragmatic action on sexual bribery and sexual exploitation, support to newly formed Sexual </w:t>
      </w:r>
      <w:r w:rsidR="00D86589">
        <w:rPr>
          <w:rFonts w:ascii="Cambria" w:hAnsi="Cambria" w:cs="Calibri"/>
          <w:bCs/>
          <w:sz w:val="20"/>
          <w:szCs w:val="20"/>
          <w:lang w:val="en-GB"/>
        </w:rPr>
        <w:t>H</w:t>
      </w:r>
      <w:r w:rsidRPr="00AF645C">
        <w:rPr>
          <w:rFonts w:ascii="Cambria" w:hAnsi="Cambria" w:cs="Calibri"/>
          <w:bCs/>
          <w:sz w:val="20"/>
          <w:szCs w:val="20"/>
          <w:lang w:val="en-GB"/>
        </w:rPr>
        <w:t xml:space="preserve">arassment </w:t>
      </w:r>
      <w:r w:rsidR="00D86589">
        <w:rPr>
          <w:rFonts w:ascii="Cambria" w:hAnsi="Cambria" w:cs="Calibri"/>
          <w:bCs/>
          <w:sz w:val="20"/>
          <w:szCs w:val="20"/>
          <w:lang w:val="en-GB"/>
        </w:rPr>
        <w:t>C</w:t>
      </w:r>
      <w:r w:rsidRPr="00AF645C">
        <w:rPr>
          <w:rFonts w:ascii="Cambria" w:hAnsi="Cambria" w:cs="Calibri"/>
          <w:bCs/>
          <w:sz w:val="20"/>
          <w:szCs w:val="20"/>
          <w:lang w:val="en-GB"/>
        </w:rPr>
        <w:t xml:space="preserve">ommittees in public institutions and supporting women through livelihood and rural </w:t>
      </w:r>
      <w:r w:rsidRPr="00AF645C">
        <w:rPr>
          <w:rFonts w:ascii="Cambria" w:hAnsi="Cambria" w:cs="Calibri"/>
          <w:bCs/>
          <w:sz w:val="20"/>
          <w:szCs w:val="20"/>
          <w:lang w:val="en-GB"/>
        </w:rPr>
        <w:lastRenderedPageBreak/>
        <w:t xml:space="preserve">development projects. These areas overlap with Outputs 2.2 and therefore should be merged to increase effectiveness and impact.  </w:t>
      </w:r>
    </w:p>
    <w:p w14:paraId="326D7FBC" w14:textId="77777777" w:rsidR="006B4BFE" w:rsidRDefault="006B4BFE" w:rsidP="006B4BFE">
      <w:pPr>
        <w:pStyle w:val="ListParagraph"/>
        <w:spacing w:line="360" w:lineRule="auto"/>
        <w:ind w:left="360"/>
        <w:jc w:val="both"/>
        <w:rPr>
          <w:rFonts w:ascii="Cambria" w:hAnsi="Cambria" w:cs="Calibri"/>
          <w:bCs/>
          <w:sz w:val="20"/>
          <w:szCs w:val="20"/>
          <w:lang w:val="en-GB"/>
        </w:rPr>
      </w:pPr>
    </w:p>
    <w:p w14:paraId="2DCA2671" w14:textId="4007F608" w:rsidR="006B4BFE" w:rsidRPr="000E2ED3" w:rsidRDefault="00D30578" w:rsidP="00081358">
      <w:pPr>
        <w:pStyle w:val="ListParagraph"/>
        <w:numPr>
          <w:ilvl w:val="0"/>
          <w:numId w:val="74"/>
        </w:numPr>
        <w:spacing w:line="360" w:lineRule="auto"/>
        <w:jc w:val="both"/>
        <w:rPr>
          <w:rFonts w:ascii="Cambria" w:hAnsi="Cambria" w:cs="Calibri"/>
          <w:bCs/>
          <w:sz w:val="20"/>
          <w:szCs w:val="20"/>
          <w:lang w:val="en-GB"/>
        </w:rPr>
      </w:pPr>
      <w:r w:rsidRPr="000E2ED3">
        <w:rPr>
          <w:rFonts w:ascii="Cambria" w:hAnsi="Cambria" w:cs="Calibri"/>
          <w:b/>
          <w:sz w:val="20"/>
          <w:szCs w:val="20"/>
          <w:lang w:val="en-GB"/>
        </w:rPr>
        <w:t xml:space="preserve">Ensure </w:t>
      </w:r>
      <w:r w:rsidR="001B62AA" w:rsidRPr="000E2ED3">
        <w:rPr>
          <w:rFonts w:ascii="Cambria" w:hAnsi="Cambria" w:cs="Calibri"/>
          <w:b/>
          <w:sz w:val="20"/>
          <w:szCs w:val="20"/>
          <w:lang w:val="en-GB"/>
        </w:rPr>
        <w:t xml:space="preserve">Greater </w:t>
      </w:r>
      <w:r w:rsidRPr="000E2ED3">
        <w:rPr>
          <w:rFonts w:ascii="Cambria" w:hAnsi="Cambria" w:cs="Calibri"/>
          <w:b/>
          <w:sz w:val="20"/>
          <w:szCs w:val="20"/>
          <w:lang w:val="en-GB"/>
        </w:rPr>
        <w:t>A</w:t>
      </w:r>
      <w:r w:rsidR="006B4BFE" w:rsidRPr="000E2ED3">
        <w:rPr>
          <w:rFonts w:ascii="Cambria" w:hAnsi="Cambria" w:cs="Calibri"/>
          <w:b/>
          <w:sz w:val="20"/>
          <w:szCs w:val="20"/>
          <w:lang w:val="en-GB"/>
        </w:rPr>
        <w:t xml:space="preserve">lignment to </w:t>
      </w:r>
      <w:r w:rsidR="001B62AA" w:rsidRPr="000E2ED3">
        <w:rPr>
          <w:rFonts w:ascii="Cambria" w:hAnsi="Cambria" w:cs="Calibri"/>
          <w:b/>
          <w:sz w:val="20"/>
          <w:szCs w:val="20"/>
          <w:lang w:val="en-GB"/>
        </w:rPr>
        <w:t xml:space="preserve">Anti-Corruption and Climate Change as </w:t>
      </w:r>
      <w:r w:rsidR="00D92958" w:rsidRPr="000E2ED3">
        <w:rPr>
          <w:rFonts w:ascii="Cambria" w:hAnsi="Cambria" w:cs="Calibri"/>
          <w:b/>
          <w:sz w:val="20"/>
          <w:szCs w:val="20"/>
          <w:lang w:val="en-GB"/>
        </w:rPr>
        <w:t>Cross Cutting Issues</w:t>
      </w:r>
      <w:r w:rsidR="006B4BFE" w:rsidRPr="000E2ED3">
        <w:rPr>
          <w:rFonts w:ascii="Cambria" w:hAnsi="Cambria" w:cs="Calibri"/>
          <w:b/>
          <w:sz w:val="20"/>
          <w:szCs w:val="20"/>
          <w:lang w:val="en-GB"/>
        </w:rPr>
        <w:t xml:space="preserve">: </w:t>
      </w:r>
      <w:bookmarkStart w:id="53" w:name="_Hlk59436560"/>
      <w:r w:rsidR="00D92958" w:rsidRPr="000E2ED3">
        <w:rPr>
          <w:rFonts w:ascii="Cambria" w:hAnsi="Cambria"/>
          <w:color w:val="000000" w:themeColor="text1"/>
          <w:sz w:val="20"/>
          <w:szCs w:val="20"/>
        </w:rPr>
        <w:t xml:space="preserve">KPIs noted that there should be a stronger alignment to climate change </w:t>
      </w:r>
      <w:r w:rsidR="00097F48" w:rsidRPr="000E2ED3">
        <w:rPr>
          <w:rFonts w:ascii="Cambria" w:hAnsi="Cambria"/>
          <w:color w:val="000000" w:themeColor="text1"/>
          <w:sz w:val="20"/>
          <w:szCs w:val="20"/>
        </w:rPr>
        <w:t xml:space="preserve">recognised under Output 2.1. of CPD </w:t>
      </w:r>
      <w:r w:rsidR="00D92958" w:rsidRPr="000E2ED3">
        <w:rPr>
          <w:rFonts w:ascii="Cambria" w:hAnsi="Cambria"/>
          <w:color w:val="000000" w:themeColor="text1"/>
          <w:sz w:val="20"/>
          <w:szCs w:val="20"/>
        </w:rPr>
        <w:t>and</w:t>
      </w:r>
      <w:r w:rsidR="00097F48" w:rsidRPr="000E2ED3">
        <w:rPr>
          <w:rFonts w:ascii="Cambria" w:hAnsi="Cambria"/>
          <w:color w:val="000000" w:themeColor="text1"/>
          <w:sz w:val="20"/>
          <w:szCs w:val="20"/>
        </w:rPr>
        <w:t xml:space="preserve"> Anti-Corruption recognised as an important policy area of the government under its national policy.</w:t>
      </w:r>
      <w:bookmarkEnd w:id="53"/>
      <w:r w:rsidR="00097F48" w:rsidRPr="000E2ED3">
        <w:rPr>
          <w:rFonts w:ascii="Cambria" w:hAnsi="Cambria"/>
          <w:color w:val="000000" w:themeColor="text1"/>
          <w:sz w:val="20"/>
          <w:szCs w:val="20"/>
        </w:rPr>
        <w:t xml:space="preserve"> </w:t>
      </w:r>
      <w:r w:rsidR="00724DF2" w:rsidRPr="000E2ED3">
        <w:rPr>
          <w:rFonts w:ascii="Cambria" w:hAnsi="Cambria"/>
          <w:color w:val="000000" w:themeColor="text1"/>
          <w:sz w:val="20"/>
          <w:szCs w:val="20"/>
        </w:rPr>
        <w:t>The Portfolio should consider targeted support to these efforts as summarised below.</w:t>
      </w:r>
    </w:p>
    <w:p w14:paraId="6E736D73" w14:textId="77777777" w:rsidR="00927A76" w:rsidRDefault="00927A76" w:rsidP="00927A76">
      <w:pPr>
        <w:shd w:val="clear" w:color="auto" w:fill="FFC000"/>
        <w:rPr>
          <w:rFonts w:ascii="Cambria" w:hAnsi="Cambria"/>
          <w:b/>
          <w:bCs/>
          <w:sz w:val="20"/>
          <w:szCs w:val="20"/>
        </w:rPr>
      </w:pPr>
    </w:p>
    <w:p w14:paraId="5D3AD50E" w14:textId="77777777" w:rsidR="00927A76" w:rsidRPr="00927A76" w:rsidRDefault="00927A76" w:rsidP="00927A76">
      <w:pPr>
        <w:shd w:val="clear" w:color="auto" w:fill="FFC000"/>
        <w:spacing w:line="360" w:lineRule="auto"/>
        <w:jc w:val="both"/>
        <w:rPr>
          <w:rFonts w:ascii="Cambria" w:hAnsi="Cambria" w:cstheme="minorHAnsi"/>
          <w:b/>
          <w:bCs/>
          <w:sz w:val="24"/>
          <w:szCs w:val="24"/>
        </w:rPr>
      </w:pPr>
      <w:r w:rsidRPr="00927A76">
        <w:rPr>
          <w:rFonts w:ascii="Cambria" w:hAnsi="Cambria" w:cstheme="minorHAnsi"/>
          <w:b/>
          <w:bCs/>
          <w:sz w:val="24"/>
          <w:szCs w:val="24"/>
        </w:rPr>
        <w:t>Anti-corruption</w:t>
      </w:r>
    </w:p>
    <w:p w14:paraId="34CE7ED7" w14:textId="16374FF3" w:rsidR="00927A76" w:rsidRPr="000328D8" w:rsidRDefault="00927A76" w:rsidP="00927A76">
      <w:pPr>
        <w:shd w:val="clear" w:color="auto" w:fill="FFC000"/>
        <w:spacing w:line="360" w:lineRule="auto"/>
        <w:jc w:val="both"/>
        <w:rPr>
          <w:rFonts w:ascii="Cambria" w:hAnsi="Cambria" w:cs="Times New Roman"/>
          <w:color w:val="000000" w:themeColor="text1"/>
          <w:sz w:val="20"/>
          <w:szCs w:val="20"/>
        </w:rPr>
      </w:pPr>
      <w:r w:rsidRPr="000328D8">
        <w:rPr>
          <w:rFonts w:ascii="Cambria" w:hAnsi="Cambria" w:cs="Times New Roman"/>
          <w:color w:val="000000" w:themeColor="text1"/>
          <w:sz w:val="20"/>
          <w:szCs w:val="20"/>
        </w:rPr>
        <w:t xml:space="preserve">Fighting corruption, increasing transparency and tackling illicit financial flows are important components of the 2030 Sustainable Development Agenda. </w:t>
      </w:r>
      <w:r w:rsidR="00D86FF7">
        <w:rPr>
          <w:rFonts w:ascii="Cambria" w:hAnsi="Cambria" w:cs="Times New Roman"/>
          <w:color w:val="000000" w:themeColor="text1"/>
          <w:sz w:val="20"/>
          <w:szCs w:val="20"/>
        </w:rPr>
        <w:t xml:space="preserve">The compulsory recommendations of the </w:t>
      </w:r>
      <w:r>
        <w:rPr>
          <w:rFonts w:ascii="Cambria" w:hAnsi="Cambria" w:cs="Times New Roman"/>
          <w:color w:val="000000" w:themeColor="text1"/>
          <w:sz w:val="20"/>
          <w:szCs w:val="20"/>
        </w:rPr>
        <w:t>United Nations</w:t>
      </w:r>
      <w:r w:rsidRPr="000328D8">
        <w:rPr>
          <w:rFonts w:ascii="Cambria" w:hAnsi="Cambria" w:cs="Times New Roman"/>
          <w:color w:val="000000" w:themeColor="text1"/>
          <w:sz w:val="20"/>
          <w:szCs w:val="20"/>
        </w:rPr>
        <w:t xml:space="preserve"> Convention Against Corruption and any other related international Convention (UNCAC)</w:t>
      </w:r>
      <w:r w:rsidR="00D86FF7">
        <w:rPr>
          <w:rFonts w:ascii="Cambria" w:hAnsi="Cambria" w:cs="Times New Roman"/>
          <w:color w:val="000000" w:themeColor="text1"/>
          <w:sz w:val="20"/>
          <w:szCs w:val="20"/>
        </w:rPr>
        <w:t xml:space="preserve"> and Sri Lanka’s commitments as per the Open Government Partnership prompted the </w:t>
      </w:r>
      <w:r w:rsidRPr="000328D8">
        <w:rPr>
          <w:rFonts w:ascii="Cambria" w:hAnsi="Cambria" w:cs="Times New Roman"/>
          <w:color w:val="000000" w:themeColor="text1"/>
          <w:sz w:val="20"/>
          <w:szCs w:val="20"/>
        </w:rPr>
        <w:t>CIABOC to adopt an anti-corruption strategy entitled “Seven steps to zero tolerance” to guide its work in the areas of enforcement and prevention, together with a three-year implementation plan.</w:t>
      </w:r>
      <w:r w:rsidRPr="000328D8">
        <w:rPr>
          <w:rStyle w:val="FootnoteReference"/>
          <w:rFonts w:ascii="Cambria" w:hAnsi="Cambria" w:cs="Times New Roman"/>
          <w:color w:val="000000" w:themeColor="text1"/>
          <w:sz w:val="20"/>
          <w:szCs w:val="20"/>
        </w:rPr>
        <w:footnoteReference w:id="82"/>
      </w:r>
      <w:r w:rsidRPr="000328D8">
        <w:rPr>
          <w:rFonts w:ascii="Cambria" w:hAnsi="Cambria" w:cs="Times New Roman"/>
          <w:color w:val="000000" w:themeColor="text1"/>
          <w:sz w:val="20"/>
          <w:szCs w:val="20"/>
        </w:rPr>
        <w:t xml:space="preserve"> </w:t>
      </w:r>
    </w:p>
    <w:p w14:paraId="7E4E8AF0" w14:textId="5802AC52" w:rsidR="00D86FF7" w:rsidRPr="000328D8" w:rsidRDefault="00927A76" w:rsidP="00927A76">
      <w:pPr>
        <w:pStyle w:val="NormalWeb"/>
        <w:shd w:val="clear" w:color="auto" w:fill="FFC000"/>
        <w:spacing w:line="360" w:lineRule="auto"/>
        <w:jc w:val="both"/>
        <w:rPr>
          <w:rFonts w:ascii="Cambria" w:hAnsi="Cambria"/>
          <w:color w:val="000000" w:themeColor="text1"/>
          <w:sz w:val="20"/>
          <w:szCs w:val="20"/>
        </w:rPr>
      </w:pPr>
      <w:r w:rsidRPr="000328D8">
        <w:rPr>
          <w:rFonts w:ascii="Cambria" w:hAnsi="Cambria"/>
          <w:color w:val="000000" w:themeColor="text1"/>
          <w:sz w:val="20"/>
          <w:szCs w:val="20"/>
        </w:rPr>
        <w:t xml:space="preserve">In October 2017, the Cabinet of Ministers approved and entrusted the CIABOC with the task of formulating a </w:t>
      </w:r>
      <w:r>
        <w:rPr>
          <w:rFonts w:ascii="Cambria" w:hAnsi="Cambria"/>
          <w:color w:val="000000" w:themeColor="text1"/>
          <w:sz w:val="20"/>
          <w:szCs w:val="20"/>
        </w:rPr>
        <w:t>NAP</w:t>
      </w:r>
      <w:r w:rsidRPr="000328D8">
        <w:rPr>
          <w:rFonts w:ascii="Cambria" w:hAnsi="Cambria"/>
          <w:color w:val="000000" w:themeColor="text1"/>
          <w:sz w:val="20"/>
          <w:szCs w:val="20"/>
        </w:rPr>
        <w:t xml:space="preserve"> for Combating Bribery and Corruption in Sri Lanka. This culminated in developing the </w:t>
      </w:r>
      <w:r>
        <w:rPr>
          <w:rFonts w:ascii="Cambria" w:hAnsi="Cambria"/>
          <w:color w:val="000000" w:themeColor="text1"/>
          <w:sz w:val="20"/>
          <w:szCs w:val="20"/>
        </w:rPr>
        <w:t>NAP</w:t>
      </w:r>
      <w:r w:rsidRPr="000328D8">
        <w:rPr>
          <w:rFonts w:ascii="Cambria" w:hAnsi="Cambria"/>
          <w:color w:val="000000" w:themeColor="text1"/>
          <w:sz w:val="20"/>
          <w:szCs w:val="20"/>
        </w:rPr>
        <w:t xml:space="preserve"> for Combatting Bribery and Corruption in Sri Lanka 2019 – 2023 which was approved by the Cabinet of Ministers on 05 February 2019.</w:t>
      </w:r>
      <w:r w:rsidRPr="000328D8">
        <w:rPr>
          <w:rStyle w:val="FootnoteReference"/>
          <w:rFonts w:ascii="Cambria" w:hAnsi="Cambria"/>
          <w:color w:val="000000" w:themeColor="text1"/>
          <w:sz w:val="20"/>
          <w:szCs w:val="20"/>
        </w:rPr>
        <w:footnoteReference w:id="83"/>
      </w:r>
      <w:r w:rsidRPr="000328D8">
        <w:rPr>
          <w:rFonts w:ascii="Cambria" w:hAnsi="Cambria"/>
          <w:color w:val="000000" w:themeColor="text1"/>
          <w:sz w:val="20"/>
          <w:szCs w:val="20"/>
        </w:rPr>
        <w:t xml:space="preserve"> The launch of the NAP also marked a recognition of Sri Lanka’s obligations under UNCAC. The NAP integrates a multi-pronged strategy, premised on the four pillars of Prevention, Value Based Education, Institutional Strengthening, and Law and Policy reforms as the foundation of the country’s anti-corruption plan over the next five-year period, i.e. from 2019 to 2023.</w:t>
      </w:r>
      <w:r w:rsidRPr="000328D8">
        <w:rPr>
          <w:rStyle w:val="FootnoteReference"/>
          <w:rFonts w:ascii="Cambria" w:hAnsi="Cambria"/>
          <w:color w:val="000000" w:themeColor="text1"/>
          <w:sz w:val="20"/>
          <w:szCs w:val="20"/>
        </w:rPr>
        <w:footnoteReference w:id="84"/>
      </w:r>
      <w:r w:rsidRPr="000328D8">
        <w:rPr>
          <w:rFonts w:ascii="Cambria" w:hAnsi="Cambria"/>
          <w:color w:val="000000" w:themeColor="text1"/>
          <w:sz w:val="20"/>
          <w:szCs w:val="20"/>
        </w:rPr>
        <w:t xml:space="preserve"> Periodic oversight of institutional Action Plans will be carried out by the corruption prevention committees of each institution as well as the National Integrity Council, while the periodic assessments of the NAP will be carried out by the National Integrity Council in consultation with CIABOC. </w:t>
      </w:r>
    </w:p>
    <w:p w14:paraId="06C0D093" w14:textId="77777777" w:rsidR="00683F94" w:rsidRPr="00891EDB" w:rsidRDefault="00683F94" w:rsidP="00683F94">
      <w:pPr>
        <w:pStyle w:val="NormalWeb"/>
        <w:shd w:val="clear" w:color="auto" w:fill="FFC000"/>
        <w:spacing w:line="360" w:lineRule="auto"/>
        <w:rPr>
          <w:rFonts w:ascii="Cambria" w:hAnsi="Cambria"/>
          <w:color w:val="000000" w:themeColor="text1"/>
          <w:sz w:val="20"/>
          <w:szCs w:val="20"/>
        </w:rPr>
      </w:pPr>
      <w:r w:rsidRPr="00891EDB">
        <w:rPr>
          <w:rFonts w:ascii="Cambria" w:hAnsi="Cambria"/>
          <w:color w:val="000000" w:themeColor="text1"/>
          <w:sz w:val="20"/>
          <w:szCs w:val="20"/>
        </w:rPr>
        <w:t xml:space="preserve">In addition to the above the Commissions of Inquiry (Amendment) Act, No. 3 of 2019 was introduced which enables CIABOC to initiate proceedings based on material received from a Commission of Inquiry without </w:t>
      </w:r>
      <w:r w:rsidRPr="00891EDB">
        <w:rPr>
          <w:rFonts w:ascii="Cambria" w:hAnsi="Cambria"/>
          <w:color w:val="000000" w:themeColor="text1"/>
          <w:sz w:val="20"/>
          <w:szCs w:val="20"/>
        </w:rPr>
        <w:lastRenderedPageBreak/>
        <w:t>recording evidence afresh which has already been obtained by a Commission of Inquiry. This amendment improved the efficacy and the timeliness of the prosecutions.</w:t>
      </w:r>
    </w:p>
    <w:p w14:paraId="273BB849" w14:textId="73D3CAA0" w:rsidR="00927A76" w:rsidRPr="000328D8" w:rsidRDefault="00683F94" w:rsidP="00683F94">
      <w:pPr>
        <w:pStyle w:val="NormalWeb"/>
        <w:shd w:val="clear" w:color="auto" w:fill="FFC000"/>
        <w:spacing w:line="360" w:lineRule="auto"/>
        <w:jc w:val="both"/>
        <w:rPr>
          <w:rFonts w:ascii="Cambria" w:hAnsi="Cambria"/>
          <w:color w:val="000000" w:themeColor="text1"/>
          <w:sz w:val="20"/>
          <w:szCs w:val="20"/>
          <w:shd w:val="clear" w:color="auto" w:fill="FFFFFF"/>
        </w:rPr>
      </w:pPr>
      <w:r w:rsidRPr="00891EDB">
        <w:rPr>
          <w:rFonts w:ascii="Cambria" w:hAnsi="Cambria"/>
          <w:color w:val="000000" w:themeColor="text1"/>
          <w:sz w:val="20"/>
          <w:szCs w:val="20"/>
        </w:rPr>
        <w:t>Further, the legal provision which allowed for proceedings in even the most serious of corruption offences to be instituted in the Magistrates Court while lesser bribery offences were prosecuted in the High Court was amended by way of the Bribery (Amendment) Act, No. 22 of 2018 to allow proceedings relating to the offence of Corruption to be instituted in the High Court in addition to the Magistrates Court. While this measure gave due regard to the severity of the offences, it led to the high Court being inundated with cases. Therefore, the Judicature (Amendment) Act, No. 9 of 2018 established permanent High Courts-at-Bar</w:t>
      </w:r>
      <w:r>
        <w:rPr>
          <w:rFonts w:ascii="Cambria" w:hAnsi="Cambria"/>
          <w:color w:val="000000" w:themeColor="text1"/>
          <w:sz w:val="20"/>
          <w:szCs w:val="20"/>
        </w:rPr>
        <w:t xml:space="preserve"> </w:t>
      </w:r>
      <w:r w:rsidR="00927A76" w:rsidRPr="000328D8">
        <w:rPr>
          <w:rFonts w:ascii="Cambria" w:hAnsi="Cambria"/>
          <w:color w:val="000000" w:themeColor="text1"/>
          <w:sz w:val="20"/>
          <w:szCs w:val="20"/>
        </w:rPr>
        <w:t>to expedite trial of large scale financial and economic offenses such as bribery, money laundering, and misappropriation of property.</w:t>
      </w:r>
      <w:r w:rsidR="00927A76" w:rsidRPr="000328D8">
        <w:rPr>
          <w:rStyle w:val="FootnoteReference"/>
          <w:rFonts w:ascii="Cambria" w:hAnsi="Cambria"/>
          <w:color w:val="000000" w:themeColor="text1"/>
          <w:sz w:val="20"/>
          <w:szCs w:val="20"/>
        </w:rPr>
        <w:footnoteReference w:id="85"/>
      </w:r>
      <w:r w:rsidR="00927A76" w:rsidRPr="000328D8">
        <w:rPr>
          <w:rFonts w:ascii="Cambria" w:hAnsi="Cambria"/>
          <w:color w:val="000000" w:themeColor="text1"/>
          <w:sz w:val="20"/>
          <w:szCs w:val="20"/>
        </w:rPr>
        <w:t xml:space="preserve"> </w:t>
      </w:r>
    </w:p>
    <w:p w14:paraId="4D1D2FDD" w14:textId="362EEFF5" w:rsidR="00543A03" w:rsidRDefault="00927A76" w:rsidP="000E2ED3">
      <w:pPr>
        <w:pStyle w:val="NormalWeb"/>
        <w:shd w:val="clear" w:color="auto" w:fill="FFC000"/>
        <w:spacing w:line="360" w:lineRule="auto"/>
        <w:jc w:val="both"/>
        <w:rPr>
          <w:rFonts w:ascii="Cambria" w:hAnsi="Cambria" w:cstheme="minorHAnsi"/>
          <w:b/>
          <w:bCs/>
        </w:rPr>
      </w:pPr>
      <w:r w:rsidRPr="000328D8">
        <w:rPr>
          <w:rFonts w:ascii="Cambria" w:hAnsi="Cambria"/>
          <w:color w:val="000000" w:themeColor="text1"/>
          <w:sz w:val="20"/>
          <w:szCs w:val="20"/>
        </w:rPr>
        <w:t>As a result of the new measures taken to combat corruption, Sri Lanka’s ranking on Transparency International’s Corruption Perceptions Index improved slightly, from 91 in 2017 to 89 in 2018.</w:t>
      </w:r>
      <w:r w:rsidRPr="000328D8">
        <w:rPr>
          <w:rStyle w:val="FootnoteReference"/>
          <w:rFonts w:ascii="Cambria" w:hAnsi="Cambria"/>
          <w:color w:val="000000" w:themeColor="text1"/>
          <w:sz w:val="20"/>
          <w:szCs w:val="20"/>
        </w:rPr>
        <w:footnoteReference w:id="86"/>
      </w:r>
      <w:r w:rsidRPr="000328D8">
        <w:rPr>
          <w:rFonts w:ascii="Cambria" w:hAnsi="Cambria"/>
          <w:color w:val="000000" w:themeColor="text1"/>
          <w:sz w:val="20"/>
          <w:szCs w:val="20"/>
        </w:rPr>
        <w:t xml:space="preserve"> However, incidents such as the Central Bank bond scandal</w:t>
      </w:r>
      <w:r w:rsidRPr="000328D8">
        <w:rPr>
          <w:rStyle w:val="FootnoteReference"/>
          <w:rFonts w:ascii="Cambria" w:hAnsi="Cambria"/>
          <w:color w:val="000000" w:themeColor="text1"/>
          <w:sz w:val="20"/>
          <w:szCs w:val="20"/>
        </w:rPr>
        <w:footnoteReference w:id="87"/>
      </w:r>
      <w:r w:rsidRPr="000328D8">
        <w:rPr>
          <w:rFonts w:ascii="Cambria" w:hAnsi="Cambria"/>
          <w:color w:val="000000" w:themeColor="text1"/>
          <w:position w:val="8"/>
          <w:sz w:val="20"/>
          <w:szCs w:val="20"/>
        </w:rPr>
        <w:t xml:space="preserve"> </w:t>
      </w:r>
      <w:r w:rsidRPr="000328D8">
        <w:rPr>
          <w:rFonts w:ascii="Cambria" w:hAnsi="Cambria"/>
          <w:color w:val="000000" w:themeColor="text1"/>
          <w:sz w:val="20"/>
          <w:szCs w:val="20"/>
        </w:rPr>
        <w:t xml:space="preserve">has led to a disillusionment with regard to the government’s pledges to combat corruption. </w:t>
      </w:r>
    </w:p>
    <w:p w14:paraId="230CC7EC" w14:textId="36DCBBCB" w:rsidR="00927A76" w:rsidRPr="00927A76" w:rsidRDefault="00927A76" w:rsidP="00927A76">
      <w:pPr>
        <w:shd w:val="clear" w:color="auto" w:fill="FFC000"/>
        <w:spacing w:line="360" w:lineRule="auto"/>
        <w:jc w:val="both"/>
        <w:rPr>
          <w:rFonts w:ascii="Cambria" w:hAnsi="Cambria" w:cstheme="minorHAnsi"/>
          <w:b/>
          <w:bCs/>
          <w:sz w:val="24"/>
          <w:szCs w:val="24"/>
        </w:rPr>
      </w:pPr>
      <w:r w:rsidRPr="00927A76">
        <w:rPr>
          <w:rFonts w:ascii="Cambria" w:hAnsi="Cambria" w:cstheme="minorHAnsi"/>
          <w:b/>
          <w:bCs/>
          <w:sz w:val="24"/>
          <w:szCs w:val="24"/>
        </w:rPr>
        <w:t>Climate Change</w:t>
      </w:r>
    </w:p>
    <w:p w14:paraId="3C5E6414" w14:textId="77777777" w:rsidR="00927A76" w:rsidRPr="00C54552" w:rsidRDefault="00927A76" w:rsidP="00927A76">
      <w:pPr>
        <w:shd w:val="clear" w:color="auto" w:fill="FFC000"/>
        <w:spacing w:line="360" w:lineRule="auto"/>
        <w:jc w:val="both"/>
        <w:textAlignment w:val="baseline"/>
        <w:rPr>
          <w:rFonts w:ascii="Cambria" w:eastAsia="Times New Roman" w:hAnsi="Cambria" w:cs="Times New Roman"/>
          <w:color w:val="000000" w:themeColor="text1"/>
          <w:sz w:val="20"/>
          <w:szCs w:val="20"/>
          <w:lang w:eastAsia="en-GB"/>
        </w:rPr>
      </w:pPr>
      <w:r w:rsidRPr="00C54552">
        <w:rPr>
          <w:rFonts w:ascii="Cambria" w:eastAsia="Times New Roman" w:hAnsi="Cambria" w:cs="Times New Roman"/>
          <w:color w:val="000000" w:themeColor="text1"/>
          <w:sz w:val="20"/>
          <w:szCs w:val="20"/>
          <w:lang w:eastAsia="en-GB"/>
        </w:rPr>
        <w:t>The SDGs aim to inform development priorities in a manner that balances economic, social, and environmental aspects of sustainable development. The Sri Lankan government has endorsed the SDGs and has taken several initiatives to ensure their implementation.</w:t>
      </w:r>
      <w:r w:rsidRPr="00C54552">
        <w:rPr>
          <w:rStyle w:val="FootnoteReference"/>
          <w:rFonts w:ascii="Cambria" w:eastAsia="Times New Roman" w:hAnsi="Cambria" w:cs="Times New Roman"/>
          <w:color w:val="000000" w:themeColor="text1"/>
          <w:sz w:val="20"/>
          <w:szCs w:val="20"/>
          <w:lang w:eastAsia="en-GB"/>
        </w:rPr>
        <w:footnoteReference w:id="88"/>
      </w:r>
    </w:p>
    <w:p w14:paraId="0C3227B7" w14:textId="77777777" w:rsidR="00927A76" w:rsidRPr="00C54552" w:rsidRDefault="00927A76" w:rsidP="00927A76">
      <w:pPr>
        <w:shd w:val="clear" w:color="auto" w:fill="FFC000"/>
        <w:spacing w:line="360" w:lineRule="auto"/>
        <w:jc w:val="both"/>
        <w:textAlignment w:val="baseline"/>
        <w:rPr>
          <w:rFonts w:ascii="Cambria" w:eastAsia="Times New Roman" w:hAnsi="Cambria" w:cs="Times New Roman"/>
          <w:color w:val="000000" w:themeColor="text1"/>
          <w:sz w:val="20"/>
          <w:szCs w:val="20"/>
          <w:lang w:eastAsia="en-GB"/>
        </w:rPr>
      </w:pPr>
      <w:r w:rsidRPr="00C54552">
        <w:rPr>
          <w:rFonts w:ascii="Cambria" w:eastAsia="Times New Roman" w:hAnsi="Cambria" w:cs="Times New Roman"/>
          <w:color w:val="000000" w:themeColor="text1"/>
          <w:sz w:val="20"/>
          <w:szCs w:val="20"/>
          <w:lang w:eastAsia="en-GB"/>
        </w:rPr>
        <w:t>In April 2016 Sri Lanka marked its commitment to strengthen the global response to climate change and sustainable development by signing the Paris Climate Agreement, at the 21</w:t>
      </w:r>
      <w:r w:rsidRPr="00C54552">
        <w:rPr>
          <w:rFonts w:ascii="Cambria" w:eastAsia="Times New Roman" w:hAnsi="Cambria" w:cs="Times New Roman"/>
          <w:color w:val="000000" w:themeColor="text1"/>
          <w:sz w:val="20"/>
          <w:szCs w:val="20"/>
          <w:bdr w:val="none" w:sz="0" w:space="0" w:color="auto" w:frame="1"/>
          <w:vertAlign w:val="superscript"/>
          <w:lang w:eastAsia="en-GB"/>
        </w:rPr>
        <w:t>st</w:t>
      </w:r>
      <w:r w:rsidRPr="00C54552">
        <w:rPr>
          <w:rFonts w:ascii="Cambria" w:eastAsia="Times New Roman" w:hAnsi="Cambria" w:cs="Times New Roman"/>
          <w:color w:val="000000" w:themeColor="text1"/>
          <w:sz w:val="20"/>
          <w:szCs w:val="20"/>
          <w:lang w:eastAsia="en-GB"/>
        </w:rPr>
        <w:t xml:space="preserve"> Conference of the Parties (COP21) to the United Nations Framework Convention on Climate Change (UNFCCC) in Paris. The Intended Nationally Determined Contributions (INDCs) submitted by Sri Lanka mainly covered the areas of mitigation, adaptation, loss and damage and means of implementation. The Ministry of Mahaweli Development and Environment </w:t>
      </w:r>
      <w:r w:rsidRPr="00C54552">
        <w:rPr>
          <w:rFonts w:ascii="Cambria" w:eastAsia="Times New Roman" w:hAnsi="Cambria" w:cs="Times New Roman"/>
          <w:color w:val="000000" w:themeColor="text1"/>
          <w:sz w:val="20"/>
          <w:szCs w:val="20"/>
          <w:lang w:eastAsia="en-GB"/>
        </w:rPr>
        <w:lastRenderedPageBreak/>
        <w:t xml:space="preserve">(MMDE) is the national focal point for the UNFCC and also the driving agency for coordination of INDCs implementation in the country targeting year 2020-2030 to meet the commitments of COP21 Paris Agreement. </w:t>
      </w:r>
      <w:r w:rsidRPr="00C54552">
        <w:rPr>
          <w:rFonts w:ascii="Cambria" w:eastAsia="Times New Roman" w:hAnsi="Cambria" w:cs="Times New Roman"/>
          <w:color w:val="000000" w:themeColor="text1"/>
          <w:sz w:val="20"/>
          <w:szCs w:val="20"/>
          <w:bdr w:val="none" w:sz="0" w:space="0" w:color="auto" w:frame="1"/>
          <w:lang w:eastAsia="en-GB"/>
        </w:rPr>
        <w:t> </w:t>
      </w:r>
    </w:p>
    <w:p w14:paraId="7B2A3FCA" w14:textId="77777777" w:rsidR="00927A76" w:rsidRPr="00C54552" w:rsidRDefault="00927A76" w:rsidP="00927A76">
      <w:pPr>
        <w:shd w:val="clear" w:color="auto" w:fill="FFC000"/>
        <w:spacing w:line="360" w:lineRule="auto"/>
        <w:jc w:val="both"/>
        <w:textAlignment w:val="baseline"/>
        <w:rPr>
          <w:rFonts w:ascii="Cambria" w:eastAsia="Times New Roman" w:hAnsi="Cambria" w:cs="Times New Roman"/>
          <w:color w:val="000000" w:themeColor="text1"/>
          <w:sz w:val="20"/>
          <w:szCs w:val="20"/>
          <w:lang w:eastAsia="en-GB"/>
        </w:rPr>
      </w:pPr>
      <w:r w:rsidRPr="00C54552">
        <w:rPr>
          <w:rFonts w:ascii="Cambria" w:eastAsia="Times New Roman" w:hAnsi="Cambria" w:cs="Times New Roman"/>
          <w:color w:val="000000" w:themeColor="text1"/>
          <w:sz w:val="20"/>
          <w:szCs w:val="20"/>
          <w:lang w:eastAsia="en-GB"/>
        </w:rPr>
        <w:t>Accordingly, on 6</w:t>
      </w:r>
      <w:r w:rsidRPr="00C54552">
        <w:rPr>
          <w:rFonts w:ascii="Cambria" w:eastAsia="Times New Roman" w:hAnsi="Cambria" w:cs="Times New Roman"/>
          <w:color w:val="000000" w:themeColor="text1"/>
          <w:sz w:val="20"/>
          <w:szCs w:val="20"/>
          <w:vertAlign w:val="superscript"/>
          <w:lang w:eastAsia="en-GB"/>
        </w:rPr>
        <w:t>th</w:t>
      </w:r>
      <w:r w:rsidRPr="00C54552">
        <w:rPr>
          <w:rFonts w:ascii="Cambria" w:eastAsia="Times New Roman" w:hAnsi="Cambria" w:cs="Times New Roman"/>
          <w:color w:val="000000" w:themeColor="text1"/>
          <w:sz w:val="20"/>
          <w:szCs w:val="20"/>
          <w:lang w:eastAsia="en-GB"/>
        </w:rPr>
        <w:t xml:space="preserve"> January 2016 the MMDE formally initiated the ‘</w:t>
      </w:r>
      <w:r w:rsidRPr="00C54552">
        <w:rPr>
          <w:rFonts w:ascii="Cambria" w:eastAsia="Times New Roman" w:hAnsi="Cambria" w:cs="Times New Roman"/>
          <w:i/>
          <w:iCs/>
          <w:color w:val="000000" w:themeColor="text1"/>
          <w:sz w:val="20"/>
          <w:szCs w:val="20"/>
          <w:lang w:eastAsia="en-GB"/>
        </w:rPr>
        <w:t>Sri Lanka-NEXT- A blue Green Era’</w:t>
      </w:r>
      <w:r w:rsidRPr="00C54552">
        <w:rPr>
          <w:rFonts w:ascii="Cambria" w:eastAsia="Times New Roman" w:hAnsi="Cambria" w:cs="Times New Roman"/>
          <w:color w:val="000000" w:themeColor="text1"/>
          <w:sz w:val="20"/>
          <w:szCs w:val="20"/>
          <w:lang w:eastAsia="en-GB"/>
        </w:rPr>
        <w:t xml:space="preserve"> to familiari</w:t>
      </w:r>
      <w:r>
        <w:rPr>
          <w:rFonts w:ascii="Cambria" w:eastAsia="Times New Roman" w:hAnsi="Cambria" w:cs="Times New Roman"/>
          <w:color w:val="000000" w:themeColor="text1"/>
          <w:sz w:val="20"/>
          <w:szCs w:val="20"/>
          <w:lang w:eastAsia="en-GB"/>
        </w:rPr>
        <w:t>s</w:t>
      </w:r>
      <w:r w:rsidRPr="00C54552">
        <w:rPr>
          <w:rFonts w:ascii="Cambria" w:eastAsia="Times New Roman" w:hAnsi="Cambria" w:cs="Times New Roman"/>
          <w:color w:val="000000" w:themeColor="text1"/>
          <w:sz w:val="20"/>
          <w:szCs w:val="20"/>
          <w:lang w:eastAsia="en-GB"/>
        </w:rPr>
        <w:t xml:space="preserve">e all sections of the Sri Lankan society on climate change and to provide directions on development strategies. The objective of the programme was to provide a platform for researchers, engineers, academics and industrial professionals from all over the world to present their research results and development activities on climate change. Thereafter, the first </w:t>
      </w:r>
      <w:r w:rsidRPr="00C54552">
        <w:rPr>
          <w:rFonts w:ascii="Cambria" w:eastAsia="Times New Roman" w:hAnsi="Cambria" w:cs="Times New Roman"/>
          <w:i/>
          <w:iCs/>
          <w:color w:val="000000" w:themeColor="text1"/>
          <w:sz w:val="20"/>
          <w:szCs w:val="20"/>
          <w:lang w:eastAsia="en-GB"/>
        </w:rPr>
        <w:t>‘Sri Lanka-NEXT- A blue Green Era’</w:t>
      </w:r>
      <w:r w:rsidRPr="00C54552">
        <w:rPr>
          <w:rFonts w:ascii="Cambria" w:eastAsia="Times New Roman" w:hAnsi="Cambria" w:cs="Times New Roman"/>
          <w:color w:val="000000" w:themeColor="text1"/>
          <w:sz w:val="20"/>
          <w:szCs w:val="20"/>
          <w:lang w:eastAsia="en-GB"/>
        </w:rPr>
        <w:t xml:space="preserve"> environmental conference and exhibition was held in October 2017.</w:t>
      </w:r>
      <w:r w:rsidRPr="00C54552">
        <w:rPr>
          <w:rStyle w:val="FootnoteReference"/>
          <w:rFonts w:ascii="Cambria" w:eastAsia="Times New Roman" w:hAnsi="Cambria" w:cs="Times New Roman"/>
          <w:color w:val="000000" w:themeColor="text1"/>
          <w:sz w:val="20"/>
          <w:szCs w:val="20"/>
          <w:lang w:eastAsia="en-GB"/>
        </w:rPr>
        <w:footnoteReference w:id="89"/>
      </w:r>
      <w:r w:rsidRPr="00C54552">
        <w:rPr>
          <w:rFonts w:ascii="Cambria" w:eastAsia="Times New Roman" w:hAnsi="Cambria" w:cs="Times New Roman"/>
          <w:color w:val="000000" w:themeColor="text1"/>
          <w:sz w:val="20"/>
          <w:szCs w:val="20"/>
          <w:lang w:eastAsia="en-GB"/>
        </w:rPr>
        <w:t xml:space="preserve"> </w:t>
      </w:r>
    </w:p>
    <w:p w14:paraId="1EDE1DF3" w14:textId="77777777" w:rsidR="00927A76" w:rsidRPr="00C54552" w:rsidRDefault="00927A76" w:rsidP="00927A76">
      <w:pPr>
        <w:shd w:val="clear" w:color="auto" w:fill="FFC000"/>
        <w:spacing w:line="360" w:lineRule="auto"/>
        <w:jc w:val="both"/>
        <w:textAlignment w:val="baseline"/>
        <w:rPr>
          <w:rFonts w:ascii="Cambria" w:eastAsia="Times New Roman" w:hAnsi="Cambria" w:cs="Times New Roman"/>
          <w:color w:val="000000" w:themeColor="text1"/>
          <w:sz w:val="20"/>
          <w:szCs w:val="20"/>
          <w:lang w:eastAsia="en-GB"/>
        </w:rPr>
      </w:pPr>
      <w:r w:rsidRPr="00C54552">
        <w:rPr>
          <w:rFonts w:ascii="Cambria" w:eastAsia="Times New Roman" w:hAnsi="Cambria" w:cs="Times New Roman"/>
          <w:color w:val="000000" w:themeColor="text1"/>
          <w:sz w:val="20"/>
          <w:szCs w:val="20"/>
          <w:lang w:eastAsia="en-GB"/>
        </w:rPr>
        <w:t>In order to successfully strengthen Sri Lanka's institutional and technical capacities to respond effectively to climate change challenges and meet its obligations under the UNFCCC, the proposal made by President Maithripala Sirisena, in his capacity as the Minister of Mahaweli Development and Environment, to implement the Project on the Preparation of the Third National Communication Report on Climate Change, utili</w:t>
      </w:r>
      <w:r>
        <w:rPr>
          <w:rFonts w:ascii="Cambria" w:eastAsia="Times New Roman" w:hAnsi="Cambria" w:cs="Times New Roman"/>
          <w:color w:val="000000" w:themeColor="text1"/>
          <w:sz w:val="20"/>
          <w:szCs w:val="20"/>
          <w:lang w:eastAsia="en-GB"/>
        </w:rPr>
        <w:t>s</w:t>
      </w:r>
      <w:r w:rsidRPr="00C54552">
        <w:rPr>
          <w:rFonts w:ascii="Cambria" w:eastAsia="Times New Roman" w:hAnsi="Cambria" w:cs="Times New Roman"/>
          <w:color w:val="000000" w:themeColor="text1"/>
          <w:sz w:val="20"/>
          <w:szCs w:val="20"/>
          <w:lang w:eastAsia="en-GB"/>
        </w:rPr>
        <w:t>ing the grant assistance to be provided under the Global Environment Facility by the UNDP and to submit the Report so prepared to the UNFCCC Secretariat, was approved by the Cabinet on the 18</w:t>
      </w:r>
      <w:r w:rsidRPr="00C54552">
        <w:rPr>
          <w:rFonts w:ascii="Cambria" w:eastAsia="Times New Roman" w:hAnsi="Cambria" w:cs="Times New Roman"/>
          <w:color w:val="000000" w:themeColor="text1"/>
          <w:sz w:val="20"/>
          <w:szCs w:val="20"/>
          <w:vertAlign w:val="superscript"/>
          <w:lang w:eastAsia="en-GB"/>
        </w:rPr>
        <w:t>th</w:t>
      </w:r>
      <w:r w:rsidRPr="00C54552">
        <w:rPr>
          <w:rFonts w:ascii="Cambria" w:eastAsia="Times New Roman" w:hAnsi="Cambria" w:cs="Times New Roman"/>
          <w:color w:val="000000" w:themeColor="text1"/>
          <w:sz w:val="20"/>
          <w:szCs w:val="20"/>
          <w:lang w:eastAsia="en-GB"/>
        </w:rPr>
        <w:t xml:space="preserve"> of October 2016.</w:t>
      </w:r>
      <w:r w:rsidRPr="00C54552">
        <w:rPr>
          <w:rStyle w:val="FootnoteReference"/>
          <w:rFonts w:ascii="Cambria" w:eastAsia="Times New Roman" w:hAnsi="Cambria" w:cs="Times New Roman"/>
          <w:color w:val="000000" w:themeColor="text1"/>
          <w:sz w:val="20"/>
          <w:szCs w:val="20"/>
          <w:lang w:eastAsia="en-GB"/>
        </w:rPr>
        <w:footnoteReference w:id="90"/>
      </w:r>
      <w:r w:rsidRPr="00C54552">
        <w:rPr>
          <w:rFonts w:ascii="Cambria" w:eastAsia="Times New Roman" w:hAnsi="Cambria" w:cs="Times New Roman"/>
          <w:color w:val="000000" w:themeColor="text1"/>
          <w:sz w:val="20"/>
          <w:szCs w:val="20"/>
          <w:lang w:eastAsia="en-GB"/>
        </w:rPr>
        <w:t xml:space="preserve"> </w:t>
      </w:r>
    </w:p>
    <w:p w14:paraId="4A2FA69A" w14:textId="77777777" w:rsidR="00927A76" w:rsidRPr="00C54552" w:rsidRDefault="00927A76" w:rsidP="00927A76">
      <w:pPr>
        <w:shd w:val="clear" w:color="auto" w:fill="FFC000"/>
        <w:spacing w:line="360" w:lineRule="auto"/>
        <w:jc w:val="both"/>
        <w:textAlignment w:val="baseline"/>
        <w:rPr>
          <w:rFonts w:ascii="Cambria" w:eastAsia="Times New Roman" w:hAnsi="Cambria" w:cs="Times New Roman"/>
          <w:color w:val="000000" w:themeColor="text1"/>
          <w:sz w:val="20"/>
          <w:szCs w:val="20"/>
          <w:lang w:eastAsia="en-GB"/>
        </w:rPr>
      </w:pPr>
      <w:r w:rsidRPr="00C54552">
        <w:rPr>
          <w:rFonts w:ascii="Cambria" w:eastAsia="Times New Roman" w:hAnsi="Cambria" w:cs="Times New Roman"/>
          <w:color w:val="000000" w:themeColor="text1"/>
          <w:sz w:val="20"/>
          <w:szCs w:val="20"/>
          <w:bdr w:val="none" w:sz="0" w:space="0" w:color="auto" w:frame="1"/>
          <w:lang w:eastAsia="en-GB"/>
        </w:rPr>
        <w:t>In addition to the above, the Nationally Appropriate Mitigation Actions in the Energy Generation and End-use Sectors in Sri Lanka Project commenced in 2015. This is a project executed by the UNDP, Ministry of Environment and Renewable Energy and Sri Lanka Sustainable Energy Authority to ensure environmental sustainability, address climate change, mitigation and adaptation and reduce disaster risks in place at national, sub national and community levels.</w:t>
      </w:r>
      <w:r w:rsidRPr="00C54552">
        <w:rPr>
          <w:rStyle w:val="FootnoteReference"/>
          <w:rFonts w:ascii="Cambria" w:eastAsia="Times New Roman" w:hAnsi="Cambria" w:cs="Times New Roman"/>
          <w:color w:val="000000" w:themeColor="text1"/>
          <w:sz w:val="20"/>
          <w:szCs w:val="20"/>
          <w:bdr w:val="none" w:sz="0" w:space="0" w:color="auto" w:frame="1"/>
          <w:lang w:eastAsia="en-GB"/>
        </w:rPr>
        <w:footnoteReference w:id="91"/>
      </w:r>
      <w:r w:rsidRPr="00C54552">
        <w:rPr>
          <w:rFonts w:ascii="Cambria" w:eastAsia="Times New Roman" w:hAnsi="Cambria" w:cs="Times New Roman"/>
          <w:color w:val="000000" w:themeColor="text1"/>
          <w:sz w:val="20"/>
          <w:szCs w:val="20"/>
          <w:bdr w:val="none" w:sz="0" w:space="0" w:color="auto" w:frame="1"/>
          <w:lang w:eastAsia="en-GB"/>
        </w:rPr>
        <w:t xml:space="preserve"> </w:t>
      </w:r>
    </w:p>
    <w:p w14:paraId="21174C0C" w14:textId="77777777" w:rsidR="00927A76" w:rsidRDefault="00927A76" w:rsidP="00927A76">
      <w:pPr>
        <w:rPr>
          <w:rFonts w:ascii="Cambria" w:hAnsi="Cambria"/>
          <w:b/>
          <w:bCs/>
          <w:sz w:val="20"/>
          <w:szCs w:val="20"/>
        </w:rPr>
      </w:pPr>
    </w:p>
    <w:p w14:paraId="406119FC" w14:textId="39862EC4" w:rsidR="006B4BFE" w:rsidRPr="00A31D22" w:rsidRDefault="00D92958" w:rsidP="000876E1">
      <w:pPr>
        <w:pStyle w:val="ListParagraph"/>
        <w:numPr>
          <w:ilvl w:val="0"/>
          <w:numId w:val="28"/>
        </w:numPr>
        <w:spacing w:line="360" w:lineRule="auto"/>
        <w:jc w:val="both"/>
        <w:rPr>
          <w:rFonts w:ascii="Cambria" w:eastAsia="Times New Roman" w:hAnsi="Cambria" w:cs="Arial"/>
          <w:color w:val="222222"/>
          <w:sz w:val="20"/>
          <w:szCs w:val="20"/>
        </w:rPr>
      </w:pPr>
      <w:r>
        <w:rPr>
          <w:rFonts w:ascii="Cambria" w:hAnsi="Cambria" w:cs="Calibri"/>
          <w:b/>
          <w:sz w:val="20"/>
          <w:szCs w:val="20"/>
          <w:lang w:val="en-GB"/>
        </w:rPr>
        <w:t>Monitoring and Reporting</w:t>
      </w:r>
      <w:r w:rsidR="001B1F53">
        <w:rPr>
          <w:rFonts w:ascii="Cambria" w:hAnsi="Cambria" w:cs="Calibri"/>
          <w:b/>
          <w:sz w:val="20"/>
          <w:szCs w:val="20"/>
          <w:lang w:val="en-GB"/>
        </w:rPr>
        <w:t xml:space="preserve"> Strategy to be Streamlined</w:t>
      </w:r>
      <w:r>
        <w:rPr>
          <w:rFonts w:ascii="Cambria" w:hAnsi="Cambria" w:cs="Calibri"/>
          <w:b/>
          <w:sz w:val="20"/>
          <w:szCs w:val="20"/>
          <w:lang w:val="en-GB"/>
        </w:rPr>
        <w:t xml:space="preserve">: </w:t>
      </w:r>
      <w:r w:rsidR="006B4BFE" w:rsidRPr="00A31D22">
        <w:rPr>
          <w:rFonts w:ascii="Cambria" w:eastAsia="Times New Roman" w:hAnsi="Cambria" w:cs="Arial"/>
          <w:color w:val="222222"/>
          <w:sz w:val="20"/>
          <w:szCs w:val="20"/>
        </w:rPr>
        <w:t>The MTE shows that the method of data consolidation for monitoring and evaluation (M&amp;E) and presentation of output and outcome related information in reporting deviates to a certain extent from the log frame and theory of change and needs to be better aligned. Reporting structures need to be enhanced to present information consistent with the results framework. The use of quantitative and qualitative indicators requires a mix of data collection and reporting processes, which need to be built into the M&amp;E process.   There is a need to develop templates and systems to help the programme team collect and collate information in a more systematic manner as well as to be able to report in line with the indicators that have been identified.</w:t>
      </w:r>
      <w:r w:rsidR="006B4BFE">
        <w:rPr>
          <w:rStyle w:val="FootnoteReference"/>
          <w:rFonts w:ascii="Cambria" w:eastAsia="Times New Roman" w:hAnsi="Cambria" w:cs="Arial"/>
          <w:color w:val="222222"/>
          <w:sz w:val="20"/>
          <w:szCs w:val="20"/>
        </w:rPr>
        <w:footnoteReference w:id="92"/>
      </w:r>
    </w:p>
    <w:p w14:paraId="682EAFFC" w14:textId="77777777" w:rsidR="006B4BFE" w:rsidRPr="00A31D22" w:rsidRDefault="006B4BFE" w:rsidP="00081358">
      <w:pPr>
        <w:pStyle w:val="ListParagraph"/>
        <w:numPr>
          <w:ilvl w:val="0"/>
          <w:numId w:val="97"/>
        </w:numPr>
        <w:spacing w:line="360" w:lineRule="auto"/>
        <w:jc w:val="both"/>
        <w:rPr>
          <w:rFonts w:ascii="Cambria" w:eastAsia="Times New Roman" w:hAnsi="Cambria" w:cs="Arial"/>
          <w:color w:val="222222"/>
          <w:sz w:val="20"/>
          <w:szCs w:val="20"/>
        </w:rPr>
      </w:pPr>
      <w:r w:rsidRPr="00A31D22">
        <w:rPr>
          <w:rFonts w:ascii="Cambria" w:eastAsia="Times New Roman" w:hAnsi="Cambria" w:cs="Arial"/>
          <w:color w:val="222222"/>
          <w:sz w:val="20"/>
          <w:szCs w:val="20"/>
        </w:rPr>
        <w:lastRenderedPageBreak/>
        <w:t>When presenting outcome-oriented information, how these are attributed to project activities needs to be thought through and presented with greater clarity and demonstrate linkages to outcomes more effectively so as not to ensure that expected outcomes are not far-removed from the intervention. This may mean that the outcomes need to be reflected upon at this point and adjusted if required to be able to reflect more achievable impact chains.  </w:t>
      </w:r>
    </w:p>
    <w:p w14:paraId="622255C6" w14:textId="6578B81A" w:rsidR="006B4BFE" w:rsidRPr="00A31D22" w:rsidRDefault="006B4BFE" w:rsidP="00081358">
      <w:pPr>
        <w:pStyle w:val="ListParagraph"/>
        <w:numPr>
          <w:ilvl w:val="0"/>
          <w:numId w:val="97"/>
        </w:numPr>
        <w:spacing w:line="360" w:lineRule="auto"/>
        <w:jc w:val="both"/>
        <w:rPr>
          <w:rFonts w:ascii="Cambria" w:eastAsia="Times New Roman" w:hAnsi="Cambria" w:cs="Arial"/>
          <w:color w:val="222222"/>
          <w:sz w:val="20"/>
          <w:szCs w:val="20"/>
        </w:rPr>
      </w:pPr>
      <w:r w:rsidRPr="00A31D22">
        <w:rPr>
          <w:rFonts w:ascii="Cambria" w:eastAsia="Times New Roman" w:hAnsi="Cambria" w:cs="Arial"/>
          <w:color w:val="222222"/>
          <w:sz w:val="20"/>
          <w:szCs w:val="20"/>
        </w:rPr>
        <w:t>The theory of change that</w:t>
      </w:r>
      <w:r w:rsidR="001B1F53">
        <w:rPr>
          <w:rFonts w:ascii="Cambria" w:eastAsia="Times New Roman" w:hAnsi="Cambria" w:cs="Arial"/>
          <w:color w:val="222222"/>
          <w:sz w:val="20"/>
          <w:szCs w:val="20"/>
        </w:rPr>
        <w:t>,</w:t>
      </w:r>
      <w:r w:rsidRPr="00A31D22">
        <w:rPr>
          <w:rFonts w:ascii="Cambria" w:eastAsia="Times New Roman" w:hAnsi="Cambria" w:cs="Arial"/>
          <w:color w:val="222222"/>
          <w:sz w:val="20"/>
          <w:szCs w:val="20"/>
        </w:rPr>
        <w:t xml:space="preserve"> has been developed at the conceptualisation process needs to be continuously reflected upon and used as part of the monitoring and evaluation process throughout the course of the intervention. At the mid-term point of the Portfolio, it would be a useful point to assess if the Theory of Change needs to be adjusted to be more in line with the ground realities and changing nature of the context.  </w:t>
      </w:r>
    </w:p>
    <w:p w14:paraId="5A41771A" w14:textId="6B96F652" w:rsidR="006B4BFE" w:rsidRDefault="006B4BFE" w:rsidP="00081358">
      <w:pPr>
        <w:pStyle w:val="ListParagraph"/>
        <w:numPr>
          <w:ilvl w:val="0"/>
          <w:numId w:val="97"/>
        </w:numPr>
        <w:spacing w:line="360" w:lineRule="auto"/>
        <w:jc w:val="both"/>
        <w:rPr>
          <w:rFonts w:ascii="Cambria" w:eastAsia="Times New Roman" w:hAnsi="Cambria" w:cs="Arial"/>
          <w:color w:val="222222"/>
          <w:sz w:val="20"/>
          <w:szCs w:val="20"/>
        </w:rPr>
      </w:pPr>
      <w:r w:rsidRPr="00A31D22">
        <w:rPr>
          <w:rFonts w:ascii="Cambria" w:eastAsia="Times New Roman" w:hAnsi="Cambria" w:cs="Arial"/>
          <w:color w:val="222222"/>
          <w:sz w:val="20"/>
          <w:szCs w:val="20"/>
        </w:rPr>
        <w:t xml:space="preserve">It is unclear how </w:t>
      </w:r>
      <w:r w:rsidR="001B1F53">
        <w:rPr>
          <w:rFonts w:ascii="Cambria" w:eastAsia="Times New Roman" w:hAnsi="Cambria" w:cs="Arial"/>
          <w:color w:val="222222"/>
          <w:sz w:val="20"/>
          <w:szCs w:val="20"/>
        </w:rPr>
        <w:t xml:space="preserve">the process of </w:t>
      </w:r>
      <w:r w:rsidRPr="00A31D22">
        <w:rPr>
          <w:rFonts w:ascii="Cambria" w:eastAsia="Times New Roman" w:hAnsi="Cambria" w:cs="Arial"/>
          <w:color w:val="222222"/>
          <w:sz w:val="20"/>
          <w:szCs w:val="20"/>
        </w:rPr>
        <w:t>partner reporting function</w:t>
      </w:r>
      <w:r w:rsidR="001B1F53">
        <w:rPr>
          <w:rFonts w:ascii="Cambria" w:eastAsia="Times New Roman" w:hAnsi="Cambria" w:cs="Arial"/>
          <w:color w:val="222222"/>
          <w:sz w:val="20"/>
          <w:szCs w:val="20"/>
        </w:rPr>
        <w:t>s</w:t>
      </w:r>
      <w:r w:rsidRPr="00A31D22">
        <w:rPr>
          <w:rFonts w:ascii="Cambria" w:eastAsia="Times New Roman" w:hAnsi="Cambria" w:cs="Arial"/>
          <w:color w:val="222222"/>
          <w:sz w:val="20"/>
          <w:szCs w:val="20"/>
        </w:rPr>
        <w:t>. Partner reports should feed into the UNDP reporting process as well as M&amp;E systems and continuous support to partners would help streamline what is needed and how to capture information in line with outputs and outcomes.  Developing simple easy to use templates can help partners present the narrative and capture output and outcome information in a consistent manner. Such templates should ideally be developed and relate to UNDP reporting structures as well to be easily integrated into the overall M&amp;E process as well as periodic reporting processes. </w:t>
      </w:r>
    </w:p>
    <w:p w14:paraId="1974A5D2" w14:textId="59BFC9FC" w:rsidR="00157374" w:rsidRDefault="00157374" w:rsidP="00157374">
      <w:pPr>
        <w:pStyle w:val="ListParagraph"/>
        <w:spacing w:line="360" w:lineRule="auto"/>
        <w:ind w:left="360"/>
        <w:jc w:val="both"/>
        <w:rPr>
          <w:rFonts w:ascii="Cambria" w:eastAsia="Times New Roman" w:hAnsi="Cambria" w:cs="Arial"/>
          <w:color w:val="222222"/>
          <w:sz w:val="20"/>
          <w:szCs w:val="20"/>
        </w:rPr>
      </w:pPr>
    </w:p>
    <w:p w14:paraId="2DB4A5C2" w14:textId="0647DBD2" w:rsidR="00157374" w:rsidRDefault="00157374" w:rsidP="00157374">
      <w:pPr>
        <w:pStyle w:val="ListParagraph"/>
        <w:spacing w:line="360" w:lineRule="auto"/>
        <w:ind w:left="360"/>
        <w:jc w:val="both"/>
        <w:rPr>
          <w:rFonts w:ascii="Cambria" w:eastAsia="Times New Roman" w:hAnsi="Cambria" w:cs="Arial"/>
          <w:color w:val="222222"/>
          <w:sz w:val="20"/>
          <w:szCs w:val="20"/>
        </w:rPr>
      </w:pPr>
    </w:p>
    <w:p w14:paraId="0DC8C0B0" w14:textId="6994D8A8" w:rsidR="00157374" w:rsidRDefault="00157374" w:rsidP="00157374">
      <w:pPr>
        <w:pStyle w:val="ListParagraph"/>
        <w:spacing w:line="360" w:lineRule="auto"/>
        <w:ind w:left="360"/>
        <w:jc w:val="both"/>
        <w:rPr>
          <w:rFonts w:ascii="Cambria" w:eastAsia="Times New Roman" w:hAnsi="Cambria" w:cs="Arial"/>
          <w:color w:val="222222"/>
          <w:sz w:val="20"/>
          <w:szCs w:val="20"/>
        </w:rPr>
      </w:pPr>
    </w:p>
    <w:p w14:paraId="0E489221" w14:textId="111AC173" w:rsidR="00157374" w:rsidRDefault="00157374" w:rsidP="00157374">
      <w:pPr>
        <w:pStyle w:val="ListParagraph"/>
        <w:spacing w:line="360" w:lineRule="auto"/>
        <w:ind w:left="360"/>
        <w:jc w:val="both"/>
        <w:rPr>
          <w:rFonts w:ascii="Cambria" w:eastAsia="Times New Roman" w:hAnsi="Cambria" w:cs="Arial"/>
          <w:color w:val="222222"/>
          <w:sz w:val="20"/>
          <w:szCs w:val="20"/>
        </w:rPr>
      </w:pPr>
    </w:p>
    <w:p w14:paraId="4A7C1ADD" w14:textId="161F7212" w:rsidR="00157374" w:rsidRDefault="00157374" w:rsidP="00157374">
      <w:pPr>
        <w:pStyle w:val="ListParagraph"/>
        <w:spacing w:line="360" w:lineRule="auto"/>
        <w:ind w:left="360"/>
        <w:jc w:val="both"/>
        <w:rPr>
          <w:rFonts w:ascii="Cambria" w:eastAsia="Times New Roman" w:hAnsi="Cambria" w:cs="Arial"/>
          <w:color w:val="222222"/>
          <w:sz w:val="20"/>
          <w:szCs w:val="20"/>
        </w:rPr>
      </w:pPr>
    </w:p>
    <w:p w14:paraId="4F67D196" w14:textId="5CE05868" w:rsidR="00157374" w:rsidRDefault="00157374" w:rsidP="00157374">
      <w:pPr>
        <w:pStyle w:val="ListParagraph"/>
        <w:spacing w:line="360" w:lineRule="auto"/>
        <w:ind w:left="360"/>
        <w:jc w:val="both"/>
        <w:rPr>
          <w:rFonts w:ascii="Cambria" w:eastAsia="Times New Roman" w:hAnsi="Cambria" w:cs="Arial"/>
          <w:color w:val="222222"/>
          <w:sz w:val="20"/>
          <w:szCs w:val="20"/>
        </w:rPr>
      </w:pPr>
    </w:p>
    <w:p w14:paraId="25AC83B8" w14:textId="6645FFEF" w:rsidR="00157374" w:rsidRDefault="00157374" w:rsidP="00157374">
      <w:pPr>
        <w:pStyle w:val="ListParagraph"/>
        <w:spacing w:line="360" w:lineRule="auto"/>
        <w:ind w:left="360"/>
        <w:jc w:val="both"/>
        <w:rPr>
          <w:rFonts w:ascii="Cambria" w:eastAsia="Times New Roman" w:hAnsi="Cambria" w:cs="Arial"/>
          <w:color w:val="222222"/>
          <w:sz w:val="20"/>
          <w:szCs w:val="20"/>
        </w:rPr>
      </w:pPr>
    </w:p>
    <w:p w14:paraId="267868B7" w14:textId="7455F5BD" w:rsidR="00157374" w:rsidRDefault="00157374" w:rsidP="00157374">
      <w:pPr>
        <w:pStyle w:val="ListParagraph"/>
        <w:spacing w:line="360" w:lineRule="auto"/>
        <w:ind w:left="360"/>
        <w:jc w:val="both"/>
        <w:rPr>
          <w:rFonts w:ascii="Cambria" w:eastAsia="Times New Roman" w:hAnsi="Cambria" w:cs="Arial"/>
          <w:color w:val="222222"/>
          <w:sz w:val="20"/>
          <w:szCs w:val="20"/>
        </w:rPr>
      </w:pPr>
    </w:p>
    <w:p w14:paraId="20C15BE2" w14:textId="34EEA945" w:rsidR="00157374" w:rsidRDefault="00157374" w:rsidP="00157374">
      <w:pPr>
        <w:pStyle w:val="ListParagraph"/>
        <w:spacing w:line="360" w:lineRule="auto"/>
        <w:ind w:left="360"/>
        <w:jc w:val="both"/>
        <w:rPr>
          <w:rFonts w:ascii="Cambria" w:eastAsia="Times New Roman" w:hAnsi="Cambria" w:cs="Arial"/>
          <w:color w:val="222222"/>
          <w:sz w:val="20"/>
          <w:szCs w:val="20"/>
        </w:rPr>
      </w:pPr>
    </w:p>
    <w:p w14:paraId="42E09070" w14:textId="3C11E065" w:rsidR="00157374" w:rsidRDefault="00157374" w:rsidP="00157374">
      <w:pPr>
        <w:pStyle w:val="ListParagraph"/>
        <w:spacing w:line="360" w:lineRule="auto"/>
        <w:ind w:left="360"/>
        <w:jc w:val="both"/>
        <w:rPr>
          <w:rFonts w:ascii="Cambria" w:eastAsia="Times New Roman" w:hAnsi="Cambria" w:cs="Arial"/>
          <w:color w:val="222222"/>
          <w:sz w:val="20"/>
          <w:szCs w:val="20"/>
        </w:rPr>
      </w:pPr>
    </w:p>
    <w:p w14:paraId="14DA5604" w14:textId="17228A55" w:rsidR="00157374" w:rsidRDefault="00157374" w:rsidP="00157374">
      <w:pPr>
        <w:pStyle w:val="ListParagraph"/>
        <w:spacing w:line="360" w:lineRule="auto"/>
        <w:ind w:left="360"/>
        <w:jc w:val="both"/>
        <w:rPr>
          <w:rFonts w:ascii="Cambria" w:eastAsia="Times New Roman" w:hAnsi="Cambria" w:cs="Arial"/>
          <w:color w:val="222222"/>
          <w:sz w:val="20"/>
          <w:szCs w:val="20"/>
        </w:rPr>
      </w:pPr>
    </w:p>
    <w:p w14:paraId="23219F2B" w14:textId="5BE4089D" w:rsidR="00157374" w:rsidRDefault="00157374" w:rsidP="00157374">
      <w:pPr>
        <w:pStyle w:val="ListParagraph"/>
        <w:spacing w:line="360" w:lineRule="auto"/>
        <w:ind w:left="360"/>
        <w:jc w:val="both"/>
        <w:rPr>
          <w:rFonts w:ascii="Cambria" w:eastAsia="Times New Roman" w:hAnsi="Cambria" w:cs="Arial"/>
          <w:color w:val="222222"/>
          <w:sz w:val="20"/>
          <w:szCs w:val="20"/>
        </w:rPr>
      </w:pPr>
    </w:p>
    <w:p w14:paraId="562B60A0" w14:textId="5926C20D" w:rsidR="00157374" w:rsidRDefault="00157374" w:rsidP="00157374">
      <w:pPr>
        <w:pStyle w:val="ListParagraph"/>
        <w:spacing w:line="360" w:lineRule="auto"/>
        <w:ind w:left="360"/>
        <w:jc w:val="both"/>
        <w:rPr>
          <w:rFonts w:ascii="Cambria" w:eastAsia="Times New Roman" w:hAnsi="Cambria" w:cs="Arial"/>
          <w:color w:val="222222"/>
          <w:sz w:val="20"/>
          <w:szCs w:val="20"/>
        </w:rPr>
      </w:pPr>
    </w:p>
    <w:p w14:paraId="3EEF4417" w14:textId="7C13F840" w:rsidR="00157374" w:rsidRDefault="00157374" w:rsidP="00157374">
      <w:pPr>
        <w:pStyle w:val="ListParagraph"/>
        <w:spacing w:line="360" w:lineRule="auto"/>
        <w:ind w:left="360"/>
        <w:jc w:val="both"/>
        <w:rPr>
          <w:rFonts w:ascii="Cambria" w:eastAsia="Times New Roman" w:hAnsi="Cambria" w:cs="Arial"/>
          <w:color w:val="222222"/>
          <w:sz w:val="20"/>
          <w:szCs w:val="20"/>
        </w:rPr>
      </w:pPr>
    </w:p>
    <w:p w14:paraId="25279D8C" w14:textId="7BD3C5B8" w:rsidR="00157374" w:rsidRDefault="00157374" w:rsidP="00157374">
      <w:pPr>
        <w:pStyle w:val="ListParagraph"/>
        <w:spacing w:line="360" w:lineRule="auto"/>
        <w:ind w:left="360"/>
        <w:jc w:val="both"/>
        <w:rPr>
          <w:rFonts w:ascii="Cambria" w:eastAsia="Times New Roman" w:hAnsi="Cambria" w:cs="Arial"/>
          <w:color w:val="222222"/>
          <w:sz w:val="20"/>
          <w:szCs w:val="20"/>
        </w:rPr>
      </w:pPr>
    </w:p>
    <w:p w14:paraId="06551716" w14:textId="0963688F" w:rsidR="00157374" w:rsidRDefault="00157374" w:rsidP="00157374">
      <w:pPr>
        <w:pStyle w:val="ListParagraph"/>
        <w:spacing w:line="360" w:lineRule="auto"/>
        <w:ind w:left="360"/>
        <w:jc w:val="both"/>
        <w:rPr>
          <w:rFonts w:ascii="Cambria" w:eastAsia="Times New Roman" w:hAnsi="Cambria" w:cs="Arial"/>
          <w:color w:val="222222"/>
          <w:sz w:val="20"/>
          <w:szCs w:val="20"/>
        </w:rPr>
      </w:pPr>
    </w:p>
    <w:p w14:paraId="12BF20A8" w14:textId="4C266E59" w:rsidR="00157374" w:rsidRPr="009401BB" w:rsidRDefault="00D86FF7" w:rsidP="00081358">
      <w:pPr>
        <w:pStyle w:val="ListParagraph"/>
        <w:numPr>
          <w:ilvl w:val="0"/>
          <w:numId w:val="77"/>
        </w:numPr>
        <w:tabs>
          <w:tab w:val="left" w:pos="1452"/>
        </w:tabs>
        <w:spacing w:line="360" w:lineRule="auto"/>
        <w:jc w:val="both"/>
        <w:rPr>
          <w:rFonts w:ascii="Cambria" w:eastAsia="Times New Roman" w:hAnsi="Cambria" w:cs="Arial"/>
          <w:b/>
          <w:bCs/>
          <w:sz w:val="28"/>
          <w:szCs w:val="28"/>
        </w:rPr>
      </w:pPr>
      <w:r w:rsidRPr="009401BB">
        <w:rPr>
          <w:rFonts w:ascii="Cambria" w:eastAsia="Times New Roman" w:hAnsi="Cambria" w:cs="Arial"/>
          <w:b/>
          <w:bCs/>
          <w:sz w:val="28"/>
          <w:szCs w:val="28"/>
        </w:rPr>
        <w:lastRenderedPageBreak/>
        <w:t>Lessons Learned</w:t>
      </w:r>
    </w:p>
    <w:p w14:paraId="7FAEC609" w14:textId="77777777" w:rsidR="009401BB" w:rsidRDefault="00D86FF7" w:rsidP="00157374">
      <w:pPr>
        <w:tabs>
          <w:tab w:val="left" w:pos="1452"/>
        </w:tabs>
        <w:spacing w:line="360" w:lineRule="auto"/>
        <w:jc w:val="both"/>
        <w:rPr>
          <w:rFonts w:ascii="Cambria" w:hAnsi="Cambria"/>
          <w:sz w:val="20"/>
          <w:szCs w:val="20"/>
        </w:rPr>
      </w:pPr>
      <w:r w:rsidRPr="00157374">
        <w:rPr>
          <w:rFonts w:ascii="Cambria" w:hAnsi="Cambria"/>
          <w:sz w:val="20"/>
          <w:szCs w:val="20"/>
        </w:rPr>
        <w:t>T</w:t>
      </w:r>
      <w:bookmarkStart w:id="54" w:name="_Hlk59436590"/>
      <w:r w:rsidRPr="00157374">
        <w:rPr>
          <w:rFonts w:ascii="Cambria" w:hAnsi="Cambria"/>
          <w:sz w:val="20"/>
          <w:szCs w:val="20"/>
        </w:rPr>
        <w:t xml:space="preserve">here are several lessons learned from the first phase that should be considered moving forward. </w:t>
      </w:r>
    </w:p>
    <w:p w14:paraId="208E25C5" w14:textId="77777777" w:rsidR="009401BB" w:rsidRPr="009401BB" w:rsidRDefault="00D86FF7" w:rsidP="00081358">
      <w:pPr>
        <w:pStyle w:val="ListParagraph"/>
        <w:numPr>
          <w:ilvl w:val="0"/>
          <w:numId w:val="74"/>
        </w:numPr>
        <w:tabs>
          <w:tab w:val="left" w:pos="1452"/>
        </w:tabs>
        <w:spacing w:line="360" w:lineRule="auto"/>
        <w:jc w:val="both"/>
        <w:rPr>
          <w:rFonts w:ascii="Cambria" w:hAnsi="Cambria" w:cs="Calibri"/>
          <w:sz w:val="20"/>
          <w:szCs w:val="20"/>
          <w:lang w:val="en-GB"/>
        </w:rPr>
      </w:pPr>
      <w:r w:rsidRPr="009401BB">
        <w:rPr>
          <w:rFonts w:ascii="Cambria" w:hAnsi="Cambria"/>
          <w:sz w:val="20"/>
          <w:szCs w:val="20"/>
        </w:rPr>
        <w:t>Firstly, the importance of investing in relationships and partnerships.</w:t>
      </w:r>
      <w:bookmarkEnd w:id="54"/>
      <w:r w:rsidRPr="009401BB">
        <w:rPr>
          <w:rFonts w:ascii="Cambria" w:hAnsi="Cambria"/>
          <w:sz w:val="20"/>
          <w:szCs w:val="20"/>
        </w:rPr>
        <w:t xml:space="preserve"> UNDP has been successful in engaging with implementing partners at a high-level owing to its long-term investment in development, governance and the justice sector</w:t>
      </w:r>
      <w:r w:rsidR="00EB5FA3" w:rsidRPr="009401BB">
        <w:rPr>
          <w:rFonts w:ascii="Cambria" w:hAnsi="Cambria"/>
          <w:sz w:val="20"/>
          <w:szCs w:val="20"/>
        </w:rPr>
        <w:t>. I</w:t>
      </w:r>
      <w:r w:rsidRPr="009401BB">
        <w:rPr>
          <w:rFonts w:ascii="Cambria" w:hAnsi="Cambria"/>
          <w:sz w:val="20"/>
          <w:szCs w:val="20"/>
        </w:rPr>
        <w:t>ts long-term partnerships with beneficiaries particularly state institutions and the high level of trust under which UNDP is recogni</w:t>
      </w:r>
      <w:r w:rsidR="00EB5FA3" w:rsidRPr="009401BB">
        <w:rPr>
          <w:rFonts w:ascii="Cambria" w:hAnsi="Cambria"/>
          <w:sz w:val="20"/>
          <w:szCs w:val="20"/>
        </w:rPr>
        <w:t>s</w:t>
      </w:r>
      <w:r w:rsidRPr="009401BB">
        <w:rPr>
          <w:rFonts w:ascii="Cambria" w:hAnsi="Cambria"/>
          <w:sz w:val="20"/>
          <w:szCs w:val="20"/>
        </w:rPr>
        <w:t xml:space="preserve">ed and its ability to convene and connect state and </w:t>
      </w:r>
      <w:r w:rsidR="00EB5FA3" w:rsidRPr="009401BB">
        <w:rPr>
          <w:rFonts w:ascii="Cambria" w:hAnsi="Cambria"/>
          <w:sz w:val="20"/>
          <w:szCs w:val="20"/>
        </w:rPr>
        <w:t>non-state</w:t>
      </w:r>
      <w:r w:rsidRPr="009401BB">
        <w:rPr>
          <w:rFonts w:ascii="Cambria" w:hAnsi="Cambria"/>
          <w:sz w:val="20"/>
          <w:szCs w:val="20"/>
        </w:rPr>
        <w:t xml:space="preserve"> actors</w:t>
      </w:r>
      <w:r w:rsidR="00EB5FA3" w:rsidRPr="009401BB">
        <w:rPr>
          <w:rFonts w:ascii="Cambria" w:hAnsi="Cambria"/>
          <w:sz w:val="20"/>
          <w:szCs w:val="20"/>
        </w:rPr>
        <w:t xml:space="preserve"> should be enhanced during the second phase. </w:t>
      </w:r>
      <w:bookmarkStart w:id="55" w:name="_Hlk59436610"/>
    </w:p>
    <w:p w14:paraId="5BEC40F7" w14:textId="77777777" w:rsidR="009401BB" w:rsidRDefault="00EB5FA3" w:rsidP="00081358">
      <w:pPr>
        <w:pStyle w:val="ListParagraph"/>
        <w:numPr>
          <w:ilvl w:val="0"/>
          <w:numId w:val="74"/>
        </w:numPr>
        <w:tabs>
          <w:tab w:val="left" w:pos="1452"/>
        </w:tabs>
        <w:spacing w:line="360" w:lineRule="auto"/>
        <w:jc w:val="both"/>
        <w:rPr>
          <w:rFonts w:ascii="Cambria" w:hAnsi="Cambria" w:cs="Calibri"/>
          <w:sz w:val="20"/>
          <w:szCs w:val="20"/>
          <w:lang w:val="en-GB"/>
        </w:rPr>
      </w:pPr>
      <w:r w:rsidRPr="009401BB">
        <w:rPr>
          <w:rFonts w:ascii="Cambria" w:hAnsi="Cambria"/>
          <w:sz w:val="20"/>
          <w:szCs w:val="20"/>
        </w:rPr>
        <w:t>Secondly, it is impor</w:t>
      </w:r>
      <w:r w:rsidR="00D86FF7" w:rsidRPr="009401BB">
        <w:rPr>
          <w:rFonts w:ascii="Cambria" w:hAnsi="Cambria"/>
          <w:sz w:val="20"/>
          <w:szCs w:val="20"/>
        </w:rPr>
        <w:t>tant to invest in participation and ownership of interventions.</w:t>
      </w:r>
      <w:bookmarkEnd w:id="55"/>
      <w:r w:rsidR="00D86FF7" w:rsidRPr="009401BB">
        <w:rPr>
          <w:rFonts w:ascii="Cambria" w:hAnsi="Cambria"/>
          <w:sz w:val="20"/>
          <w:szCs w:val="20"/>
        </w:rPr>
        <w:t xml:space="preserve"> </w:t>
      </w:r>
      <w:r w:rsidRPr="009401BB">
        <w:rPr>
          <w:rFonts w:ascii="Cambria" w:hAnsi="Cambria" w:cs="Calibri"/>
          <w:sz w:val="20"/>
          <w:szCs w:val="20"/>
          <w:lang w:val="en-GB"/>
        </w:rPr>
        <w:t xml:space="preserve">It was noted that during the first phase </w:t>
      </w:r>
      <w:r w:rsidR="00D86FF7" w:rsidRPr="009401BB">
        <w:rPr>
          <w:rFonts w:ascii="Cambria" w:hAnsi="Cambria" w:cs="Calibri"/>
          <w:sz w:val="20"/>
          <w:szCs w:val="20"/>
          <w:lang w:val="en-GB"/>
        </w:rPr>
        <w:t>considerable bureaucratic and administrative flux resulting from changes in personnel and policy preferences slows progress and reliance on key persons at an institutional level also as experience shows impedes progress. It is important not to assume that beneficiaries, whether state or non-state will automatically take over administrative and financial leadership or ownership. Therefore</w:t>
      </w:r>
      <w:r w:rsidRPr="009401BB">
        <w:rPr>
          <w:rFonts w:ascii="Cambria" w:hAnsi="Cambria" w:cs="Calibri"/>
          <w:sz w:val="20"/>
          <w:szCs w:val="20"/>
          <w:lang w:val="en-GB"/>
        </w:rPr>
        <w:t>,</w:t>
      </w:r>
      <w:r w:rsidR="00D86FF7" w:rsidRPr="009401BB">
        <w:rPr>
          <w:rFonts w:ascii="Cambria" w:hAnsi="Cambria" w:cs="Calibri"/>
          <w:sz w:val="20"/>
          <w:szCs w:val="20"/>
          <w:lang w:val="en-GB"/>
        </w:rPr>
        <w:t xml:space="preserve"> it is crucial to work closely with counterparts to build in effective partnerships to progressively devo</w:t>
      </w:r>
      <w:r w:rsidRPr="009401BB">
        <w:rPr>
          <w:rFonts w:ascii="Cambria" w:hAnsi="Cambria" w:cs="Calibri"/>
          <w:sz w:val="20"/>
          <w:szCs w:val="20"/>
          <w:lang w:val="en-GB"/>
        </w:rPr>
        <w:t xml:space="preserve">lve </w:t>
      </w:r>
      <w:r w:rsidR="00D86FF7" w:rsidRPr="009401BB">
        <w:rPr>
          <w:rFonts w:ascii="Cambria" w:hAnsi="Cambria" w:cs="Calibri"/>
          <w:sz w:val="20"/>
          <w:szCs w:val="20"/>
          <w:lang w:val="en-GB"/>
        </w:rPr>
        <w:t xml:space="preserve">responsibility to counterparts for leading and managing ongoing change and progressively reducing donor depending and increasing sustainability. </w:t>
      </w:r>
    </w:p>
    <w:p w14:paraId="23DBF53A" w14:textId="084BB85B" w:rsidR="00D86FF7" w:rsidRPr="009401BB" w:rsidRDefault="00D33F4E" w:rsidP="00081358">
      <w:pPr>
        <w:pStyle w:val="ListParagraph"/>
        <w:numPr>
          <w:ilvl w:val="0"/>
          <w:numId w:val="74"/>
        </w:numPr>
        <w:tabs>
          <w:tab w:val="left" w:pos="1452"/>
        </w:tabs>
        <w:spacing w:line="360" w:lineRule="auto"/>
        <w:jc w:val="both"/>
        <w:rPr>
          <w:rFonts w:ascii="Cambria" w:hAnsi="Cambria" w:cs="Calibri"/>
          <w:sz w:val="20"/>
          <w:szCs w:val="20"/>
          <w:lang w:val="en-GB"/>
        </w:rPr>
      </w:pPr>
      <w:r w:rsidRPr="009401BB">
        <w:rPr>
          <w:rFonts w:ascii="Cambria" w:hAnsi="Cambria" w:cs="Calibri"/>
          <w:sz w:val="20"/>
          <w:szCs w:val="20"/>
          <w:lang w:val="en-GB"/>
        </w:rPr>
        <w:t>Thirdly,</w:t>
      </w:r>
      <w:bookmarkStart w:id="56" w:name="_Hlk59436640"/>
      <w:r w:rsidRPr="009401BB">
        <w:rPr>
          <w:rFonts w:ascii="Cambria" w:hAnsi="Cambria" w:cs="Calibri"/>
          <w:sz w:val="20"/>
          <w:szCs w:val="20"/>
          <w:lang w:val="en-GB"/>
        </w:rPr>
        <w:t xml:space="preserve"> the limitations in under investing in building capacity of CSOs</w:t>
      </w:r>
      <w:bookmarkEnd w:id="56"/>
      <w:r w:rsidRPr="009401BB">
        <w:rPr>
          <w:rFonts w:ascii="Cambria" w:hAnsi="Cambria" w:cs="Calibri"/>
          <w:sz w:val="20"/>
          <w:szCs w:val="20"/>
          <w:lang w:val="en-GB"/>
        </w:rPr>
        <w:t xml:space="preserve">. </w:t>
      </w:r>
      <w:r w:rsidR="00662F51" w:rsidRPr="009401BB">
        <w:rPr>
          <w:rFonts w:ascii="Cambria" w:hAnsi="Cambria" w:cs="Calibri"/>
          <w:sz w:val="20"/>
          <w:szCs w:val="20"/>
          <w:lang w:val="en-GB"/>
        </w:rPr>
        <w:t>It is more important now than before to strengthen resilience of CSO</w:t>
      </w:r>
      <w:r w:rsidR="0023329B" w:rsidRPr="009401BB">
        <w:rPr>
          <w:rFonts w:ascii="Cambria" w:hAnsi="Cambria" w:cs="Calibri"/>
          <w:sz w:val="20"/>
          <w:szCs w:val="20"/>
          <w:lang w:val="en-GB"/>
        </w:rPr>
        <w:t>s</w:t>
      </w:r>
      <w:r w:rsidR="00662F51" w:rsidRPr="009401BB">
        <w:rPr>
          <w:rFonts w:ascii="Cambria" w:hAnsi="Cambria" w:cs="Calibri"/>
          <w:sz w:val="20"/>
          <w:szCs w:val="20"/>
          <w:lang w:val="en-GB"/>
        </w:rPr>
        <w:t xml:space="preserve"> and civilian oversight of government to promote peace, development and good governance. </w:t>
      </w:r>
    </w:p>
    <w:bookmarkEnd w:id="52"/>
    <w:p w14:paraId="1DC3374B" w14:textId="77777777" w:rsidR="00943E85" w:rsidRDefault="00943E85" w:rsidP="00A31D22">
      <w:pPr>
        <w:tabs>
          <w:tab w:val="left" w:pos="1452"/>
        </w:tabs>
        <w:rPr>
          <w:rFonts w:ascii="Cambria" w:hAnsi="Cambria"/>
          <w:b/>
          <w:bCs/>
          <w:sz w:val="32"/>
          <w:szCs w:val="32"/>
        </w:rPr>
      </w:pPr>
    </w:p>
    <w:p w14:paraId="0C3B71C1" w14:textId="77777777" w:rsidR="00943E85" w:rsidRDefault="00943E85" w:rsidP="00A31D22">
      <w:pPr>
        <w:tabs>
          <w:tab w:val="left" w:pos="1452"/>
        </w:tabs>
        <w:rPr>
          <w:rFonts w:ascii="Cambria" w:hAnsi="Cambria"/>
          <w:b/>
          <w:bCs/>
          <w:sz w:val="32"/>
          <w:szCs w:val="32"/>
        </w:rPr>
      </w:pPr>
    </w:p>
    <w:p w14:paraId="75115636" w14:textId="77777777" w:rsidR="00943E85" w:rsidRDefault="00943E85" w:rsidP="00A31D22">
      <w:pPr>
        <w:tabs>
          <w:tab w:val="left" w:pos="1452"/>
        </w:tabs>
        <w:rPr>
          <w:rFonts w:ascii="Cambria" w:hAnsi="Cambria"/>
          <w:b/>
          <w:bCs/>
          <w:sz w:val="32"/>
          <w:szCs w:val="32"/>
        </w:rPr>
      </w:pPr>
    </w:p>
    <w:p w14:paraId="732978BE" w14:textId="77777777" w:rsidR="00943E85" w:rsidRDefault="00943E85" w:rsidP="00A31D22">
      <w:pPr>
        <w:tabs>
          <w:tab w:val="left" w:pos="1452"/>
        </w:tabs>
        <w:rPr>
          <w:rFonts w:ascii="Cambria" w:hAnsi="Cambria"/>
          <w:b/>
          <w:bCs/>
          <w:sz w:val="32"/>
          <w:szCs w:val="32"/>
        </w:rPr>
      </w:pPr>
    </w:p>
    <w:p w14:paraId="2FB72D1A" w14:textId="77777777" w:rsidR="00943E85" w:rsidRDefault="00943E85" w:rsidP="00A31D22">
      <w:pPr>
        <w:tabs>
          <w:tab w:val="left" w:pos="1452"/>
        </w:tabs>
        <w:rPr>
          <w:rFonts w:ascii="Cambria" w:hAnsi="Cambria"/>
          <w:b/>
          <w:bCs/>
          <w:sz w:val="32"/>
          <w:szCs w:val="32"/>
        </w:rPr>
      </w:pPr>
    </w:p>
    <w:p w14:paraId="2EF7C3B5" w14:textId="51BA9745" w:rsidR="00943E85" w:rsidRDefault="00943E85" w:rsidP="00A31D22">
      <w:pPr>
        <w:tabs>
          <w:tab w:val="left" w:pos="1452"/>
        </w:tabs>
        <w:rPr>
          <w:rFonts w:ascii="Cambria" w:hAnsi="Cambria"/>
          <w:b/>
          <w:bCs/>
          <w:sz w:val="32"/>
          <w:szCs w:val="32"/>
        </w:rPr>
      </w:pPr>
    </w:p>
    <w:p w14:paraId="7E4A14D2" w14:textId="7B0DA58F" w:rsidR="001E49D6" w:rsidRDefault="001E49D6" w:rsidP="00A31D22">
      <w:pPr>
        <w:tabs>
          <w:tab w:val="left" w:pos="1452"/>
        </w:tabs>
        <w:rPr>
          <w:rFonts w:ascii="Cambria" w:hAnsi="Cambria"/>
          <w:b/>
          <w:bCs/>
          <w:sz w:val="32"/>
          <w:szCs w:val="32"/>
        </w:rPr>
      </w:pPr>
    </w:p>
    <w:p w14:paraId="55956718" w14:textId="5FA0DF34" w:rsidR="001E49D6" w:rsidRDefault="001E49D6" w:rsidP="00A31D22">
      <w:pPr>
        <w:tabs>
          <w:tab w:val="left" w:pos="1452"/>
        </w:tabs>
        <w:rPr>
          <w:rFonts w:ascii="Cambria" w:hAnsi="Cambria"/>
          <w:b/>
          <w:bCs/>
          <w:sz w:val="32"/>
          <w:szCs w:val="32"/>
        </w:rPr>
      </w:pPr>
    </w:p>
    <w:p w14:paraId="399FC5C7" w14:textId="41732EBF" w:rsidR="001E49D6" w:rsidRDefault="001E49D6" w:rsidP="00A31D22">
      <w:pPr>
        <w:tabs>
          <w:tab w:val="left" w:pos="1452"/>
        </w:tabs>
        <w:rPr>
          <w:rFonts w:ascii="Cambria" w:hAnsi="Cambria"/>
          <w:b/>
          <w:bCs/>
          <w:sz w:val="32"/>
          <w:szCs w:val="32"/>
        </w:rPr>
      </w:pPr>
    </w:p>
    <w:p w14:paraId="7AD52BDA" w14:textId="5F003B8F" w:rsidR="001E49D6" w:rsidRDefault="001E49D6" w:rsidP="00A31D22">
      <w:pPr>
        <w:tabs>
          <w:tab w:val="left" w:pos="1452"/>
        </w:tabs>
        <w:rPr>
          <w:rFonts w:ascii="Cambria" w:hAnsi="Cambria"/>
          <w:b/>
          <w:bCs/>
          <w:sz w:val="32"/>
          <w:szCs w:val="32"/>
        </w:rPr>
      </w:pPr>
    </w:p>
    <w:p w14:paraId="26F9D669" w14:textId="59A33E7A" w:rsidR="001E49D6" w:rsidRDefault="001E49D6" w:rsidP="00A31D22">
      <w:pPr>
        <w:tabs>
          <w:tab w:val="left" w:pos="1452"/>
        </w:tabs>
        <w:rPr>
          <w:rFonts w:ascii="Cambria" w:hAnsi="Cambria"/>
          <w:b/>
          <w:bCs/>
          <w:sz w:val="32"/>
          <w:szCs w:val="32"/>
        </w:rPr>
      </w:pPr>
    </w:p>
    <w:p w14:paraId="66A0C155" w14:textId="77777777" w:rsidR="001E49D6" w:rsidRDefault="001E49D6" w:rsidP="00A31D22">
      <w:pPr>
        <w:tabs>
          <w:tab w:val="left" w:pos="1452"/>
        </w:tabs>
        <w:rPr>
          <w:rFonts w:ascii="Cambria" w:hAnsi="Cambria"/>
          <w:b/>
          <w:bCs/>
          <w:sz w:val="32"/>
          <w:szCs w:val="32"/>
        </w:rPr>
      </w:pPr>
    </w:p>
    <w:p w14:paraId="23DA554E" w14:textId="7A4B5E3E" w:rsidR="00BD657A" w:rsidRPr="005611DA" w:rsidRDefault="00BD657A" w:rsidP="00A31D22">
      <w:pPr>
        <w:tabs>
          <w:tab w:val="left" w:pos="1452"/>
        </w:tabs>
        <w:rPr>
          <w:rFonts w:ascii="Cambria" w:hAnsi="Cambria"/>
          <w:b/>
          <w:bCs/>
          <w:sz w:val="32"/>
          <w:szCs w:val="32"/>
        </w:rPr>
      </w:pPr>
      <w:r w:rsidRPr="005611DA">
        <w:rPr>
          <w:rFonts w:ascii="Cambria" w:hAnsi="Cambria"/>
          <w:b/>
          <w:bCs/>
          <w:sz w:val="32"/>
          <w:szCs w:val="32"/>
        </w:rPr>
        <w:lastRenderedPageBreak/>
        <w:t>Annex</w:t>
      </w:r>
      <w:r w:rsidR="007C79D6">
        <w:rPr>
          <w:rFonts w:ascii="Cambria" w:hAnsi="Cambria"/>
          <w:b/>
          <w:bCs/>
          <w:sz w:val="32"/>
          <w:szCs w:val="32"/>
        </w:rPr>
        <w:t>e</w:t>
      </w:r>
      <w:r w:rsidRPr="005611DA">
        <w:rPr>
          <w:rFonts w:ascii="Cambria" w:hAnsi="Cambria"/>
          <w:b/>
          <w:bCs/>
          <w:sz w:val="32"/>
          <w:szCs w:val="32"/>
        </w:rPr>
        <w:t>s</w:t>
      </w:r>
    </w:p>
    <w:p w14:paraId="42F5768F" w14:textId="65CB1705" w:rsidR="00630D6B" w:rsidRPr="005611DA" w:rsidRDefault="00630D6B" w:rsidP="00630D6B">
      <w:pPr>
        <w:rPr>
          <w:rFonts w:ascii="Cambria" w:hAnsi="Cambria" w:cstheme="minorHAnsi"/>
          <w:b/>
          <w:bCs/>
          <w:sz w:val="28"/>
          <w:szCs w:val="28"/>
        </w:rPr>
      </w:pPr>
      <w:r w:rsidRPr="005611DA">
        <w:rPr>
          <w:rFonts w:ascii="Cambria" w:hAnsi="Cambria" w:cstheme="minorHAnsi"/>
          <w:b/>
          <w:bCs/>
          <w:sz w:val="28"/>
          <w:szCs w:val="28"/>
        </w:rPr>
        <w:t>Annex One</w:t>
      </w:r>
      <w:r w:rsidR="00A31D22">
        <w:rPr>
          <w:rFonts w:ascii="Cambria" w:hAnsi="Cambria" w:cstheme="minorHAnsi"/>
          <w:b/>
          <w:bCs/>
          <w:sz w:val="28"/>
          <w:szCs w:val="28"/>
        </w:rPr>
        <w:t>: Approved Inception Report</w:t>
      </w:r>
    </w:p>
    <w:p w14:paraId="5DD22749" w14:textId="77777777" w:rsidR="00630D6B" w:rsidRPr="00730D83" w:rsidRDefault="00630D6B" w:rsidP="00630D6B">
      <w:pPr>
        <w:jc w:val="center"/>
        <w:rPr>
          <w:rFonts w:ascii="Cambria" w:hAnsi="Cambria" w:cstheme="minorHAnsi"/>
          <w:b/>
          <w:bCs/>
          <w:sz w:val="20"/>
          <w:szCs w:val="20"/>
        </w:rPr>
      </w:pPr>
    </w:p>
    <w:p w14:paraId="623A0577" w14:textId="77777777" w:rsidR="00630D6B" w:rsidRPr="00730D83" w:rsidRDefault="00630D6B" w:rsidP="00630D6B">
      <w:pPr>
        <w:jc w:val="center"/>
        <w:rPr>
          <w:rFonts w:ascii="Cambria" w:hAnsi="Cambria" w:cstheme="minorHAnsi"/>
          <w:b/>
          <w:bCs/>
          <w:sz w:val="20"/>
          <w:szCs w:val="20"/>
        </w:rPr>
      </w:pPr>
      <w:r w:rsidRPr="00730D83">
        <w:rPr>
          <w:rFonts w:ascii="Cambria" w:hAnsi="Cambria" w:cstheme="minorHAnsi"/>
          <w:b/>
          <w:bCs/>
          <w:sz w:val="20"/>
          <w:szCs w:val="20"/>
        </w:rPr>
        <w:t>Mid-Term Evaluation and Strategic Direction Setting of UNDP’s Portfolio on SDG 16+- Peace, Justice and Strong Institutions</w:t>
      </w:r>
    </w:p>
    <w:p w14:paraId="66F0A049" w14:textId="77777777" w:rsidR="00630D6B" w:rsidRPr="00730D83" w:rsidRDefault="00630D6B" w:rsidP="00630D6B">
      <w:pPr>
        <w:jc w:val="center"/>
        <w:rPr>
          <w:rFonts w:ascii="Cambria" w:hAnsi="Cambria" w:cstheme="minorHAnsi"/>
          <w:b/>
          <w:bCs/>
          <w:sz w:val="20"/>
          <w:szCs w:val="20"/>
        </w:rPr>
      </w:pPr>
    </w:p>
    <w:p w14:paraId="38420C9A" w14:textId="77777777" w:rsidR="00630D6B" w:rsidRPr="00730D83" w:rsidRDefault="00630D6B" w:rsidP="00630D6B">
      <w:pPr>
        <w:jc w:val="center"/>
        <w:rPr>
          <w:rFonts w:ascii="Cambria" w:hAnsi="Cambria" w:cstheme="minorHAnsi"/>
          <w:b/>
          <w:bCs/>
          <w:caps/>
          <w:sz w:val="20"/>
          <w:szCs w:val="20"/>
          <w:u w:val="single"/>
        </w:rPr>
      </w:pPr>
      <w:r w:rsidRPr="00730D83">
        <w:rPr>
          <w:rFonts w:ascii="Cambria" w:hAnsi="Cambria" w:cstheme="minorHAnsi"/>
          <w:b/>
          <w:bCs/>
          <w:caps/>
          <w:sz w:val="20"/>
          <w:szCs w:val="20"/>
          <w:u w:val="single"/>
        </w:rPr>
        <w:t>Inception Report</w:t>
      </w:r>
    </w:p>
    <w:p w14:paraId="4B9DDC10" w14:textId="77777777" w:rsidR="00630D6B" w:rsidRPr="00730D83" w:rsidRDefault="00630D6B" w:rsidP="00630D6B">
      <w:pPr>
        <w:jc w:val="both"/>
        <w:rPr>
          <w:rFonts w:ascii="Cambria" w:hAnsi="Cambria" w:cstheme="minorHAnsi"/>
          <w:b/>
          <w:bCs/>
          <w:sz w:val="20"/>
          <w:szCs w:val="20"/>
        </w:rPr>
      </w:pPr>
    </w:p>
    <w:p w14:paraId="02101F71" w14:textId="77777777" w:rsidR="00630D6B" w:rsidRPr="00730D83" w:rsidRDefault="00630D6B" w:rsidP="00630D6B">
      <w:pPr>
        <w:jc w:val="both"/>
        <w:rPr>
          <w:rFonts w:ascii="Cambria" w:hAnsi="Cambria" w:cstheme="minorHAnsi"/>
          <w:b/>
          <w:bCs/>
          <w:sz w:val="20"/>
          <w:szCs w:val="20"/>
        </w:rPr>
      </w:pPr>
      <w:r w:rsidRPr="00730D83">
        <w:rPr>
          <w:rFonts w:ascii="Cambria" w:hAnsi="Cambria" w:cstheme="minorHAnsi"/>
          <w:b/>
          <w:bCs/>
          <w:sz w:val="20"/>
          <w:szCs w:val="20"/>
        </w:rPr>
        <w:t>Table of Contents</w:t>
      </w:r>
    </w:p>
    <w:sdt>
      <w:sdtPr>
        <w:rPr>
          <w:rFonts w:ascii="Cambria" w:hAnsi="Cambria" w:cstheme="minorHAnsi"/>
          <w:sz w:val="20"/>
          <w:szCs w:val="20"/>
        </w:rPr>
        <w:id w:val="-1137172978"/>
        <w:docPartObj>
          <w:docPartGallery w:val="Table of Contents"/>
          <w:docPartUnique/>
        </w:docPartObj>
      </w:sdtPr>
      <w:sdtEndPr>
        <w:rPr>
          <w:b/>
          <w:bCs/>
          <w:noProof/>
        </w:rPr>
      </w:sdtEndPr>
      <w:sdtContent>
        <w:p w14:paraId="3F92EC6C" w14:textId="77777777" w:rsidR="00630D6B" w:rsidRPr="00730D83" w:rsidRDefault="00630D6B" w:rsidP="00630D6B">
          <w:pPr>
            <w:jc w:val="both"/>
            <w:rPr>
              <w:rFonts w:ascii="Cambria" w:hAnsi="Cambria" w:cstheme="minorHAnsi"/>
              <w:sz w:val="20"/>
              <w:szCs w:val="20"/>
            </w:rPr>
          </w:pPr>
        </w:p>
        <w:p w14:paraId="0284B1D3" w14:textId="2AA9540E" w:rsidR="00630D6B" w:rsidRPr="00730D83" w:rsidRDefault="00630D6B" w:rsidP="00630D6B">
          <w:pPr>
            <w:tabs>
              <w:tab w:val="right" w:leader="dot" w:pos="9350"/>
            </w:tabs>
            <w:spacing w:after="0"/>
            <w:jc w:val="both"/>
            <w:rPr>
              <w:rFonts w:ascii="Cambria" w:hAnsi="Cambria" w:cstheme="minorHAnsi"/>
              <w:b/>
              <w:bCs/>
              <w:noProof/>
              <w:sz w:val="20"/>
              <w:szCs w:val="20"/>
            </w:rPr>
          </w:pPr>
          <w:r w:rsidRPr="00730D83">
            <w:rPr>
              <w:rFonts w:ascii="Cambria" w:hAnsi="Cambria" w:cstheme="minorHAnsi"/>
              <w:sz w:val="20"/>
              <w:szCs w:val="20"/>
            </w:rPr>
            <w:fldChar w:fldCharType="begin"/>
          </w:r>
          <w:r w:rsidRPr="00730D83">
            <w:rPr>
              <w:rFonts w:ascii="Cambria" w:hAnsi="Cambria" w:cstheme="minorHAnsi"/>
              <w:sz w:val="20"/>
              <w:szCs w:val="20"/>
            </w:rPr>
            <w:instrText xml:space="preserve"> TOC \o "1-3" \h \z \u </w:instrText>
          </w:r>
          <w:r w:rsidRPr="00730D83">
            <w:rPr>
              <w:rFonts w:ascii="Cambria" w:hAnsi="Cambria" w:cstheme="minorHAnsi"/>
              <w:sz w:val="20"/>
              <w:szCs w:val="20"/>
            </w:rPr>
            <w:fldChar w:fldCharType="separate"/>
          </w:r>
          <w:hyperlink w:anchor="_Toc54247659" w:history="1">
            <w:r w:rsidRPr="00730D83">
              <w:rPr>
                <w:rFonts w:ascii="Cambria" w:hAnsi="Cambria" w:cstheme="minorHAnsi"/>
                <w:b/>
                <w:bCs/>
                <w:noProof/>
                <w:sz w:val="20"/>
                <w:szCs w:val="20"/>
              </w:rPr>
              <w:t>List of Acronyms and Abbreviations</w:t>
            </w:r>
            <w:r w:rsidRPr="00730D83">
              <w:rPr>
                <w:rFonts w:ascii="Cambria" w:hAnsi="Cambria" w:cstheme="minorHAnsi"/>
                <w:b/>
                <w:bCs/>
                <w:noProof/>
                <w:webHidden/>
                <w:sz w:val="20"/>
                <w:szCs w:val="20"/>
              </w:rPr>
              <w:tab/>
            </w:r>
            <w:r w:rsidRPr="00730D83">
              <w:rPr>
                <w:rFonts w:ascii="Cambria" w:hAnsi="Cambria" w:cstheme="minorHAnsi"/>
                <w:b/>
                <w:bCs/>
                <w:noProof/>
                <w:webHidden/>
                <w:sz w:val="20"/>
                <w:szCs w:val="20"/>
              </w:rPr>
              <w:fldChar w:fldCharType="begin"/>
            </w:r>
            <w:r w:rsidRPr="00730D83">
              <w:rPr>
                <w:rFonts w:ascii="Cambria" w:hAnsi="Cambria" w:cstheme="minorHAnsi"/>
                <w:b/>
                <w:bCs/>
                <w:noProof/>
                <w:webHidden/>
                <w:sz w:val="20"/>
                <w:szCs w:val="20"/>
              </w:rPr>
              <w:instrText xml:space="preserve"> PAGEREF _Toc54247659 \h </w:instrText>
            </w:r>
            <w:r w:rsidRPr="00730D83">
              <w:rPr>
                <w:rFonts w:ascii="Cambria" w:hAnsi="Cambria" w:cstheme="minorHAnsi"/>
                <w:b/>
                <w:bCs/>
                <w:noProof/>
                <w:webHidden/>
                <w:sz w:val="20"/>
                <w:szCs w:val="20"/>
              </w:rPr>
            </w:r>
            <w:r w:rsidRPr="00730D83">
              <w:rPr>
                <w:rFonts w:ascii="Cambria" w:hAnsi="Cambria" w:cstheme="minorHAnsi"/>
                <w:b/>
                <w:bCs/>
                <w:noProof/>
                <w:webHidden/>
                <w:sz w:val="20"/>
                <w:szCs w:val="20"/>
              </w:rPr>
              <w:fldChar w:fldCharType="separate"/>
            </w:r>
            <w:r w:rsidR="00285B53">
              <w:rPr>
                <w:rFonts w:ascii="Cambria" w:hAnsi="Cambria" w:cstheme="minorHAnsi"/>
                <w:b/>
                <w:bCs/>
                <w:noProof/>
                <w:webHidden/>
                <w:sz w:val="20"/>
                <w:szCs w:val="20"/>
              </w:rPr>
              <w:t>95</w:t>
            </w:r>
            <w:r w:rsidRPr="00730D83">
              <w:rPr>
                <w:rFonts w:ascii="Cambria" w:hAnsi="Cambria" w:cstheme="minorHAnsi"/>
                <w:b/>
                <w:bCs/>
                <w:noProof/>
                <w:webHidden/>
                <w:sz w:val="20"/>
                <w:szCs w:val="20"/>
              </w:rPr>
              <w:fldChar w:fldCharType="end"/>
            </w:r>
          </w:hyperlink>
        </w:p>
        <w:p w14:paraId="37A693D1" w14:textId="77777777" w:rsidR="00630D6B" w:rsidRPr="00730D83" w:rsidRDefault="00630D6B" w:rsidP="00630D6B">
          <w:pPr>
            <w:jc w:val="both"/>
            <w:rPr>
              <w:rFonts w:ascii="Cambria" w:hAnsi="Cambria" w:cstheme="minorHAnsi"/>
              <w:sz w:val="20"/>
              <w:szCs w:val="20"/>
            </w:rPr>
          </w:pPr>
        </w:p>
        <w:p w14:paraId="0C817A32" w14:textId="472BB1E4" w:rsidR="00630D6B" w:rsidRPr="00730D83" w:rsidRDefault="00496492" w:rsidP="00630D6B">
          <w:pPr>
            <w:tabs>
              <w:tab w:val="left" w:pos="660"/>
              <w:tab w:val="right" w:leader="dot" w:pos="9350"/>
            </w:tabs>
            <w:spacing w:after="0"/>
            <w:jc w:val="both"/>
            <w:rPr>
              <w:rFonts w:ascii="Cambria" w:eastAsiaTheme="minorEastAsia" w:hAnsi="Cambria" w:cstheme="minorHAnsi"/>
              <w:b/>
              <w:bCs/>
              <w:noProof/>
              <w:sz w:val="20"/>
              <w:szCs w:val="20"/>
            </w:rPr>
          </w:pPr>
          <w:hyperlink w:anchor="_Toc54247660" w:history="1">
            <w:r w:rsidR="00630D6B" w:rsidRPr="00730D83">
              <w:rPr>
                <w:rFonts w:ascii="Cambria" w:hAnsi="Cambria" w:cstheme="minorHAnsi"/>
                <w:b/>
                <w:bCs/>
                <w:noProof/>
                <w:sz w:val="20"/>
                <w:szCs w:val="20"/>
              </w:rPr>
              <w:t>1.</w:t>
            </w:r>
            <w:r w:rsidR="00630D6B" w:rsidRPr="00730D83">
              <w:rPr>
                <w:rFonts w:ascii="Cambria" w:eastAsiaTheme="minorEastAsia" w:hAnsi="Cambria" w:cstheme="minorHAnsi"/>
                <w:b/>
                <w:bCs/>
                <w:noProof/>
                <w:sz w:val="20"/>
                <w:szCs w:val="20"/>
              </w:rPr>
              <w:t xml:space="preserve"> </w:t>
            </w:r>
            <w:r w:rsidR="00630D6B" w:rsidRPr="00730D83">
              <w:rPr>
                <w:rFonts w:ascii="Cambria" w:hAnsi="Cambria" w:cstheme="minorHAnsi"/>
                <w:b/>
                <w:bCs/>
                <w:noProof/>
                <w:sz w:val="20"/>
                <w:szCs w:val="20"/>
              </w:rPr>
              <w:t>Introduction</w:t>
            </w:r>
            <w:r w:rsidR="00630D6B" w:rsidRPr="00730D83">
              <w:rPr>
                <w:rFonts w:ascii="Cambria" w:hAnsi="Cambria" w:cstheme="minorHAnsi"/>
                <w:b/>
                <w:bCs/>
                <w:noProof/>
                <w:webHidden/>
                <w:sz w:val="20"/>
                <w:szCs w:val="20"/>
              </w:rPr>
              <w:tab/>
            </w:r>
            <w:r w:rsidR="00630D6B" w:rsidRPr="00730D83">
              <w:rPr>
                <w:rFonts w:ascii="Cambria" w:hAnsi="Cambria" w:cstheme="minorHAnsi"/>
                <w:b/>
                <w:bCs/>
                <w:noProof/>
                <w:webHidden/>
                <w:sz w:val="20"/>
                <w:szCs w:val="20"/>
              </w:rPr>
              <w:fldChar w:fldCharType="begin"/>
            </w:r>
            <w:r w:rsidR="00630D6B" w:rsidRPr="00730D83">
              <w:rPr>
                <w:rFonts w:ascii="Cambria" w:hAnsi="Cambria" w:cstheme="minorHAnsi"/>
                <w:b/>
                <w:bCs/>
                <w:noProof/>
                <w:webHidden/>
                <w:sz w:val="20"/>
                <w:szCs w:val="20"/>
              </w:rPr>
              <w:instrText xml:space="preserve"> PAGEREF _Toc54247660 \h </w:instrText>
            </w:r>
            <w:r w:rsidR="00630D6B" w:rsidRPr="00730D83">
              <w:rPr>
                <w:rFonts w:ascii="Cambria" w:hAnsi="Cambria" w:cstheme="minorHAnsi"/>
                <w:b/>
                <w:bCs/>
                <w:noProof/>
                <w:webHidden/>
                <w:sz w:val="20"/>
                <w:szCs w:val="20"/>
              </w:rPr>
            </w:r>
            <w:r w:rsidR="00630D6B" w:rsidRPr="00730D83">
              <w:rPr>
                <w:rFonts w:ascii="Cambria" w:hAnsi="Cambria" w:cstheme="minorHAnsi"/>
                <w:b/>
                <w:bCs/>
                <w:noProof/>
                <w:webHidden/>
                <w:sz w:val="20"/>
                <w:szCs w:val="20"/>
              </w:rPr>
              <w:fldChar w:fldCharType="separate"/>
            </w:r>
            <w:r w:rsidR="00285B53">
              <w:rPr>
                <w:rFonts w:ascii="Cambria" w:hAnsi="Cambria" w:cstheme="minorHAnsi"/>
                <w:b/>
                <w:bCs/>
                <w:noProof/>
                <w:webHidden/>
                <w:sz w:val="20"/>
                <w:szCs w:val="20"/>
              </w:rPr>
              <w:t>95</w:t>
            </w:r>
            <w:r w:rsidR="00630D6B" w:rsidRPr="00730D83">
              <w:rPr>
                <w:rFonts w:ascii="Cambria" w:hAnsi="Cambria" w:cstheme="minorHAnsi"/>
                <w:b/>
                <w:bCs/>
                <w:noProof/>
                <w:webHidden/>
                <w:sz w:val="20"/>
                <w:szCs w:val="20"/>
              </w:rPr>
              <w:fldChar w:fldCharType="end"/>
            </w:r>
          </w:hyperlink>
        </w:p>
        <w:p w14:paraId="5E397C4C" w14:textId="27F05D3E" w:rsidR="00630D6B" w:rsidRPr="00730D83" w:rsidRDefault="00496492" w:rsidP="00630D6B">
          <w:pPr>
            <w:tabs>
              <w:tab w:val="left" w:pos="660"/>
              <w:tab w:val="right" w:leader="dot" w:pos="9350"/>
            </w:tabs>
            <w:spacing w:after="0"/>
            <w:jc w:val="both"/>
            <w:rPr>
              <w:rFonts w:ascii="Cambria" w:eastAsiaTheme="minorEastAsia" w:hAnsi="Cambria" w:cstheme="minorHAnsi"/>
              <w:b/>
              <w:bCs/>
              <w:noProof/>
              <w:sz w:val="20"/>
              <w:szCs w:val="20"/>
            </w:rPr>
          </w:pPr>
          <w:hyperlink w:anchor="_Toc54247661" w:history="1">
            <w:r w:rsidR="00630D6B" w:rsidRPr="00730D83">
              <w:rPr>
                <w:rFonts w:ascii="Cambria" w:hAnsi="Cambria" w:cstheme="minorHAnsi"/>
                <w:b/>
                <w:bCs/>
                <w:noProof/>
                <w:sz w:val="20"/>
                <w:szCs w:val="20"/>
              </w:rPr>
              <w:t>2.</w:t>
            </w:r>
            <w:r w:rsidR="00630D6B" w:rsidRPr="00730D83">
              <w:rPr>
                <w:rFonts w:ascii="Cambria" w:eastAsiaTheme="minorEastAsia" w:hAnsi="Cambria" w:cstheme="minorHAnsi"/>
                <w:b/>
                <w:bCs/>
                <w:noProof/>
                <w:sz w:val="20"/>
                <w:szCs w:val="20"/>
              </w:rPr>
              <w:t xml:space="preserve"> </w:t>
            </w:r>
            <w:r w:rsidR="00630D6B" w:rsidRPr="00730D83">
              <w:rPr>
                <w:rFonts w:ascii="Cambria" w:hAnsi="Cambria" w:cstheme="minorHAnsi"/>
                <w:b/>
                <w:bCs/>
                <w:noProof/>
                <w:sz w:val="20"/>
                <w:szCs w:val="20"/>
              </w:rPr>
              <w:t>Purpose of the Evaluation</w:t>
            </w:r>
            <w:r w:rsidR="00630D6B" w:rsidRPr="00730D83">
              <w:rPr>
                <w:rFonts w:ascii="Cambria" w:hAnsi="Cambria" w:cstheme="minorHAnsi"/>
                <w:b/>
                <w:bCs/>
                <w:noProof/>
                <w:webHidden/>
                <w:sz w:val="20"/>
                <w:szCs w:val="20"/>
              </w:rPr>
              <w:tab/>
            </w:r>
            <w:r w:rsidR="00630D6B" w:rsidRPr="00730D83">
              <w:rPr>
                <w:rFonts w:ascii="Cambria" w:hAnsi="Cambria" w:cstheme="minorHAnsi"/>
                <w:b/>
                <w:bCs/>
                <w:noProof/>
                <w:webHidden/>
                <w:sz w:val="20"/>
                <w:szCs w:val="20"/>
              </w:rPr>
              <w:fldChar w:fldCharType="begin"/>
            </w:r>
            <w:r w:rsidR="00630D6B" w:rsidRPr="00730D83">
              <w:rPr>
                <w:rFonts w:ascii="Cambria" w:hAnsi="Cambria" w:cstheme="minorHAnsi"/>
                <w:b/>
                <w:bCs/>
                <w:noProof/>
                <w:webHidden/>
                <w:sz w:val="20"/>
                <w:szCs w:val="20"/>
              </w:rPr>
              <w:instrText xml:space="preserve"> PAGEREF _Toc54247661 \h </w:instrText>
            </w:r>
            <w:r w:rsidR="00630D6B" w:rsidRPr="00730D83">
              <w:rPr>
                <w:rFonts w:ascii="Cambria" w:hAnsi="Cambria" w:cstheme="minorHAnsi"/>
                <w:b/>
                <w:bCs/>
                <w:noProof/>
                <w:webHidden/>
                <w:sz w:val="20"/>
                <w:szCs w:val="20"/>
              </w:rPr>
            </w:r>
            <w:r w:rsidR="00630D6B" w:rsidRPr="00730D83">
              <w:rPr>
                <w:rFonts w:ascii="Cambria" w:hAnsi="Cambria" w:cstheme="minorHAnsi"/>
                <w:b/>
                <w:bCs/>
                <w:noProof/>
                <w:webHidden/>
                <w:sz w:val="20"/>
                <w:szCs w:val="20"/>
              </w:rPr>
              <w:fldChar w:fldCharType="separate"/>
            </w:r>
            <w:r w:rsidR="00285B53">
              <w:rPr>
                <w:rFonts w:ascii="Cambria" w:hAnsi="Cambria" w:cstheme="minorHAnsi"/>
                <w:b/>
                <w:bCs/>
                <w:noProof/>
                <w:webHidden/>
                <w:sz w:val="20"/>
                <w:szCs w:val="20"/>
              </w:rPr>
              <w:t>5</w:t>
            </w:r>
            <w:r w:rsidR="00630D6B" w:rsidRPr="00730D83">
              <w:rPr>
                <w:rFonts w:ascii="Cambria" w:hAnsi="Cambria" w:cstheme="minorHAnsi"/>
                <w:b/>
                <w:bCs/>
                <w:noProof/>
                <w:webHidden/>
                <w:sz w:val="20"/>
                <w:szCs w:val="20"/>
              </w:rPr>
              <w:fldChar w:fldCharType="end"/>
            </w:r>
          </w:hyperlink>
        </w:p>
        <w:p w14:paraId="5E6248EC" w14:textId="6D2AEE1D" w:rsidR="00630D6B" w:rsidRPr="00730D83" w:rsidRDefault="00496492" w:rsidP="00630D6B">
          <w:pPr>
            <w:tabs>
              <w:tab w:val="left" w:pos="660"/>
              <w:tab w:val="right" w:leader="dot" w:pos="9350"/>
            </w:tabs>
            <w:spacing w:after="0"/>
            <w:jc w:val="both"/>
            <w:rPr>
              <w:rFonts w:ascii="Cambria" w:eastAsiaTheme="minorEastAsia" w:hAnsi="Cambria" w:cstheme="minorHAnsi"/>
              <w:b/>
              <w:bCs/>
              <w:noProof/>
              <w:sz w:val="20"/>
              <w:szCs w:val="20"/>
            </w:rPr>
          </w:pPr>
          <w:hyperlink w:anchor="_Toc54247662" w:history="1">
            <w:r w:rsidR="00630D6B" w:rsidRPr="00730D83">
              <w:rPr>
                <w:rFonts w:ascii="Cambria" w:hAnsi="Cambria" w:cstheme="minorHAnsi"/>
                <w:b/>
                <w:bCs/>
                <w:noProof/>
                <w:sz w:val="20"/>
                <w:szCs w:val="20"/>
              </w:rPr>
              <w:t>3.</w:t>
            </w:r>
            <w:r w:rsidR="00630D6B" w:rsidRPr="00730D83">
              <w:rPr>
                <w:rFonts w:ascii="Cambria" w:eastAsiaTheme="minorEastAsia" w:hAnsi="Cambria" w:cstheme="minorHAnsi"/>
                <w:b/>
                <w:bCs/>
                <w:noProof/>
                <w:sz w:val="20"/>
                <w:szCs w:val="20"/>
              </w:rPr>
              <w:t xml:space="preserve"> </w:t>
            </w:r>
            <w:r w:rsidR="00630D6B" w:rsidRPr="00730D83">
              <w:rPr>
                <w:rFonts w:ascii="Cambria" w:hAnsi="Cambria" w:cstheme="minorHAnsi"/>
                <w:b/>
                <w:bCs/>
                <w:noProof/>
                <w:sz w:val="20"/>
                <w:szCs w:val="20"/>
              </w:rPr>
              <w:t>Scope of the Evaluation</w:t>
            </w:r>
            <w:r w:rsidR="00630D6B" w:rsidRPr="00730D83">
              <w:rPr>
                <w:rFonts w:ascii="Cambria" w:hAnsi="Cambria" w:cstheme="minorHAnsi"/>
                <w:b/>
                <w:bCs/>
                <w:noProof/>
                <w:webHidden/>
                <w:sz w:val="20"/>
                <w:szCs w:val="20"/>
              </w:rPr>
              <w:tab/>
            </w:r>
            <w:r w:rsidR="00630D6B" w:rsidRPr="00730D83">
              <w:rPr>
                <w:rFonts w:ascii="Cambria" w:hAnsi="Cambria" w:cstheme="minorHAnsi"/>
                <w:b/>
                <w:bCs/>
                <w:noProof/>
                <w:webHidden/>
                <w:sz w:val="20"/>
                <w:szCs w:val="20"/>
              </w:rPr>
              <w:fldChar w:fldCharType="begin"/>
            </w:r>
            <w:r w:rsidR="00630D6B" w:rsidRPr="00730D83">
              <w:rPr>
                <w:rFonts w:ascii="Cambria" w:hAnsi="Cambria" w:cstheme="minorHAnsi"/>
                <w:b/>
                <w:bCs/>
                <w:noProof/>
                <w:webHidden/>
                <w:sz w:val="20"/>
                <w:szCs w:val="20"/>
              </w:rPr>
              <w:instrText xml:space="preserve"> PAGEREF _Toc54247662 \h </w:instrText>
            </w:r>
            <w:r w:rsidR="00630D6B" w:rsidRPr="00730D83">
              <w:rPr>
                <w:rFonts w:ascii="Cambria" w:hAnsi="Cambria" w:cstheme="minorHAnsi"/>
                <w:b/>
                <w:bCs/>
                <w:noProof/>
                <w:webHidden/>
                <w:sz w:val="20"/>
                <w:szCs w:val="20"/>
              </w:rPr>
            </w:r>
            <w:r w:rsidR="00630D6B" w:rsidRPr="00730D83">
              <w:rPr>
                <w:rFonts w:ascii="Cambria" w:hAnsi="Cambria" w:cstheme="minorHAnsi"/>
                <w:b/>
                <w:bCs/>
                <w:noProof/>
                <w:webHidden/>
                <w:sz w:val="20"/>
                <w:szCs w:val="20"/>
              </w:rPr>
              <w:fldChar w:fldCharType="separate"/>
            </w:r>
            <w:r w:rsidR="00285B53">
              <w:rPr>
                <w:rFonts w:ascii="Cambria" w:hAnsi="Cambria" w:cstheme="minorHAnsi"/>
                <w:b/>
                <w:bCs/>
                <w:noProof/>
                <w:webHidden/>
                <w:sz w:val="20"/>
                <w:szCs w:val="20"/>
              </w:rPr>
              <w:t>96</w:t>
            </w:r>
            <w:r w:rsidR="00630D6B" w:rsidRPr="00730D83">
              <w:rPr>
                <w:rFonts w:ascii="Cambria" w:hAnsi="Cambria" w:cstheme="minorHAnsi"/>
                <w:b/>
                <w:bCs/>
                <w:noProof/>
                <w:webHidden/>
                <w:sz w:val="20"/>
                <w:szCs w:val="20"/>
              </w:rPr>
              <w:fldChar w:fldCharType="end"/>
            </w:r>
          </w:hyperlink>
        </w:p>
        <w:p w14:paraId="7B94735A" w14:textId="7A02E7AB" w:rsidR="00630D6B" w:rsidRPr="00730D83" w:rsidRDefault="00496492" w:rsidP="00630D6B">
          <w:pPr>
            <w:tabs>
              <w:tab w:val="left" w:pos="660"/>
              <w:tab w:val="right" w:leader="dot" w:pos="9350"/>
            </w:tabs>
            <w:spacing w:after="0"/>
            <w:jc w:val="both"/>
            <w:rPr>
              <w:rFonts w:ascii="Cambria" w:eastAsiaTheme="minorEastAsia" w:hAnsi="Cambria" w:cstheme="minorHAnsi"/>
              <w:b/>
              <w:bCs/>
              <w:noProof/>
              <w:sz w:val="20"/>
              <w:szCs w:val="20"/>
            </w:rPr>
          </w:pPr>
          <w:hyperlink w:anchor="_Toc54247663" w:history="1">
            <w:r w:rsidR="00630D6B" w:rsidRPr="00730D83">
              <w:rPr>
                <w:rFonts w:ascii="Cambria" w:hAnsi="Cambria" w:cstheme="minorHAnsi"/>
                <w:b/>
                <w:bCs/>
                <w:noProof/>
                <w:sz w:val="20"/>
                <w:szCs w:val="20"/>
              </w:rPr>
              <w:t>4.</w:t>
            </w:r>
            <w:r w:rsidR="00630D6B" w:rsidRPr="00730D83">
              <w:rPr>
                <w:rFonts w:ascii="Cambria" w:eastAsiaTheme="minorEastAsia" w:hAnsi="Cambria" w:cstheme="minorHAnsi"/>
                <w:b/>
                <w:bCs/>
                <w:noProof/>
                <w:sz w:val="20"/>
                <w:szCs w:val="20"/>
              </w:rPr>
              <w:t xml:space="preserve"> </w:t>
            </w:r>
            <w:r w:rsidR="00630D6B" w:rsidRPr="00730D83">
              <w:rPr>
                <w:rFonts w:ascii="Cambria" w:hAnsi="Cambria" w:cstheme="minorHAnsi"/>
                <w:b/>
                <w:bCs/>
                <w:noProof/>
                <w:sz w:val="20"/>
                <w:szCs w:val="20"/>
              </w:rPr>
              <w:t>Approach and Methodology</w:t>
            </w:r>
            <w:r w:rsidR="00630D6B" w:rsidRPr="00730D83">
              <w:rPr>
                <w:rFonts w:ascii="Cambria" w:hAnsi="Cambria" w:cstheme="minorHAnsi"/>
                <w:b/>
                <w:bCs/>
                <w:noProof/>
                <w:webHidden/>
                <w:sz w:val="20"/>
                <w:szCs w:val="20"/>
              </w:rPr>
              <w:tab/>
            </w:r>
            <w:r w:rsidR="00630D6B" w:rsidRPr="00730D83">
              <w:rPr>
                <w:rFonts w:ascii="Cambria" w:hAnsi="Cambria" w:cstheme="minorHAnsi"/>
                <w:b/>
                <w:bCs/>
                <w:noProof/>
                <w:webHidden/>
                <w:sz w:val="20"/>
                <w:szCs w:val="20"/>
              </w:rPr>
              <w:fldChar w:fldCharType="begin"/>
            </w:r>
            <w:r w:rsidR="00630D6B" w:rsidRPr="00730D83">
              <w:rPr>
                <w:rFonts w:ascii="Cambria" w:hAnsi="Cambria" w:cstheme="minorHAnsi"/>
                <w:b/>
                <w:bCs/>
                <w:noProof/>
                <w:webHidden/>
                <w:sz w:val="20"/>
                <w:szCs w:val="20"/>
              </w:rPr>
              <w:instrText xml:space="preserve"> PAGEREF _Toc54247663 \h </w:instrText>
            </w:r>
            <w:r w:rsidR="00630D6B" w:rsidRPr="00730D83">
              <w:rPr>
                <w:rFonts w:ascii="Cambria" w:hAnsi="Cambria" w:cstheme="minorHAnsi"/>
                <w:b/>
                <w:bCs/>
                <w:noProof/>
                <w:webHidden/>
                <w:sz w:val="20"/>
                <w:szCs w:val="20"/>
              </w:rPr>
            </w:r>
            <w:r w:rsidR="00630D6B" w:rsidRPr="00730D83">
              <w:rPr>
                <w:rFonts w:ascii="Cambria" w:hAnsi="Cambria" w:cstheme="minorHAnsi"/>
                <w:b/>
                <w:bCs/>
                <w:noProof/>
                <w:webHidden/>
                <w:sz w:val="20"/>
                <w:szCs w:val="20"/>
              </w:rPr>
              <w:fldChar w:fldCharType="separate"/>
            </w:r>
            <w:r w:rsidR="00285B53">
              <w:rPr>
                <w:rFonts w:ascii="Cambria" w:hAnsi="Cambria" w:cstheme="minorHAnsi"/>
                <w:b/>
                <w:bCs/>
                <w:noProof/>
                <w:webHidden/>
                <w:sz w:val="20"/>
                <w:szCs w:val="20"/>
              </w:rPr>
              <w:t>6</w:t>
            </w:r>
            <w:r w:rsidR="00630D6B" w:rsidRPr="00730D83">
              <w:rPr>
                <w:rFonts w:ascii="Cambria" w:hAnsi="Cambria" w:cstheme="minorHAnsi"/>
                <w:b/>
                <w:bCs/>
                <w:noProof/>
                <w:webHidden/>
                <w:sz w:val="20"/>
                <w:szCs w:val="20"/>
              </w:rPr>
              <w:fldChar w:fldCharType="end"/>
            </w:r>
          </w:hyperlink>
        </w:p>
        <w:p w14:paraId="091A39F0" w14:textId="7C5DB036" w:rsidR="00630D6B" w:rsidRPr="00730D83" w:rsidRDefault="00496492" w:rsidP="00630D6B">
          <w:pPr>
            <w:tabs>
              <w:tab w:val="left" w:pos="880"/>
              <w:tab w:val="right" w:leader="dot" w:pos="9350"/>
            </w:tabs>
            <w:spacing w:after="0"/>
            <w:jc w:val="both"/>
            <w:rPr>
              <w:rFonts w:ascii="Cambria" w:eastAsiaTheme="minorEastAsia" w:hAnsi="Cambria" w:cstheme="minorHAnsi"/>
              <w:noProof/>
              <w:sz w:val="20"/>
              <w:szCs w:val="20"/>
            </w:rPr>
          </w:pPr>
          <w:hyperlink w:anchor="_Toc54247664" w:history="1">
            <w:r w:rsidR="00630D6B" w:rsidRPr="00730D83">
              <w:rPr>
                <w:rFonts w:ascii="Cambria" w:hAnsi="Cambria" w:cstheme="minorHAnsi"/>
                <w:noProof/>
                <w:sz w:val="20"/>
                <w:szCs w:val="20"/>
              </w:rPr>
              <w:t>4.1.</w:t>
            </w:r>
            <w:r w:rsidR="00630D6B" w:rsidRPr="00730D83">
              <w:rPr>
                <w:rFonts w:ascii="Cambria" w:eastAsiaTheme="minorEastAsia" w:hAnsi="Cambria" w:cstheme="minorHAnsi"/>
                <w:noProof/>
                <w:sz w:val="20"/>
                <w:szCs w:val="20"/>
              </w:rPr>
              <w:tab/>
            </w:r>
            <w:r w:rsidR="00630D6B" w:rsidRPr="00730D83">
              <w:rPr>
                <w:rFonts w:ascii="Cambria" w:hAnsi="Cambria" w:cstheme="minorHAnsi"/>
                <w:noProof/>
                <w:sz w:val="20"/>
                <w:szCs w:val="20"/>
              </w:rPr>
              <w:t>Approach</w:t>
            </w:r>
            <w:r w:rsidR="00630D6B" w:rsidRPr="00730D83">
              <w:rPr>
                <w:rFonts w:ascii="Cambria" w:hAnsi="Cambria" w:cstheme="minorHAnsi"/>
                <w:noProof/>
                <w:webHidden/>
                <w:sz w:val="20"/>
                <w:szCs w:val="20"/>
              </w:rPr>
              <w:tab/>
            </w:r>
            <w:r w:rsidR="00630D6B" w:rsidRPr="00730D83">
              <w:rPr>
                <w:rFonts w:ascii="Cambria" w:hAnsi="Cambria" w:cstheme="minorHAnsi"/>
                <w:noProof/>
                <w:webHidden/>
                <w:sz w:val="20"/>
                <w:szCs w:val="20"/>
              </w:rPr>
              <w:fldChar w:fldCharType="begin"/>
            </w:r>
            <w:r w:rsidR="00630D6B" w:rsidRPr="00730D83">
              <w:rPr>
                <w:rFonts w:ascii="Cambria" w:hAnsi="Cambria" w:cstheme="minorHAnsi"/>
                <w:noProof/>
                <w:webHidden/>
                <w:sz w:val="20"/>
                <w:szCs w:val="20"/>
              </w:rPr>
              <w:instrText xml:space="preserve"> PAGEREF _Toc54247664 \h </w:instrText>
            </w:r>
            <w:r w:rsidR="00630D6B" w:rsidRPr="00730D83">
              <w:rPr>
                <w:rFonts w:ascii="Cambria" w:hAnsi="Cambria" w:cstheme="minorHAnsi"/>
                <w:noProof/>
                <w:webHidden/>
                <w:sz w:val="20"/>
                <w:szCs w:val="20"/>
              </w:rPr>
            </w:r>
            <w:r w:rsidR="00630D6B" w:rsidRPr="00730D83">
              <w:rPr>
                <w:rFonts w:ascii="Cambria" w:hAnsi="Cambria" w:cstheme="minorHAnsi"/>
                <w:noProof/>
                <w:webHidden/>
                <w:sz w:val="20"/>
                <w:szCs w:val="20"/>
              </w:rPr>
              <w:fldChar w:fldCharType="separate"/>
            </w:r>
            <w:r w:rsidR="00285B53">
              <w:rPr>
                <w:rFonts w:ascii="Cambria" w:hAnsi="Cambria" w:cstheme="minorHAnsi"/>
                <w:noProof/>
                <w:webHidden/>
                <w:sz w:val="20"/>
                <w:szCs w:val="20"/>
              </w:rPr>
              <w:t>96</w:t>
            </w:r>
            <w:r w:rsidR="00630D6B" w:rsidRPr="00730D83">
              <w:rPr>
                <w:rFonts w:ascii="Cambria" w:hAnsi="Cambria" w:cstheme="minorHAnsi"/>
                <w:noProof/>
                <w:webHidden/>
                <w:sz w:val="20"/>
                <w:szCs w:val="20"/>
              </w:rPr>
              <w:fldChar w:fldCharType="end"/>
            </w:r>
          </w:hyperlink>
        </w:p>
        <w:p w14:paraId="4E2D5194" w14:textId="326E843E" w:rsidR="00630D6B" w:rsidRPr="00730D83" w:rsidRDefault="00496492" w:rsidP="00630D6B">
          <w:pPr>
            <w:tabs>
              <w:tab w:val="left" w:pos="880"/>
              <w:tab w:val="right" w:leader="dot" w:pos="9350"/>
            </w:tabs>
            <w:spacing w:after="0"/>
            <w:jc w:val="both"/>
            <w:rPr>
              <w:rFonts w:ascii="Cambria" w:eastAsiaTheme="minorEastAsia" w:hAnsi="Cambria" w:cstheme="minorHAnsi"/>
              <w:noProof/>
              <w:sz w:val="20"/>
              <w:szCs w:val="20"/>
            </w:rPr>
          </w:pPr>
          <w:hyperlink w:anchor="_Toc54247665" w:history="1">
            <w:r w:rsidR="00630D6B" w:rsidRPr="00730D83">
              <w:rPr>
                <w:rFonts w:ascii="Cambria" w:hAnsi="Cambria" w:cstheme="minorHAnsi"/>
                <w:noProof/>
                <w:sz w:val="20"/>
                <w:szCs w:val="20"/>
              </w:rPr>
              <w:t>4.2.</w:t>
            </w:r>
            <w:r w:rsidR="00630D6B" w:rsidRPr="00730D83">
              <w:rPr>
                <w:rFonts w:ascii="Cambria" w:eastAsiaTheme="minorEastAsia" w:hAnsi="Cambria" w:cstheme="minorHAnsi"/>
                <w:noProof/>
                <w:sz w:val="20"/>
                <w:szCs w:val="20"/>
              </w:rPr>
              <w:tab/>
            </w:r>
            <w:r w:rsidR="00630D6B" w:rsidRPr="00730D83">
              <w:rPr>
                <w:rFonts w:ascii="Cambria" w:hAnsi="Cambria" w:cstheme="minorHAnsi"/>
                <w:noProof/>
                <w:sz w:val="20"/>
                <w:szCs w:val="20"/>
              </w:rPr>
              <w:t>Methodology</w:t>
            </w:r>
            <w:r w:rsidR="00630D6B" w:rsidRPr="00730D83">
              <w:rPr>
                <w:rFonts w:ascii="Cambria" w:hAnsi="Cambria" w:cstheme="minorHAnsi"/>
                <w:noProof/>
                <w:webHidden/>
                <w:sz w:val="20"/>
                <w:szCs w:val="20"/>
              </w:rPr>
              <w:tab/>
            </w:r>
            <w:r w:rsidR="00630D6B" w:rsidRPr="00730D83">
              <w:rPr>
                <w:rFonts w:ascii="Cambria" w:hAnsi="Cambria" w:cstheme="minorHAnsi"/>
                <w:noProof/>
                <w:webHidden/>
                <w:sz w:val="20"/>
                <w:szCs w:val="20"/>
              </w:rPr>
              <w:fldChar w:fldCharType="begin"/>
            </w:r>
            <w:r w:rsidR="00630D6B" w:rsidRPr="00730D83">
              <w:rPr>
                <w:rFonts w:ascii="Cambria" w:hAnsi="Cambria" w:cstheme="minorHAnsi"/>
                <w:noProof/>
                <w:webHidden/>
                <w:sz w:val="20"/>
                <w:szCs w:val="20"/>
              </w:rPr>
              <w:instrText xml:space="preserve"> PAGEREF _Toc54247665 \h </w:instrText>
            </w:r>
            <w:r w:rsidR="00630D6B" w:rsidRPr="00730D83">
              <w:rPr>
                <w:rFonts w:ascii="Cambria" w:hAnsi="Cambria" w:cstheme="minorHAnsi"/>
                <w:noProof/>
                <w:webHidden/>
                <w:sz w:val="20"/>
                <w:szCs w:val="20"/>
              </w:rPr>
            </w:r>
            <w:r w:rsidR="00630D6B" w:rsidRPr="00730D83">
              <w:rPr>
                <w:rFonts w:ascii="Cambria" w:hAnsi="Cambria" w:cstheme="minorHAnsi"/>
                <w:noProof/>
                <w:webHidden/>
                <w:sz w:val="20"/>
                <w:szCs w:val="20"/>
              </w:rPr>
              <w:fldChar w:fldCharType="separate"/>
            </w:r>
            <w:r w:rsidR="00285B53">
              <w:rPr>
                <w:rFonts w:ascii="Cambria" w:hAnsi="Cambria" w:cstheme="minorHAnsi"/>
                <w:noProof/>
                <w:webHidden/>
                <w:sz w:val="20"/>
                <w:szCs w:val="20"/>
              </w:rPr>
              <w:t>6</w:t>
            </w:r>
            <w:r w:rsidR="00630D6B" w:rsidRPr="00730D83">
              <w:rPr>
                <w:rFonts w:ascii="Cambria" w:hAnsi="Cambria" w:cstheme="minorHAnsi"/>
                <w:noProof/>
                <w:webHidden/>
                <w:sz w:val="20"/>
                <w:szCs w:val="20"/>
              </w:rPr>
              <w:fldChar w:fldCharType="end"/>
            </w:r>
          </w:hyperlink>
        </w:p>
        <w:p w14:paraId="3B9F66BE" w14:textId="67419EC2" w:rsidR="00630D6B" w:rsidRPr="00730D83" w:rsidRDefault="00496492" w:rsidP="00630D6B">
          <w:pPr>
            <w:tabs>
              <w:tab w:val="left" w:pos="880"/>
              <w:tab w:val="right" w:leader="dot" w:pos="9350"/>
            </w:tabs>
            <w:spacing w:after="0"/>
            <w:jc w:val="both"/>
            <w:rPr>
              <w:rFonts w:ascii="Cambria" w:eastAsiaTheme="minorEastAsia" w:hAnsi="Cambria" w:cstheme="minorHAnsi"/>
              <w:noProof/>
              <w:sz w:val="20"/>
              <w:szCs w:val="20"/>
            </w:rPr>
          </w:pPr>
          <w:hyperlink w:anchor="_Toc54247666" w:history="1">
            <w:r w:rsidR="00630D6B" w:rsidRPr="00730D83">
              <w:rPr>
                <w:rFonts w:ascii="Cambria" w:hAnsi="Cambria" w:cstheme="minorHAnsi"/>
                <w:noProof/>
                <w:sz w:val="20"/>
                <w:szCs w:val="20"/>
              </w:rPr>
              <w:t>4.3.</w:t>
            </w:r>
            <w:r w:rsidR="00630D6B" w:rsidRPr="00730D83">
              <w:rPr>
                <w:rFonts w:ascii="Cambria" w:eastAsiaTheme="minorEastAsia" w:hAnsi="Cambria" w:cstheme="minorHAnsi"/>
                <w:noProof/>
                <w:sz w:val="20"/>
                <w:szCs w:val="20"/>
              </w:rPr>
              <w:tab/>
            </w:r>
            <w:r w:rsidR="00630D6B" w:rsidRPr="00730D83">
              <w:rPr>
                <w:rFonts w:ascii="Cambria" w:hAnsi="Cambria" w:cstheme="minorHAnsi"/>
                <w:noProof/>
                <w:sz w:val="20"/>
                <w:szCs w:val="20"/>
              </w:rPr>
              <w:t>Cross‐cutting issues</w:t>
            </w:r>
            <w:r w:rsidR="00630D6B" w:rsidRPr="00730D83">
              <w:rPr>
                <w:rFonts w:ascii="Cambria" w:hAnsi="Cambria" w:cstheme="minorHAnsi"/>
                <w:noProof/>
                <w:webHidden/>
                <w:sz w:val="20"/>
                <w:szCs w:val="20"/>
              </w:rPr>
              <w:tab/>
            </w:r>
            <w:r w:rsidR="00630D6B" w:rsidRPr="00730D83">
              <w:rPr>
                <w:rFonts w:ascii="Cambria" w:hAnsi="Cambria" w:cstheme="minorHAnsi"/>
                <w:noProof/>
                <w:webHidden/>
                <w:sz w:val="20"/>
                <w:szCs w:val="20"/>
              </w:rPr>
              <w:fldChar w:fldCharType="begin"/>
            </w:r>
            <w:r w:rsidR="00630D6B" w:rsidRPr="00730D83">
              <w:rPr>
                <w:rFonts w:ascii="Cambria" w:hAnsi="Cambria" w:cstheme="minorHAnsi"/>
                <w:noProof/>
                <w:webHidden/>
                <w:sz w:val="20"/>
                <w:szCs w:val="20"/>
              </w:rPr>
              <w:instrText xml:space="preserve"> PAGEREF _Toc54247666 \h </w:instrText>
            </w:r>
            <w:r w:rsidR="00630D6B" w:rsidRPr="00730D83">
              <w:rPr>
                <w:rFonts w:ascii="Cambria" w:hAnsi="Cambria" w:cstheme="minorHAnsi"/>
                <w:noProof/>
                <w:webHidden/>
                <w:sz w:val="20"/>
                <w:szCs w:val="20"/>
              </w:rPr>
            </w:r>
            <w:r w:rsidR="00630D6B" w:rsidRPr="00730D83">
              <w:rPr>
                <w:rFonts w:ascii="Cambria" w:hAnsi="Cambria" w:cstheme="minorHAnsi"/>
                <w:noProof/>
                <w:webHidden/>
                <w:sz w:val="20"/>
                <w:szCs w:val="20"/>
              </w:rPr>
              <w:fldChar w:fldCharType="separate"/>
            </w:r>
            <w:r w:rsidR="00285B53">
              <w:rPr>
                <w:rFonts w:ascii="Cambria" w:hAnsi="Cambria" w:cstheme="minorHAnsi"/>
                <w:noProof/>
                <w:webHidden/>
                <w:sz w:val="20"/>
                <w:szCs w:val="20"/>
              </w:rPr>
              <w:t>7</w:t>
            </w:r>
            <w:r w:rsidR="00630D6B" w:rsidRPr="00730D83">
              <w:rPr>
                <w:rFonts w:ascii="Cambria" w:hAnsi="Cambria" w:cstheme="minorHAnsi"/>
                <w:noProof/>
                <w:webHidden/>
                <w:sz w:val="20"/>
                <w:szCs w:val="20"/>
              </w:rPr>
              <w:fldChar w:fldCharType="end"/>
            </w:r>
          </w:hyperlink>
        </w:p>
        <w:p w14:paraId="6D3567E7" w14:textId="1AC8851B" w:rsidR="00630D6B" w:rsidRPr="00730D83" w:rsidRDefault="00496492" w:rsidP="00630D6B">
          <w:pPr>
            <w:tabs>
              <w:tab w:val="left" w:pos="880"/>
              <w:tab w:val="right" w:leader="dot" w:pos="9350"/>
            </w:tabs>
            <w:spacing w:after="0"/>
            <w:jc w:val="both"/>
            <w:rPr>
              <w:rFonts w:ascii="Cambria" w:eastAsiaTheme="minorEastAsia" w:hAnsi="Cambria" w:cstheme="minorHAnsi"/>
              <w:noProof/>
              <w:sz w:val="20"/>
              <w:szCs w:val="20"/>
            </w:rPr>
          </w:pPr>
          <w:hyperlink w:anchor="_Toc54247667" w:history="1">
            <w:r w:rsidR="00630D6B" w:rsidRPr="00730D83">
              <w:rPr>
                <w:rFonts w:ascii="Cambria" w:hAnsi="Cambria" w:cstheme="minorHAnsi"/>
                <w:noProof/>
                <w:sz w:val="20"/>
                <w:szCs w:val="20"/>
              </w:rPr>
              <w:t>4.4.</w:t>
            </w:r>
            <w:r w:rsidR="00630D6B" w:rsidRPr="00730D83">
              <w:rPr>
                <w:rFonts w:ascii="Cambria" w:eastAsiaTheme="minorEastAsia" w:hAnsi="Cambria" w:cstheme="minorHAnsi"/>
                <w:noProof/>
                <w:sz w:val="20"/>
                <w:szCs w:val="20"/>
              </w:rPr>
              <w:tab/>
            </w:r>
            <w:r w:rsidR="00630D6B" w:rsidRPr="00730D83">
              <w:rPr>
                <w:rFonts w:ascii="Cambria" w:hAnsi="Cambria" w:cstheme="minorHAnsi"/>
                <w:noProof/>
                <w:sz w:val="20"/>
                <w:szCs w:val="20"/>
              </w:rPr>
              <w:t>Indicative Work Plan</w:t>
            </w:r>
            <w:r w:rsidR="00630D6B" w:rsidRPr="00730D83">
              <w:rPr>
                <w:rFonts w:ascii="Cambria" w:hAnsi="Cambria" w:cstheme="minorHAnsi"/>
                <w:noProof/>
                <w:webHidden/>
                <w:sz w:val="20"/>
                <w:szCs w:val="20"/>
              </w:rPr>
              <w:tab/>
            </w:r>
            <w:r w:rsidR="00630D6B" w:rsidRPr="00730D83">
              <w:rPr>
                <w:rFonts w:ascii="Cambria" w:hAnsi="Cambria" w:cstheme="minorHAnsi"/>
                <w:noProof/>
                <w:webHidden/>
                <w:sz w:val="20"/>
                <w:szCs w:val="20"/>
              </w:rPr>
              <w:fldChar w:fldCharType="begin"/>
            </w:r>
            <w:r w:rsidR="00630D6B" w:rsidRPr="00730D83">
              <w:rPr>
                <w:rFonts w:ascii="Cambria" w:hAnsi="Cambria" w:cstheme="minorHAnsi"/>
                <w:noProof/>
                <w:webHidden/>
                <w:sz w:val="20"/>
                <w:szCs w:val="20"/>
              </w:rPr>
              <w:instrText xml:space="preserve"> PAGEREF _Toc54247667 \h </w:instrText>
            </w:r>
            <w:r w:rsidR="00630D6B" w:rsidRPr="00730D83">
              <w:rPr>
                <w:rFonts w:ascii="Cambria" w:hAnsi="Cambria" w:cstheme="minorHAnsi"/>
                <w:noProof/>
                <w:webHidden/>
                <w:sz w:val="20"/>
                <w:szCs w:val="20"/>
              </w:rPr>
            </w:r>
            <w:r w:rsidR="00630D6B" w:rsidRPr="00730D83">
              <w:rPr>
                <w:rFonts w:ascii="Cambria" w:hAnsi="Cambria" w:cstheme="minorHAnsi"/>
                <w:noProof/>
                <w:webHidden/>
                <w:sz w:val="20"/>
                <w:szCs w:val="20"/>
              </w:rPr>
              <w:fldChar w:fldCharType="separate"/>
            </w:r>
            <w:r w:rsidR="00285B53">
              <w:rPr>
                <w:rFonts w:ascii="Cambria" w:hAnsi="Cambria" w:cstheme="minorHAnsi"/>
                <w:noProof/>
                <w:webHidden/>
                <w:sz w:val="20"/>
                <w:szCs w:val="20"/>
              </w:rPr>
              <w:t>98</w:t>
            </w:r>
            <w:r w:rsidR="00630D6B" w:rsidRPr="00730D83">
              <w:rPr>
                <w:rFonts w:ascii="Cambria" w:hAnsi="Cambria" w:cstheme="minorHAnsi"/>
                <w:noProof/>
                <w:webHidden/>
                <w:sz w:val="20"/>
                <w:szCs w:val="20"/>
              </w:rPr>
              <w:fldChar w:fldCharType="end"/>
            </w:r>
          </w:hyperlink>
        </w:p>
        <w:p w14:paraId="34E003CD" w14:textId="3B7017F0" w:rsidR="00630D6B" w:rsidRPr="00730D83" w:rsidRDefault="00496492" w:rsidP="00630D6B">
          <w:pPr>
            <w:tabs>
              <w:tab w:val="left" w:pos="660"/>
              <w:tab w:val="right" w:leader="dot" w:pos="9350"/>
            </w:tabs>
            <w:spacing w:after="0"/>
            <w:jc w:val="both"/>
            <w:rPr>
              <w:rFonts w:ascii="Cambria" w:eastAsiaTheme="minorEastAsia" w:hAnsi="Cambria" w:cstheme="minorHAnsi"/>
              <w:b/>
              <w:bCs/>
              <w:noProof/>
              <w:sz w:val="20"/>
              <w:szCs w:val="20"/>
            </w:rPr>
          </w:pPr>
          <w:hyperlink w:anchor="_Toc54247668" w:history="1">
            <w:r w:rsidR="00630D6B" w:rsidRPr="00730D83">
              <w:rPr>
                <w:rFonts w:ascii="Cambria" w:hAnsi="Cambria" w:cstheme="minorHAnsi"/>
                <w:b/>
                <w:bCs/>
                <w:noProof/>
                <w:sz w:val="20"/>
                <w:szCs w:val="20"/>
              </w:rPr>
              <w:t>5.</w:t>
            </w:r>
            <w:r w:rsidR="00630D6B" w:rsidRPr="00730D83">
              <w:rPr>
                <w:rFonts w:ascii="Cambria" w:eastAsiaTheme="minorEastAsia" w:hAnsi="Cambria" w:cstheme="minorHAnsi"/>
                <w:b/>
                <w:bCs/>
                <w:noProof/>
                <w:sz w:val="20"/>
                <w:szCs w:val="20"/>
              </w:rPr>
              <w:t xml:space="preserve"> </w:t>
            </w:r>
            <w:r w:rsidR="00630D6B" w:rsidRPr="00730D83">
              <w:rPr>
                <w:rFonts w:ascii="Cambria" w:hAnsi="Cambria" w:cstheme="minorHAnsi"/>
                <w:b/>
                <w:bCs/>
                <w:noProof/>
                <w:sz w:val="20"/>
                <w:szCs w:val="20"/>
              </w:rPr>
              <w:t>Limitations</w:t>
            </w:r>
            <w:r w:rsidR="00630D6B" w:rsidRPr="00730D83">
              <w:rPr>
                <w:rFonts w:ascii="Cambria" w:hAnsi="Cambria" w:cstheme="minorHAnsi"/>
                <w:b/>
                <w:bCs/>
                <w:noProof/>
                <w:webHidden/>
                <w:sz w:val="20"/>
                <w:szCs w:val="20"/>
              </w:rPr>
              <w:tab/>
            </w:r>
            <w:r w:rsidR="00630D6B" w:rsidRPr="00730D83">
              <w:rPr>
                <w:rFonts w:ascii="Cambria" w:hAnsi="Cambria" w:cstheme="minorHAnsi"/>
                <w:b/>
                <w:bCs/>
                <w:noProof/>
                <w:webHidden/>
                <w:sz w:val="20"/>
                <w:szCs w:val="20"/>
              </w:rPr>
              <w:fldChar w:fldCharType="begin"/>
            </w:r>
            <w:r w:rsidR="00630D6B" w:rsidRPr="00730D83">
              <w:rPr>
                <w:rFonts w:ascii="Cambria" w:hAnsi="Cambria" w:cstheme="minorHAnsi"/>
                <w:b/>
                <w:bCs/>
                <w:noProof/>
                <w:webHidden/>
                <w:sz w:val="20"/>
                <w:szCs w:val="20"/>
              </w:rPr>
              <w:instrText xml:space="preserve"> PAGEREF _Toc54247668 \h </w:instrText>
            </w:r>
            <w:r w:rsidR="00630D6B" w:rsidRPr="00730D83">
              <w:rPr>
                <w:rFonts w:ascii="Cambria" w:hAnsi="Cambria" w:cstheme="minorHAnsi"/>
                <w:b/>
                <w:bCs/>
                <w:noProof/>
                <w:webHidden/>
                <w:sz w:val="20"/>
                <w:szCs w:val="20"/>
              </w:rPr>
            </w:r>
            <w:r w:rsidR="00630D6B" w:rsidRPr="00730D83">
              <w:rPr>
                <w:rFonts w:ascii="Cambria" w:hAnsi="Cambria" w:cstheme="minorHAnsi"/>
                <w:b/>
                <w:bCs/>
                <w:noProof/>
                <w:webHidden/>
                <w:sz w:val="20"/>
                <w:szCs w:val="20"/>
              </w:rPr>
              <w:fldChar w:fldCharType="separate"/>
            </w:r>
            <w:r w:rsidR="00285B53">
              <w:rPr>
                <w:rFonts w:ascii="Cambria" w:hAnsi="Cambria" w:cstheme="minorHAnsi"/>
                <w:b/>
                <w:bCs/>
                <w:noProof/>
                <w:webHidden/>
                <w:sz w:val="20"/>
                <w:szCs w:val="20"/>
              </w:rPr>
              <w:t>7</w:t>
            </w:r>
            <w:r w:rsidR="00630D6B" w:rsidRPr="00730D83">
              <w:rPr>
                <w:rFonts w:ascii="Cambria" w:hAnsi="Cambria" w:cstheme="minorHAnsi"/>
                <w:b/>
                <w:bCs/>
                <w:noProof/>
                <w:webHidden/>
                <w:sz w:val="20"/>
                <w:szCs w:val="20"/>
              </w:rPr>
              <w:fldChar w:fldCharType="end"/>
            </w:r>
          </w:hyperlink>
        </w:p>
        <w:p w14:paraId="10FEA51E" w14:textId="50D82E30" w:rsidR="00630D6B" w:rsidRPr="00730D83" w:rsidRDefault="00496492" w:rsidP="00630D6B">
          <w:pPr>
            <w:tabs>
              <w:tab w:val="left" w:pos="660"/>
              <w:tab w:val="right" w:leader="dot" w:pos="9350"/>
            </w:tabs>
            <w:spacing w:after="0"/>
            <w:jc w:val="both"/>
            <w:rPr>
              <w:rFonts w:ascii="Cambria" w:hAnsi="Cambria" w:cstheme="minorHAnsi"/>
              <w:b/>
              <w:bCs/>
              <w:noProof/>
              <w:sz w:val="20"/>
              <w:szCs w:val="20"/>
            </w:rPr>
          </w:pPr>
          <w:hyperlink w:anchor="_Toc54247669" w:history="1">
            <w:r w:rsidR="00630D6B" w:rsidRPr="00730D83">
              <w:rPr>
                <w:rFonts w:ascii="Cambria" w:hAnsi="Cambria" w:cstheme="minorHAnsi"/>
                <w:b/>
                <w:bCs/>
                <w:noProof/>
                <w:sz w:val="20"/>
                <w:szCs w:val="20"/>
              </w:rPr>
              <w:t>6.</w:t>
            </w:r>
            <w:r w:rsidR="00630D6B" w:rsidRPr="00730D83">
              <w:rPr>
                <w:rFonts w:ascii="Cambria" w:eastAsiaTheme="minorEastAsia" w:hAnsi="Cambria" w:cstheme="minorHAnsi"/>
                <w:b/>
                <w:bCs/>
                <w:noProof/>
                <w:sz w:val="20"/>
                <w:szCs w:val="20"/>
              </w:rPr>
              <w:t xml:space="preserve"> </w:t>
            </w:r>
            <w:r w:rsidR="00630D6B" w:rsidRPr="00730D83">
              <w:rPr>
                <w:rFonts w:ascii="Cambria" w:hAnsi="Cambria" w:cstheme="minorHAnsi"/>
                <w:b/>
                <w:bCs/>
                <w:noProof/>
                <w:sz w:val="20"/>
                <w:szCs w:val="20"/>
              </w:rPr>
              <w:t>Evaluation Report</w:t>
            </w:r>
            <w:r w:rsidR="00630D6B" w:rsidRPr="00730D83">
              <w:rPr>
                <w:rFonts w:ascii="Cambria" w:hAnsi="Cambria" w:cstheme="minorHAnsi"/>
                <w:b/>
                <w:bCs/>
                <w:noProof/>
                <w:webHidden/>
                <w:sz w:val="20"/>
                <w:szCs w:val="20"/>
              </w:rPr>
              <w:tab/>
            </w:r>
            <w:r w:rsidR="00630D6B" w:rsidRPr="00730D83">
              <w:rPr>
                <w:rFonts w:ascii="Cambria" w:hAnsi="Cambria" w:cstheme="minorHAnsi"/>
                <w:b/>
                <w:bCs/>
                <w:noProof/>
                <w:webHidden/>
                <w:sz w:val="20"/>
                <w:szCs w:val="20"/>
              </w:rPr>
              <w:fldChar w:fldCharType="begin"/>
            </w:r>
            <w:r w:rsidR="00630D6B" w:rsidRPr="00730D83">
              <w:rPr>
                <w:rFonts w:ascii="Cambria" w:hAnsi="Cambria" w:cstheme="minorHAnsi"/>
                <w:b/>
                <w:bCs/>
                <w:noProof/>
                <w:webHidden/>
                <w:sz w:val="20"/>
                <w:szCs w:val="20"/>
              </w:rPr>
              <w:instrText xml:space="preserve"> PAGEREF _Toc54247669 \h </w:instrText>
            </w:r>
            <w:r w:rsidR="00630D6B" w:rsidRPr="00730D83">
              <w:rPr>
                <w:rFonts w:ascii="Cambria" w:hAnsi="Cambria" w:cstheme="minorHAnsi"/>
                <w:b/>
                <w:bCs/>
                <w:noProof/>
                <w:webHidden/>
                <w:sz w:val="20"/>
                <w:szCs w:val="20"/>
              </w:rPr>
            </w:r>
            <w:r w:rsidR="00630D6B" w:rsidRPr="00730D83">
              <w:rPr>
                <w:rFonts w:ascii="Cambria" w:hAnsi="Cambria" w:cstheme="minorHAnsi"/>
                <w:b/>
                <w:bCs/>
                <w:noProof/>
                <w:webHidden/>
                <w:sz w:val="20"/>
                <w:szCs w:val="20"/>
              </w:rPr>
              <w:fldChar w:fldCharType="separate"/>
            </w:r>
            <w:r w:rsidR="00285B53">
              <w:rPr>
                <w:rFonts w:ascii="Cambria" w:hAnsi="Cambria" w:cstheme="minorHAnsi"/>
                <w:b/>
                <w:bCs/>
                <w:noProof/>
                <w:webHidden/>
                <w:sz w:val="20"/>
                <w:szCs w:val="20"/>
              </w:rPr>
              <w:t>99</w:t>
            </w:r>
            <w:r w:rsidR="00630D6B" w:rsidRPr="00730D83">
              <w:rPr>
                <w:rFonts w:ascii="Cambria" w:hAnsi="Cambria" w:cstheme="minorHAnsi"/>
                <w:b/>
                <w:bCs/>
                <w:noProof/>
                <w:webHidden/>
                <w:sz w:val="20"/>
                <w:szCs w:val="20"/>
              </w:rPr>
              <w:fldChar w:fldCharType="end"/>
            </w:r>
          </w:hyperlink>
        </w:p>
        <w:p w14:paraId="14113AFB" w14:textId="77777777" w:rsidR="00630D6B" w:rsidRPr="00730D83" w:rsidRDefault="00630D6B" w:rsidP="00630D6B">
          <w:pPr>
            <w:jc w:val="both"/>
            <w:rPr>
              <w:rFonts w:ascii="Cambria" w:hAnsi="Cambria" w:cstheme="minorHAnsi"/>
              <w:sz w:val="20"/>
              <w:szCs w:val="20"/>
            </w:rPr>
          </w:pPr>
        </w:p>
        <w:p w14:paraId="741062CE" w14:textId="50B0B298" w:rsidR="00630D6B" w:rsidRPr="00730D83" w:rsidRDefault="00496492" w:rsidP="00630D6B">
          <w:pPr>
            <w:tabs>
              <w:tab w:val="right" w:leader="dot" w:pos="9350"/>
            </w:tabs>
            <w:spacing w:after="0"/>
            <w:jc w:val="both"/>
            <w:rPr>
              <w:rFonts w:ascii="Cambria" w:eastAsiaTheme="minorEastAsia" w:hAnsi="Cambria" w:cstheme="minorHAnsi"/>
              <w:b/>
              <w:bCs/>
              <w:noProof/>
              <w:sz w:val="20"/>
              <w:szCs w:val="20"/>
            </w:rPr>
          </w:pPr>
          <w:hyperlink w:anchor="_Toc54247670" w:history="1">
            <w:r w:rsidR="00630D6B" w:rsidRPr="00730D83">
              <w:rPr>
                <w:rFonts w:ascii="Cambria" w:hAnsi="Cambria" w:cstheme="minorHAnsi"/>
                <w:b/>
                <w:bCs/>
                <w:noProof/>
                <w:sz w:val="20"/>
                <w:szCs w:val="20"/>
              </w:rPr>
              <w:t>Annex 1: Evaluation Matrix</w:t>
            </w:r>
            <w:r w:rsidR="00630D6B" w:rsidRPr="00730D83">
              <w:rPr>
                <w:rFonts w:ascii="Cambria" w:hAnsi="Cambria" w:cstheme="minorHAnsi"/>
                <w:b/>
                <w:bCs/>
                <w:noProof/>
                <w:webHidden/>
                <w:sz w:val="20"/>
                <w:szCs w:val="20"/>
              </w:rPr>
              <w:tab/>
            </w:r>
            <w:r w:rsidR="00630D6B" w:rsidRPr="00730D83">
              <w:rPr>
                <w:rFonts w:ascii="Cambria" w:hAnsi="Cambria" w:cstheme="minorHAnsi"/>
                <w:b/>
                <w:bCs/>
                <w:noProof/>
                <w:webHidden/>
                <w:sz w:val="20"/>
                <w:szCs w:val="20"/>
              </w:rPr>
              <w:fldChar w:fldCharType="begin"/>
            </w:r>
            <w:r w:rsidR="00630D6B" w:rsidRPr="00730D83">
              <w:rPr>
                <w:rFonts w:ascii="Cambria" w:hAnsi="Cambria" w:cstheme="minorHAnsi"/>
                <w:b/>
                <w:bCs/>
                <w:noProof/>
                <w:webHidden/>
                <w:sz w:val="20"/>
                <w:szCs w:val="20"/>
              </w:rPr>
              <w:instrText xml:space="preserve"> PAGEREF _Toc54247670 \h </w:instrText>
            </w:r>
            <w:r w:rsidR="00630D6B" w:rsidRPr="00730D83">
              <w:rPr>
                <w:rFonts w:ascii="Cambria" w:hAnsi="Cambria" w:cstheme="minorHAnsi"/>
                <w:b/>
                <w:bCs/>
                <w:noProof/>
                <w:webHidden/>
                <w:sz w:val="20"/>
                <w:szCs w:val="20"/>
              </w:rPr>
            </w:r>
            <w:r w:rsidR="00630D6B" w:rsidRPr="00730D83">
              <w:rPr>
                <w:rFonts w:ascii="Cambria" w:hAnsi="Cambria" w:cstheme="minorHAnsi"/>
                <w:b/>
                <w:bCs/>
                <w:noProof/>
                <w:webHidden/>
                <w:sz w:val="20"/>
                <w:szCs w:val="20"/>
              </w:rPr>
              <w:fldChar w:fldCharType="separate"/>
            </w:r>
            <w:r w:rsidR="00285B53">
              <w:rPr>
                <w:rFonts w:ascii="Cambria" w:hAnsi="Cambria" w:cstheme="minorHAnsi"/>
                <w:b/>
                <w:bCs/>
                <w:noProof/>
                <w:webHidden/>
                <w:sz w:val="20"/>
                <w:szCs w:val="20"/>
              </w:rPr>
              <w:t>100</w:t>
            </w:r>
            <w:r w:rsidR="00630D6B" w:rsidRPr="00730D83">
              <w:rPr>
                <w:rFonts w:ascii="Cambria" w:hAnsi="Cambria" w:cstheme="minorHAnsi"/>
                <w:b/>
                <w:bCs/>
                <w:noProof/>
                <w:webHidden/>
                <w:sz w:val="20"/>
                <w:szCs w:val="20"/>
              </w:rPr>
              <w:fldChar w:fldCharType="end"/>
            </w:r>
          </w:hyperlink>
        </w:p>
        <w:p w14:paraId="33AB7ECF" w14:textId="5D9929C8" w:rsidR="00630D6B" w:rsidRPr="00730D83" w:rsidRDefault="00496492" w:rsidP="00630D6B">
          <w:pPr>
            <w:tabs>
              <w:tab w:val="right" w:leader="dot" w:pos="9350"/>
            </w:tabs>
            <w:spacing w:after="0"/>
            <w:jc w:val="both"/>
            <w:rPr>
              <w:rFonts w:ascii="Cambria" w:eastAsiaTheme="minorEastAsia" w:hAnsi="Cambria" w:cstheme="minorHAnsi"/>
              <w:b/>
              <w:bCs/>
              <w:noProof/>
              <w:sz w:val="20"/>
              <w:szCs w:val="20"/>
            </w:rPr>
          </w:pPr>
          <w:hyperlink w:anchor="_Toc54247671" w:history="1">
            <w:r w:rsidR="00630D6B" w:rsidRPr="00730D83">
              <w:rPr>
                <w:rFonts w:ascii="Cambria" w:hAnsi="Cambria" w:cstheme="minorHAnsi"/>
                <w:b/>
                <w:bCs/>
                <w:noProof/>
                <w:sz w:val="20"/>
                <w:szCs w:val="20"/>
              </w:rPr>
              <w:t>Annex 2: Documentation Provided for the Document Review</w:t>
            </w:r>
            <w:r w:rsidR="00630D6B" w:rsidRPr="00730D83">
              <w:rPr>
                <w:rFonts w:ascii="Cambria" w:hAnsi="Cambria" w:cstheme="minorHAnsi"/>
                <w:b/>
                <w:bCs/>
                <w:noProof/>
                <w:webHidden/>
                <w:sz w:val="20"/>
                <w:szCs w:val="20"/>
              </w:rPr>
              <w:tab/>
            </w:r>
            <w:r w:rsidR="00630D6B" w:rsidRPr="00730D83">
              <w:rPr>
                <w:rFonts w:ascii="Cambria" w:hAnsi="Cambria" w:cstheme="minorHAnsi"/>
                <w:b/>
                <w:bCs/>
                <w:noProof/>
                <w:webHidden/>
                <w:sz w:val="20"/>
                <w:szCs w:val="20"/>
              </w:rPr>
              <w:fldChar w:fldCharType="begin"/>
            </w:r>
            <w:r w:rsidR="00630D6B" w:rsidRPr="00730D83">
              <w:rPr>
                <w:rFonts w:ascii="Cambria" w:hAnsi="Cambria" w:cstheme="minorHAnsi"/>
                <w:b/>
                <w:bCs/>
                <w:noProof/>
                <w:webHidden/>
                <w:sz w:val="20"/>
                <w:szCs w:val="20"/>
              </w:rPr>
              <w:instrText xml:space="preserve"> PAGEREF _Toc54247671 \h </w:instrText>
            </w:r>
            <w:r w:rsidR="00630D6B" w:rsidRPr="00730D83">
              <w:rPr>
                <w:rFonts w:ascii="Cambria" w:hAnsi="Cambria" w:cstheme="minorHAnsi"/>
                <w:b/>
                <w:bCs/>
                <w:noProof/>
                <w:webHidden/>
                <w:sz w:val="20"/>
                <w:szCs w:val="20"/>
              </w:rPr>
            </w:r>
            <w:r w:rsidR="00630D6B" w:rsidRPr="00730D83">
              <w:rPr>
                <w:rFonts w:ascii="Cambria" w:hAnsi="Cambria" w:cstheme="minorHAnsi"/>
                <w:b/>
                <w:bCs/>
                <w:noProof/>
                <w:webHidden/>
                <w:sz w:val="20"/>
                <w:szCs w:val="20"/>
              </w:rPr>
              <w:fldChar w:fldCharType="separate"/>
            </w:r>
            <w:r w:rsidR="00285B53">
              <w:rPr>
                <w:rFonts w:ascii="Cambria" w:hAnsi="Cambria" w:cstheme="minorHAnsi"/>
                <w:b/>
                <w:bCs/>
                <w:noProof/>
                <w:webHidden/>
                <w:sz w:val="20"/>
                <w:szCs w:val="20"/>
              </w:rPr>
              <w:t>102</w:t>
            </w:r>
            <w:r w:rsidR="00630D6B" w:rsidRPr="00730D83">
              <w:rPr>
                <w:rFonts w:ascii="Cambria" w:hAnsi="Cambria" w:cstheme="minorHAnsi"/>
                <w:b/>
                <w:bCs/>
                <w:noProof/>
                <w:webHidden/>
                <w:sz w:val="20"/>
                <w:szCs w:val="20"/>
              </w:rPr>
              <w:fldChar w:fldCharType="end"/>
            </w:r>
          </w:hyperlink>
        </w:p>
        <w:p w14:paraId="552C9C58" w14:textId="008AC4D5" w:rsidR="00630D6B" w:rsidRPr="00730D83" w:rsidRDefault="00496492" w:rsidP="00630D6B">
          <w:pPr>
            <w:tabs>
              <w:tab w:val="right" w:leader="dot" w:pos="9350"/>
            </w:tabs>
            <w:spacing w:after="0"/>
            <w:jc w:val="both"/>
            <w:rPr>
              <w:rFonts w:ascii="Cambria" w:eastAsiaTheme="minorEastAsia" w:hAnsi="Cambria" w:cstheme="minorHAnsi"/>
              <w:b/>
              <w:bCs/>
              <w:noProof/>
              <w:sz w:val="20"/>
              <w:szCs w:val="20"/>
            </w:rPr>
          </w:pPr>
          <w:hyperlink w:anchor="_Toc54247672" w:history="1">
            <w:r w:rsidR="00630D6B" w:rsidRPr="00730D83">
              <w:rPr>
                <w:rFonts w:ascii="Cambria" w:hAnsi="Cambria" w:cstheme="minorHAnsi"/>
                <w:b/>
                <w:bCs/>
                <w:noProof/>
                <w:sz w:val="20"/>
                <w:szCs w:val="20"/>
              </w:rPr>
              <w:t>Annex 3: Evaluation Tool</w:t>
            </w:r>
            <w:r w:rsidR="00630D6B" w:rsidRPr="00730D83">
              <w:rPr>
                <w:rFonts w:ascii="Cambria" w:hAnsi="Cambria" w:cstheme="minorHAnsi"/>
                <w:b/>
                <w:bCs/>
                <w:noProof/>
                <w:webHidden/>
                <w:sz w:val="20"/>
                <w:szCs w:val="20"/>
              </w:rPr>
              <w:tab/>
            </w:r>
            <w:r w:rsidR="00630D6B" w:rsidRPr="00730D83">
              <w:rPr>
                <w:rFonts w:ascii="Cambria" w:hAnsi="Cambria" w:cstheme="minorHAnsi"/>
                <w:b/>
                <w:bCs/>
                <w:noProof/>
                <w:webHidden/>
                <w:sz w:val="20"/>
                <w:szCs w:val="20"/>
              </w:rPr>
              <w:fldChar w:fldCharType="begin"/>
            </w:r>
            <w:r w:rsidR="00630D6B" w:rsidRPr="00730D83">
              <w:rPr>
                <w:rFonts w:ascii="Cambria" w:hAnsi="Cambria" w:cstheme="minorHAnsi"/>
                <w:b/>
                <w:bCs/>
                <w:noProof/>
                <w:webHidden/>
                <w:sz w:val="20"/>
                <w:szCs w:val="20"/>
              </w:rPr>
              <w:instrText xml:space="preserve"> PAGEREF _Toc54247672 \h </w:instrText>
            </w:r>
            <w:r w:rsidR="00630D6B" w:rsidRPr="00730D83">
              <w:rPr>
                <w:rFonts w:ascii="Cambria" w:hAnsi="Cambria" w:cstheme="minorHAnsi"/>
                <w:b/>
                <w:bCs/>
                <w:noProof/>
                <w:webHidden/>
                <w:sz w:val="20"/>
                <w:szCs w:val="20"/>
              </w:rPr>
            </w:r>
            <w:r w:rsidR="00630D6B" w:rsidRPr="00730D83">
              <w:rPr>
                <w:rFonts w:ascii="Cambria" w:hAnsi="Cambria" w:cstheme="minorHAnsi"/>
                <w:b/>
                <w:bCs/>
                <w:noProof/>
                <w:webHidden/>
                <w:sz w:val="20"/>
                <w:szCs w:val="20"/>
              </w:rPr>
              <w:fldChar w:fldCharType="separate"/>
            </w:r>
            <w:r w:rsidR="00285B53">
              <w:rPr>
                <w:rFonts w:ascii="Cambria" w:hAnsi="Cambria" w:cstheme="minorHAnsi"/>
                <w:b/>
                <w:bCs/>
                <w:noProof/>
                <w:webHidden/>
                <w:sz w:val="20"/>
                <w:szCs w:val="20"/>
              </w:rPr>
              <w:t>105</w:t>
            </w:r>
            <w:r w:rsidR="00630D6B" w:rsidRPr="00730D83">
              <w:rPr>
                <w:rFonts w:ascii="Cambria" w:hAnsi="Cambria" w:cstheme="minorHAnsi"/>
                <w:b/>
                <w:bCs/>
                <w:noProof/>
                <w:webHidden/>
                <w:sz w:val="20"/>
                <w:szCs w:val="20"/>
              </w:rPr>
              <w:fldChar w:fldCharType="end"/>
            </w:r>
          </w:hyperlink>
        </w:p>
        <w:p w14:paraId="2B76D14F" w14:textId="58E57B98" w:rsidR="00630D6B" w:rsidRPr="00730D83" w:rsidRDefault="00630D6B" w:rsidP="00630D6B">
          <w:pPr>
            <w:jc w:val="both"/>
            <w:rPr>
              <w:rFonts w:ascii="Cambria" w:hAnsi="Cambria" w:cstheme="minorHAnsi"/>
              <w:sz w:val="20"/>
              <w:szCs w:val="20"/>
            </w:rPr>
          </w:pPr>
          <w:r w:rsidRPr="00730D83">
            <w:rPr>
              <w:rFonts w:ascii="Cambria" w:hAnsi="Cambria" w:cstheme="minorHAnsi"/>
              <w:noProof/>
              <w:sz w:val="20"/>
              <w:szCs w:val="20"/>
            </w:rPr>
            <w:fldChar w:fldCharType="end"/>
          </w:r>
        </w:p>
      </w:sdtContent>
    </w:sdt>
    <w:p w14:paraId="0848886A" w14:textId="77777777" w:rsidR="00630D6B" w:rsidRPr="00730D83" w:rsidRDefault="00630D6B" w:rsidP="00630D6B">
      <w:pPr>
        <w:jc w:val="both"/>
        <w:rPr>
          <w:rFonts w:ascii="Cambria" w:hAnsi="Cambria" w:cstheme="minorHAnsi"/>
          <w:sz w:val="20"/>
          <w:szCs w:val="20"/>
        </w:rPr>
      </w:pPr>
    </w:p>
    <w:p w14:paraId="61A5ED46" w14:textId="77777777" w:rsidR="00630D6B" w:rsidRPr="00730D83" w:rsidRDefault="00630D6B" w:rsidP="00630D6B">
      <w:pPr>
        <w:pStyle w:val="Heading1"/>
        <w:spacing w:before="0"/>
        <w:jc w:val="both"/>
        <w:rPr>
          <w:rFonts w:ascii="Cambria" w:hAnsi="Cambria" w:cstheme="minorHAnsi"/>
          <w:b/>
          <w:bCs/>
          <w:color w:val="auto"/>
          <w:sz w:val="20"/>
          <w:szCs w:val="20"/>
        </w:rPr>
      </w:pPr>
      <w:bookmarkStart w:id="57" w:name="_Toc54247659"/>
      <w:r w:rsidRPr="00730D83">
        <w:rPr>
          <w:rFonts w:ascii="Cambria" w:hAnsi="Cambria" w:cstheme="minorHAnsi"/>
          <w:b/>
          <w:bCs/>
          <w:color w:val="auto"/>
          <w:sz w:val="20"/>
          <w:szCs w:val="20"/>
        </w:rPr>
        <w:t>List of Acronyms and Abbreviations</w:t>
      </w:r>
      <w:bookmarkEnd w:id="57"/>
      <w:r w:rsidRPr="00730D83">
        <w:rPr>
          <w:rFonts w:ascii="Cambria" w:hAnsi="Cambria" w:cstheme="minorHAnsi"/>
          <w:b/>
          <w:bCs/>
          <w:color w:val="auto"/>
          <w:sz w:val="20"/>
          <w:szCs w:val="20"/>
        </w:rPr>
        <w:t xml:space="preserve"> </w:t>
      </w:r>
    </w:p>
    <w:p w14:paraId="358C7B0F" w14:textId="77777777" w:rsidR="00630D6B" w:rsidRPr="00730D83" w:rsidRDefault="00630D6B" w:rsidP="00630D6B">
      <w:pPr>
        <w:jc w:val="both"/>
        <w:rPr>
          <w:rFonts w:ascii="Cambria" w:hAnsi="Cambria" w:cstheme="minorHAnsi"/>
          <w:sz w:val="20"/>
          <w:szCs w:val="20"/>
        </w:rPr>
      </w:pPr>
    </w:p>
    <w:p w14:paraId="6959C61D" w14:textId="77777777" w:rsidR="00630D6B" w:rsidRPr="00730D83" w:rsidRDefault="00630D6B" w:rsidP="00630D6B">
      <w:pPr>
        <w:jc w:val="both"/>
        <w:rPr>
          <w:rFonts w:ascii="Cambria" w:hAnsi="Cambria" w:cstheme="minorHAnsi"/>
          <w:sz w:val="20"/>
          <w:szCs w:val="20"/>
        </w:rPr>
      </w:pPr>
      <w:r w:rsidRPr="00730D83">
        <w:rPr>
          <w:rFonts w:ascii="Cambria" w:hAnsi="Cambria" w:cstheme="minorHAnsi"/>
          <w:sz w:val="20"/>
          <w:szCs w:val="20"/>
        </w:rPr>
        <w:t>UNDP</w:t>
      </w:r>
      <w:r w:rsidRPr="00730D83">
        <w:rPr>
          <w:rFonts w:ascii="Cambria" w:hAnsi="Cambria" w:cstheme="minorHAnsi"/>
          <w:sz w:val="20"/>
          <w:szCs w:val="20"/>
        </w:rPr>
        <w:tab/>
      </w:r>
      <w:r w:rsidRPr="00730D83">
        <w:rPr>
          <w:rFonts w:ascii="Cambria" w:hAnsi="Cambria" w:cstheme="minorHAnsi"/>
          <w:sz w:val="20"/>
          <w:szCs w:val="20"/>
        </w:rPr>
        <w:tab/>
        <w:t>United Nations Development Programme</w:t>
      </w:r>
    </w:p>
    <w:p w14:paraId="3412344E" w14:textId="77777777" w:rsidR="00630D6B" w:rsidRPr="00730D83" w:rsidRDefault="00630D6B" w:rsidP="00630D6B">
      <w:pPr>
        <w:jc w:val="both"/>
        <w:rPr>
          <w:rFonts w:ascii="Cambria" w:hAnsi="Cambria" w:cstheme="minorHAnsi"/>
          <w:sz w:val="20"/>
          <w:szCs w:val="20"/>
        </w:rPr>
      </w:pPr>
      <w:r w:rsidRPr="00730D83">
        <w:rPr>
          <w:rFonts w:ascii="Cambria" w:hAnsi="Cambria" w:cstheme="minorHAnsi"/>
          <w:sz w:val="20"/>
          <w:szCs w:val="20"/>
        </w:rPr>
        <w:t>SDGs</w:t>
      </w:r>
      <w:r w:rsidRPr="00730D83">
        <w:rPr>
          <w:rFonts w:ascii="Cambria" w:hAnsi="Cambria" w:cstheme="minorHAnsi"/>
          <w:sz w:val="20"/>
          <w:szCs w:val="20"/>
        </w:rPr>
        <w:tab/>
      </w:r>
      <w:r w:rsidRPr="00730D83">
        <w:rPr>
          <w:rFonts w:ascii="Cambria" w:hAnsi="Cambria" w:cstheme="minorHAnsi"/>
          <w:sz w:val="20"/>
          <w:szCs w:val="20"/>
        </w:rPr>
        <w:tab/>
        <w:t>Sustainable Development Goals</w:t>
      </w:r>
    </w:p>
    <w:p w14:paraId="396D7226" w14:textId="77777777" w:rsidR="00630D6B" w:rsidRPr="00730D83" w:rsidRDefault="00630D6B" w:rsidP="00630D6B">
      <w:pPr>
        <w:jc w:val="both"/>
        <w:rPr>
          <w:rFonts w:ascii="Cambria" w:hAnsi="Cambria" w:cstheme="minorHAnsi"/>
          <w:sz w:val="20"/>
          <w:szCs w:val="20"/>
        </w:rPr>
      </w:pPr>
      <w:r w:rsidRPr="00730D83">
        <w:rPr>
          <w:rFonts w:ascii="Cambria" w:hAnsi="Cambria" w:cstheme="minorHAnsi"/>
          <w:sz w:val="20"/>
          <w:szCs w:val="20"/>
        </w:rPr>
        <w:t>KPI</w:t>
      </w:r>
      <w:r w:rsidRPr="00730D83">
        <w:rPr>
          <w:rFonts w:ascii="Cambria" w:hAnsi="Cambria" w:cstheme="minorHAnsi"/>
          <w:sz w:val="20"/>
          <w:szCs w:val="20"/>
        </w:rPr>
        <w:tab/>
      </w:r>
      <w:r w:rsidRPr="00730D83">
        <w:rPr>
          <w:rFonts w:ascii="Cambria" w:hAnsi="Cambria" w:cstheme="minorHAnsi"/>
          <w:sz w:val="20"/>
          <w:szCs w:val="20"/>
        </w:rPr>
        <w:tab/>
        <w:t>Key Person Interview</w:t>
      </w:r>
    </w:p>
    <w:p w14:paraId="36C0DF2B" w14:textId="77777777" w:rsidR="00630D6B" w:rsidRPr="00730D83" w:rsidRDefault="00630D6B" w:rsidP="00630D6B">
      <w:pPr>
        <w:jc w:val="both"/>
        <w:rPr>
          <w:rFonts w:ascii="Cambria" w:hAnsi="Cambria" w:cstheme="minorHAnsi"/>
          <w:sz w:val="20"/>
          <w:szCs w:val="20"/>
        </w:rPr>
      </w:pPr>
    </w:p>
    <w:p w14:paraId="203E336A" w14:textId="77777777" w:rsidR="00630D6B" w:rsidRPr="00730D83" w:rsidRDefault="00630D6B" w:rsidP="00630D6B">
      <w:pPr>
        <w:jc w:val="both"/>
        <w:rPr>
          <w:rFonts w:ascii="Cambria" w:hAnsi="Cambria" w:cstheme="minorHAnsi"/>
          <w:sz w:val="20"/>
          <w:szCs w:val="20"/>
        </w:rPr>
      </w:pPr>
    </w:p>
    <w:p w14:paraId="0D47253B" w14:textId="3DFC400C" w:rsidR="00630D6B" w:rsidRPr="00730D83" w:rsidRDefault="00630D6B" w:rsidP="00925CAD">
      <w:pPr>
        <w:pStyle w:val="Heading1"/>
        <w:numPr>
          <w:ilvl w:val="0"/>
          <w:numId w:val="59"/>
        </w:numPr>
        <w:spacing w:before="0"/>
        <w:jc w:val="both"/>
        <w:rPr>
          <w:rFonts w:ascii="Cambria" w:hAnsi="Cambria" w:cstheme="minorHAnsi"/>
          <w:b/>
          <w:bCs/>
          <w:color w:val="auto"/>
          <w:sz w:val="20"/>
          <w:szCs w:val="20"/>
        </w:rPr>
      </w:pPr>
      <w:bookmarkStart w:id="58" w:name="_Toc54247660"/>
      <w:r w:rsidRPr="00730D83">
        <w:rPr>
          <w:rFonts w:ascii="Cambria" w:hAnsi="Cambria" w:cstheme="minorHAnsi"/>
          <w:b/>
          <w:bCs/>
          <w:color w:val="auto"/>
          <w:sz w:val="20"/>
          <w:szCs w:val="20"/>
        </w:rPr>
        <w:t>Introduction</w:t>
      </w:r>
      <w:bookmarkEnd w:id="58"/>
    </w:p>
    <w:p w14:paraId="7D6BF2FD" w14:textId="77777777" w:rsidR="00630D6B" w:rsidRPr="00730D83" w:rsidRDefault="00630D6B" w:rsidP="00630D6B">
      <w:pPr>
        <w:autoSpaceDE w:val="0"/>
        <w:autoSpaceDN w:val="0"/>
        <w:adjustRightInd w:val="0"/>
        <w:jc w:val="both"/>
        <w:rPr>
          <w:rFonts w:ascii="Cambria" w:hAnsi="Cambria" w:cstheme="minorHAnsi"/>
          <w:sz w:val="20"/>
          <w:szCs w:val="20"/>
        </w:rPr>
      </w:pPr>
    </w:p>
    <w:p w14:paraId="3155DAB5" w14:textId="77777777" w:rsidR="00630D6B" w:rsidRPr="00730D83" w:rsidRDefault="00630D6B" w:rsidP="00630D6B">
      <w:pPr>
        <w:autoSpaceDE w:val="0"/>
        <w:autoSpaceDN w:val="0"/>
        <w:adjustRightInd w:val="0"/>
        <w:jc w:val="both"/>
        <w:rPr>
          <w:rFonts w:ascii="Cambria" w:hAnsi="Cambria" w:cstheme="minorHAnsi"/>
          <w:sz w:val="20"/>
          <w:szCs w:val="20"/>
        </w:rPr>
      </w:pPr>
      <w:r w:rsidRPr="00730D83">
        <w:rPr>
          <w:rFonts w:ascii="Cambria" w:hAnsi="Cambria" w:cstheme="minorHAnsi"/>
          <w:sz w:val="20"/>
          <w:szCs w:val="20"/>
        </w:rPr>
        <w:t>This Inception Report is an initial output of the mid-term evaluation and strategic direction setting of UNDP Sri Lanka’s Portfolio on SDG 16+ - Peace, Justice and Strong Institutions. It describes the purpose, scope, and overall approach that will be taken in completing the evaluation.</w:t>
      </w:r>
    </w:p>
    <w:p w14:paraId="45B422E7" w14:textId="77777777" w:rsidR="00630D6B" w:rsidRPr="00730D83" w:rsidRDefault="00630D6B" w:rsidP="00630D6B">
      <w:pPr>
        <w:autoSpaceDE w:val="0"/>
        <w:autoSpaceDN w:val="0"/>
        <w:adjustRightInd w:val="0"/>
        <w:jc w:val="both"/>
        <w:rPr>
          <w:rFonts w:ascii="Cambria" w:hAnsi="Cambria" w:cstheme="minorHAnsi"/>
          <w:sz w:val="20"/>
          <w:szCs w:val="20"/>
        </w:rPr>
      </w:pPr>
    </w:p>
    <w:p w14:paraId="2AABC6E5" w14:textId="77777777" w:rsidR="00630D6B" w:rsidRPr="00730D83" w:rsidRDefault="00630D6B" w:rsidP="00630D6B">
      <w:pPr>
        <w:autoSpaceDE w:val="0"/>
        <w:autoSpaceDN w:val="0"/>
        <w:adjustRightInd w:val="0"/>
        <w:jc w:val="both"/>
        <w:rPr>
          <w:rFonts w:ascii="Cambria" w:hAnsi="Cambria" w:cstheme="minorHAnsi"/>
          <w:sz w:val="20"/>
          <w:szCs w:val="20"/>
        </w:rPr>
      </w:pPr>
      <w:r w:rsidRPr="00730D83">
        <w:rPr>
          <w:rFonts w:ascii="Cambria" w:hAnsi="Cambria" w:cstheme="minorHAnsi"/>
          <w:sz w:val="20"/>
          <w:szCs w:val="20"/>
        </w:rPr>
        <w:t>The evaluation will involve:</w:t>
      </w:r>
    </w:p>
    <w:p w14:paraId="1AFA03E7" w14:textId="77777777" w:rsidR="00630D6B" w:rsidRPr="00730D83" w:rsidRDefault="00630D6B" w:rsidP="00925CAD">
      <w:pPr>
        <w:numPr>
          <w:ilvl w:val="0"/>
          <w:numId w:val="38"/>
        </w:numPr>
        <w:autoSpaceDE w:val="0"/>
        <w:autoSpaceDN w:val="0"/>
        <w:adjustRightInd w:val="0"/>
        <w:spacing w:after="0"/>
        <w:contextualSpacing/>
        <w:jc w:val="both"/>
        <w:rPr>
          <w:rFonts w:ascii="Cambria" w:hAnsi="Cambria" w:cstheme="minorHAnsi"/>
          <w:sz w:val="20"/>
          <w:szCs w:val="20"/>
        </w:rPr>
      </w:pPr>
      <w:r w:rsidRPr="00730D83">
        <w:rPr>
          <w:rFonts w:ascii="Cambria" w:hAnsi="Cambria" w:cstheme="minorHAnsi"/>
          <w:sz w:val="20"/>
          <w:szCs w:val="20"/>
        </w:rPr>
        <w:lastRenderedPageBreak/>
        <w:t>an analysis of the available documentation and periodic reporting for the portfolio and its related intervention activities;</w:t>
      </w:r>
    </w:p>
    <w:p w14:paraId="04747E0D" w14:textId="77777777" w:rsidR="00630D6B" w:rsidRPr="00730D83" w:rsidRDefault="00630D6B" w:rsidP="00925CAD">
      <w:pPr>
        <w:numPr>
          <w:ilvl w:val="0"/>
          <w:numId w:val="38"/>
        </w:numPr>
        <w:autoSpaceDE w:val="0"/>
        <w:autoSpaceDN w:val="0"/>
        <w:adjustRightInd w:val="0"/>
        <w:spacing w:after="0"/>
        <w:contextualSpacing/>
        <w:jc w:val="both"/>
        <w:rPr>
          <w:rFonts w:ascii="Cambria" w:hAnsi="Cambria" w:cstheme="minorHAnsi"/>
          <w:sz w:val="20"/>
          <w:szCs w:val="20"/>
        </w:rPr>
      </w:pPr>
      <w:r w:rsidRPr="00730D83">
        <w:rPr>
          <w:rFonts w:ascii="Cambria" w:hAnsi="Cambria" w:cstheme="minorHAnsi"/>
          <w:sz w:val="20"/>
          <w:szCs w:val="20"/>
        </w:rPr>
        <w:t>information from consultations with the UNDP country team and other stakeholders working on the intervention and those working in the intervention environment;</w:t>
      </w:r>
    </w:p>
    <w:p w14:paraId="041476FE" w14:textId="77777777" w:rsidR="00630D6B" w:rsidRPr="00730D83" w:rsidRDefault="00630D6B" w:rsidP="00925CAD">
      <w:pPr>
        <w:numPr>
          <w:ilvl w:val="0"/>
          <w:numId w:val="38"/>
        </w:numPr>
        <w:autoSpaceDE w:val="0"/>
        <w:autoSpaceDN w:val="0"/>
        <w:adjustRightInd w:val="0"/>
        <w:spacing w:after="0"/>
        <w:contextualSpacing/>
        <w:jc w:val="both"/>
        <w:rPr>
          <w:rFonts w:ascii="Cambria" w:hAnsi="Cambria" w:cstheme="minorHAnsi"/>
          <w:sz w:val="20"/>
          <w:szCs w:val="20"/>
        </w:rPr>
      </w:pPr>
      <w:r w:rsidRPr="00730D83">
        <w:rPr>
          <w:rFonts w:ascii="Cambria" w:hAnsi="Cambria" w:cstheme="minorHAnsi"/>
          <w:sz w:val="20"/>
          <w:szCs w:val="20"/>
        </w:rPr>
        <w:t xml:space="preserve">preparation and presentation of a draft evaluation report to UNDP for review; and </w:t>
      </w:r>
    </w:p>
    <w:p w14:paraId="20259F94" w14:textId="77777777" w:rsidR="00630D6B" w:rsidRPr="00730D83" w:rsidRDefault="00630D6B" w:rsidP="00925CAD">
      <w:pPr>
        <w:numPr>
          <w:ilvl w:val="0"/>
          <w:numId w:val="38"/>
        </w:numPr>
        <w:autoSpaceDE w:val="0"/>
        <w:autoSpaceDN w:val="0"/>
        <w:adjustRightInd w:val="0"/>
        <w:spacing w:after="0"/>
        <w:contextualSpacing/>
        <w:jc w:val="both"/>
        <w:rPr>
          <w:rFonts w:ascii="Cambria" w:hAnsi="Cambria" w:cstheme="minorHAnsi"/>
          <w:sz w:val="20"/>
          <w:szCs w:val="20"/>
        </w:rPr>
      </w:pPr>
      <w:r w:rsidRPr="00730D83">
        <w:rPr>
          <w:rFonts w:ascii="Cambria" w:hAnsi="Cambria" w:cstheme="minorHAnsi"/>
          <w:sz w:val="20"/>
          <w:szCs w:val="20"/>
        </w:rPr>
        <w:t>a final evaluation report incorporating feedback to the draft report.</w:t>
      </w:r>
    </w:p>
    <w:p w14:paraId="5E67B82C" w14:textId="77777777" w:rsidR="00630D6B" w:rsidRPr="00730D83" w:rsidRDefault="00630D6B" w:rsidP="00630D6B">
      <w:pPr>
        <w:autoSpaceDE w:val="0"/>
        <w:autoSpaceDN w:val="0"/>
        <w:adjustRightInd w:val="0"/>
        <w:jc w:val="both"/>
        <w:rPr>
          <w:rFonts w:ascii="Cambria" w:hAnsi="Cambria" w:cstheme="minorHAnsi"/>
          <w:sz w:val="20"/>
          <w:szCs w:val="20"/>
        </w:rPr>
      </w:pPr>
    </w:p>
    <w:p w14:paraId="4C114DCB" w14:textId="77777777" w:rsidR="00630D6B" w:rsidRPr="00730D83" w:rsidRDefault="00630D6B" w:rsidP="00925CAD">
      <w:pPr>
        <w:pStyle w:val="Heading1"/>
        <w:numPr>
          <w:ilvl w:val="0"/>
          <w:numId w:val="59"/>
        </w:numPr>
        <w:spacing w:before="0"/>
        <w:jc w:val="both"/>
        <w:rPr>
          <w:rFonts w:ascii="Cambria" w:hAnsi="Cambria" w:cstheme="minorHAnsi"/>
          <w:b/>
          <w:bCs/>
          <w:color w:val="auto"/>
          <w:sz w:val="20"/>
          <w:szCs w:val="20"/>
        </w:rPr>
      </w:pPr>
      <w:r w:rsidRPr="00730D83">
        <w:rPr>
          <w:rFonts w:ascii="Cambria" w:hAnsi="Cambria" w:cstheme="minorHAnsi"/>
          <w:b/>
          <w:bCs/>
          <w:color w:val="auto"/>
          <w:sz w:val="20"/>
          <w:szCs w:val="20"/>
        </w:rPr>
        <w:t>Purpose of the Evaluation</w:t>
      </w:r>
    </w:p>
    <w:p w14:paraId="4EE24E78" w14:textId="77777777" w:rsidR="00630D6B" w:rsidRPr="00730D83" w:rsidRDefault="00630D6B" w:rsidP="00630D6B">
      <w:pPr>
        <w:autoSpaceDE w:val="0"/>
        <w:autoSpaceDN w:val="0"/>
        <w:adjustRightInd w:val="0"/>
        <w:jc w:val="both"/>
        <w:rPr>
          <w:rFonts w:ascii="Cambria" w:hAnsi="Cambria" w:cstheme="minorHAnsi"/>
          <w:sz w:val="20"/>
          <w:szCs w:val="20"/>
        </w:rPr>
      </w:pPr>
    </w:p>
    <w:p w14:paraId="5AE936BF" w14:textId="77777777" w:rsidR="00630D6B" w:rsidRPr="00730D83" w:rsidRDefault="00630D6B" w:rsidP="00630D6B">
      <w:pPr>
        <w:autoSpaceDE w:val="0"/>
        <w:autoSpaceDN w:val="0"/>
        <w:adjustRightInd w:val="0"/>
        <w:jc w:val="both"/>
        <w:rPr>
          <w:rFonts w:ascii="Cambria" w:hAnsi="Cambria" w:cstheme="minorHAnsi"/>
          <w:sz w:val="20"/>
          <w:szCs w:val="20"/>
        </w:rPr>
      </w:pPr>
      <w:r w:rsidRPr="00730D83">
        <w:rPr>
          <w:rFonts w:ascii="Cambria" w:hAnsi="Cambria" w:cstheme="minorHAnsi"/>
          <w:sz w:val="20"/>
          <w:szCs w:val="20"/>
        </w:rPr>
        <w:t>The evaluation will:</w:t>
      </w:r>
    </w:p>
    <w:p w14:paraId="3FE61F78" w14:textId="77777777" w:rsidR="00630D6B" w:rsidRPr="00730D83" w:rsidRDefault="00630D6B" w:rsidP="00630D6B">
      <w:pPr>
        <w:numPr>
          <w:ilvl w:val="0"/>
          <w:numId w:val="15"/>
        </w:numPr>
        <w:autoSpaceDE w:val="0"/>
        <w:autoSpaceDN w:val="0"/>
        <w:adjustRightInd w:val="0"/>
        <w:spacing w:after="0"/>
        <w:contextualSpacing/>
        <w:jc w:val="both"/>
        <w:rPr>
          <w:rFonts w:ascii="Cambria" w:hAnsi="Cambria" w:cstheme="minorHAnsi"/>
          <w:sz w:val="20"/>
          <w:szCs w:val="20"/>
        </w:rPr>
      </w:pPr>
      <w:r w:rsidRPr="00730D83">
        <w:rPr>
          <w:rFonts w:ascii="Cambria" w:hAnsi="Cambria" w:cstheme="minorHAnsi"/>
          <w:sz w:val="20"/>
          <w:szCs w:val="20"/>
        </w:rPr>
        <w:t>review the implementation of the portfolio thus far at its mid-term (</w:t>
      </w:r>
      <w:r w:rsidRPr="00730D83">
        <w:rPr>
          <w:rFonts w:ascii="Cambria" w:eastAsia="Times New Roman" w:hAnsi="Cambria" w:cstheme="minorHAnsi"/>
          <w:sz w:val="20"/>
          <w:szCs w:val="20"/>
        </w:rPr>
        <w:t>January 2019 to August 2020)</w:t>
      </w:r>
      <w:r w:rsidRPr="00730D83">
        <w:rPr>
          <w:rFonts w:ascii="Cambria" w:hAnsi="Cambria" w:cstheme="minorHAnsi"/>
          <w:sz w:val="20"/>
          <w:szCs w:val="20"/>
        </w:rPr>
        <w:t xml:space="preserve">, including a review of its envisaged strategic direction and an assessment towards </w:t>
      </w:r>
      <w:r w:rsidRPr="00730D83">
        <w:rPr>
          <w:rFonts w:ascii="Cambria" w:eastAsia="Times New Roman" w:hAnsi="Cambria" w:cstheme="minorHAnsi"/>
          <w:sz w:val="20"/>
          <w:szCs w:val="20"/>
        </w:rPr>
        <w:t>output-level objectives in relation to the criteria of relevance, effectiveness, efficiency, impact and sustainability of results achieved at the mid-term</w:t>
      </w:r>
      <w:r w:rsidRPr="00730D83">
        <w:rPr>
          <w:rFonts w:ascii="Cambria" w:hAnsi="Cambria" w:cstheme="minorHAnsi"/>
          <w:sz w:val="20"/>
          <w:szCs w:val="20"/>
        </w:rPr>
        <w:t>;</w:t>
      </w:r>
    </w:p>
    <w:p w14:paraId="7A520F83" w14:textId="77777777" w:rsidR="00630D6B" w:rsidRPr="00730D83" w:rsidRDefault="00630D6B" w:rsidP="00630D6B">
      <w:pPr>
        <w:numPr>
          <w:ilvl w:val="0"/>
          <w:numId w:val="15"/>
        </w:numPr>
        <w:autoSpaceDE w:val="0"/>
        <w:autoSpaceDN w:val="0"/>
        <w:adjustRightInd w:val="0"/>
        <w:spacing w:after="0"/>
        <w:contextualSpacing/>
        <w:jc w:val="both"/>
        <w:rPr>
          <w:rFonts w:ascii="Cambria" w:hAnsi="Cambria" w:cstheme="minorHAnsi"/>
          <w:sz w:val="20"/>
          <w:szCs w:val="20"/>
        </w:rPr>
      </w:pPr>
      <w:r w:rsidRPr="00730D83">
        <w:rPr>
          <w:rFonts w:ascii="Cambria" w:eastAsia="Times New Roman" w:hAnsi="Cambria" w:cstheme="minorHAnsi"/>
          <w:sz w:val="20"/>
          <w:szCs w:val="20"/>
        </w:rPr>
        <w:t>identify best practices and achievements to-date, which the Portfolio should continue to build on, in-line with strategic country requirements and Government priorities;</w:t>
      </w:r>
    </w:p>
    <w:p w14:paraId="392A1B63" w14:textId="77777777" w:rsidR="00630D6B" w:rsidRPr="00730D83" w:rsidRDefault="00630D6B" w:rsidP="00630D6B">
      <w:pPr>
        <w:numPr>
          <w:ilvl w:val="0"/>
          <w:numId w:val="15"/>
        </w:numPr>
        <w:autoSpaceDE w:val="0"/>
        <w:autoSpaceDN w:val="0"/>
        <w:adjustRightInd w:val="0"/>
        <w:spacing w:after="0"/>
        <w:contextualSpacing/>
        <w:jc w:val="both"/>
        <w:rPr>
          <w:rFonts w:ascii="Cambria" w:hAnsi="Cambria" w:cstheme="minorHAnsi"/>
          <w:sz w:val="20"/>
          <w:szCs w:val="20"/>
        </w:rPr>
      </w:pPr>
      <w:r w:rsidRPr="00730D83">
        <w:rPr>
          <w:rFonts w:ascii="Cambria" w:eastAsia="Times New Roman" w:hAnsi="Cambria" w:cstheme="minorHAnsi"/>
          <w:sz w:val="20"/>
          <w:szCs w:val="20"/>
        </w:rPr>
        <w:t>identify strategic and subject-specific recommendations under the three thematic pillars (</w:t>
      </w:r>
      <w:r w:rsidRPr="00730D83">
        <w:rPr>
          <w:rFonts w:ascii="Cambria" w:hAnsi="Cambria" w:cstheme="minorHAnsi"/>
          <w:sz w:val="20"/>
          <w:szCs w:val="20"/>
        </w:rPr>
        <w:t>1. Legislative and Oversight Commissions, 2. Access to Justice and Rule of Law and 3. Accountable and Effective Service Delivery)</w:t>
      </w:r>
      <w:r w:rsidRPr="00730D83">
        <w:rPr>
          <w:rFonts w:ascii="Cambria" w:eastAsia="Times New Roman" w:hAnsi="Cambria" w:cstheme="minorHAnsi"/>
          <w:sz w:val="20"/>
          <w:szCs w:val="20"/>
        </w:rPr>
        <w:t xml:space="preserve">, suggesting re-alignment in-line with the new normal Covid-19 context, and the changing socio-economic and political situation of Sri Lanka. </w:t>
      </w:r>
    </w:p>
    <w:p w14:paraId="1F69761D" w14:textId="77777777" w:rsidR="00630D6B" w:rsidRPr="00730D83" w:rsidRDefault="00630D6B" w:rsidP="00630D6B">
      <w:pPr>
        <w:autoSpaceDE w:val="0"/>
        <w:autoSpaceDN w:val="0"/>
        <w:adjustRightInd w:val="0"/>
        <w:jc w:val="both"/>
        <w:rPr>
          <w:rFonts w:ascii="Cambria" w:hAnsi="Cambria" w:cstheme="minorHAnsi"/>
          <w:sz w:val="20"/>
          <w:szCs w:val="20"/>
        </w:rPr>
      </w:pPr>
    </w:p>
    <w:p w14:paraId="2BE50583" w14:textId="77777777" w:rsidR="00630D6B" w:rsidRPr="00730D83" w:rsidRDefault="00630D6B" w:rsidP="00925CAD">
      <w:pPr>
        <w:pStyle w:val="Heading1"/>
        <w:numPr>
          <w:ilvl w:val="0"/>
          <w:numId w:val="59"/>
        </w:numPr>
        <w:spacing w:before="0"/>
        <w:jc w:val="both"/>
        <w:rPr>
          <w:rFonts w:ascii="Cambria" w:hAnsi="Cambria" w:cstheme="minorHAnsi"/>
          <w:b/>
          <w:bCs/>
          <w:color w:val="auto"/>
          <w:sz w:val="20"/>
          <w:szCs w:val="20"/>
        </w:rPr>
      </w:pPr>
      <w:bookmarkStart w:id="59" w:name="_Toc54247662"/>
      <w:r w:rsidRPr="00730D83">
        <w:rPr>
          <w:rFonts w:ascii="Cambria" w:hAnsi="Cambria" w:cstheme="minorHAnsi"/>
          <w:b/>
          <w:bCs/>
          <w:color w:val="auto"/>
          <w:sz w:val="20"/>
          <w:szCs w:val="20"/>
        </w:rPr>
        <w:t>Scope of the Evaluation</w:t>
      </w:r>
      <w:bookmarkEnd w:id="59"/>
      <w:r w:rsidRPr="00730D83">
        <w:rPr>
          <w:rFonts w:ascii="Cambria" w:hAnsi="Cambria" w:cstheme="minorHAnsi"/>
          <w:b/>
          <w:bCs/>
          <w:color w:val="auto"/>
          <w:sz w:val="20"/>
          <w:szCs w:val="20"/>
        </w:rPr>
        <w:t xml:space="preserve"> </w:t>
      </w:r>
    </w:p>
    <w:p w14:paraId="0C11374D" w14:textId="77777777" w:rsidR="00630D6B" w:rsidRPr="00730D83" w:rsidRDefault="00630D6B" w:rsidP="00630D6B">
      <w:pPr>
        <w:autoSpaceDE w:val="0"/>
        <w:autoSpaceDN w:val="0"/>
        <w:adjustRightInd w:val="0"/>
        <w:jc w:val="both"/>
        <w:rPr>
          <w:rFonts w:ascii="Cambria" w:hAnsi="Cambria" w:cstheme="minorHAnsi"/>
          <w:sz w:val="20"/>
          <w:szCs w:val="20"/>
        </w:rPr>
      </w:pPr>
    </w:p>
    <w:p w14:paraId="0B834E1B" w14:textId="77777777" w:rsidR="00630D6B" w:rsidRPr="00730D83" w:rsidRDefault="00630D6B" w:rsidP="00630D6B">
      <w:pPr>
        <w:autoSpaceDE w:val="0"/>
        <w:autoSpaceDN w:val="0"/>
        <w:adjustRightInd w:val="0"/>
        <w:jc w:val="both"/>
        <w:rPr>
          <w:rFonts w:ascii="Cambria" w:hAnsi="Cambria" w:cstheme="minorHAnsi"/>
          <w:sz w:val="20"/>
          <w:szCs w:val="20"/>
        </w:rPr>
      </w:pPr>
      <w:r w:rsidRPr="00730D83">
        <w:rPr>
          <w:rFonts w:ascii="Cambria" w:hAnsi="Cambria" w:cstheme="minorHAnsi"/>
          <w:sz w:val="20"/>
          <w:szCs w:val="20"/>
        </w:rPr>
        <w:t xml:space="preserve">The scope of the evaluation is to focus on the Portfolio, which will end in 2022, that aims to contribute towards achieving the Sustainable Development Goal (SDG) 16 – Peace, Justice and Strong Institutions. Through this portfolio, UNDP will implement its Governance and Peacebuilding projects, in trying to ensure a cohesive approach across multiple projects with this this common goal. The changing context as a result of a multitude of socio-economic and political issues, including the effects of the more recent Covid-19 pandemic, have brought in added levels of complexity that need to be considered in future implementation of the Portfolio. </w:t>
      </w:r>
    </w:p>
    <w:p w14:paraId="47582013" w14:textId="77777777" w:rsidR="00630D6B" w:rsidRPr="00730D83" w:rsidRDefault="00630D6B" w:rsidP="00630D6B">
      <w:pPr>
        <w:autoSpaceDE w:val="0"/>
        <w:autoSpaceDN w:val="0"/>
        <w:adjustRightInd w:val="0"/>
        <w:jc w:val="both"/>
        <w:rPr>
          <w:rFonts w:ascii="Cambria" w:hAnsi="Cambria" w:cstheme="minorHAnsi"/>
          <w:sz w:val="20"/>
          <w:szCs w:val="20"/>
        </w:rPr>
      </w:pPr>
    </w:p>
    <w:p w14:paraId="1AD35092" w14:textId="77777777" w:rsidR="00630D6B" w:rsidRPr="00730D83" w:rsidRDefault="00630D6B" w:rsidP="00630D6B">
      <w:pPr>
        <w:jc w:val="both"/>
        <w:rPr>
          <w:rFonts w:ascii="Cambria" w:hAnsi="Cambria" w:cstheme="minorHAnsi"/>
          <w:sz w:val="20"/>
          <w:szCs w:val="20"/>
        </w:rPr>
      </w:pPr>
      <w:r w:rsidRPr="00730D83">
        <w:rPr>
          <w:rFonts w:ascii="Cambria" w:hAnsi="Cambria" w:cstheme="minorHAnsi"/>
          <w:sz w:val="20"/>
          <w:szCs w:val="20"/>
        </w:rPr>
        <w:t>Given the changed context, this evaluation is required to strategically assess the results achieved under the Portfolio over 2019-2020, against the current country context, using evidence-based information to analyse relevance, effectiveness, efficiency, impact and sustainability. The evaluation is intended to generate findings, lessons learned and thematic-specific recommendations that are intended to inform strategic re-alignments to the Portfolio that would align and contribute to the Government’s priorities, the remaining duration of Sri Lanka’s Country Programme and UN Sustainable Development Framework until 2022.</w:t>
      </w:r>
    </w:p>
    <w:p w14:paraId="37C6B872" w14:textId="77777777" w:rsidR="00630D6B" w:rsidRPr="00730D83" w:rsidRDefault="00630D6B" w:rsidP="00630D6B">
      <w:pPr>
        <w:autoSpaceDE w:val="0"/>
        <w:autoSpaceDN w:val="0"/>
        <w:adjustRightInd w:val="0"/>
        <w:jc w:val="both"/>
        <w:rPr>
          <w:rFonts w:ascii="Cambria" w:hAnsi="Cambria" w:cstheme="minorHAnsi"/>
          <w:sz w:val="20"/>
          <w:szCs w:val="20"/>
        </w:rPr>
      </w:pPr>
    </w:p>
    <w:p w14:paraId="5D9ECB39" w14:textId="77777777" w:rsidR="00630D6B" w:rsidRPr="00730D83" w:rsidRDefault="00630D6B" w:rsidP="00925CAD">
      <w:pPr>
        <w:pStyle w:val="Heading1"/>
        <w:numPr>
          <w:ilvl w:val="0"/>
          <w:numId w:val="59"/>
        </w:numPr>
        <w:spacing w:before="0"/>
        <w:jc w:val="both"/>
        <w:rPr>
          <w:rFonts w:ascii="Cambria" w:hAnsi="Cambria" w:cstheme="minorHAnsi"/>
          <w:b/>
          <w:bCs/>
          <w:color w:val="auto"/>
          <w:sz w:val="20"/>
          <w:szCs w:val="20"/>
        </w:rPr>
      </w:pPr>
      <w:r w:rsidRPr="00730D83">
        <w:rPr>
          <w:rFonts w:ascii="Cambria" w:hAnsi="Cambria" w:cstheme="minorHAnsi"/>
          <w:b/>
          <w:bCs/>
          <w:color w:val="auto"/>
          <w:sz w:val="20"/>
          <w:szCs w:val="20"/>
        </w:rPr>
        <w:t xml:space="preserve">Approach and Methodology </w:t>
      </w:r>
    </w:p>
    <w:p w14:paraId="2FE7336F" w14:textId="77777777" w:rsidR="00630D6B" w:rsidRPr="00730D83" w:rsidRDefault="00630D6B" w:rsidP="00630D6B">
      <w:pPr>
        <w:autoSpaceDE w:val="0"/>
        <w:autoSpaceDN w:val="0"/>
        <w:adjustRightInd w:val="0"/>
        <w:jc w:val="both"/>
        <w:rPr>
          <w:rFonts w:ascii="Cambria" w:hAnsi="Cambria" w:cstheme="minorHAnsi"/>
          <w:sz w:val="20"/>
          <w:szCs w:val="20"/>
        </w:rPr>
      </w:pPr>
    </w:p>
    <w:p w14:paraId="53ACE81D" w14:textId="77777777" w:rsidR="00630D6B" w:rsidRPr="00730D83" w:rsidRDefault="00630D6B" w:rsidP="00925CAD">
      <w:pPr>
        <w:numPr>
          <w:ilvl w:val="1"/>
          <w:numId w:val="37"/>
        </w:numPr>
        <w:autoSpaceDE w:val="0"/>
        <w:autoSpaceDN w:val="0"/>
        <w:adjustRightInd w:val="0"/>
        <w:spacing w:after="0"/>
        <w:contextualSpacing/>
        <w:jc w:val="both"/>
        <w:outlineLvl w:val="1"/>
        <w:rPr>
          <w:rFonts w:ascii="Cambria" w:hAnsi="Cambria" w:cstheme="minorHAnsi"/>
          <w:b/>
          <w:bCs/>
          <w:sz w:val="20"/>
          <w:szCs w:val="20"/>
        </w:rPr>
      </w:pPr>
      <w:bookmarkStart w:id="60" w:name="_Toc54247664"/>
      <w:r w:rsidRPr="00730D83">
        <w:rPr>
          <w:rFonts w:ascii="Cambria" w:hAnsi="Cambria" w:cstheme="minorHAnsi"/>
          <w:b/>
          <w:bCs/>
          <w:sz w:val="20"/>
          <w:szCs w:val="20"/>
        </w:rPr>
        <w:t>Approach</w:t>
      </w:r>
      <w:bookmarkEnd w:id="60"/>
      <w:r w:rsidRPr="00730D83">
        <w:rPr>
          <w:rFonts w:ascii="Cambria" w:hAnsi="Cambria" w:cstheme="minorHAnsi"/>
          <w:b/>
          <w:bCs/>
          <w:sz w:val="20"/>
          <w:szCs w:val="20"/>
        </w:rPr>
        <w:t xml:space="preserve"> </w:t>
      </w:r>
    </w:p>
    <w:p w14:paraId="2B51829E" w14:textId="77777777" w:rsidR="00630D6B" w:rsidRPr="00730D83" w:rsidRDefault="00630D6B" w:rsidP="00630D6B">
      <w:pPr>
        <w:autoSpaceDE w:val="0"/>
        <w:autoSpaceDN w:val="0"/>
        <w:adjustRightInd w:val="0"/>
        <w:jc w:val="both"/>
        <w:rPr>
          <w:rFonts w:ascii="Cambria" w:hAnsi="Cambria" w:cstheme="minorHAnsi"/>
          <w:sz w:val="20"/>
          <w:szCs w:val="20"/>
        </w:rPr>
      </w:pPr>
      <w:r w:rsidRPr="00730D83">
        <w:rPr>
          <w:rFonts w:ascii="Cambria" w:hAnsi="Cambria" w:cstheme="minorHAnsi"/>
          <w:sz w:val="20"/>
          <w:szCs w:val="20"/>
        </w:rPr>
        <w:t xml:space="preserve">The evaluation approach will seek to identify and clarify the assumptions made at the outset when implementing the Portfolio and how this was translated into implementation. This will include a reflection on the Theory of Change developed and the extent to which it has been consulted and reflected upon as the intervention was implemented. </w:t>
      </w:r>
    </w:p>
    <w:p w14:paraId="710CB851" w14:textId="77777777" w:rsidR="00630D6B" w:rsidRPr="00730D83" w:rsidRDefault="00630D6B" w:rsidP="00630D6B">
      <w:pPr>
        <w:autoSpaceDE w:val="0"/>
        <w:autoSpaceDN w:val="0"/>
        <w:adjustRightInd w:val="0"/>
        <w:jc w:val="both"/>
        <w:rPr>
          <w:rFonts w:ascii="Cambria" w:hAnsi="Cambria" w:cstheme="minorHAnsi"/>
          <w:sz w:val="20"/>
          <w:szCs w:val="20"/>
        </w:rPr>
      </w:pPr>
    </w:p>
    <w:p w14:paraId="1008023A" w14:textId="77777777" w:rsidR="00630D6B" w:rsidRPr="00730D83" w:rsidRDefault="00630D6B" w:rsidP="00630D6B">
      <w:pPr>
        <w:autoSpaceDE w:val="0"/>
        <w:autoSpaceDN w:val="0"/>
        <w:adjustRightInd w:val="0"/>
        <w:jc w:val="both"/>
        <w:rPr>
          <w:rFonts w:ascii="Cambria" w:hAnsi="Cambria" w:cstheme="minorHAnsi"/>
          <w:sz w:val="20"/>
          <w:szCs w:val="20"/>
        </w:rPr>
      </w:pPr>
      <w:r w:rsidRPr="00730D83">
        <w:rPr>
          <w:rFonts w:ascii="Cambria" w:hAnsi="Cambria" w:cstheme="minorHAnsi"/>
          <w:sz w:val="20"/>
          <w:szCs w:val="20"/>
        </w:rPr>
        <w:t xml:space="preserve">The evaluation will rely on working with the UNDP team to ensure participation of stakeholders in the process, in identifying relevant information/data sources and ensure implementation of the evaluation in the current </w:t>
      </w:r>
      <w:r w:rsidRPr="00730D83">
        <w:rPr>
          <w:rFonts w:ascii="Cambria" w:hAnsi="Cambria" w:cstheme="minorHAnsi"/>
          <w:sz w:val="20"/>
          <w:szCs w:val="20"/>
        </w:rPr>
        <w:lastRenderedPageBreak/>
        <w:t xml:space="preserve">constrained context. This will be done while ensuring the independence of the evaluation and maintaining confidentiality of those who participate. </w:t>
      </w:r>
    </w:p>
    <w:p w14:paraId="1E4A15DB" w14:textId="77777777" w:rsidR="00630D6B" w:rsidRPr="00730D83" w:rsidRDefault="00630D6B" w:rsidP="00630D6B">
      <w:pPr>
        <w:autoSpaceDE w:val="0"/>
        <w:autoSpaceDN w:val="0"/>
        <w:adjustRightInd w:val="0"/>
        <w:jc w:val="both"/>
        <w:rPr>
          <w:rFonts w:ascii="Cambria" w:hAnsi="Cambria" w:cstheme="minorHAnsi"/>
          <w:sz w:val="20"/>
          <w:szCs w:val="20"/>
        </w:rPr>
      </w:pPr>
    </w:p>
    <w:p w14:paraId="1B354189" w14:textId="77777777" w:rsidR="00630D6B" w:rsidRPr="00730D83" w:rsidRDefault="00630D6B" w:rsidP="00630D6B">
      <w:pPr>
        <w:autoSpaceDE w:val="0"/>
        <w:autoSpaceDN w:val="0"/>
        <w:adjustRightInd w:val="0"/>
        <w:jc w:val="both"/>
        <w:rPr>
          <w:rFonts w:ascii="Cambria" w:hAnsi="Cambria" w:cstheme="minorHAnsi"/>
          <w:sz w:val="20"/>
          <w:szCs w:val="20"/>
        </w:rPr>
      </w:pPr>
      <w:r w:rsidRPr="00730D83">
        <w:rPr>
          <w:rFonts w:ascii="Cambria" w:hAnsi="Cambria" w:cstheme="minorHAnsi"/>
          <w:sz w:val="20"/>
          <w:szCs w:val="20"/>
        </w:rPr>
        <w:t xml:space="preserve">Respondents will be provided with a description of the purpose of the evaluation and the use of information and opinions provided, including the confidential nature of reflections they provide. Participation in the evaluation is voluntary and participants will be given the time and information to decide whether or not they wish to participate in the evaluation process. </w:t>
      </w:r>
    </w:p>
    <w:p w14:paraId="651FE97A" w14:textId="77777777" w:rsidR="00630D6B" w:rsidRPr="00730D83" w:rsidRDefault="00630D6B" w:rsidP="00630D6B">
      <w:pPr>
        <w:autoSpaceDE w:val="0"/>
        <w:autoSpaceDN w:val="0"/>
        <w:adjustRightInd w:val="0"/>
        <w:jc w:val="both"/>
        <w:rPr>
          <w:rFonts w:ascii="Cambria" w:hAnsi="Cambria" w:cstheme="minorHAnsi"/>
          <w:sz w:val="20"/>
          <w:szCs w:val="20"/>
        </w:rPr>
      </w:pPr>
    </w:p>
    <w:p w14:paraId="144CDCD1" w14:textId="77777777" w:rsidR="00630D6B" w:rsidRPr="00730D83" w:rsidRDefault="00630D6B" w:rsidP="00925CAD">
      <w:pPr>
        <w:numPr>
          <w:ilvl w:val="1"/>
          <w:numId w:val="37"/>
        </w:numPr>
        <w:autoSpaceDE w:val="0"/>
        <w:autoSpaceDN w:val="0"/>
        <w:adjustRightInd w:val="0"/>
        <w:spacing w:after="0"/>
        <w:contextualSpacing/>
        <w:jc w:val="both"/>
        <w:outlineLvl w:val="1"/>
        <w:rPr>
          <w:rFonts w:ascii="Cambria" w:eastAsia="Times New Roman" w:hAnsi="Cambria" w:cs="Calibri"/>
          <w:b/>
          <w:bCs/>
          <w:sz w:val="20"/>
          <w:szCs w:val="20"/>
        </w:rPr>
      </w:pPr>
      <w:r w:rsidRPr="00730D83">
        <w:rPr>
          <w:rFonts w:ascii="Cambria" w:hAnsi="Cambria" w:cstheme="minorHAnsi"/>
          <w:b/>
          <w:bCs/>
          <w:sz w:val="20"/>
          <w:szCs w:val="20"/>
        </w:rPr>
        <w:t xml:space="preserve">Methodology </w:t>
      </w:r>
    </w:p>
    <w:p w14:paraId="63BFFC30" w14:textId="77777777" w:rsidR="00630D6B" w:rsidRPr="00730D83" w:rsidRDefault="00630D6B" w:rsidP="00630D6B">
      <w:pPr>
        <w:jc w:val="both"/>
        <w:rPr>
          <w:rFonts w:ascii="Cambria" w:eastAsia="Times New Roman" w:hAnsi="Cambria" w:cs="Calibri"/>
          <w:sz w:val="20"/>
          <w:szCs w:val="20"/>
          <w:lang w:val="en-GB"/>
        </w:rPr>
      </w:pPr>
      <w:r w:rsidRPr="00730D83">
        <w:rPr>
          <w:rFonts w:ascii="Cambria" w:eastAsia="Times New Roman" w:hAnsi="Cambria" w:cs="Calibri"/>
          <w:sz w:val="20"/>
          <w:szCs w:val="20"/>
          <w:lang w:val="en-GB"/>
        </w:rPr>
        <w:t xml:space="preserve">The mid-term evaluation and strategic review will follow a mixed-methods evaluation approach. This will include a review of secondary resources as part of the desk review, which will be initiated during the inception phase, and continued during the field phase. </w:t>
      </w:r>
    </w:p>
    <w:p w14:paraId="573ABB77" w14:textId="77777777" w:rsidR="00630D6B" w:rsidRPr="00730D83" w:rsidRDefault="00630D6B" w:rsidP="00630D6B">
      <w:pPr>
        <w:jc w:val="both"/>
        <w:rPr>
          <w:rFonts w:ascii="Cambria" w:eastAsia="Times New Roman" w:hAnsi="Cambria" w:cs="Calibri"/>
          <w:sz w:val="20"/>
          <w:szCs w:val="20"/>
          <w:lang w:val="en-GB"/>
        </w:rPr>
      </w:pPr>
    </w:p>
    <w:p w14:paraId="0336B201" w14:textId="77777777" w:rsidR="00630D6B" w:rsidRPr="00730D83" w:rsidRDefault="00630D6B" w:rsidP="00630D6B">
      <w:pPr>
        <w:jc w:val="both"/>
        <w:rPr>
          <w:rFonts w:ascii="Cambria" w:eastAsia="Times New Roman" w:hAnsi="Cambria" w:cs="Calibri"/>
          <w:sz w:val="20"/>
          <w:szCs w:val="20"/>
          <w:lang w:val="en-GB"/>
        </w:rPr>
      </w:pPr>
      <w:r w:rsidRPr="00730D83">
        <w:rPr>
          <w:rFonts w:ascii="Cambria" w:eastAsia="Times New Roman" w:hAnsi="Cambria" w:cs="Calibri"/>
          <w:sz w:val="20"/>
          <w:szCs w:val="20"/>
          <w:lang w:val="en-GB"/>
        </w:rPr>
        <w:t>Primary data will also be collected during the period 5</w:t>
      </w:r>
      <w:r w:rsidRPr="00730D83">
        <w:rPr>
          <w:rFonts w:ascii="Cambria" w:eastAsia="Times New Roman" w:hAnsi="Cambria" w:cs="Calibri"/>
          <w:sz w:val="20"/>
          <w:szCs w:val="20"/>
          <w:vertAlign w:val="superscript"/>
          <w:lang w:val="en-GB"/>
        </w:rPr>
        <w:t>th</w:t>
      </w:r>
      <w:r w:rsidRPr="00730D83">
        <w:rPr>
          <w:rFonts w:ascii="Cambria" w:eastAsia="Times New Roman" w:hAnsi="Cambria" w:cs="Calibri"/>
          <w:sz w:val="20"/>
          <w:szCs w:val="20"/>
          <w:lang w:val="en-GB"/>
        </w:rPr>
        <w:t xml:space="preserve"> October to 10</w:t>
      </w:r>
      <w:r w:rsidRPr="00730D83">
        <w:rPr>
          <w:rFonts w:ascii="Cambria" w:eastAsia="Times New Roman" w:hAnsi="Cambria" w:cs="Calibri"/>
          <w:sz w:val="20"/>
          <w:szCs w:val="20"/>
          <w:vertAlign w:val="superscript"/>
          <w:lang w:val="en-GB"/>
        </w:rPr>
        <w:t>th</w:t>
      </w:r>
      <w:r w:rsidRPr="00730D83">
        <w:rPr>
          <w:rFonts w:ascii="Cambria" w:eastAsia="Times New Roman" w:hAnsi="Cambria" w:cs="Calibri"/>
          <w:sz w:val="20"/>
          <w:szCs w:val="20"/>
          <w:lang w:val="en-GB"/>
        </w:rPr>
        <w:t xml:space="preserve"> November involving a set of key person interviews (KPIs) using semi-structured question guide. Where relevant and available, secondary data drawn from the periodic reporting will be further explored during the interviews to compare and verify information provided by the KPIs on the broad range of activities within each output area. </w:t>
      </w:r>
    </w:p>
    <w:p w14:paraId="645787CF" w14:textId="77777777" w:rsidR="00630D6B" w:rsidRPr="00730D83" w:rsidRDefault="00630D6B" w:rsidP="00630D6B">
      <w:pPr>
        <w:jc w:val="both"/>
        <w:rPr>
          <w:rFonts w:ascii="Cambria" w:eastAsia="Times New Roman" w:hAnsi="Cambria" w:cs="Calibri"/>
          <w:sz w:val="20"/>
          <w:szCs w:val="20"/>
          <w:lang w:val="en-GB"/>
        </w:rPr>
      </w:pPr>
    </w:p>
    <w:p w14:paraId="0D01F9EE" w14:textId="77777777" w:rsidR="00630D6B" w:rsidRPr="00730D83" w:rsidRDefault="00630D6B" w:rsidP="00630D6B">
      <w:pPr>
        <w:jc w:val="both"/>
        <w:rPr>
          <w:rFonts w:ascii="Cambria" w:eastAsia="Times New Roman" w:hAnsi="Cambria" w:cs="Calibri"/>
          <w:sz w:val="20"/>
          <w:szCs w:val="20"/>
          <w:lang w:val="en-GB"/>
        </w:rPr>
      </w:pPr>
      <w:r w:rsidRPr="00730D83">
        <w:rPr>
          <w:rFonts w:ascii="Cambria" w:eastAsia="Times New Roman" w:hAnsi="Cambria" w:cs="Calibri"/>
          <w:sz w:val="20"/>
          <w:szCs w:val="20"/>
          <w:lang w:val="en-GB"/>
        </w:rPr>
        <w:t>All collected data, primary and secondary, will be used to as a basis for formulating the findings and drawing conclusions. Recommendations and lessons learned will be derived from these analyses. Recommendations will be formulated to be applicable during the remaining project period.</w:t>
      </w:r>
    </w:p>
    <w:p w14:paraId="1FDDCEE5" w14:textId="77777777" w:rsidR="00630D6B" w:rsidRPr="00730D83" w:rsidRDefault="00630D6B" w:rsidP="00630D6B">
      <w:pPr>
        <w:jc w:val="both"/>
        <w:rPr>
          <w:rFonts w:ascii="Cambria" w:eastAsia="Times New Roman" w:hAnsi="Cambria" w:cs="Calibri"/>
          <w:sz w:val="20"/>
          <w:szCs w:val="20"/>
          <w:lang w:val="en-GB"/>
        </w:rPr>
      </w:pPr>
    </w:p>
    <w:p w14:paraId="1B56D9D8" w14:textId="77777777" w:rsidR="00630D6B" w:rsidRPr="00730D83" w:rsidRDefault="00630D6B" w:rsidP="00630D6B">
      <w:pPr>
        <w:jc w:val="both"/>
        <w:rPr>
          <w:rFonts w:ascii="Cambria" w:eastAsia="Times New Roman" w:hAnsi="Cambria" w:cs="Calibri"/>
          <w:sz w:val="20"/>
          <w:szCs w:val="20"/>
          <w:lang w:val="en-GB"/>
        </w:rPr>
      </w:pPr>
      <w:r w:rsidRPr="00730D83">
        <w:rPr>
          <w:rFonts w:ascii="Cambria" w:eastAsia="Times New Roman" w:hAnsi="Cambria" w:cs="Calibri"/>
          <w:sz w:val="20"/>
          <w:szCs w:val="20"/>
          <w:lang w:val="en-GB"/>
        </w:rPr>
        <w:t xml:space="preserve">Given the scope of the evaluation, primary data collection will not include a large extent nor employ a representative effort to undertake data collection from beneficiaries. Instead, attempts will be made to interview beneficiaries of selected partnerships and related activities where possible under the current pandemic context. Further, primary data collection at an extensive beneficiary level is beyond the scope of this exercise. An exploration of results and other related aspects focusing on beneficiaries will be integrated into interviews with other stakeholder in trying to get a sense of how they may have benefitted etc. </w:t>
      </w:r>
    </w:p>
    <w:p w14:paraId="6DF00537" w14:textId="77777777" w:rsidR="00630D6B" w:rsidRPr="00730D83" w:rsidRDefault="00630D6B" w:rsidP="00630D6B">
      <w:pPr>
        <w:jc w:val="both"/>
        <w:rPr>
          <w:rFonts w:ascii="Cambria" w:hAnsi="Cambria" w:cstheme="minorHAnsi"/>
          <w:sz w:val="20"/>
          <w:szCs w:val="20"/>
          <w:lang w:val="en-GB"/>
        </w:rPr>
      </w:pPr>
    </w:p>
    <w:p w14:paraId="2C04EF57" w14:textId="77777777" w:rsidR="00630D6B" w:rsidRPr="00730D83" w:rsidRDefault="00630D6B" w:rsidP="00630D6B">
      <w:pPr>
        <w:jc w:val="both"/>
        <w:rPr>
          <w:rFonts w:ascii="Cambria" w:hAnsi="Cambria" w:cstheme="minorHAnsi"/>
          <w:sz w:val="20"/>
          <w:szCs w:val="20"/>
          <w:lang w:val="en-GB"/>
        </w:rPr>
      </w:pPr>
    </w:p>
    <w:p w14:paraId="545EA6DC" w14:textId="77777777" w:rsidR="00630D6B" w:rsidRPr="00730D83" w:rsidRDefault="00630D6B" w:rsidP="00630D6B">
      <w:pPr>
        <w:jc w:val="both"/>
        <w:rPr>
          <w:rFonts w:ascii="Cambria" w:hAnsi="Cambria" w:cstheme="minorHAnsi"/>
          <w:b/>
          <w:bCs/>
          <w:sz w:val="20"/>
          <w:szCs w:val="20"/>
        </w:rPr>
      </w:pPr>
      <w:r w:rsidRPr="00730D83">
        <w:rPr>
          <w:rFonts w:ascii="Cambria" w:hAnsi="Cambria" w:cstheme="minorHAnsi"/>
          <w:b/>
          <w:bCs/>
          <w:sz w:val="20"/>
          <w:szCs w:val="20"/>
        </w:rPr>
        <w:t>Data collection tools:</w:t>
      </w:r>
    </w:p>
    <w:p w14:paraId="4E341FFC" w14:textId="77777777" w:rsidR="00630D6B" w:rsidRPr="00730D83" w:rsidRDefault="00630D6B" w:rsidP="00630D6B">
      <w:pPr>
        <w:jc w:val="both"/>
        <w:rPr>
          <w:rFonts w:ascii="Cambria" w:hAnsi="Cambria" w:cstheme="minorHAnsi"/>
          <w:sz w:val="20"/>
          <w:szCs w:val="20"/>
          <w:lang w:val="en-GB"/>
        </w:rPr>
      </w:pPr>
      <w:r w:rsidRPr="00730D83">
        <w:rPr>
          <w:rFonts w:ascii="Cambria" w:hAnsi="Cambria" w:cstheme="minorHAnsi"/>
          <w:sz w:val="20"/>
          <w:szCs w:val="20"/>
          <w:lang w:val="en-GB"/>
        </w:rPr>
        <w:t>The following will be used to gather information for the evaluation:</w:t>
      </w:r>
    </w:p>
    <w:p w14:paraId="40BBED20" w14:textId="77777777" w:rsidR="00630D6B" w:rsidRPr="00730D83" w:rsidRDefault="00630D6B" w:rsidP="00630D6B">
      <w:pPr>
        <w:numPr>
          <w:ilvl w:val="0"/>
          <w:numId w:val="16"/>
        </w:numPr>
        <w:spacing w:after="0"/>
        <w:jc w:val="both"/>
        <w:rPr>
          <w:rFonts w:ascii="Cambria" w:hAnsi="Cambria" w:cstheme="minorHAnsi"/>
          <w:sz w:val="20"/>
          <w:szCs w:val="20"/>
        </w:rPr>
      </w:pPr>
      <w:r w:rsidRPr="00730D83">
        <w:rPr>
          <w:rFonts w:ascii="Cambria" w:hAnsi="Cambria" w:cstheme="minorHAnsi"/>
          <w:b/>
          <w:sz w:val="20"/>
          <w:szCs w:val="20"/>
        </w:rPr>
        <w:t>Desk review</w:t>
      </w:r>
      <w:r w:rsidRPr="00730D83">
        <w:rPr>
          <w:rFonts w:ascii="Cambria" w:hAnsi="Cambria" w:cstheme="minorHAnsi"/>
          <w:sz w:val="20"/>
          <w:szCs w:val="20"/>
        </w:rPr>
        <w:t xml:space="preserve">: this will involve studying all documentation received from the UNDP team and compiling other relevant documentation from public sources such as government, NGOs, INGOs, academic institutions, etc. (see list of documents reviewed in Annex Two). These will be used during the inception phase to develop a framework for the evaluation and the key question areas within each of the assessment criteria and the strategic direction. The review will provide insights into the implementation of activities and achievement of outputs in addition to helping an identification of gaps in information to be explored in the data collection phase. Information from the review will be triangulated during the key person interviews. </w:t>
      </w:r>
    </w:p>
    <w:p w14:paraId="0484B1A8" w14:textId="77777777" w:rsidR="00630D6B" w:rsidRPr="00730D83" w:rsidRDefault="00630D6B" w:rsidP="00630D6B">
      <w:pPr>
        <w:numPr>
          <w:ilvl w:val="0"/>
          <w:numId w:val="16"/>
        </w:numPr>
        <w:spacing w:after="0"/>
        <w:jc w:val="both"/>
        <w:rPr>
          <w:rFonts w:ascii="Cambria" w:hAnsi="Cambria" w:cstheme="minorHAnsi"/>
          <w:sz w:val="20"/>
          <w:szCs w:val="20"/>
        </w:rPr>
      </w:pPr>
      <w:r w:rsidRPr="00730D83">
        <w:rPr>
          <w:rFonts w:ascii="Cambria" w:hAnsi="Cambria" w:cstheme="minorHAnsi"/>
          <w:b/>
          <w:sz w:val="20"/>
          <w:szCs w:val="20"/>
        </w:rPr>
        <w:t xml:space="preserve">Semi-structured key person interviews: </w:t>
      </w:r>
      <w:r w:rsidRPr="00730D83">
        <w:rPr>
          <w:rFonts w:ascii="Cambria" w:hAnsi="Cambria" w:cstheme="minorHAnsi"/>
          <w:sz w:val="20"/>
          <w:szCs w:val="20"/>
        </w:rPr>
        <w:t xml:space="preserve">The initial document review will provide key information, which will be used to formulate questions for interviews and information gathering. </w:t>
      </w:r>
      <w:r w:rsidRPr="00730D83">
        <w:rPr>
          <w:rFonts w:ascii="Cambria" w:hAnsi="Cambria" w:cstheme="minorHAnsi"/>
          <w:bCs/>
          <w:sz w:val="20"/>
          <w:szCs w:val="20"/>
        </w:rPr>
        <w:t xml:space="preserve">A total of </w:t>
      </w:r>
      <w:r w:rsidRPr="00730D83">
        <w:rPr>
          <w:rFonts w:ascii="Cambria" w:hAnsi="Cambria" w:cstheme="minorHAnsi"/>
          <w:b/>
          <w:sz w:val="20"/>
          <w:szCs w:val="20"/>
        </w:rPr>
        <w:t>63 key person interviews</w:t>
      </w:r>
      <w:r w:rsidRPr="00730D83">
        <w:rPr>
          <w:rFonts w:ascii="Cambria" w:hAnsi="Cambria" w:cstheme="minorHAnsi"/>
          <w:bCs/>
          <w:sz w:val="20"/>
          <w:szCs w:val="20"/>
        </w:rPr>
        <w:t xml:space="preserve"> will be held with the broad range of stakeholders (see table provided below). It will </w:t>
      </w:r>
      <w:r w:rsidRPr="00730D83">
        <w:rPr>
          <w:rFonts w:ascii="Cambria" w:hAnsi="Cambria" w:cstheme="minorHAnsi"/>
          <w:sz w:val="20"/>
          <w:szCs w:val="20"/>
        </w:rPr>
        <w:t xml:space="preserve">include stakeholders who are currently involved in managing and implementing activities and others who work within the broad institutional landscape that the intervention is situated within. A question guideline drawing from the DAC framework will help establish progress towards activities taking account of each </w:t>
      </w:r>
      <w:r w:rsidRPr="00730D83">
        <w:rPr>
          <w:rFonts w:ascii="Cambria" w:hAnsi="Cambria" w:cstheme="minorHAnsi"/>
          <w:sz w:val="20"/>
          <w:szCs w:val="20"/>
        </w:rPr>
        <w:lastRenderedPageBreak/>
        <w:t xml:space="preserve">stakeholder’s particular area of work, the level of knowledge or experience of the intervention, and other specificities. Interviewees will also be asked to reflect on learning, contextual challenges and opportunities, and recommendations for improvements as the initiative continues. See table below for a breakdown of the interviews that will be conducted within each stakeholder category. </w:t>
      </w:r>
    </w:p>
    <w:p w14:paraId="71A02304" w14:textId="77777777" w:rsidR="00630D6B" w:rsidRPr="00730D83" w:rsidRDefault="00630D6B" w:rsidP="00630D6B">
      <w:pPr>
        <w:spacing w:after="0"/>
        <w:rPr>
          <w:rFonts w:ascii="Cambria" w:hAnsi="Cambria" w:cstheme="minorHAnsi"/>
        </w:rPr>
      </w:pPr>
    </w:p>
    <w:p w14:paraId="276C3802" w14:textId="77777777" w:rsidR="00630D6B" w:rsidRPr="00730D83" w:rsidRDefault="00630D6B" w:rsidP="00630D6B">
      <w:pPr>
        <w:spacing w:after="0"/>
        <w:rPr>
          <w:rFonts w:ascii="Cambria" w:hAnsi="Cambria" w:cstheme="minorHAnsi"/>
          <w:b/>
          <w:bCs/>
        </w:rPr>
      </w:pPr>
      <w:r w:rsidRPr="00730D83">
        <w:rPr>
          <w:rFonts w:ascii="Cambria" w:hAnsi="Cambria" w:cstheme="minorHAnsi"/>
          <w:b/>
          <w:bCs/>
        </w:rPr>
        <w:t xml:space="preserve">Table: Summary of key person interviews to be conducted within stakeholder category </w:t>
      </w:r>
    </w:p>
    <w:p w14:paraId="7DAD5966" w14:textId="77777777" w:rsidR="00630D6B" w:rsidRPr="00730D83" w:rsidRDefault="00630D6B" w:rsidP="00630D6B">
      <w:pPr>
        <w:spacing w:after="0"/>
        <w:rPr>
          <w:rFonts w:ascii="Cambria" w:hAnsi="Cambria" w:cstheme="minorHAnsi"/>
        </w:rPr>
      </w:pPr>
    </w:p>
    <w:tbl>
      <w:tblPr>
        <w:tblW w:w="0" w:type="auto"/>
        <w:tblLook w:val="04A0" w:firstRow="1" w:lastRow="0" w:firstColumn="1" w:lastColumn="0" w:noHBand="0" w:noVBand="1"/>
      </w:tblPr>
      <w:tblGrid>
        <w:gridCol w:w="3003"/>
        <w:gridCol w:w="2095"/>
        <w:gridCol w:w="3912"/>
      </w:tblGrid>
      <w:tr w:rsidR="00630D6B" w:rsidRPr="00730D83" w14:paraId="407366B5" w14:textId="77777777" w:rsidTr="00F53B9B">
        <w:tc>
          <w:tcPr>
            <w:tcW w:w="3003" w:type="dxa"/>
          </w:tcPr>
          <w:p w14:paraId="7E4B927D" w14:textId="77777777" w:rsidR="00630D6B" w:rsidRPr="00730D83" w:rsidRDefault="00630D6B" w:rsidP="00F53B9B">
            <w:pPr>
              <w:spacing w:after="0"/>
              <w:rPr>
                <w:rFonts w:ascii="Cambria" w:hAnsi="Cambria" w:cstheme="minorHAnsi"/>
                <w:b/>
                <w:bCs/>
              </w:rPr>
            </w:pPr>
            <w:r w:rsidRPr="00730D83">
              <w:rPr>
                <w:rFonts w:ascii="Cambria" w:hAnsi="Cambria" w:cstheme="minorHAnsi"/>
                <w:b/>
                <w:bCs/>
              </w:rPr>
              <w:t>Respondent category</w:t>
            </w:r>
          </w:p>
        </w:tc>
        <w:tc>
          <w:tcPr>
            <w:tcW w:w="2095" w:type="dxa"/>
          </w:tcPr>
          <w:p w14:paraId="343FD01A" w14:textId="77777777" w:rsidR="00630D6B" w:rsidRPr="00730D83" w:rsidRDefault="00630D6B" w:rsidP="00F53B9B">
            <w:pPr>
              <w:spacing w:after="0"/>
              <w:rPr>
                <w:rFonts w:ascii="Cambria" w:hAnsi="Cambria" w:cstheme="minorHAnsi"/>
                <w:b/>
                <w:bCs/>
              </w:rPr>
            </w:pPr>
            <w:r w:rsidRPr="00730D83">
              <w:rPr>
                <w:rFonts w:ascii="Cambria" w:hAnsi="Cambria" w:cstheme="minorHAnsi"/>
                <w:b/>
                <w:bCs/>
              </w:rPr>
              <w:t>Number of interviews to be conducted</w:t>
            </w:r>
          </w:p>
        </w:tc>
        <w:tc>
          <w:tcPr>
            <w:tcW w:w="3912" w:type="dxa"/>
          </w:tcPr>
          <w:p w14:paraId="0F1F57AE" w14:textId="77777777" w:rsidR="00630D6B" w:rsidRPr="00730D83" w:rsidRDefault="00630D6B" w:rsidP="00F53B9B">
            <w:pPr>
              <w:spacing w:after="0"/>
              <w:rPr>
                <w:rFonts w:ascii="Cambria" w:hAnsi="Cambria" w:cstheme="minorHAnsi"/>
                <w:b/>
                <w:bCs/>
              </w:rPr>
            </w:pPr>
            <w:r w:rsidRPr="00730D83">
              <w:rPr>
                <w:rFonts w:ascii="Cambria" w:hAnsi="Cambria" w:cstheme="minorHAnsi"/>
                <w:b/>
                <w:bCs/>
              </w:rPr>
              <w:t>Rationale for selection/interview method (face-to-face or online)</w:t>
            </w:r>
          </w:p>
        </w:tc>
      </w:tr>
      <w:tr w:rsidR="00630D6B" w:rsidRPr="00730D83" w14:paraId="74ED3D1B" w14:textId="77777777" w:rsidTr="00F53B9B">
        <w:tc>
          <w:tcPr>
            <w:tcW w:w="3003" w:type="dxa"/>
          </w:tcPr>
          <w:p w14:paraId="263805F2" w14:textId="77777777" w:rsidR="00630D6B" w:rsidRPr="00730D83" w:rsidRDefault="00630D6B" w:rsidP="00F53B9B">
            <w:pPr>
              <w:spacing w:after="0"/>
              <w:rPr>
                <w:rFonts w:ascii="Cambria" w:hAnsi="Cambria" w:cstheme="minorHAnsi"/>
              </w:rPr>
            </w:pPr>
            <w:r w:rsidRPr="00730D83">
              <w:rPr>
                <w:rFonts w:ascii="Cambria" w:hAnsi="Cambria" w:cstheme="minorHAnsi"/>
              </w:rPr>
              <w:t>Government/Independent Commissions</w:t>
            </w:r>
          </w:p>
        </w:tc>
        <w:tc>
          <w:tcPr>
            <w:tcW w:w="2095" w:type="dxa"/>
          </w:tcPr>
          <w:p w14:paraId="4E48E6BC" w14:textId="77777777" w:rsidR="00630D6B" w:rsidRPr="00730D83" w:rsidRDefault="00630D6B" w:rsidP="00F53B9B">
            <w:pPr>
              <w:spacing w:after="0"/>
              <w:rPr>
                <w:rFonts w:ascii="Cambria" w:hAnsi="Cambria" w:cstheme="minorHAnsi"/>
              </w:rPr>
            </w:pPr>
            <w:r w:rsidRPr="00730D83">
              <w:rPr>
                <w:rFonts w:ascii="Cambria" w:hAnsi="Cambria" w:cstheme="minorHAnsi"/>
              </w:rPr>
              <w:t>25</w:t>
            </w:r>
          </w:p>
        </w:tc>
        <w:tc>
          <w:tcPr>
            <w:tcW w:w="3912" w:type="dxa"/>
          </w:tcPr>
          <w:p w14:paraId="5DC8A19F" w14:textId="77777777" w:rsidR="00630D6B" w:rsidRPr="00730D83" w:rsidRDefault="00630D6B" w:rsidP="00F53B9B">
            <w:pPr>
              <w:spacing w:after="0"/>
              <w:rPr>
                <w:rFonts w:ascii="Cambria" w:hAnsi="Cambria" w:cstheme="minorHAnsi"/>
              </w:rPr>
            </w:pPr>
            <w:r w:rsidRPr="00730D83">
              <w:rPr>
                <w:rFonts w:ascii="Cambria" w:hAnsi="Cambria" w:cstheme="minorHAnsi"/>
              </w:rPr>
              <w:t xml:space="preserve">As an ally and key partner to UNDP to implement the portfolio. Has a commitment to achieving SDG 16. </w:t>
            </w:r>
          </w:p>
        </w:tc>
      </w:tr>
      <w:tr w:rsidR="00630D6B" w:rsidRPr="00730D83" w14:paraId="65CE4274" w14:textId="77777777" w:rsidTr="00F53B9B">
        <w:tc>
          <w:tcPr>
            <w:tcW w:w="3003" w:type="dxa"/>
          </w:tcPr>
          <w:p w14:paraId="4C4E27AC" w14:textId="77777777" w:rsidR="00630D6B" w:rsidRPr="00730D83" w:rsidRDefault="00630D6B" w:rsidP="00F53B9B">
            <w:pPr>
              <w:spacing w:after="0"/>
              <w:rPr>
                <w:rFonts w:ascii="Cambria" w:hAnsi="Cambria" w:cstheme="minorHAnsi"/>
              </w:rPr>
            </w:pPr>
            <w:r w:rsidRPr="00730D83">
              <w:rPr>
                <w:rFonts w:ascii="Cambria" w:hAnsi="Cambria" w:cstheme="minorHAnsi"/>
              </w:rPr>
              <w:t xml:space="preserve">NGOs/civil society </w:t>
            </w:r>
          </w:p>
        </w:tc>
        <w:tc>
          <w:tcPr>
            <w:tcW w:w="2095" w:type="dxa"/>
          </w:tcPr>
          <w:p w14:paraId="6D54DCDB" w14:textId="77777777" w:rsidR="00630D6B" w:rsidRPr="00730D83" w:rsidRDefault="00630D6B" w:rsidP="00F53B9B">
            <w:pPr>
              <w:spacing w:after="0"/>
              <w:rPr>
                <w:rFonts w:ascii="Cambria" w:hAnsi="Cambria" w:cstheme="minorHAnsi"/>
              </w:rPr>
            </w:pPr>
            <w:r w:rsidRPr="00730D83">
              <w:rPr>
                <w:rFonts w:ascii="Cambria" w:hAnsi="Cambria" w:cstheme="minorHAnsi"/>
              </w:rPr>
              <w:t>8</w:t>
            </w:r>
          </w:p>
        </w:tc>
        <w:tc>
          <w:tcPr>
            <w:tcW w:w="3912" w:type="dxa"/>
          </w:tcPr>
          <w:p w14:paraId="6BA9A28F" w14:textId="77777777" w:rsidR="00630D6B" w:rsidRPr="00730D83" w:rsidRDefault="00630D6B" w:rsidP="00F53B9B">
            <w:pPr>
              <w:spacing w:after="0"/>
              <w:rPr>
                <w:rFonts w:ascii="Cambria" w:hAnsi="Cambria" w:cstheme="minorHAnsi"/>
              </w:rPr>
            </w:pPr>
            <w:r w:rsidRPr="00730D83">
              <w:rPr>
                <w:rFonts w:ascii="Cambria" w:hAnsi="Cambria" w:cstheme="minorHAnsi"/>
              </w:rPr>
              <w:t xml:space="preserve">Partnerships that would ensure local level implementation, focus on targeting a broad range of issues within each pillar and linkages to various target groups, including vulnerable groups.  </w:t>
            </w:r>
          </w:p>
        </w:tc>
      </w:tr>
      <w:tr w:rsidR="00630D6B" w:rsidRPr="00730D83" w14:paraId="08B147C6" w14:textId="77777777" w:rsidTr="00F53B9B">
        <w:tc>
          <w:tcPr>
            <w:tcW w:w="3003" w:type="dxa"/>
          </w:tcPr>
          <w:p w14:paraId="34D85BBF" w14:textId="77777777" w:rsidR="00630D6B" w:rsidRPr="00730D83" w:rsidRDefault="00630D6B" w:rsidP="00F53B9B">
            <w:pPr>
              <w:spacing w:after="0"/>
              <w:rPr>
                <w:rFonts w:ascii="Cambria" w:hAnsi="Cambria" w:cstheme="minorHAnsi"/>
              </w:rPr>
            </w:pPr>
            <w:r w:rsidRPr="00730D83">
              <w:rPr>
                <w:rFonts w:ascii="Cambria" w:hAnsi="Cambria" w:cstheme="minorHAnsi"/>
              </w:rPr>
              <w:t>UNDP/UNCO team</w:t>
            </w:r>
          </w:p>
        </w:tc>
        <w:tc>
          <w:tcPr>
            <w:tcW w:w="2095" w:type="dxa"/>
          </w:tcPr>
          <w:p w14:paraId="6B446EAC" w14:textId="77777777" w:rsidR="00630D6B" w:rsidRPr="00730D83" w:rsidRDefault="00630D6B" w:rsidP="00F53B9B">
            <w:pPr>
              <w:spacing w:after="0"/>
              <w:rPr>
                <w:rFonts w:ascii="Cambria" w:hAnsi="Cambria" w:cstheme="minorHAnsi"/>
              </w:rPr>
            </w:pPr>
            <w:r w:rsidRPr="00730D83">
              <w:rPr>
                <w:rFonts w:ascii="Cambria" w:hAnsi="Cambria" w:cstheme="minorHAnsi"/>
              </w:rPr>
              <w:t>14</w:t>
            </w:r>
          </w:p>
        </w:tc>
        <w:tc>
          <w:tcPr>
            <w:tcW w:w="3912" w:type="dxa"/>
          </w:tcPr>
          <w:p w14:paraId="3B56B6D8" w14:textId="77777777" w:rsidR="00630D6B" w:rsidRPr="00730D83" w:rsidRDefault="00630D6B" w:rsidP="00F53B9B">
            <w:pPr>
              <w:spacing w:after="0"/>
              <w:rPr>
                <w:rFonts w:ascii="Cambria" w:hAnsi="Cambria" w:cstheme="minorHAnsi"/>
              </w:rPr>
            </w:pPr>
            <w:r w:rsidRPr="00730D83">
              <w:rPr>
                <w:rFonts w:ascii="Cambria" w:hAnsi="Cambria" w:cstheme="minorHAnsi"/>
              </w:rPr>
              <w:t xml:space="preserve">Informing and implementing the strategic direction of the portfolio, managing related activities, monitoring progress and reporting. </w:t>
            </w:r>
          </w:p>
        </w:tc>
      </w:tr>
      <w:tr w:rsidR="00630D6B" w:rsidRPr="00730D83" w14:paraId="665258C2" w14:textId="77777777" w:rsidTr="00F53B9B">
        <w:tc>
          <w:tcPr>
            <w:tcW w:w="3003" w:type="dxa"/>
          </w:tcPr>
          <w:p w14:paraId="141B3F77" w14:textId="77777777" w:rsidR="00630D6B" w:rsidRPr="00730D83" w:rsidRDefault="00630D6B" w:rsidP="00F53B9B">
            <w:pPr>
              <w:spacing w:after="0"/>
              <w:rPr>
                <w:rFonts w:ascii="Cambria" w:hAnsi="Cambria" w:cstheme="minorHAnsi"/>
              </w:rPr>
            </w:pPr>
            <w:r w:rsidRPr="00730D83">
              <w:rPr>
                <w:rFonts w:ascii="Cambria" w:hAnsi="Cambria" w:cstheme="minorHAnsi"/>
              </w:rPr>
              <w:t>Beneficiaries (community level)</w:t>
            </w:r>
          </w:p>
        </w:tc>
        <w:tc>
          <w:tcPr>
            <w:tcW w:w="2095" w:type="dxa"/>
          </w:tcPr>
          <w:p w14:paraId="745E651C" w14:textId="77777777" w:rsidR="00630D6B" w:rsidRPr="00730D83" w:rsidRDefault="00630D6B" w:rsidP="00F53B9B">
            <w:pPr>
              <w:spacing w:after="0"/>
              <w:rPr>
                <w:rFonts w:ascii="Cambria" w:hAnsi="Cambria" w:cstheme="minorHAnsi"/>
              </w:rPr>
            </w:pPr>
            <w:r w:rsidRPr="00730D83">
              <w:rPr>
                <w:rFonts w:ascii="Cambria" w:hAnsi="Cambria" w:cstheme="minorHAnsi"/>
              </w:rPr>
              <w:t>0</w:t>
            </w:r>
          </w:p>
        </w:tc>
        <w:tc>
          <w:tcPr>
            <w:tcW w:w="3912" w:type="dxa"/>
          </w:tcPr>
          <w:p w14:paraId="6459DBCE" w14:textId="77777777" w:rsidR="00630D6B" w:rsidRPr="00730D83" w:rsidRDefault="00630D6B" w:rsidP="00F53B9B">
            <w:pPr>
              <w:spacing w:after="0"/>
              <w:rPr>
                <w:rFonts w:ascii="Cambria" w:hAnsi="Cambria" w:cstheme="minorHAnsi"/>
              </w:rPr>
            </w:pPr>
            <w:r w:rsidRPr="00730D83">
              <w:rPr>
                <w:rFonts w:ascii="Cambria" w:hAnsi="Cambria" w:cstheme="minorHAnsi"/>
              </w:rPr>
              <w:t xml:space="preserve">Recipients of services, intended to be improved through the portfolio and related activities. </w:t>
            </w:r>
          </w:p>
        </w:tc>
      </w:tr>
      <w:tr w:rsidR="00630D6B" w:rsidRPr="00730D83" w14:paraId="2FB74C74" w14:textId="77777777" w:rsidTr="00F53B9B">
        <w:tc>
          <w:tcPr>
            <w:tcW w:w="3003" w:type="dxa"/>
          </w:tcPr>
          <w:p w14:paraId="0023EC0A" w14:textId="77777777" w:rsidR="00630D6B" w:rsidRPr="00730D83" w:rsidRDefault="00630D6B" w:rsidP="00F53B9B">
            <w:pPr>
              <w:spacing w:after="0"/>
              <w:rPr>
                <w:rFonts w:ascii="Cambria" w:hAnsi="Cambria" w:cstheme="minorHAnsi"/>
              </w:rPr>
            </w:pPr>
            <w:r w:rsidRPr="00730D83">
              <w:rPr>
                <w:rFonts w:ascii="Cambria" w:hAnsi="Cambria" w:cstheme="minorHAnsi"/>
              </w:rPr>
              <w:t xml:space="preserve">Independent </w:t>
            </w:r>
          </w:p>
        </w:tc>
        <w:tc>
          <w:tcPr>
            <w:tcW w:w="2095" w:type="dxa"/>
          </w:tcPr>
          <w:p w14:paraId="7D22DBC6" w14:textId="77777777" w:rsidR="00630D6B" w:rsidRPr="00730D83" w:rsidRDefault="00630D6B" w:rsidP="00F53B9B">
            <w:pPr>
              <w:spacing w:after="0"/>
              <w:rPr>
                <w:rFonts w:ascii="Cambria" w:hAnsi="Cambria" w:cstheme="minorHAnsi"/>
              </w:rPr>
            </w:pPr>
            <w:r w:rsidRPr="00730D83">
              <w:rPr>
                <w:rFonts w:ascii="Cambria" w:hAnsi="Cambria" w:cstheme="minorHAnsi"/>
              </w:rPr>
              <w:t>11</w:t>
            </w:r>
          </w:p>
        </w:tc>
        <w:tc>
          <w:tcPr>
            <w:tcW w:w="3912" w:type="dxa"/>
          </w:tcPr>
          <w:p w14:paraId="3D563836" w14:textId="77777777" w:rsidR="00630D6B" w:rsidRPr="00730D83" w:rsidRDefault="00630D6B" w:rsidP="00F53B9B">
            <w:pPr>
              <w:spacing w:after="0"/>
              <w:rPr>
                <w:rFonts w:ascii="Cambria" w:hAnsi="Cambria" w:cstheme="minorHAnsi"/>
              </w:rPr>
            </w:pPr>
            <w:r w:rsidRPr="00730D83">
              <w:rPr>
                <w:rFonts w:ascii="Cambria" w:hAnsi="Cambria" w:cstheme="minorHAnsi"/>
              </w:rPr>
              <w:t xml:space="preserve">Independent experts in the field of governance, rule of law and access to justice, reconciliation and transitional justice </w:t>
            </w:r>
          </w:p>
        </w:tc>
      </w:tr>
      <w:tr w:rsidR="00630D6B" w:rsidRPr="00730D83" w14:paraId="3DC700FA" w14:textId="77777777" w:rsidTr="00F53B9B">
        <w:tc>
          <w:tcPr>
            <w:tcW w:w="3003" w:type="dxa"/>
          </w:tcPr>
          <w:p w14:paraId="25FCDA01" w14:textId="77777777" w:rsidR="00630D6B" w:rsidRPr="00730D83" w:rsidRDefault="00630D6B" w:rsidP="00F53B9B">
            <w:pPr>
              <w:spacing w:after="0"/>
              <w:rPr>
                <w:rFonts w:ascii="Cambria" w:hAnsi="Cambria" w:cstheme="minorHAnsi"/>
              </w:rPr>
            </w:pPr>
            <w:r w:rsidRPr="00730D83">
              <w:rPr>
                <w:rFonts w:ascii="Cambria" w:hAnsi="Cambria" w:cstheme="minorHAnsi"/>
              </w:rPr>
              <w:t>Development Partners</w:t>
            </w:r>
          </w:p>
        </w:tc>
        <w:tc>
          <w:tcPr>
            <w:tcW w:w="2095" w:type="dxa"/>
          </w:tcPr>
          <w:p w14:paraId="7044265C" w14:textId="77777777" w:rsidR="00630D6B" w:rsidRPr="00730D83" w:rsidRDefault="00630D6B" w:rsidP="00F53B9B">
            <w:pPr>
              <w:spacing w:after="0"/>
              <w:rPr>
                <w:rFonts w:ascii="Cambria" w:hAnsi="Cambria" w:cstheme="minorHAnsi"/>
              </w:rPr>
            </w:pPr>
            <w:r w:rsidRPr="00730D83">
              <w:rPr>
                <w:rFonts w:ascii="Cambria" w:hAnsi="Cambria" w:cstheme="minorHAnsi"/>
              </w:rPr>
              <w:t>5</w:t>
            </w:r>
          </w:p>
        </w:tc>
        <w:tc>
          <w:tcPr>
            <w:tcW w:w="3912" w:type="dxa"/>
          </w:tcPr>
          <w:p w14:paraId="01809B00" w14:textId="77777777" w:rsidR="00630D6B" w:rsidRPr="00730D83" w:rsidRDefault="00630D6B" w:rsidP="00F53B9B">
            <w:pPr>
              <w:spacing w:after="0"/>
              <w:rPr>
                <w:rFonts w:ascii="Cambria" w:hAnsi="Cambria" w:cstheme="minorHAnsi"/>
              </w:rPr>
            </w:pPr>
            <w:r w:rsidRPr="00730D83">
              <w:rPr>
                <w:rFonts w:ascii="Cambria" w:hAnsi="Cambria" w:cstheme="minorHAnsi"/>
              </w:rPr>
              <w:t xml:space="preserve">Donors and Development Partners in the field of governance, rule of law and access to justice </w:t>
            </w:r>
          </w:p>
        </w:tc>
      </w:tr>
    </w:tbl>
    <w:p w14:paraId="167D5695" w14:textId="77777777" w:rsidR="00630D6B" w:rsidRPr="00730D83" w:rsidRDefault="00630D6B" w:rsidP="00630D6B">
      <w:pPr>
        <w:autoSpaceDE w:val="0"/>
        <w:autoSpaceDN w:val="0"/>
        <w:adjustRightInd w:val="0"/>
        <w:jc w:val="both"/>
        <w:rPr>
          <w:rFonts w:ascii="Cambria" w:hAnsi="Cambria" w:cstheme="minorHAnsi"/>
          <w:b/>
          <w:bCs/>
          <w:sz w:val="20"/>
          <w:szCs w:val="20"/>
        </w:rPr>
      </w:pPr>
    </w:p>
    <w:p w14:paraId="616F5650" w14:textId="77777777" w:rsidR="00630D6B" w:rsidRPr="00730D83" w:rsidRDefault="00630D6B" w:rsidP="00925CAD">
      <w:pPr>
        <w:numPr>
          <w:ilvl w:val="1"/>
          <w:numId w:val="37"/>
        </w:numPr>
        <w:autoSpaceDE w:val="0"/>
        <w:autoSpaceDN w:val="0"/>
        <w:adjustRightInd w:val="0"/>
        <w:spacing w:after="0"/>
        <w:contextualSpacing/>
        <w:jc w:val="both"/>
        <w:outlineLvl w:val="1"/>
        <w:rPr>
          <w:rFonts w:ascii="Cambria" w:hAnsi="Cambria" w:cstheme="minorHAnsi"/>
          <w:b/>
          <w:bCs/>
          <w:sz w:val="20"/>
          <w:szCs w:val="20"/>
        </w:rPr>
      </w:pPr>
      <w:r w:rsidRPr="00730D83">
        <w:rPr>
          <w:rFonts w:ascii="Cambria" w:hAnsi="Cambria" w:cstheme="minorHAnsi"/>
          <w:b/>
          <w:bCs/>
          <w:sz w:val="20"/>
          <w:szCs w:val="20"/>
        </w:rPr>
        <w:t xml:space="preserve">Cross‐cutting issues </w:t>
      </w:r>
    </w:p>
    <w:p w14:paraId="074F2025" w14:textId="77777777" w:rsidR="00630D6B" w:rsidRPr="00730D83" w:rsidRDefault="00630D6B" w:rsidP="00630D6B">
      <w:pPr>
        <w:autoSpaceDE w:val="0"/>
        <w:autoSpaceDN w:val="0"/>
        <w:adjustRightInd w:val="0"/>
        <w:jc w:val="both"/>
        <w:rPr>
          <w:rFonts w:ascii="Cambria" w:hAnsi="Cambria" w:cstheme="minorHAnsi"/>
          <w:sz w:val="20"/>
          <w:szCs w:val="20"/>
        </w:rPr>
      </w:pPr>
      <w:r w:rsidRPr="00730D83">
        <w:rPr>
          <w:rFonts w:ascii="Cambria" w:hAnsi="Cambria" w:cstheme="minorHAnsi"/>
          <w:sz w:val="20"/>
          <w:szCs w:val="20"/>
        </w:rPr>
        <w:t xml:space="preserve">Gender will be the key cross-cutting issue that will be considered together with youth, and human rights as relevant. These aspects will be explored in the document review and during interviews with various stakeholders. The analysis will reflect on the extent to which the Portfolio has intended and been able to influence these aspects and the issues within them in a meaningful manner. </w:t>
      </w:r>
    </w:p>
    <w:p w14:paraId="0190E032" w14:textId="77777777" w:rsidR="00630D6B" w:rsidRPr="00730D83" w:rsidRDefault="00630D6B" w:rsidP="00630D6B">
      <w:pPr>
        <w:autoSpaceDE w:val="0"/>
        <w:autoSpaceDN w:val="0"/>
        <w:adjustRightInd w:val="0"/>
        <w:jc w:val="both"/>
        <w:rPr>
          <w:rFonts w:ascii="Cambria" w:hAnsi="Cambria" w:cstheme="minorHAnsi"/>
          <w:sz w:val="20"/>
          <w:szCs w:val="20"/>
        </w:rPr>
      </w:pPr>
      <w:r w:rsidRPr="00730D83">
        <w:rPr>
          <w:rFonts w:ascii="Cambria" w:hAnsi="Cambria" w:cstheme="minorHAnsi"/>
          <w:sz w:val="20"/>
          <w:szCs w:val="20"/>
        </w:rPr>
        <w:t xml:space="preserve"> </w:t>
      </w:r>
    </w:p>
    <w:p w14:paraId="2DF58CD9" w14:textId="77777777" w:rsidR="00630D6B" w:rsidRPr="00730D83" w:rsidRDefault="00630D6B" w:rsidP="00925CAD">
      <w:pPr>
        <w:numPr>
          <w:ilvl w:val="1"/>
          <w:numId w:val="37"/>
        </w:numPr>
        <w:autoSpaceDE w:val="0"/>
        <w:autoSpaceDN w:val="0"/>
        <w:adjustRightInd w:val="0"/>
        <w:spacing w:after="0"/>
        <w:contextualSpacing/>
        <w:jc w:val="both"/>
        <w:outlineLvl w:val="1"/>
        <w:rPr>
          <w:rFonts w:ascii="Cambria" w:hAnsi="Cambria" w:cstheme="minorHAnsi"/>
          <w:b/>
          <w:bCs/>
          <w:sz w:val="20"/>
          <w:szCs w:val="20"/>
        </w:rPr>
      </w:pPr>
      <w:bookmarkStart w:id="61" w:name="_Toc54247667"/>
      <w:r w:rsidRPr="00730D83">
        <w:rPr>
          <w:rFonts w:ascii="Cambria" w:hAnsi="Cambria" w:cstheme="minorHAnsi"/>
          <w:b/>
          <w:bCs/>
          <w:sz w:val="20"/>
          <w:szCs w:val="20"/>
        </w:rPr>
        <w:t>Indicative Work Plan</w:t>
      </w:r>
      <w:bookmarkEnd w:id="61"/>
      <w:r w:rsidRPr="00730D83">
        <w:rPr>
          <w:rFonts w:ascii="Cambria" w:hAnsi="Cambria" w:cstheme="minorHAnsi"/>
          <w:b/>
          <w:bCs/>
          <w:sz w:val="20"/>
          <w:szCs w:val="20"/>
        </w:rPr>
        <w:t xml:space="preserve"> </w:t>
      </w:r>
    </w:p>
    <w:tbl>
      <w:tblPr>
        <w:tblW w:w="0" w:type="auto"/>
        <w:tblInd w:w="137" w:type="dxa"/>
        <w:tblLook w:val="04A0" w:firstRow="1" w:lastRow="0" w:firstColumn="1" w:lastColumn="0" w:noHBand="0" w:noVBand="1"/>
      </w:tblPr>
      <w:tblGrid>
        <w:gridCol w:w="4538"/>
        <w:gridCol w:w="4392"/>
      </w:tblGrid>
      <w:tr w:rsidR="00630D6B" w:rsidRPr="00730D83" w14:paraId="7E926302" w14:textId="77777777" w:rsidTr="00F53B9B">
        <w:tc>
          <w:tcPr>
            <w:tcW w:w="4538" w:type="dxa"/>
          </w:tcPr>
          <w:p w14:paraId="40291A87" w14:textId="77777777" w:rsidR="00630D6B" w:rsidRPr="00730D83" w:rsidRDefault="00630D6B" w:rsidP="00F53B9B">
            <w:pPr>
              <w:autoSpaceDE w:val="0"/>
              <w:autoSpaceDN w:val="0"/>
              <w:adjustRightInd w:val="0"/>
              <w:jc w:val="both"/>
              <w:rPr>
                <w:rFonts w:ascii="Cambria" w:hAnsi="Cambria" w:cstheme="minorHAnsi"/>
                <w:b/>
                <w:bCs/>
                <w:sz w:val="20"/>
                <w:szCs w:val="20"/>
              </w:rPr>
            </w:pPr>
            <w:r w:rsidRPr="00730D83">
              <w:rPr>
                <w:rFonts w:ascii="Cambria" w:hAnsi="Cambria" w:cstheme="minorHAnsi"/>
                <w:b/>
                <w:bCs/>
                <w:sz w:val="20"/>
                <w:szCs w:val="20"/>
              </w:rPr>
              <w:t>Task</w:t>
            </w:r>
          </w:p>
        </w:tc>
        <w:tc>
          <w:tcPr>
            <w:tcW w:w="4392" w:type="dxa"/>
          </w:tcPr>
          <w:p w14:paraId="03EB8D24" w14:textId="77777777" w:rsidR="00630D6B" w:rsidRPr="00730D83" w:rsidRDefault="00630D6B" w:rsidP="00F53B9B">
            <w:pPr>
              <w:autoSpaceDE w:val="0"/>
              <w:autoSpaceDN w:val="0"/>
              <w:adjustRightInd w:val="0"/>
              <w:jc w:val="both"/>
              <w:rPr>
                <w:rFonts w:ascii="Cambria" w:hAnsi="Cambria" w:cstheme="minorHAnsi"/>
                <w:b/>
                <w:bCs/>
                <w:sz w:val="20"/>
                <w:szCs w:val="20"/>
              </w:rPr>
            </w:pPr>
            <w:r w:rsidRPr="00730D83">
              <w:rPr>
                <w:rFonts w:ascii="Cambria" w:hAnsi="Cambria" w:cstheme="minorHAnsi"/>
                <w:b/>
                <w:bCs/>
                <w:sz w:val="20"/>
                <w:szCs w:val="20"/>
              </w:rPr>
              <w:t>Timeline</w:t>
            </w:r>
          </w:p>
        </w:tc>
      </w:tr>
      <w:tr w:rsidR="00630D6B" w:rsidRPr="00730D83" w14:paraId="7F41A27C" w14:textId="77777777" w:rsidTr="00F53B9B">
        <w:tc>
          <w:tcPr>
            <w:tcW w:w="4538" w:type="dxa"/>
          </w:tcPr>
          <w:p w14:paraId="50ED4820" w14:textId="77777777" w:rsidR="00630D6B" w:rsidRPr="00730D83" w:rsidRDefault="00630D6B" w:rsidP="00F53B9B">
            <w:pPr>
              <w:autoSpaceDE w:val="0"/>
              <w:autoSpaceDN w:val="0"/>
              <w:adjustRightInd w:val="0"/>
              <w:jc w:val="both"/>
              <w:rPr>
                <w:rFonts w:ascii="Cambria" w:hAnsi="Cambria" w:cstheme="minorHAnsi"/>
                <w:sz w:val="20"/>
                <w:szCs w:val="20"/>
              </w:rPr>
            </w:pPr>
            <w:r w:rsidRPr="00730D83">
              <w:rPr>
                <w:rFonts w:ascii="Cambria" w:hAnsi="Cambria" w:cstheme="minorHAnsi"/>
                <w:sz w:val="20"/>
                <w:szCs w:val="20"/>
              </w:rPr>
              <w:t>Document review and evaluation design</w:t>
            </w:r>
          </w:p>
        </w:tc>
        <w:tc>
          <w:tcPr>
            <w:tcW w:w="4392" w:type="dxa"/>
          </w:tcPr>
          <w:p w14:paraId="39F4CBF7" w14:textId="77777777" w:rsidR="00630D6B" w:rsidRPr="00730D83" w:rsidRDefault="00630D6B" w:rsidP="00F53B9B">
            <w:pPr>
              <w:autoSpaceDE w:val="0"/>
              <w:autoSpaceDN w:val="0"/>
              <w:adjustRightInd w:val="0"/>
              <w:jc w:val="both"/>
              <w:rPr>
                <w:rFonts w:ascii="Cambria" w:hAnsi="Cambria" w:cstheme="minorHAnsi"/>
                <w:sz w:val="20"/>
                <w:szCs w:val="20"/>
              </w:rPr>
            </w:pPr>
            <w:r w:rsidRPr="00730D83">
              <w:rPr>
                <w:rFonts w:ascii="Cambria" w:hAnsi="Cambria" w:cstheme="minorHAnsi"/>
                <w:sz w:val="20"/>
                <w:szCs w:val="20"/>
              </w:rPr>
              <w:t>5</w:t>
            </w:r>
            <w:r w:rsidRPr="00730D83">
              <w:rPr>
                <w:rFonts w:ascii="Cambria" w:hAnsi="Cambria" w:cstheme="minorHAnsi"/>
                <w:sz w:val="20"/>
                <w:szCs w:val="20"/>
                <w:vertAlign w:val="superscript"/>
              </w:rPr>
              <w:t>th</w:t>
            </w:r>
            <w:r w:rsidRPr="00730D83">
              <w:rPr>
                <w:rFonts w:ascii="Cambria" w:hAnsi="Cambria" w:cstheme="minorHAnsi"/>
                <w:sz w:val="20"/>
                <w:szCs w:val="20"/>
              </w:rPr>
              <w:t xml:space="preserve"> October – 15</w:t>
            </w:r>
            <w:r w:rsidRPr="00730D83">
              <w:rPr>
                <w:rFonts w:ascii="Cambria" w:hAnsi="Cambria" w:cstheme="minorHAnsi"/>
                <w:sz w:val="20"/>
                <w:szCs w:val="20"/>
                <w:vertAlign w:val="superscript"/>
              </w:rPr>
              <w:t>th</w:t>
            </w:r>
            <w:r w:rsidRPr="00730D83">
              <w:rPr>
                <w:rFonts w:ascii="Cambria" w:hAnsi="Cambria" w:cstheme="minorHAnsi"/>
                <w:sz w:val="20"/>
                <w:szCs w:val="20"/>
              </w:rPr>
              <w:t xml:space="preserve"> October, 2020</w:t>
            </w:r>
          </w:p>
        </w:tc>
      </w:tr>
      <w:tr w:rsidR="00630D6B" w:rsidRPr="00730D83" w14:paraId="7DACFA56" w14:textId="77777777" w:rsidTr="00F53B9B">
        <w:tc>
          <w:tcPr>
            <w:tcW w:w="4538" w:type="dxa"/>
          </w:tcPr>
          <w:p w14:paraId="1403747F" w14:textId="77777777" w:rsidR="00630D6B" w:rsidRPr="00730D83" w:rsidRDefault="00630D6B" w:rsidP="00F53B9B">
            <w:pPr>
              <w:autoSpaceDE w:val="0"/>
              <w:autoSpaceDN w:val="0"/>
              <w:adjustRightInd w:val="0"/>
              <w:jc w:val="both"/>
              <w:rPr>
                <w:rFonts w:ascii="Cambria" w:hAnsi="Cambria" w:cstheme="minorHAnsi"/>
                <w:sz w:val="20"/>
                <w:szCs w:val="20"/>
              </w:rPr>
            </w:pPr>
            <w:r w:rsidRPr="00730D83">
              <w:rPr>
                <w:rFonts w:ascii="Cambria" w:hAnsi="Cambria" w:cstheme="minorHAnsi"/>
                <w:sz w:val="20"/>
                <w:szCs w:val="20"/>
              </w:rPr>
              <w:t>Inception report</w:t>
            </w:r>
          </w:p>
        </w:tc>
        <w:tc>
          <w:tcPr>
            <w:tcW w:w="4392" w:type="dxa"/>
          </w:tcPr>
          <w:p w14:paraId="6398F2F1" w14:textId="77777777" w:rsidR="00630D6B" w:rsidRPr="00730D83" w:rsidRDefault="00630D6B" w:rsidP="00F53B9B">
            <w:pPr>
              <w:autoSpaceDE w:val="0"/>
              <w:autoSpaceDN w:val="0"/>
              <w:adjustRightInd w:val="0"/>
              <w:jc w:val="both"/>
              <w:rPr>
                <w:rFonts w:ascii="Cambria" w:hAnsi="Cambria" w:cstheme="minorHAnsi"/>
                <w:sz w:val="20"/>
                <w:szCs w:val="20"/>
              </w:rPr>
            </w:pPr>
            <w:r w:rsidRPr="00730D83">
              <w:rPr>
                <w:rFonts w:ascii="Cambria" w:hAnsi="Cambria" w:cstheme="minorHAnsi"/>
                <w:sz w:val="20"/>
                <w:szCs w:val="20"/>
              </w:rPr>
              <w:t>22</w:t>
            </w:r>
            <w:r w:rsidRPr="00730D83">
              <w:rPr>
                <w:rFonts w:ascii="Cambria" w:hAnsi="Cambria" w:cstheme="minorHAnsi"/>
                <w:sz w:val="20"/>
                <w:szCs w:val="20"/>
                <w:vertAlign w:val="superscript"/>
              </w:rPr>
              <w:t>nd</w:t>
            </w:r>
            <w:r w:rsidRPr="00730D83">
              <w:rPr>
                <w:rFonts w:ascii="Cambria" w:hAnsi="Cambria" w:cstheme="minorHAnsi"/>
                <w:sz w:val="20"/>
                <w:szCs w:val="20"/>
              </w:rPr>
              <w:t xml:space="preserve"> October, 2020</w:t>
            </w:r>
          </w:p>
        </w:tc>
      </w:tr>
      <w:tr w:rsidR="00630D6B" w:rsidRPr="00730D83" w14:paraId="1A56F606" w14:textId="77777777" w:rsidTr="00F53B9B">
        <w:tc>
          <w:tcPr>
            <w:tcW w:w="4538" w:type="dxa"/>
          </w:tcPr>
          <w:p w14:paraId="700CBFEF" w14:textId="77777777" w:rsidR="00630D6B" w:rsidRPr="00730D83" w:rsidRDefault="00630D6B" w:rsidP="00F53B9B">
            <w:pPr>
              <w:autoSpaceDE w:val="0"/>
              <w:autoSpaceDN w:val="0"/>
              <w:adjustRightInd w:val="0"/>
              <w:jc w:val="both"/>
              <w:rPr>
                <w:rFonts w:ascii="Cambria" w:hAnsi="Cambria" w:cstheme="minorHAnsi"/>
                <w:sz w:val="20"/>
                <w:szCs w:val="20"/>
              </w:rPr>
            </w:pPr>
            <w:r w:rsidRPr="00730D83">
              <w:rPr>
                <w:rFonts w:ascii="Cambria" w:hAnsi="Cambria" w:cstheme="minorHAnsi"/>
                <w:sz w:val="20"/>
                <w:szCs w:val="20"/>
              </w:rPr>
              <w:t xml:space="preserve">Data collection </w:t>
            </w:r>
          </w:p>
        </w:tc>
        <w:tc>
          <w:tcPr>
            <w:tcW w:w="4392" w:type="dxa"/>
          </w:tcPr>
          <w:p w14:paraId="342C160E" w14:textId="77777777" w:rsidR="00630D6B" w:rsidRPr="00730D83" w:rsidRDefault="00630D6B" w:rsidP="00F53B9B">
            <w:pPr>
              <w:autoSpaceDE w:val="0"/>
              <w:autoSpaceDN w:val="0"/>
              <w:adjustRightInd w:val="0"/>
              <w:jc w:val="both"/>
              <w:rPr>
                <w:rFonts w:ascii="Cambria" w:hAnsi="Cambria" w:cstheme="minorHAnsi"/>
                <w:sz w:val="20"/>
                <w:szCs w:val="20"/>
              </w:rPr>
            </w:pPr>
            <w:r w:rsidRPr="00730D83">
              <w:rPr>
                <w:rFonts w:ascii="Cambria" w:hAnsi="Cambria" w:cstheme="minorHAnsi"/>
                <w:sz w:val="20"/>
                <w:szCs w:val="20"/>
              </w:rPr>
              <w:t>5</w:t>
            </w:r>
            <w:r w:rsidRPr="00730D83">
              <w:rPr>
                <w:rFonts w:ascii="Cambria" w:hAnsi="Cambria" w:cstheme="minorHAnsi"/>
                <w:sz w:val="20"/>
                <w:szCs w:val="20"/>
                <w:vertAlign w:val="superscript"/>
              </w:rPr>
              <w:t>th</w:t>
            </w:r>
            <w:r w:rsidRPr="00730D83">
              <w:rPr>
                <w:rFonts w:ascii="Cambria" w:hAnsi="Cambria" w:cstheme="minorHAnsi"/>
                <w:sz w:val="20"/>
                <w:szCs w:val="20"/>
              </w:rPr>
              <w:t xml:space="preserve"> October-10</w:t>
            </w:r>
            <w:r w:rsidRPr="00730D83">
              <w:rPr>
                <w:rFonts w:ascii="Cambria" w:hAnsi="Cambria" w:cstheme="minorHAnsi"/>
                <w:sz w:val="20"/>
                <w:szCs w:val="20"/>
                <w:vertAlign w:val="superscript"/>
              </w:rPr>
              <w:t>th</w:t>
            </w:r>
            <w:r w:rsidRPr="00730D83">
              <w:rPr>
                <w:rFonts w:ascii="Cambria" w:hAnsi="Cambria" w:cstheme="minorHAnsi"/>
                <w:sz w:val="20"/>
                <w:szCs w:val="20"/>
              </w:rPr>
              <w:t xml:space="preserve"> November, 2020</w:t>
            </w:r>
          </w:p>
        </w:tc>
      </w:tr>
      <w:tr w:rsidR="00630D6B" w:rsidRPr="00730D83" w14:paraId="55B56604" w14:textId="77777777" w:rsidTr="00F53B9B">
        <w:tc>
          <w:tcPr>
            <w:tcW w:w="4538" w:type="dxa"/>
          </w:tcPr>
          <w:p w14:paraId="1528FCFA" w14:textId="77777777" w:rsidR="00630D6B" w:rsidRPr="00730D83" w:rsidRDefault="00630D6B" w:rsidP="00F53B9B">
            <w:pPr>
              <w:autoSpaceDE w:val="0"/>
              <w:autoSpaceDN w:val="0"/>
              <w:adjustRightInd w:val="0"/>
              <w:jc w:val="both"/>
              <w:rPr>
                <w:rFonts w:ascii="Cambria" w:hAnsi="Cambria" w:cstheme="minorHAnsi"/>
                <w:sz w:val="20"/>
                <w:szCs w:val="20"/>
              </w:rPr>
            </w:pPr>
            <w:r w:rsidRPr="00730D83">
              <w:rPr>
                <w:rFonts w:ascii="Cambria" w:hAnsi="Cambria" w:cstheme="minorHAnsi"/>
                <w:sz w:val="20"/>
                <w:szCs w:val="20"/>
              </w:rPr>
              <w:lastRenderedPageBreak/>
              <w:t xml:space="preserve">Data analysis and preparation of preliminary report </w:t>
            </w:r>
          </w:p>
        </w:tc>
        <w:tc>
          <w:tcPr>
            <w:tcW w:w="4392" w:type="dxa"/>
          </w:tcPr>
          <w:p w14:paraId="607DD085" w14:textId="77777777" w:rsidR="00630D6B" w:rsidRPr="00730D83" w:rsidRDefault="00630D6B" w:rsidP="00F53B9B">
            <w:pPr>
              <w:autoSpaceDE w:val="0"/>
              <w:autoSpaceDN w:val="0"/>
              <w:adjustRightInd w:val="0"/>
              <w:jc w:val="both"/>
              <w:rPr>
                <w:rFonts w:ascii="Cambria" w:hAnsi="Cambria" w:cstheme="minorHAnsi"/>
                <w:sz w:val="20"/>
                <w:szCs w:val="20"/>
              </w:rPr>
            </w:pPr>
            <w:r w:rsidRPr="00730D83">
              <w:rPr>
                <w:rFonts w:ascii="Cambria" w:hAnsi="Cambria" w:cstheme="minorHAnsi"/>
                <w:sz w:val="20"/>
                <w:szCs w:val="20"/>
              </w:rPr>
              <w:t>10</w:t>
            </w:r>
            <w:r w:rsidRPr="00730D83">
              <w:rPr>
                <w:rFonts w:ascii="Cambria" w:hAnsi="Cambria" w:cstheme="minorHAnsi"/>
                <w:sz w:val="20"/>
                <w:szCs w:val="20"/>
                <w:vertAlign w:val="superscript"/>
              </w:rPr>
              <w:t>th</w:t>
            </w:r>
            <w:r w:rsidRPr="00730D83">
              <w:rPr>
                <w:rFonts w:ascii="Cambria" w:hAnsi="Cambria" w:cstheme="minorHAnsi"/>
                <w:sz w:val="20"/>
                <w:szCs w:val="20"/>
              </w:rPr>
              <w:t xml:space="preserve"> -23</w:t>
            </w:r>
            <w:r w:rsidRPr="00730D83">
              <w:rPr>
                <w:rFonts w:ascii="Cambria" w:hAnsi="Cambria" w:cstheme="minorHAnsi"/>
                <w:sz w:val="20"/>
                <w:szCs w:val="20"/>
                <w:vertAlign w:val="superscript"/>
              </w:rPr>
              <w:t>rd</w:t>
            </w:r>
            <w:r w:rsidRPr="00730D83">
              <w:rPr>
                <w:rFonts w:ascii="Cambria" w:hAnsi="Cambria" w:cstheme="minorHAnsi"/>
                <w:sz w:val="20"/>
                <w:szCs w:val="20"/>
              </w:rPr>
              <w:t xml:space="preserve"> October, 2020</w:t>
            </w:r>
          </w:p>
        </w:tc>
      </w:tr>
      <w:tr w:rsidR="00630D6B" w:rsidRPr="00730D83" w14:paraId="1AB529E5" w14:textId="77777777" w:rsidTr="00F53B9B">
        <w:tc>
          <w:tcPr>
            <w:tcW w:w="4538" w:type="dxa"/>
          </w:tcPr>
          <w:p w14:paraId="2B179048" w14:textId="77777777" w:rsidR="00630D6B" w:rsidRPr="00730D83" w:rsidRDefault="00630D6B" w:rsidP="00F53B9B">
            <w:pPr>
              <w:autoSpaceDE w:val="0"/>
              <w:autoSpaceDN w:val="0"/>
              <w:adjustRightInd w:val="0"/>
              <w:jc w:val="both"/>
              <w:rPr>
                <w:rFonts w:ascii="Cambria" w:hAnsi="Cambria" w:cstheme="minorHAnsi"/>
                <w:sz w:val="20"/>
                <w:szCs w:val="20"/>
              </w:rPr>
            </w:pPr>
            <w:r w:rsidRPr="00730D83">
              <w:rPr>
                <w:rFonts w:ascii="Cambria" w:hAnsi="Cambria"/>
                <w:sz w:val="20"/>
                <w:szCs w:val="20"/>
              </w:rPr>
              <w:t>Consolidated Draft Evaluation Report and Evaluation Brief</w:t>
            </w:r>
          </w:p>
        </w:tc>
        <w:tc>
          <w:tcPr>
            <w:tcW w:w="4392" w:type="dxa"/>
          </w:tcPr>
          <w:p w14:paraId="4206D20E" w14:textId="77777777" w:rsidR="00630D6B" w:rsidRPr="00730D83" w:rsidRDefault="00630D6B" w:rsidP="00F53B9B">
            <w:pPr>
              <w:autoSpaceDE w:val="0"/>
              <w:autoSpaceDN w:val="0"/>
              <w:adjustRightInd w:val="0"/>
              <w:jc w:val="both"/>
              <w:rPr>
                <w:rFonts w:ascii="Cambria" w:hAnsi="Cambria" w:cstheme="minorHAnsi"/>
                <w:sz w:val="20"/>
                <w:szCs w:val="20"/>
              </w:rPr>
            </w:pPr>
            <w:r w:rsidRPr="00730D83">
              <w:rPr>
                <w:rFonts w:ascii="Cambria" w:hAnsi="Cambria" w:cstheme="minorHAnsi"/>
                <w:sz w:val="20"/>
                <w:szCs w:val="20"/>
              </w:rPr>
              <w:t>4</w:t>
            </w:r>
            <w:r w:rsidRPr="00730D83">
              <w:rPr>
                <w:rFonts w:ascii="Cambria" w:hAnsi="Cambria" w:cstheme="minorHAnsi"/>
                <w:sz w:val="20"/>
                <w:szCs w:val="20"/>
                <w:vertAlign w:val="superscript"/>
              </w:rPr>
              <w:t>th</w:t>
            </w:r>
            <w:r w:rsidRPr="00730D83">
              <w:rPr>
                <w:rFonts w:ascii="Cambria" w:hAnsi="Cambria" w:cstheme="minorHAnsi"/>
                <w:sz w:val="20"/>
                <w:szCs w:val="20"/>
              </w:rPr>
              <w:t xml:space="preserve"> November, 2020</w:t>
            </w:r>
          </w:p>
        </w:tc>
      </w:tr>
      <w:tr w:rsidR="00630D6B" w:rsidRPr="00730D83" w14:paraId="00F000BB" w14:textId="77777777" w:rsidTr="00F53B9B">
        <w:tc>
          <w:tcPr>
            <w:tcW w:w="4538" w:type="dxa"/>
          </w:tcPr>
          <w:p w14:paraId="3315029F" w14:textId="77777777" w:rsidR="00630D6B" w:rsidRPr="00730D83" w:rsidRDefault="00630D6B" w:rsidP="00F53B9B">
            <w:pPr>
              <w:autoSpaceDE w:val="0"/>
              <w:autoSpaceDN w:val="0"/>
              <w:adjustRightInd w:val="0"/>
              <w:jc w:val="both"/>
              <w:rPr>
                <w:rFonts w:ascii="Cambria" w:hAnsi="Cambria" w:cstheme="minorHAnsi"/>
                <w:sz w:val="20"/>
                <w:szCs w:val="20"/>
              </w:rPr>
            </w:pPr>
            <w:r w:rsidRPr="00730D83">
              <w:rPr>
                <w:rFonts w:ascii="Cambria" w:hAnsi="Cambria" w:cstheme="minorHAnsi"/>
                <w:sz w:val="20"/>
                <w:szCs w:val="20"/>
              </w:rPr>
              <w:t>Review by UNDP team</w:t>
            </w:r>
          </w:p>
        </w:tc>
        <w:tc>
          <w:tcPr>
            <w:tcW w:w="4392" w:type="dxa"/>
          </w:tcPr>
          <w:p w14:paraId="48124BBA" w14:textId="77777777" w:rsidR="00630D6B" w:rsidRPr="00730D83" w:rsidRDefault="00630D6B" w:rsidP="00F53B9B">
            <w:pPr>
              <w:autoSpaceDE w:val="0"/>
              <w:autoSpaceDN w:val="0"/>
              <w:adjustRightInd w:val="0"/>
              <w:jc w:val="both"/>
              <w:rPr>
                <w:rFonts w:ascii="Cambria" w:hAnsi="Cambria" w:cstheme="minorHAnsi"/>
                <w:sz w:val="20"/>
                <w:szCs w:val="20"/>
              </w:rPr>
            </w:pPr>
            <w:r w:rsidRPr="00730D83">
              <w:rPr>
                <w:rFonts w:ascii="Cambria" w:hAnsi="Cambria" w:cstheme="minorHAnsi"/>
                <w:sz w:val="20"/>
                <w:szCs w:val="20"/>
              </w:rPr>
              <w:t>16</w:t>
            </w:r>
            <w:r w:rsidRPr="00730D83">
              <w:rPr>
                <w:rFonts w:ascii="Cambria" w:hAnsi="Cambria" w:cstheme="minorHAnsi"/>
                <w:sz w:val="20"/>
                <w:szCs w:val="20"/>
                <w:vertAlign w:val="superscript"/>
              </w:rPr>
              <w:t>th</w:t>
            </w:r>
            <w:r w:rsidRPr="00730D83">
              <w:rPr>
                <w:rFonts w:ascii="Cambria" w:hAnsi="Cambria" w:cstheme="minorHAnsi"/>
                <w:sz w:val="20"/>
                <w:szCs w:val="20"/>
              </w:rPr>
              <w:t xml:space="preserve"> November, 2020</w:t>
            </w:r>
          </w:p>
        </w:tc>
      </w:tr>
      <w:tr w:rsidR="00630D6B" w:rsidRPr="00730D83" w14:paraId="6D90EFA8" w14:textId="77777777" w:rsidTr="00F53B9B">
        <w:tc>
          <w:tcPr>
            <w:tcW w:w="4538" w:type="dxa"/>
          </w:tcPr>
          <w:p w14:paraId="1258B777" w14:textId="77777777" w:rsidR="00630D6B" w:rsidRPr="00730D83" w:rsidRDefault="00630D6B" w:rsidP="00F53B9B">
            <w:pPr>
              <w:autoSpaceDE w:val="0"/>
              <w:autoSpaceDN w:val="0"/>
              <w:adjustRightInd w:val="0"/>
              <w:jc w:val="both"/>
              <w:rPr>
                <w:rFonts w:ascii="Cambria" w:hAnsi="Cambria" w:cstheme="minorHAnsi"/>
                <w:sz w:val="20"/>
                <w:szCs w:val="20"/>
              </w:rPr>
            </w:pPr>
            <w:r w:rsidRPr="00730D83">
              <w:rPr>
                <w:rFonts w:ascii="Cambria" w:hAnsi="Cambria" w:cstheme="minorHAnsi"/>
                <w:sz w:val="20"/>
                <w:szCs w:val="20"/>
              </w:rPr>
              <w:t xml:space="preserve">Submission of final report </w:t>
            </w:r>
          </w:p>
        </w:tc>
        <w:tc>
          <w:tcPr>
            <w:tcW w:w="4392" w:type="dxa"/>
          </w:tcPr>
          <w:p w14:paraId="7083062D" w14:textId="77777777" w:rsidR="00630D6B" w:rsidRPr="00730D83" w:rsidRDefault="00630D6B" w:rsidP="00F53B9B">
            <w:pPr>
              <w:autoSpaceDE w:val="0"/>
              <w:autoSpaceDN w:val="0"/>
              <w:adjustRightInd w:val="0"/>
              <w:jc w:val="both"/>
              <w:rPr>
                <w:rFonts w:ascii="Cambria" w:hAnsi="Cambria" w:cstheme="minorHAnsi"/>
                <w:sz w:val="20"/>
                <w:szCs w:val="20"/>
              </w:rPr>
            </w:pPr>
            <w:r w:rsidRPr="00730D83">
              <w:rPr>
                <w:rFonts w:ascii="Cambria" w:hAnsi="Cambria" w:cstheme="minorHAnsi"/>
                <w:sz w:val="20"/>
                <w:szCs w:val="20"/>
              </w:rPr>
              <w:t>24</w:t>
            </w:r>
            <w:r w:rsidRPr="00730D83">
              <w:rPr>
                <w:rFonts w:ascii="Cambria" w:hAnsi="Cambria" w:cstheme="minorHAnsi"/>
                <w:sz w:val="20"/>
                <w:szCs w:val="20"/>
                <w:vertAlign w:val="superscript"/>
              </w:rPr>
              <w:t>th</w:t>
            </w:r>
            <w:r w:rsidRPr="00730D83">
              <w:rPr>
                <w:rFonts w:ascii="Cambria" w:hAnsi="Cambria" w:cstheme="minorHAnsi"/>
                <w:sz w:val="20"/>
                <w:szCs w:val="20"/>
              </w:rPr>
              <w:t xml:space="preserve"> November, 2020</w:t>
            </w:r>
          </w:p>
        </w:tc>
      </w:tr>
    </w:tbl>
    <w:p w14:paraId="6C46F9A3" w14:textId="77777777" w:rsidR="00630D6B" w:rsidRPr="00730D83" w:rsidRDefault="00630D6B" w:rsidP="00630D6B">
      <w:pPr>
        <w:autoSpaceDE w:val="0"/>
        <w:autoSpaceDN w:val="0"/>
        <w:adjustRightInd w:val="0"/>
        <w:jc w:val="both"/>
        <w:rPr>
          <w:rFonts w:ascii="Cambria" w:hAnsi="Cambria" w:cstheme="minorHAnsi"/>
          <w:sz w:val="20"/>
          <w:szCs w:val="20"/>
        </w:rPr>
      </w:pPr>
    </w:p>
    <w:p w14:paraId="79E3DAEC" w14:textId="77777777" w:rsidR="00630D6B" w:rsidRPr="00730D83" w:rsidRDefault="00630D6B" w:rsidP="00925CAD">
      <w:pPr>
        <w:pStyle w:val="Heading1"/>
        <w:numPr>
          <w:ilvl w:val="0"/>
          <w:numId w:val="59"/>
        </w:numPr>
        <w:spacing w:before="0"/>
        <w:jc w:val="both"/>
        <w:rPr>
          <w:rFonts w:ascii="Cambria" w:hAnsi="Cambria" w:cstheme="minorHAnsi"/>
          <w:b/>
          <w:bCs/>
          <w:color w:val="auto"/>
          <w:sz w:val="20"/>
          <w:szCs w:val="20"/>
        </w:rPr>
      </w:pPr>
      <w:r w:rsidRPr="00730D83">
        <w:rPr>
          <w:rFonts w:ascii="Cambria" w:hAnsi="Cambria" w:cstheme="minorHAnsi"/>
          <w:b/>
          <w:bCs/>
          <w:color w:val="auto"/>
          <w:sz w:val="20"/>
          <w:szCs w:val="20"/>
        </w:rPr>
        <w:t xml:space="preserve">Limitations </w:t>
      </w:r>
    </w:p>
    <w:p w14:paraId="3552818D" w14:textId="77777777" w:rsidR="00630D6B" w:rsidRPr="00730D83" w:rsidRDefault="00630D6B" w:rsidP="00630D6B">
      <w:pPr>
        <w:autoSpaceDE w:val="0"/>
        <w:autoSpaceDN w:val="0"/>
        <w:adjustRightInd w:val="0"/>
        <w:jc w:val="both"/>
        <w:rPr>
          <w:rFonts w:ascii="Cambria" w:hAnsi="Cambria" w:cstheme="minorHAnsi"/>
          <w:sz w:val="20"/>
          <w:szCs w:val="20"/>
        </w:rPr>
      </w:pPr>
    </w:p>
    <w:p w14:paraId="3940D4C4" w14:textId="77777777" w:rsidR="00630D6B" w:rsidRPr="00730D83" w:rsidRDefault="00630D6B" w:rsidP="00630D6B">
      <w:pPr>
        <w:autoSpaceDE w:val="0"/>
        <w:autoSpaceDN w:val="0"/>
        <w:adjustRightInd w:val="0"/>
        <w:jc w:val="both"/>
        <w:rPr>
          <w:rFonts w:ascii="Cambria" w:hAnsi="Cambria" w:cstheme="minorHAnsi"/>
          <w:sz w:val="20"/>
          <w:szCs w:val="20"/>
        </w:rPr>
      </w:pPr>
      <w:r w:rsidRPr="00730D83">
        <w:rPr>
          <w:rFonts w:ascii="Cambria" w:hAnsi="Cambria" w:cstheme="minorHAnsi"/>
          <w:sz w:val="20"/>
          <w:szCs w:val="20"/>
        </w:rPr>
        <w:t xml:space="preserve">The evaluation may be limited by the following. </w:t>
      </w:r>
    </w:p>
    <w:p w14:paraId="072F352E" w14:textId="77777777" w:rsidR="00630D6B" w:rsidRPr="00730D83" w:rsidRDefault="00630D6B" w:rsidP="00630D6B">
      <w:pPr>
        <w:numPr>
          <w:ilvl w:val="0"/>
          <w:numId w:val="17"/>
        </w:numPr>
        <w:spacing w:after="0"/>
        <w:contextualSpacing/>
        <w:jc w:val="both"/>
        <w:rPr>
          <w:rFonts w:ascii="Cambria" w:hAnsi="Cambria" w:cstheme="minorHAnsi"/>
          <w:sz w:val="20"/>
          <w:szCs w:val="20"/>
        </w:rPr>
      </w:pPr>
      <w:r w:rsidRPr="00730D83">
        <w:rPr>
          <w:rFonts w:ascii="Cambria" w:hAnsi="Cambria" w:cstheme="minorHAnsi"/>
          <w:sz w:val="20"/>
          <w:szCs w:val="20"/>
        </w:rPr>
        <w:t xml:space="preserve">The increasing prevalence of the Covid-19 during the months of the evaluation could mean that access to different stakeholder groups will be limited and some interviews may have to be done remotely. In-person meetings with beneficiaries may have to be curtailed during the data collection phase as a result and information of beneficiary experiences may have to be ascertained from other stakeholders involved in implementing the intervention if beneficiary access is limited.  </w:t>
      </w:r>
    </w:p>
    <w:p w14:paraId="3917CE3F" w14:textId="77777777" w:rsidR="00630D6B" w:rsidRPr="00730D83" w:rsidRDefault="00630D6B" w:rsidP="00630D6B">
      <w:pPr>
        <w:numPr>
          <w:ilvl w:val="0"/>
          <w:numId w:val="17"/>
        </w:numPr>
        <w:spacing w:after="0"/>
        <w:contextualSpacing/>
        <w:jc w:val="both"/>
        <w:rPr>
          <w:rFonts w:ascii="Cambria" w:hAnsi="Cambria" w:cstheme="minorHAnsi"/>
          <w:sz w:val="20"/>
          <w:szCs w:val="20"/>
        </w:rPr>
      </w:pPr>
      <w:r w:rsidRPr="00730D83">
        <w:rPr>
          <w:rFonts w:ascii="Cambria" w:hAnsi="Cambria" w:cstheme="minorHAnsi"/>
          <w:sz w:val="20"/>
          <w:szCs w:val="20"/>
        </w:rPr>
        <w:t xml:space="preserve">Travel outside Colombo would be limited due to the current situation and some areas being restricted for non-residents. </w:t>
      </w:r>
    </w:p>
    <w:p w14:paraId="61502AFD" w14:textId="77777777" w:rsidR="00630D6B" w:rsidRPr="00730D83" w:rsidRDefault="00630D6B" w:rsidP="00630D6B">
      <w:pPr>
        <w:numPr>
          <w:ilvl w:val="0"/>
          <w:numId w:val="17"/>
        </w:numPr>
        <w:spacing w:after="0"/>
        <w:contextualSpacing/>
        <w:jc w:val="both"/>
        <w:rPr>
          <w:rFonts w:ascii="Cambria" w:hAnsi="Cambria" w:cstheme="minorHAnsi"/>
          <w:sz w:val="20"/>
          <w:szCs w:val="20"/>
        </w:rPr>
      </w:pPr>
      <w:r w:rsidRPr="00730D83">
        <w:rPr>
          <w:rFonts w:ascii="Cambria" w:hAnsi="Cambria" w:cstheme="minorHAnsi"/>
          <w:sz w:val="20"/>
          <w:szCs w:val="20"/>
        </w:rPr>
        <w:t xml:space="preserve">One way to try to mitigate these challenges could be that the evaluator may be able to consider each activity cluster in detail and to discuss these with a relevant number of key stakeholders. In addition, it may be possible to have discussions at the broader strategic level with UNDP team members and other stakeholders working in the justice sector. This could enable the obtaining of a more rounded view of the initiative and the effects of various contextual factors on the intervention and its implementation to date and in the future. </w:t>
      </w:r>
    </w:p>
    <w:p w14:paraId="5B8E1F86" w14:textId="77777777" w:rsidR="00630D6B" w:rsidRPr="00730D83" w:rsidRDefault="00630D6B" w:rsidP="00630D6B">
      <w:pPr>
        <w:numPr>
          <w:ilvl w:val="0"/>
          <w:numId w:val="17"/>
        </w:numPr>
        <w:spacing w:after="0"/>
        <w:contextualSpacing/>
        <w:jc w:val="both"/>
        <w:rPr>
          <w:rFonts w:ascii="Cambria" w:hAnsi="Cambria" w:cstheme="minorHAnsi"/>
          <w:sz w:val="20"/>
          <w:szCs w:val="20"/>
        </w:rPr>
      </w:pPr>
      <w:r w:rsidRPr="00730D83">
        <w:rPr>
          <w:rFonts w:ascii="Cambria" w:hAnsi="Cambria" w:cstheme="minorHAnsi"/>
          <w:sz w:val="20"/>
          <w:szCs w:val="20"/>
        </w:rPr>
        <w:t>The impact of the Covid-19 pandemic continues to affect Sri Lanka despite many measures being in place. It can be envisaged that it will continue to affect how interventions such as these can be implemented into the immediate and longer-term intervention timeline. Realistic reflection will be necessary on how the pandemic may delay some or most activities and how these will affect the realisation of outputs and broader outcomes as the intervention progresses.</w:t>
      </w:r>
    </w:p>
    <w:p w14:paraId="765C3BEE" w14:textId="77777777" w:rsidR="00630D6B" w:rsidRPr="00730D83" w:rsidRDefault="00630D6B" w:rsidP="00630D6B">
      <w:pPr>
        <w:autoSpaceDE w:val="0"/>
        <w:autoSpaceDN w:val="0"/>
        <w:adjustRightInd w:val="0"/>
        <w:jc w:val="both"/>
        <w:rPr>
          <w:rFonts w:ascii="Cambria" w:hAnsi="Cambria" w:cstheme="minorHAnsi"/>
          <w:sz w:val="20"/>
          <w:szCs w:val="20"/>
        </w:rPr>
      </w:pPr>
    </w:p>
    <w:p w14:paraId="4B741B03" w14:textId="77777777" w:rsidR="00630D6B" w:rsidRPr="00730D83" w:rsidRDefault="00630D6B" w:rsidP="00925CAD">
      <w:pPr>
        <w:pStyle w:val="Heading1"/>
        <w:numPr>
          <w:ilvl w:val="0"/>
          <w:numId w:val="59"/>
        </w:numPr>
        <w:spacing w:before="0"/>
        <w:jc w:val="both"/>
        <w:rPr>
          <w:rFonts w:ascii="Cambria" w:hAnsi="Cambria" w:cstheme="minorHAnsi"/>
          <w:b/>
          <w:bCs/>
          <w:color w:val="auto"/>
          <w:sz w:val="20"/>
          <w:szCs w:val="20"/>
        </w:rPr>
      </w:pPr>
      <w:bookmarkStart w:id="62" w:name="_Toc54247669"/>
      <w:r w:rsidRPr="00730D83">
        <w:rPr>
          <w:rFonts w:ascii="Cambria" w:hAnsi="Cambria" w:cstheme="minorHAnsi"/>
          <w:b/>
          <w:bCs/>
          <w:color w:val="auto"/>
          <w:sz w:val="20"/>
          <w:szCs w:val="20"/>
        </w:rPr>
        <w:t>Evaluation Report</w:t>
      </w:r>
      <w:bookmarkEnd w:id="62"/>
      <w:r w:rsidRPr="00730D83">
        <w:rPr>
          <w:rFonts w:ascii="Cambria" w:hAnsi="Cambria" w:cstheme="minorHAnsi"/>
          <w:b/>
          <w:bCs/>
          <w:color w:val="auto"/>
          <w:sz w:val="20"/>
          <w:szCs w:val="20"/>
        </w:rPr>
        <w:t xml:space="preserve"> </w:t>
      </w:r>
    </w:p>
    <w:p w14:paraId="403D1E2D" w14:textId="77777777" w:rsidR="00630D6B" w:rsidRPr="00730D83" w:rsidRDefault="00630D6B" w:rsidP="00630D6B">
      <w:pPr>
        <w:autoSpaceDE w:val="0"/>
        <w:autoSpaceDN w:val="0"/>
        <w:adjustRightInd w:val="0"/>
        <w:jc w:val="both"/>
        <w:rPr>
          <w:rFonts w:ascii="Cambria" w:hAnsi="Cambria" w:cstheme="minorHAnsi"/>
          <w:sz w:val="20"/>
          <w:szCs w:val="20"/>
        </w:rPr>
      </w:pPr>
    </w:p>
    <w:p w14:paraId="03BB8742" w14:textId="77777777" w:rsidR="00630D6B" w:rsidRPr="00730D83" w:rsidRDefault="00630D6B" w:rsidP="00630D6B">
      <w:pPr>
        <w:autoSpaceDE w:val="0"/>
        <w:autoSpaceDN w:val="0"/>
        <w:adjustRightInd w:val="0"/>
        <w:jc w:val="both"/>
        <w:rPr>
          <w:rFonts w:ascii="Cambria" w:hAnsi="Cambria" w:cstheme="minorHAnsi"/>
          <w:sz w:val="20"/>
          <w:szCs w:val="20"/>
        </w:rPr>
      </w:pPr>
      <w:r w:rsidRPr="00730D83">
        <w:rPr>
          <w:rFonts w:ascii="Cambria" w:hAnsi="Cambria" w:cstheme="minorHAnsi"/>
          <w:sz w:val="20"/>
          <w:szCs w:val="20"/>
        </w:rPr>
        <w:t>The draft report will be submitted to UNDP for review and feedback by the 20</w:t>
      </w:r>
      <w:r w:rsidRPr="00730D83">
        <w:rPr>
          <w:rFonts w:ascii="Cambria" w:hAnsi="Cambria" w:cstheme="minorHAnsi"/>
          <w:sz w:val="20"/>
          <w:szCs w:val="20"/>
          <w:vertAlign w:val="superscript"/>
        </w:rPr>
        <w:t>th</w:t>
      </w:r>
      <w:r w:rsidRPr="00730D83">
        <w:rPr>
          <w:rFonts w:ascii="Cambria" w:hAnsi="Cambria" w:cstheme="minorHAnsi"/>
          <w:sz w:val="20"/>
          <w:szCs w:val="20"/>
        </w:rPr>
        <w:t xml:space="preserve"> of November, 2020. A final report incorporating relevant feedback will be submitted by 24</w:t>
      </w:r>
      <w:r w:rsidRPr="00730D83">
        <w:rPr>
          <w:rFonts w:ascii="Cambria" w:hAnsi="Cambria" w:cstheme="minorHAnsi"/>
          <w:sz w:val="20"/>
          <w:szCs w:val="20"/>
          <w:vertAlign w:val="superscript"/>
        </w:rPr>
        <w:t>th</w:t>
      </w:r>
      <w:r w:rsidRPr="00730D83">
        <w:rPr>
          <w:rFonts w:ascii="Cambria" w:hAnsi="Cambria" w:cstheme="minorHAnsi"/>
          <w:sz w:val="20"/>
          <w:szCs w:val="20"/>
        </w:rPr>
        <w:t xml:space="preserve"> November, 2020.</w:t>
      </w:r>
    </w:p>
    <w:p w14:paraId="4C409976" w14:textId="77777777" w:rsidR="00630D6B" w:rsidRPr="00730D83" w:rsidRDefault="00630D6B" w:rsidP="00630D6B">
      <w:pPr>
        <w:autoSpaceDE w:val="0"/>
        <w:autoSpaceDN w:val="0"/>
        <w:adjustRightInd w:val="0"/>
        <w:jc w:val="both"/>
        <w:rPr>
          <w:rFonts w:ascii="Cambria" w:hAnsi="Cambria" w:cstheme="minorHAnsi"/>
          <w:sz w:val="20"/>
          <w:szCs w:val="20"/>
        </w:rPr>
      </w:pPr>
    </w:p>
    <w:p w14:paraId="654C1D54" w14:textId="77777777" w:rsidR="00630D6B" w:rsidRPr="00730D83" w:rsidRDefault="00630D6B" w:rsidP="00630D6B">
      <w:pPr>
        <w:autoSpaceDE w:val="0"/>
        <w:autoSpaceDN w:val="0"/>
        <w:adjustRightInd w:val="0"/>
        <w:jc w:val="both"/>
        <w:rPr>
          <w:rFonts w:ascii="Cambria" w:hAnsi="Cambria" w:cstheme="minorHAnsi"/>
          <w:b/>
          <w:bCs/>
          <w:sz w:val="20"/>
          <w:szCs w:val="20"/>
        </w:rPr>
      </w:pPr>
    </w:p>
    <w:p w14:paraId="340E1B13" w14:textId="77777777" w:rsidR="00630D6B" w:rsidRPr="00730D83" w:rsidRDefault="00630D6B" w:rsidP="00630D6B">
      <w:pPr>
        <w:autoSpaceDE w:val="0"/>
        <w:autoSpaceDN w:val="0"/>
        <w:adjustRightInd w:val="0"/>
        <w:jc w:val="both"/>
        <w:rPr>
          <w:rFonts w:ascii="Cambria" w:hAnsi="Cambria" w:cstheme="minorHAnsi"/>
          <w:b/>
          <w:bCs/>
          <w:sz w:val="20"/>
          <w:szCs w:val="20"/>
        </w:rPr>
      </w:pPr>
    </w:p>
    <w:p w14:paraId="1C316F89" w14:textId="77777777" w:rsidR="00630D6B" w:rsidRPr="00730D83" w:rsidRDefault="00630D6B" w:rsidP="00630D6B">
      <w:pPr>
        <w:autoSpaceDE w:val="0"/>
        <w:autoSpaceDN w:val="0"/>
        <w:adjustRightInd w:val="0"/>
        <w:jc w:val="both"/>
        <w:rPr>
          <w:rFonts w:ascii="Cambria" w:hAnsi="Cambria" w:cstheme="minorHAnsi"/>
          <w:b/>
          <w:bCs/>
          <w:sz w:val="20"/>
          <w:szCs w:val="20"/>
        </w:rPr>
      </w:pPr>
    </w:p>
    <w:p w14:paraId="2F90A71F" w14:textId="77777777" w:rsidR="00630D6B" w:rsidRPr="00730D83" w:rsidRDefault="00630D6B" w:rsidP="00630D6B">
      <w:pPr>
        <w:jc w:val="both"/>
        <w:rPr>
          <w:rFonts w:ascii="Cambria" w:hAnsi="Cambria" w:cstheme="minorHAnsi"/>
          <w:b/>
          <w:bCs/>
          <w:sz w:val="20"/>
          <w:szCs w:val="20"/>
        </w:rPr>
      </w:pPr>
      <w:r w:rsidRPr="00730D83">
        <w:rPr>
          <w:rFonts w:ascii="Cambria" w:hAnsi="Cambria" w:cstheme="minorHAnsi"/>
          <w:b/>
          <w:bCs/>
          <w:sz w:val="20"/>
          <w:szCs w:val="20"/>
        </w:rPr>
        <w:br w:type="page"/>
      </w:r>
    </w:p>
    <w:p w14:paraId="5B682D9F" w14:textId="77777777" w:rsidR="00630D6B" w:rsidRPr="00730D83" w:rsidRDefault="00630D6B" w:rsidP="00630D6B">
      <w:pPr>
        <w:pStyle w:val="Heading1"/>
        <w:spacing w:before="0"/>
        <w:jc w:val="both"/>
        <w:rPr>
          <w:rFonts w:ascii="Cambria" w:hAnsi="Cambria" w:cstheme="minorHAnsi"/>
          <w:b/>
          <w:bCs/>
          <w:color w:val="auto"/>
          <w:sz w:val="20"/>
          <w:szCs w:val="20"/>
        </w:rPr>
      </w:pPr>
      <w:bookmarkStart w:id="63" w:name="_Toc54247670"/>
      <w:r w:rsidRPr="00730D83">
        <w:rPr>
          <w:rFonts w:ascii="Cambria" w:hAnsi="Cambria" w:cstheme="minorHAnsi"/>
          <w:b/>
          <w:bCs/>
          <w:color w:val="auto"/>
          <w:sz w:val="20"/>
          <w:szCs w:val="20"/>
        </w:rPr>
        <w:lastRenderedPageBreak/>
        <w:t>Annex 1: Evaluation Matrix</w:t>
      </w:r>
      <w:bookmarkEnd w:id="63"/>
      <w:r w:rsidRPr="00730D83">
        <w:rPr>
          <w:rFonts w:ascii="Cambria" w:hAnsi="Cambria" w:cstheme="minorHAnsi"/>
          <w:b/>
          <w:bCs/>
          <w:color w:val="auto"/>
          <w:sz w:val="20"/>
          <w:szCs w:val="20"/>
        </w:rPr>
        <w:t xml:space="preserve"> </w:t>
      </w:r>
    </w:p>
    <w:p w14:paraId="46AB130A" w14:textId="77777777" w:rsidR="00630D6B" w:rsidRPr="00730D83" w:rsidRDefault="00630D6B" w:rsidP="00630D6B">
      <w:pPr>
        <w:autoSpaceDE w:val="0"/>
        <w:autoSpaceDN w:val="0"/>
        <w:adjustRightInd w:val="0"/>
        <w:jc w:val="both"/>
        <w:rPr>
          <w:rFonts w:ascii="Cambria" w:hAnsi="Cambria" w:cstheme="minorHAnsi"/>
          <w:b/>
          <w:bCs/>
          <w:sz w:val="20"/>
          <w:szCs w:val="20"/>
        </w:rPr>
      </w:pPr>
    </w:p>
    <w:p w14:paraId="2C063E27" w14:textId="77777777" w:rsidR="00630D6B" w:rsidRPr="00730D83" w:rsidRDefault="00630D6B" w:rsidP="00630D6B">
      <w:pPr>
        <w:autoSpaceDE w:val="0"/>
        <w:autoSpaceDN w:val="0"/>
        <w:adjustRightInd w:val="0"/>
        <w:jc w:val="both"/>
        <w:rPr>
          <w:rFonts w:ascii="Cambria" w:hAnsi="Cambria" w:cstheme="minorHAnsi"/>
          <w:sz w:val="20"/>
          <w:szCs w:val="20"/>
        </w:rPr>
      </w:pPr>
      <w:r w:rsidRPr="00730D83">
        <w:rPr>
          <w:rFonts w:ascii="Cambria" w:hAnsi="Cambria" w:cstheme="minorHAnsi"/>
          <w:sz w:val="20"/>
          <w:szCs w:val="20"/>
        </w:rPr>
        <w:t xml:space="preserve">The diagram below shows the flow and structure of the aspects that have to be considered broadly within the mid-term evaluation. The following table details the investigation question areas that will be developed into the more detailed questions to support data collection and consolidation. </w:t>
      </w:r>
    </w:p>
    <w:p w14:paraId="068B17A4" w14:textId="77777777" w:rsidR="00630D6B" w:rsidRPr="00730D83" w:rsidRDefault="00630D6B" w:rsidP="00630D6B">
      <w:pPr>
        <w:jc w:val="both"/>
        <w:rPr>
          <w:rFonts w:ascii="Cambria" w:hAnsi="Cambria" w:cstheme="minorHAnsi"/>
          <w:sz w:val="20"/>
          <w:szCs w:val="20"/>
        </w:rPr>
      </w:pPr>
    </w:p>
    <w:p w14:paraId="2116AE45" w14:textId="77777777" w:rsidR="00630D6B" w:rsidRPr="00730D83" w:rsidRDefault="00630D6B" w:rsidP="00630D6B">
      <w:pPr>
        <w:jc w:val="both"/>
        <w:rPr>
          <w:rFonts w:ascii="Cambria" w:hAnsi="Cambria" w:cstheme="minorHAnsi"/>
          <w:b/>
          <w:bCs/>
          <w:sz w:val="20"/>
          <w:szCs w:val="20"/>
        </w:rPr>
      </w:pPr>
      <w:r w:rsidRPr="00730D83">
        <w:rPr>
          <w:rFonts w:ascii="Cambria" w:hAnsi="Cambria" w:cstheme="minorHAnsi"/>
          <w:b/>
          <w:bCs/>
          <w:sz w:val="20"/>
          <w:szCs w:val="20"/>
        </w:rPr>
        <w:t>Overall Framework</w:t>
      </w:r>
    </w:p>
    <w:p w14:paraId="7E284FAD" w14:textId="77777777" w:rsidR="00630D6B" w:rsidRPr="00730D83" w:rsidRDefault="00630D6B" w:rsidP="00630D6B">
      <w:pPr>
        <w:jc w:val="both"/>
        <w:rPr>
          <w:rFonts w:ascii="Cambria" w:hAnsi="Cambria" w:cstheme="minorHAnsi"/>
          <w:sz w:val="20"/>
          <w:szCs w:val="20"/>
        </w:rPr>
      </w:pPr>
    </w:p>
    <w:p w14:paraId="6B858C0B" w14:textId="5D23418F" w:rsidR="00630D6B" w:rsidRPr="00730D83" w:rsidRDefault="00630D6B" w:rsidP="00630D6B">
      <w:pPr>
        <w:jc w:val="both"/>
        <w:rPr>
          <w:rFonts w:ascii="Cambria" w:hAnsi="Cambria" w:cstheme="minorHAnsi"/>
          <w:sz w:val="20"/>
          <w:szCs w:val="20"/>
        </w:rPr>
      </w:pPr>
      <w:r w:rsidRPr="00730D83">
        <w:rPr>
          <w:rFonts w:ascii="Cambria" w:hAnsi="Cambria" w:cstheme="minorHAnsi"/>
          <w:b/>
          <w:bCs/>
          <w:noProof/>
          <w:sz w:val="20"/>
          <w:szCs w:val="20"/>
        </w:rPr>
        <w:drawing>
          <wp:anchor distT="0" distB="0" distL="114300" distR="114300" simplePos="0" relativeHeight="251665408" behindDoc="1" locked="0" layoutInCell="1" allowOverlap="1" wp14:anchorId="3E3684F8" wp14:editId="4C97F828">
            <wp:simplePos x="0" y="0"/>
            <wp:positionH relativeFrom="column">
              <wp:posOffset>-441960</wp:posOffset>
            </wp:positionH>
            <wp:positionV relativeFrom="paragraph">
              <wp:posOffset>152400</wp:posOffset>
            </wp:positionV>
            <wp:extent cx="7284720" cy="1760220"/>
            <wp:effectExtent l="0" t="0" r="0" b="11430"/>
            <wp:wrapTight wrapText="bothSides">
              <wp:wrapPolygon edited="0">
                <wp:start x="9320" y="0"/>
                <wp:lineTo x="9320" y="5610"/>
                <wp:lineTo x="9998" y="7481"/>
                <wp:lineTo x="7908" y="7714"/>
                <wp:lineTo x="7682" y="7948"/>
                <wp:lineTo x="7682" y="11221"/>
                <wp:lineTo x="5705" y="13091"/>
                <wp:lineTo x="4123" y="14727"/>
                <wp:lineTo x="2881" y="15662"/>
                <wp:lineTo x="2768" y="15896"/>
                <wp:lineTo x="2768" y="21506"/>
                <wp:lineTo x="18866" y="21506"/>
                <wp:lineTo x="18979" y="16364"/>
                <wp:lineTo x="18753" y="15662"/>
                <wp:lineTo x="13895" y="11221"/>
                <wp:lineTo x="14008" y="7948"/>
                <wp:lineTo x="13726" y="7714"/>
                <wp:lineTo x="11579" y="7481"/>
                <wp:lineTo x="12314" y="5377"/>
                <wp:lineTo x="12257" y="0"/>
                <wp:lineTo x="9320" y="0"/>
              </wp:wrapPolygon>
            </wp:wrapTight>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page">
              <wp14:pctWidth>0</wp14:pctWidth>
            </wp14:sizeRelH>
            <wp14:sizeRelV relativeFrom="page">
              <wp14:pctHeight>0</wp14:pctHeight>
            </wp14:sizeRelV>
          </wp:anchor>
        </w:drawing>
      </w:r>
    </w:p>
    <w:p w14:paraId="7D5A66EC" w14:textId="77777777" w:rsidR="00630D6B" w:rsidRPr="00730D83" w:rsidRDefault="00630D6B" w:rsidP="00630D6B">
      <w:pPr>
        <w:jc w:val="both"/>
        <w:rPr>
          <w:rFonts w:ascii="Cambria" w:hAnsi="Cambria" w:cstheme="minorHAnsi"/>
          <w:sz w:val="20"/>
          <w:szCs w:val="20"/>
        </w:rPr>
      </w:pPr>
    </w:p>
    <w:p w14:paraId="102B5F5A" w14:textId="77777777" w:rsidR="00630D6B" w:rsidRPr="00730D83" w:rsidRDefault="00630D6B" w:rsidP="00630D6B">
      <w:pPr>
        <w:jc w:val="both"/>
        <w:rPr>
          <w:rFonts w:ascii="Cambria" w:hAnsi="Cambria" w:cstheme="minorHAnsi"/>
          <w:sz w:val="20"/>
          <w:szCs w:val="20"/>
        </w:rPr>
      </w:pPr>
    </w:p>
    <w:p w14:paraId="6AF5BDA9" w14:textId="77777777" w:rsidR="00630D6B" w:rsidRPr="00730D83" w:rsidRDefault="00630D6B" w:rsidP="00630D6B">
      <w:pPr>
        <w:jc w:val="both"/>
        <w:rPr>
          <w:rFonts w:ascii="Cambria" w:hAnsi="Cambria" w:cstheme="minorHAnsi"/>
          <w:sz w:val="20"/>
          <w:szCs w:val="20"/>
        </w:rPr>
      </w:pPr>
    </w:p>
    <w:p w14:paraId="7079DE8C" w14:textId="77777777" w:rsidR="00630D6B" w:rsidRPr="00730D83" w:rsidRDefault="00630D6B" w:rsidP="00630D6B">
      <w:pPr>
        <w:jc w:val="both"/>
        <w:rPr>
          <w:rFonts w:ascii="Cambria" w:hAnsi="Cambria" w:cstheme="minorHAnsi"/>
          <w:sz w:val="20"/>
          <w:szCs w:val="20"/>
        </w:rPr>
      </w:pPr>
    </w:p>
    <w:p w14:paraId="0E5B9F44" w14:textId="77777777" w:rsidR="00630D6B" w:rsidRPr="00730D83" w:rsidRDefault="00630D6B" w:rsidP="00630D6B">
      <w:pPr>
        <w:jc w:val="both"/>
        <w:rPr>
          <w:rFonts w:ascii="Cambria" w:hAnsi="Cambria" w:cstheme="minorHAnsi"/>
          <w:sz w:val="20"/>
          <w:szCs w:val="20"/>
        </w:rPr>
      </w:pPr>
    </w:p>
    <w:p w14:paraId="6BF9B7A9" w14:textId="77777777" w:rsidR="00630D6B" w:rsidRPr="00730D83" w:rsidRDefault="00630D6B" w:rsidP="00630D6B">
      <w:pPr>
        <w:jc w:val="both"/>
        <w:rPr>
          <w:rFonts w:ascii="Cambria" w:hAnsi="Cambria" w:cstheme="minorHAnsi"/>
          <w:sz w:val="20"/>
          <w:szCs w:val="20"/>
        </w:rPr>
      </w:pPr>
    </w:p>
    <w:p w14:paraId="6607C4EE" w14:textId="77777777" w:rsidR="00630D6B" w:rsidRPr="00730D83" w:rsidRDefault="00630D6B" w:rsidP="00630D6B">
      <w:pPr>
        <w:jc w:val="both"/>
        <w:rPr>
          <w:rFonts w:ascii="Cambria" w:hAnsi="Cambria" w:cstheme="minorHAnsi"/>
          <w:sz w:val="20"/>
          <w:szCs w:val="20"/>
        </w:rPr>
      </w:pPr>
    </w:p>
    <w:tbl>
      <w:tblPr>
        <w:tblW w:w="0" w:type="auto"/>
        <w:tblLook w:val="04A0" w:firstRow="1" w:lastRow="0" w:firstColumn="1" w:lastColumn="0" w:noHBand="0" w:noVBand="1"/>
      </w:tblPr>
      <w:tblGrid>
        <w:gridCol w:w="921"/>
        <w:gridCol w:w="1459"/>
        <w:gridCol w:w="1639"/>
        <w:gridCol w:w="1572"/>
        <w:gridCol w:w="1682"/>
        <w:gridCol w:w="2087"/>
      </w:tblGrid>
      <w:tr w:rsidR="00630D6B" w:rsidRPr="00730D83" w14:paraId="58C55892" w14:textId="77777777" w:rsidTr="00F53B9B">
        <w:trPr>
          <w:tblHeader/>
        </w:trPr>
        <w:tc>
          <w:tcPr>
            <w:tcW w:w="1413" w:type="dxa"/>
          </w:tcPr>
          <w:p w14:paraId="531AC616" w14:textId="77777777" w:rsidR="00630D6B" w:rsidRPr="00730D83" w:rsidRDefault="00630D6B" w:rsidP="00F53B9B">
            <w:pPr>
              <w:jc w:val="both"/>
              <w:rPr>
                <w:rFonts w:ascii="Cambria" w:hAnsi="Cambria" w:cstheme="minorHAnsi"/>
                <w:b/>
                <w:bCs/>
                <w:sz w:val="20"/>
                <w:szCs w:val="20"/>
              </w:rPr>
            </w:pPr>
          </w:p>
          <w:p w14:paraId="452E1BD9" w14:textId="77777777" w:rsidR="00630D6B" w:rsidRPr="00730D83" w:rsidRDefault="00630D6B" w:rsidP="00F53B9B">
            <w:pPr>
              <w:jc w:val="both"/>
              <w:rPr>
                <w:rFonts w:ascii="Cambria" w:hAnsi="Cambria" w:cstheme="minorHAnsi"/>
                <w:b/>
                <w:bCs/>
                <w:sz w:val="20"/>
                <w:szCs w:val="20"/>
              </w:rPr>
            </w:pPr>
          </w:p>
        </w:tc>
        <w:tc>
          <w:tcPr>
            <w:tcW w:w="3030" w:type="dxa"/>
          </w:tcPr>
          <w:p w14:paraId="14EF3637" w14:textId="77777777" w:rsidR="00630D6B" w:rsidRPr="00730D83" w:rsidRDefault="00630D6B" w:rsidP="00F53B9B">
            <w:pPr>
              <w:jc w:val="both"/>
              <w:rPr>
                <w:rFonts w:ascii="Cambria" w:hAnsi="Cambria" w:cstheme="minorHAnsi"/>
                <w:b/>
                <w:bCs/>
                <w:sz w:val="20"/>
                <w:szCs w:val="20"/>
              </w:rPr>
            </w:pPr>
            <w:r w:rsidRPr="00730D83">
              <w:rPr>
                <w:rFonts w:ascii="Cambria" w:hAnsi="Cambria" w:cstheme="minorHAnsi"/>
                <w:b/>
                <w:bCs/>
                <w:sz w:val="20"/>
                <w:szCs w:val="20"/>
              </w:rPr>
              <w:t>Relevance</w:t>
            </w:r>
          </w:p>
        </w:tc>
        <w:tc>
          <w:tcPr>
            <w:tcW w:w="2441" w:type="dxa"/>
          </w:tcPr>
          <w:p w14:paraId="37FFA26A" w14:textId="77777777" w:rsidR="00630D6B" w:rsidRPr="00730D83" w:rsidRDefault="00630D6B" w:rsidP="00F53B9B">
            <w:pPr>
              <w:jc w:val="both"/>
              <w:rPr>
                <w:rFonts w:ascii="Cambria" w:hAnsi="Cambria" w:cstheme="minorHAnsi"/>
                <w:b/>
                <w:bCs/>
                <w:sz w:val="20"/>
                <w:szCs w:val="20"/>
              </w:rPr>
            </w:pPr>
            <w:r w:rsidRPr="00730D83">
              <w:rPr>
                <w:rFonts w:ascii="Cambria" w:hAnsi="Cambria" w:cstheme="minorHAnsi"/>
                <w:b/>
                <w:bCs/>
                <w:sz w:val="20"/>
                <w:szCs w:val="20"/>
              </w:rPr>
              <w:t>Effectiveness</w:t>
            </w:r>
          </w:p>
        </w:tc>
        <w:tc>
          <w:tcPr>
            <w:tcW w:w="2343" w:type="dxa"/>
          </w:tcPr>
          <w:p w14:paraId="65068C74" w14:textId="77777777" w:rsidR="00630D6B" w:rsidRPr="00730D83" w:rsidRDefault="00630D6B" w:rsidP="00F53B9B">
            <w:pPr>
              <w:jc w:val="both"/>
              <w:rPr>
                <w:rFonts w:ascii="Cambria" w:hAnsi="Cambria" w:cstheme="minorHAnsi"/>
                <w:b/>
                <w:bCs/>
                <w:sz w:val="20"/>
                <w:szCs w:val="20"/>
              </w:rPr>
            </w:pPr>
            <w:r w:rsidRPr="00730D83">
              <w:rPr>
                <w:rFonts w:ascii="Cambria" w:hAnsi="Cambria" w:cstheme="minorHAnsi"/>
                <w:b/>
                <w:bCs/>
                <w:sz w:val="20"/>
                <w:szCs w:val="20"/>
              </w:rPr>
              <w:t>Efficiency</w:t>
            </w:r>
          </w:p>
        </w:tc>
        <w:tc>
          <w:tcPr>
            <w:tcW w:w="2271" w:type="dxa"/>
          </w:tcPr>
          <w:p w14:paraId="47473713" w14:textId="77777777" w:rsidR="00630D6B" w:rsidRPr="00730D83" w:rsidRDefault="00630D6B" w:rsidP="00F53B9B">
            <w:pPr>
              <w:jc w:val="both"/>
              <w:rPr>
                <w:rFonts w:ascii="Cambria" w:hAnsi="Cambria" w:cstheme="minorHAnsi"/>
                <w:b/>
                <w:bCs/>
                <w:sz w:val="20"/>
                <w:szCs w:val="20"/>
              </w:rPr>
            </w:pPr>
            <w:r w:rsidRPr="00730D83">
              <w:rPr>
                <w:rFonts w:ascii="Cambria" w:hAnsi="Cambria" w:cstheme="minorHAnsi"/>
                <w:b/>
                <w:bCs/>
                <w:sz w:val="20"/>
                <w:szCs w:val="20"/>
              </w:rPr>
              <w:t>Impact</w:t>
            </w:r>
          </w:p>
        </w:tc>
        <w:tc>
          <w:tcPr>
            <w:tcW w:w="2452" w:type="dxa"/>
          </w:tcPr>
          <w:p w14:paraId="1218B430" w14:textId="77777777" w:rsidR="00630D6B" w:rsidRPr="00730D83" w:rsidRDefault="00630D6B" w:rsidP="00F53B9B">
            <w:pPr>
              <w:jc w:val="both"/>
              <w:rPr>
                <w:rFonts w:ascii="Cambria" w:hAnsi="Cambria" w:cstheme="minorHAnsi"/>
                <w:b/>
                <w:bCs/>
                <w:sz w:val="20"/>
                <w:szCs w:val="20"/>
              </w:rPr>
            </w:pPr>
            <w:r w:rsidRPr="00730D83">
              <w:rPr>
                <w:rFonts w:ascii="Cambria" w:hAnsi="Cambria" w:cstheme="minorHAnsi"/>
                <w:b/>
                <w:bCs/>
                <w:sz w:val="20"/>
                <w:szCs w:val="20"/>
              </w:rPr>
              <w:t>Sustainability/Ownership</w:t>
            </w:r>
          </w:p>
        </w:tc>
      </w:tr>
      <w:tr w:rsidR="00630D6B" w:rsidRPr="00730D83" w14:paraId="3A6B8B88" w14:textId="77777777" w:rsidTr="00F53B9B">
        <w:tc>
          <w:tcPr>
            <w:tcW w:w="1413" w:type="dxa"/>
          </w:tcPr>
          <w:p w14:paraId="25E3CFA7" w14:textId="77777777" w:rsidR="00630D6B" w:rsidRPr="00730D83" w:rsidRDefault="00630D6B" w:rsidP="00F53B9B">
            <w:pPr>
              <w:jc w:val="both"/>
              <w:rPr>
                <w:rFonts w:ascii="Cambria" w:hAnsi="Cambria" w:cstheme="minorHAnsi"/>
                <w:b/>
                <w:bCs/>
                <w:sz w:val="20"/>
                <w:szCs w:val="20"/>
              </w:rPr>
            </w:pPr>
            <w:r w:rsidRPr="00730D83">
              <w:rPr>
                <w:rFonts w:ascii="Cambria" w:hAnsi="Cambria" w:cstheme="minorHAnsi"/>
                <w:b/>
                <w:bCs/>
                <w:sz w:val="20"/>
                <w:szCs w:val="20"/>
              </w:rPr>
              <w:t>Big question to answer</w:t>
            </w:r>
          </w:p>
        </w:tc>
        <w:tc>
          <w:tcPr>
            <w:tcW w:w="3030" w:type="dxa"/>
          </w:tcPr>
          <w:p w14:paraId="2FA201C0" w14:textId="77777777" w:rsidR="00630D6B" w:rsidRPr="00730D83" w:rsidRDefault="00630D6B" w:rsidP="00F53B9B">
            <w:pPr>
              <w:jc w:val="both"/>
              <w:rPr>
                <w:rFonts w:ascii="Cambria" w:hAnsi="Cambria" w:cstheme="minorHAnsi"/>
                <w:b/>
                <w:bCs/>
                <w:sz w:val="20"/>
                <w:szCs w:val="20"/>
              </w:rPr>
            </w:pPr>
            <w:r w:rsidRPr="00730D83">
              <w:rPr>
                <w:rFonts w:ascii="Cambria" w:hAnsi="Cambria" w:cstheme="minorHAnsi"/>
                <w:b/>
                <w:bCs/>
                <w:sz w:val="20"/>
                <w:szCs w:val="20"/>
              </w:rPr>
              <w:t>Is the intervention doing things right?</w:t>
            </w:r>
          </w:p>
        </w:tc>
        <w:tc>
          <w:tcPr>
            <w:tcW w:w="2441" w:type="dxa"/>
          </w:tcPr>
          <w:p w14:paraId="7529F28C" w14:textId="77777777" w:rsidR="00630D6B" w:rsidRPr="00730D83" w:rsidRDefault="00630D6B" w:rsidP="00F53B9B">
            <w:pPr>
              <w:jc w:val="both"/>
              <w:rPr>
                <w:rFonts w:ascii="Cambria" w:hAnsi="Cambria" w:cstheme="minorHAnsi"/>
                <w:b/>
                <w:bCs/>
                <w:sz w:val="20"/>
                <w:szCs w:val="20"/>
              </w:rPr>
            </w:pPr>
            <w:r w:rsidRPr="00730D83">
              <w:rPr>
                <w:rFonts w:ascii="Cambria" w:hAnsi="Cambria" w:cstheme="minorHAnsi"/>
                <w:b/>
                <w:bCs/>
                <w:sz w:val="20"/>
                <w:szCs w:val="20"/>
              </w:rPr>
              <w:t>Is the intervention achieving its objectives?</w:t>
            </w:r>
          </w:p>
        </w:tc>
        <w:tc>
          <w:tcPr>
            <w:tcW w:w="2343" w:type="dxa"/>
          </w:tcPr>
          <w:p w14:paraId="654ACFDB" w14:textId="77777777" w:rsidR="00630D6B" w:rsidRPr="00730D83" w:rsidRDefault="00630D6B" w:rsidP="00F53B9B">
            <w:pPr>
              <w:jc w:val="both"/>
              <w:rPr>
                <w:rFonts w:ascii="Cambria" w:hAnsi="Cambria" w:cstheme="minorHAnsi"/>
                <w:b/>
                <w:bCs/>
                <w:sz w:val="20"/>
                <w:szCs w:val="20"/>
              </w:rPr>
            </w:pPr>
            <w:r w:rsidRPr="00730D83">
              <w:rPr>
                <w:rFonts w:ascii="Cambria" w:hAnsi="Cambria" w:cstheme="minorHAnsi"/>
                <w:b/>
                <w:bCs/>
                <w:sz w:val="20"/>
                <w:szCs w:val="20"/>
              </w:rPr>
              <w:t>How well are resources being used?</w:t>
            </w:r>
          </w:p>
        </w:tc>
        <w:tc>
          <w:tcPr>
            <w:tcW w:w="2271" w:type="dxa"/>
          </w:tcPr>
          <w:p w14:paraId="0214ED16" w14:textId="77777777" w:rsidR="00630D6B" w:rsidRPr="00730D83" w:rsidRDefault="00630D6B" w:rsidP="00F53B9B">
            <w:pPr>
              <w:jc w:val="both"/>
              <w:rPr>
                <w:rFonts w:ascii="Cambria" w:hAnsi="Cambria" w:cstheme="minorHAnsi"/>
                <w:b/>
                <w:bCs/>
                <w:sz w:val="20"/>
                <w:szCs w:val="20"/>
              </w:rPr>
            </w:pPr>
            <w:r w:rsidRPr="00730D83">
              <w:rPr>
                <w:rFonts w:ascii="Cambria" w:hAnsi="Cambria" w:cstheme="minorHAnsi"/>
                <w:b/>
                <w:bCs/>
                <w:sz w:val="20"/>
                <w:szCs w:val="20"/>
              </w:rPr>
              <w:t>What difference is the intervention making?</w:t>
            </w:r>
          </w:p>
        </w:tc>
        <w:tc>
          <w:tcPr>
            <w:tcW w:w="2452" w:type="dxa"/>
          </w:tcPr>
          <w:p w14:paraId="77D82760" w14:textId="77777777" w:rsidR="00630D6B" w:rsidRPr="00730D83" w:rsidRDefault="00630D6B" w:rsidP="00F53B9B">
            <w:pPr>
              <w:jc w:val="both"/>
              <w:rPr>
                <w:rFonts w:ascii="Cambria" w:hAnsi="Cambria" w:cstheme="minorHAnsi"/>
                <w:b/>
                <w:bCs/>
                <w:sz w:val="20"/>
                <w:szCs w:val="20"/>
              </w:rPr>
            </w:pPr>
            <w:r w:rsidRPr="00730D83">
              <w:rPr>
                <w:rFonts w:ascii="Cambria" w:hAnsi="Cambria" w:cstheme="minorHAnsi"/>
                <w:b/>
                <w:bCs/>
                <w:sz w:val="20"/>
                <w:szCs w:val="20"/>
              </w:rPr>
              <w:t>Will the benefits last?</w:t>
            </w:r>
          </w:p>
        </w:tc>
      </w:tr>
      <w:tr w:rsidR="00630D6B" w:rsidRPr="00730D83" w14:paraId="7645B0A7" w14:textId="77777777" w:rsidTr="00F53B9B">
        <w:tc>
          <w:tcPr>
            <w:tcW w:w="1413" w:type="dxa"/>
          </w:tcPr>
          <w:p w14:paraId="4AD4C256" w14:textId="77777777" w:rsidR="00630D6B" w:rsidRPr="00730D83" w:rsidRDefault="00630D6B" w:rsidP="00F53B9B">
            <w:pPr>
              <w:jc w:val="both"/>
              <w:rPr>
                <w:rFonts w:ascii="Cambria" w:hAnsi="Cambria" w:cstheme="minorHAnsi"/>
                <w:b/>
                <w:bCs/>
                <w:sz w:val="20"/>
                <w:szCs w:val="20"/>
              </w:rPr>
            </w:pPr>
            <w:r w:rsidRPr="00730D83">
              <w:rPr>
                <w:rFonts w:ascii="Cambria" w:hAnsi="Cambria" w:cstheme="minorHAnsi"/>
                <w:b/>
                <w:bCs/>
                <w:sz w:val="20"/>
                <w:szCs w:val="20"/>
              </w:rPr>
              <w:t xml:space="preserve">Sub questions </w:t>
            </w:r>
          </w:p>
        </w:tc>
        <w:tc>
          <w:tcPr>
            <w:tcW w:w="3030" w:type="dxa"/>
          </w:tcPr>
          <w:p w14:paraId="5F304697" w14:textId="77777777" w:rsidR="00630D6B" w:rsidRPr="00730D83" w:rsidRDefault="00630D6B" w:rsidP="00925CAD">
            <w:pPr>
              <w:numPr>
                <w:ilvl w:val="0"/>
                <w:numId w:val="39"/>
              </w:numPr>
              <w:spacing w:after="0"/>
              <w:contextualSpacing/>
              <w:jc w:val="both"/>
              <w:rPr>
                <w:rFonts w:ascii="Cambria" w:hAnsi="Cambria" w:cstheme="minorHAnsi"/>
                <w:sz w:val="20"/>
                <w:szCs w:val="20"/>
              </w:rPr>
            </w:pPr>
            <w:r w:rsidRPr="00730D83">
              <w:rPr>
                <w:rFonts w:ascii="Cambria" w:hAnsi="Cambria" w:cstheme="minorHAnsi"/>
                <w:sz w:val="20"/>
                <w:szCs w:val="20"/>
              </w:rPr>
              <w:t>What was done?</w:t>
            </w:r>
          </w:p>
          <w:p w14:paraId="5A10F787" w14:textId="77777777" w:rsidR="00630D6B" w:rsidRPr="00730D83" w:rsidRDefault="00630D6B" w:rsidP="00925CAD">
            <w:pPr>
              <w:numPr>
                <w:ilvl w:val="0"/>
                <w:numId w:val="39"/>
              </w:numPr>
              <w:spacing w:after="0"/>
              <w:contextualSpacing/>
              <w:jc w:val="both"/>
              <w:rPr>
                <w:rFonts w:ascii="Cambria" w:hAnsi="Cambria" w:cstheme="minorHAnsi"/>
                <w:sz w:val="20"/>
                <w:szCs w:val="20"/>
              </w:rPr>
            </w:pPr>
            <w:r w:rsidRPr="00730D83">
              <w:rPr>
                <w:rFonts w:ascii="Cambria" w:hAnsi="Cambria" w:cstheme="minorHAnsi"/>
                <w:sz w:val="20"/>
                <w:szCs w:val="20"/>
              </w:rPr>
              <w:t>Was it what was needed in the country context (priorities)?</w:t>
            </w:r>
          </w:p>
          <w:p w14:paraId="57F4ECBA" w14:textId="77777777" w:rsidR="00630D6B" w:rsidRPr="00730D83" w:rsidRDefault="00630D6B" w:rsidP="00925CAD">
            <w:pPr>
              <w:numPr>
                <w:ilvl w:val="0"/>
                <w:numId w:val="39"/>
              </w:numPr>
              <w:spacing w:after="0"/>
              <w:contextualSpacing/>
              <w:jc w:val="both"/>
              <w:rPr>
                <w:rFonts w:ascii="Cambria" w:hAnsi="Cambria" w:cstheme="minorHAnsi"/>
                <w:sz w:val="20"/>
                <w:szCs w:val="20"/>
              </w:rPr>
            </w:pPr>
            <w:r w:rsidRPr="00730D83">
              <w:rPr>
                <w:rFonts w:ascii="Cambria" w:hAnsi="Cambria" w:cstheme="minorHAnsi"/>
                <w:sz w:val="20"/>
                <w:szCs w:val="20"/>
              </w:rPr>
              <w:t>What more needs to be done to improve relevance?</w:t>
            </w:r>
          </w:p>
          <w:p w14:paraId="6A2A90FB" w14:textId="77777777" w:rsidR="00630D6B" w:rsidRPr="00730D83" w:rsidRDefault="00630D6B" w:rsidP="00925CAD">
            <w:pPr>
              <w:numPr>
                <w:ilvl w:val="0"/>
                <w:numId w:val="39"/>
              </w:numPr>
              <w:spacing w:after="0"/>
              <w:contextualSpacing/>
              <w:jc w:val="both"/>
              <w:rPr>
                <w:rFonts w:ascii="Cambria" w:hAnsi="Cambria" w:cstheme="minorHAnsi"/>
                <w:sz w:val="20"/>
                <w:szCs w:val="20"/>
              </w:rPr>
            </w:pPr>
            <w:r w:rsidRPr="00730D83">
              <w:rPr>
                <w:rFonts w:ascii="Cambria" w:hAnsi="Cambria" w:cstheme="minorHAnsi"/>
                <w:sz w:val="20"/>
                <w:szCs w:val="20"/>
              </w:rPr>
              <w:t xml:space="preserve">How can the way things have been </w:t>
            </w:r>
            <w:r w:rsidRPr="00730D83">
              <w:rPr>
                <w:rFonts w:ascii="Cambria" w:hAnsi="Cambria" w:cstheme="minorHAnsi"/>
                <w:sz w:val="20"/>
                <w:szCs w:val="20"/>
              </w:rPr>
              <w:lastRenderedPageBreak/>
              <w:t>done improve?</w:t>
            </w:r>
          </w:p>
          <w:p w14:paraId="7E08DF39" w14:textId="77777777" w:rsidR="00630D6B" w:rsidRPr="00730D83" w:rsidRDefault="00630D6B" w:rsidP="00925CAD">
            <w:pPr>
              <w:numPr>
                <w:ilvl w:val="0"/>
                <w:numId w:val="39"/>
              </w:numPr>
              <w:spacing w:after="0"/>
              <w:contextualSpacing/>
              <w:jc w:val="both"/>
              <w:rPr>
                <w:rFonts w:ascii="Cambria" w:hAnsi="Cambria" w:cstheme="minorHAnsi"/>
                <w:sz w:val="20"/>
                <w:szCs w:val="20"/>
              </w:rPr>
            </w:pPr>
            <w:r w:rsidRPr="00730D83">
              <w:rPr>
                <w:rFonts w:ascii="Cambria" w:hAnsi="Cambria" w:cstheme="minorHAnsi"/>
                <w:sz w:val="20"/>
                <w:szCs w:val="20"/>
              </w:rPr>
              <w:t>How does the current context and dynamism within it (political, economic, Covid-19, etc.) affect the relevance of the portfolio?</w:t>
            </w:r>
          </w:p>
          <w:p w14:paraId="35687915" w14:textId="77777777" w:rsidR="00630D6B" w:rsidRPr="00730D83" w:rsidRDefault="00630D6B" w:rsidP="00925CAD">
            <w:pPr>
              <w:numPr>
                <w:ilvl w:val="0"/>
                <w:numId w:val="39"/>
              </w:numPr>
              <w:spacing w:after="0"/>
              <w:contextualSpacing/>
              <w:jc w:val="both"/>
              <w:rPr>
                <w:rFonts w:ascii="Cambria" w:hAnsi="Cambria" w:cstheme="minorHAnsi"/>
                <w:sz w:val="20"/>
                <w:szCs w:val="20"/>
              </w:rPr>
            </w:pPr>
            <w:r w:rsidRPr="00730D83">
              <w:rPr>
                <w:rFonts w:ascii="Cambria" w:hAnsi="Cambria" w:cstheme="minorHAnsi"/>
                <w:sz w:val="20"/>
                <w:szCs w:val="20"/>
              </w:rPr>
              <w:t>How does the integration of gender apply in relation to relevance and how has this been implemented?</w:t>
            </w:r>
          </w:p>
          <w:p w14:paraId="03F9D959" w14:textId="77777777" w:rsidR="00630D6B" w:rsidRPr="00730D83" w:rsidRDefault="00630D6B" w:rsidP="00925CAD">
            <w:pPr>
              <w:numPr>
                <w:ilvl w:val="0"/>
                <w:numId w:val="39"/>
              </w:numPr>
              <w:spacing w:after="0"/>
              <w:contextualSpacing/>
              <w:jc w:val="both"/>
              <w:rPr>
                <w:rFonts w:ascii="Cambria" w:hAnsi="Cambria" w:cstheme="minorHAnsi"/>
                <w:sz w:val="20"/>
                <w:szCs w:val="20"/>
              </w:rPr>
            </w:pPr>
            <w:r w:rsidRPr="00730D83">
              <w:rPr>
                <w:rFonts w:ascii="Cambria" w:hAnsi="Cambria" w:cstheme="minorHAnsi"/>
                <w:sz w:val="20"/>
                <w:szCs w:val="20"/>
              </w:rPr>
              <w:t xml:space="preserve">How does the integration of other cross cutting themes such as HRBA, youth and innovation apply in relation to relevance and how has this been </w:t>
            </w:r>
            <w:r w:rsidRPr="00730D83">
              <w:rPr>
                <w:rFonts w:ascii="Cambria" w:hAnsi="Cambria" w:cstheme="minorHAnsi"/>
                <w:sz w:val="20"/>
                <w:szCs w:val="20"/>
              </w:rPr>
              <w:lastRenderedPageBreak/>
              <w:t>implemented?</w:t>
            </w:r>
          </w:p>
        </w:tc>
        <w:tc>
          <w:tcPr>
            <w:tcW w:w="2441" w:type="dxa"/>
          </w:tcPr>
          <w:p w14:paraId="2313E015" w14:textId="77777777" w:rsidR="00630D6B" w:rsidRPr="00730D83" w:rsidRDefault="00630D6B" w:rsidP="00925CAD">
            <w:pPr>
              <w:numPr>
                <w:ilvl w:val="0"/>
                <w:numId w:val="39"/>
              </w:numPr>
              <w:spacing w:after="0"/>
              <w:contextualSpacing/>
              <w:jc w:val="both"/>
              <w:rPr>
                <w:rFonts w:ascii="Cambria" w:hAnsi="Cambria" w:cstheme="minorHAnsi"/>
                <w:sz w:val="20"/>
                <w:szCs w:val="20"/>
              </w:rPr>
            </w:pPr>
            <w:r w:rsidRPr="00730D83">
              <w:rPr>
                <w:rFonts w:ascii="Cambria" w:hAnsi="Cambria" w:cstheme="minorHAnsi"/>
                <w:sz w:val="20"/>
                <w:szCs w:val="20"/>
              </w:rPr>
              <w:lastRenderedPageBreak/>
              <w:t>To what extent was what was done/methods to ensure the objectives and results of the portfolio are achieved through the identified activities?</w:t>
            </w:r>
          </w:p>
          <w:p w14:paraId="4C885AAC" w14:textId="77777777" w:rsidR="00630D6B" w:rsidRPr="00730D83" w:rsidRDefault="00630D6B" w:rsidP="00925CAD">
            <w:pPr>
              <w:numPr>
                <w:ilvl w:val="0"/>
                <w:numId w:val="39"/>
              </w:numPr>
              <w:spacing w:after="0"/>
              <w:contextualSpacing/>
              <w:jc w:val="both"/>
              <w:rPr>
                <w:rFonts w:ascii="Cambria" w:hAnsi="Cambria" w:cstheme="minorHAnsi"/>
                <w:sz w:val="20"/>
                <w:szCs w:val="20"/>
              </w:rPr>
            </w:pPr>
            <w:r w:rsidRPr="00730D83">
              <w:rPr>
                <w:rFonts w:ascii="Cambria" w:hAnsi="Cambria" w:cstheme="minorHAnsi"/>
                <w:sz w:val="20"/>
                <w:szCs w:val="20"/>
              </w:rPr>
              <w:t>Can it continue unchanged as it moves towards completion?</w:t>
            </w:r>
          </w:p>
          <w:p w14:paraId="260B588B" w14:textId="77777777" w:rsidR="00630D6B" w:rsidRPr="00730D83" w:rsidRDefault="00630D6B" w:rsidP="00925CAD">
            <w:pPr>
              <w:numPr>
                <w:ilvl w:val="0"/>
                <w:numId w:val="39"/>
              </w:numPr>
              <w:spacing w:after="0"/>
              <w:contextualSpacing/>
              <w:jc w:val="both"/>
              <w:rPr>
                <w:rFonts w:ascii="Cambria" w:hAnsi="Cambria" w:cstheme="minorHAnsi"/>
                <w:sz w:val="20"/>
                <w:szCs w:val="20"/>
              </w:rPr>
            </w:pPr>
            <w:r w:rsidRPr="00730D83">
              <w:rPr>
                <w:rFonts w:ascii="Cambria" w:hAnsi="Cambria" w:cstheme="minorHAnsi"/>
                <w:sz w:val="20"/>
                <w:szCs w:val="20"/>
              </w:rPr>
              <w:lastRenderedPageBreak/>
              <w:t>What needs to change? Why?</w:t>
            </w:r>
          </w:p>
          <w:p w14:paraId="1C50A118" w14:textId="77777777" w:rsidR="00630D6B" w:rsidRPr="00730D83" w:rsidRDefault="00630D6B" w:rsidP="00925CAD">
            <w:pPr>
              <w:numPr>
                <w:ilvl w:val="0"/>
                <w:numId w:val="39"/>
              </w:numPr>
              <w:spacing w:after="0"/>
              <w:contextualSpacing/>
              <w:jc w:val="both"/>
              <w:rPr>
                <w:rFonts w:ascii="Cambria" w:hAnsi="Cambria" w:cstheme="minorHAnsi"/>
                <w:sz w:val="20"/>
                <w:szCs w:val="20"/>
              </w:rPr>
            </w:pPr>
            <w:r w:rsidRPr="00730D83">
              <w:rPr>
                <w:rFonts w:ascii="Cambria" w:hAnsi="Cambria" w:cstheme="minorHAnsi"/>
                <w:sz w:val="20"/>
                <w:szCs w:val="20"/>
              </w:rPr>
              <w:t xml:space="preserve">How is gender factored into the objectives? Is it sufficient to ensure realization of gender related objectives? </w:t>
            </w:r>
          </w:p>
          <w:p w14:paraId="5C40CBF7" w14:textId="77777777" w:rsidR="00630D6B" w:rsidRPr="00730D83" w:rsidRDefault="00630D6B" w:rsidP="00925CAD">
            <w:pPr>
              <w:numPr>
                <w:ilvl w:val="0"/>
                <w:numId w:val="39"/>
              </w:numPr>
              <w:spacing w:after="0"/>
              <w:contextualSpacing/>
              <w:jc w:val="both"/>
              <w:rPr>
                <w:rFonts w:ascii="Cambria" w:hAnsi="Cambria" w:cstheme="minorHAnsi"/>
                <w:sz w:val="20"/>
                <w:szCs w:val="20"/>
              </w:rPr>
            </w:pPr>
            <w:r w:rsidRPr="00730D83">
              <w:rPr>
                <w:rFonts w:ascii="Cambria" w:hAnsi="Cambria" w:cstheme="minorHAnsi"/>
                <w:sz w:val="20"/>
                <w:szCs w:val="20"/>
              </w:rPr>
              <w:t>How has it helped beneficiaries? How can beneficiary reach and support be improved?</w:t>
            </w:r>
          </w:p>
          <w:p w14:paraId="3CDDB00D" w14:textId="77777777" w:rsidR="00630D6B" w:rsidRPr="00730D83" w:rsidRDefault="00630D6B" w:rsidP="00925CAD">
            <w:pPr>
              <w:numPr>
                <w:ilvl w:val="0"/>
                <w:numId w:val="39"/>
              </w:numPr>
              <w:spacing w:after="0"/>
              <w:contextualSpacing/>
              <w:jc w:val="both"/>
              <w:rPr>
                <w:rFonts w:ascii="Cambria" w:hAnsi="Cambria" w:cstheme="minorHAnsi"/>
                <w:sz w:val="20"/>
                <w:szCs w:val="20"/>
              </w:rPr>
            </w:pPr>
            <w:r w:rsidRPr="00730D83">
              <w:rPr>
                <w:rFonts w:ascii="Cambria" w:hAnsi="Cambria" w:cstheme="minorHAnsi"/>
                <w:sz w:val="20"/>
                <w:szCs w:val="20"/>
              </w:rPr>
              <w:t>Has implementation been more effective for some groups of beneficiaries as opposed to others? How and Why? Did the implementation context affect this?</w:t>
            </w:r>
          </w:p>
          <w:p w14:paraId="1FB7BD17" w14:textId="77777777" w:rsidR="00630D6B" w:rsidRPr="00730D83" w:rsidRDefault="00630D6B" w:rsidP="00925CAD">
            <w:pPr>
              <w:numPr>
                <w:ilvl w:val="0"/>
                <w:numId w:val="39"/>
              </w:numPr>
              <w:spacing w:after="0"/>
              <w:contextualSpacing/>
              <w:jc w:val="both"/>
              <w:rPr>
                <w:rFonts w:ascii="Cambria" w:hAnsi="Cambria" w:cstheme="minorHAnsi"/>
                <w:sz w:val="20"/>
                <w:szCs w:val="20"/>
              </w:rPr>
            </w:pPr>
            <w:r w:rsidRPr="00730D83">
              <w:rPr>
                <w:rFonts w:ascii="Cambria" w:hAnsi="Cambria" w:cstheme="minorHAnsi"/>
                <w:sz w:val="20"/>
                <w:szCs w:val="20"/>
              </w:rPr>
              <w:t>What has been the learning to date on the relevance of the portfolio?</w:t>
            </w:r>
          </w:p>
          <w:p w14:paraId="66DDD114" w14:textId="77777777" w:rsidR="00630D6B" w:rsidRPr="00730D83" w:rsidRDefault="00630D6B" w:rsidP="00925CAD">
            <w:pPr>
              <w:numPr>
                <w:ilvl w:val="0"/>
                <w:numId w:val="39"/>
              </w:numPr>
              <w:spacing w:after="0"/>
              <w:contextualSpacing/>
              <w:jc w:val="both"/>
              <w:rPr>
                <w:rFonts w:ascii="Cambria" w:hAnsi="Cambria" w:cstheme="minorHAnsi"/>
                <w:sz w:val="20"/>
                <w:szCs w:val="20"/>
              </w:rPr>
            </w:pPr>
            <w:r w:rsidRPr="00730D83">
              <w:rPr>
                <w:rFonts w:ascii="Cambria" w:hAnsi="Cambria" w:cstheme="minorHAnsi"/>
                <w:sz w:val="20"/>
                <w:szCs w:val="20"/>
              </w:rPr>
              <w:lastRenderedPageBreak/>
              <w:t>What could have been done differently to ensure more effective implementation?</w:t>
            </w:r>
          </w:p>
        </w:tc>
        <w:tc>
          <w:tcPr>
            <w:tcW w:w="2343" w:type="dxa"/>
          </w:tcPr>
          <w:p w14:paraId="66AACF2B" w14:textId="77777777" w:rsidR="00630D6B" w:rsidRPr="00730D83" w:rsidRDefault="00630D6B" w:rsidP="00925CAD">
            <w:pPr>
              <w:numPr>
                <w:ilvl w:val="0"/>
                <w:numId w:val="39"/>
              </w:numPr>
              <w:spacing w:after="0"/>
              <w:contextualSpacing/>
              <w:jc w:val="both"/>
              <w:rPr>
                <w:rFonts w:ascii="Cambria" w:hAnsi="Cambria" w:cstheme="minorHAnsi"/>
                <w:sz w:val="20"/>
                <w:szCs w:val="20"/>
              </w:rPr>
            </w:pPr>
            <w:r w:rsidRPr="00730D83">
              <w:rPr>
                <w:rFonts w:ascii="Cambria" w:hAnsi="Cambria" w:cstheme="minorHAnsi"/>
                <w:sz w:val="20"/>
                <w:szCs w:val="20"/>
              </w:rPr>
              <w:lastRenderedPageBreak/>
              <w:t>Have there been challenges in rolling out the portfolio and related activities? What? To what extent have these been internally and externally driven?</w:t>
            </w:r>
          </w:p>
          <w:p w14:paraId="41DA9BD5" w14:textId="77777777" w:rsidR="00630D6B" w:rsidRPr="00730D83" w:rsidRDefault="00630D6B" w:rsidP="00925CAD">
            <w:pPr>
              <w:numPr>
                <w:ilvl w:val="0"/>
                <w:numId w:val="39"/>
              </w:numPr>
              <w:spacing w:after="0"/>
              <w:contextualSpacing/>
              <w:jc w:val="both"/>
              <w:rPr>
                <w:rFonts w:ascii="Cambria" w:hAnsi="Cambria" w:cstheme="minorHAnsi"/>
                <w:sz w:val="20"/>
                <w:szCs w:val="20"/>
              </w:rPr>
            </w:pPr>
            <w:r w:rsidRPr="00730D83">
              <w:rPr>
                <w:rFonts w:ascii="Cambria" w:hAnsi="Cambria" w:cstheme="minorHAnsi"/>
                <w:sz w:val="20"/>
                <w:szCs w:val="20"/>
              </w:rPr>
              <w:t xml:space="preserve">Going forward, what needs to be considered to improve </w:t>
            </w:r>
            <w:r w:rsidRPr="00730D83">
              <w:rPr>
                <w:rFonts w:ascii="Cambria" w:hAnsi="Cambria" w:cstheme="minorHAnsi"/>
                <w:sz w:val="20"/>
                <w:szCs w:val="20"/>
              </w:rPr>
              <w:lastRenderedPageBreak/>
              <w:t xml:space="preserve">implementation of the overall portfolio and related activities? </w:t>
            </w:r>
          </w:p>
          <w:p w14:paraId="7A9913D7" w14:textId="77777777" w:rsidR="00630D6B" w:rsidRPr="00730D83" w:rsidRDefault="00630D6B" w:rsidP="00925CAD">
            <w:pPr>
              <w:numPr>
                <w:ilvl w:val="0"/>
                <w:numId w:val="39"/>
              </w:numPr>
              <w:spacing w:after="0"/>
              <w:contextualSpacing/>
              <w:jc w:val="both"/>
              <w:rPr>
                <w:rFonts w:ascii="Cambria" w:hAnsi="Cambria" w:cstheme="minorHAnsi"/>
                <w:sz w:val="20"/>
                <w:szCs w:val="20"/>
              </w:rPr>
            </w:pPr>
            <w:r w:rsidRPr="00730D83">
              <w:rPr>
                <w:rFonts w:ascii="Cambria" w:hAnsi="Cambria" w:cstheme="minorHAnsi"/>
                <w:sz w:val="20"/>
                <w:szCs w:val="20"/>
              </w:rPr>
              <w:t xml:space="preserve">What are the best practices in cost efficiency, and what improvements are needed? </w:t>
            </w:r>
          </w:p>
        </w:tc>
        <w:tc>
          <w:tcPr>
            <w:tcW w:w="2271" w:type="dxa"/>
          </w:tcPr>
          <w:p w14:paraId="5D9B1AA9" w14:textId="77777777" w:rsidR="00630D6B" w:rsidRPr="00730D83" w:rsidRDefault="00630D6B" w:rsidP="00925CAD">
            <w:pPr>
              <w:numPr>
                <w:ilvl w:val="0"/>
                <w:numId w:val="40"/>
              </w:numPr>
              <w:spacing w:after="0"/>
              <w:contextualSpacing/>
              <w:jc w:val="both"/>
              <w:rPr>
                <w:rFonts w:ascii="Cambria" w:hAnsi="Cambria" w:cstheme="minorHAnsi"/>
                <w:sz w:val="20"/>
                <w:szCs w:val="20"/>
              </w:rPr>
            </w:pPr>
            <w:r w:rsidRPr="00730D83">
              <w:rPr>
                <w:rFonts w:ascii="Cambria" w:hAnsi="Cambria" w:cstheme="minorHAnsi"/>
                <w:sz w:val="20"/>
                <w:szCs w:val="20"/>
              </w:rPr>
              <w:lastRenderedPageBreak/>
              <w:t>What have been the positive/negative changes that the intervention has achieved? Short-term, medium term and longer term</w:t>
            </w:r>
          </w:p>
          <w:p w14:paraId="225AB377" w14:textId="77777777" w:rsidR="00630D6B" w:rsidRPr="00730D83" w:rsidRDefault="00630D6B" w:rsidP="00925CAD">
            <w:pPr>
              <w:numPr>
                <w:ilvl w:val="0"/>
                <w:numId w:val="40"/>
              </w:numPr>
              <w:spacing w:after="0"/>
              <w:contextualSpacing/>
              <w:jc w:val="both"/>
              <w:rPr>
                <w:rFonts w:ascii="Cambria" w:hAnsi="Cambria" w:cstheme="minorHAnsi"/>
                <w:sz w:val="20"/>
                <w:szCs w:val="20"/>
              </w:rPr>
            </w:pPr>
            <w:r w:rsidRPr="00730D83">
              <w:rPr>
                <w:rFonts w:ascii="Cambria" w:hAnsi="Cambria" w:cstheme="minorHAnsi"/>
                <w:sz w:val="20"/>
                <w:szCs w:val="20"/>
              </w:rPr>
              <w:t>To what extent can this be attributed to the intervention?</w:t>
            </w:r>
          </w:p>
          <w:p w14:paraId="0CA3AF8E" w14:textId="77777777" w:rsidR="00630D6B" w:rsidRPr="00730D83" w:rsidRDefault="00630D6B" w:rsidP="00925CAD">
            <w:pPr>
              <w:numPr>
                <w:ilvl w:val="0"/>
                <w:numId w:val="40"/>
              </w:numPr>
              <w:spacing w:after="0"/>
              <w:contextualSpacing/>
              <w:jc w:val="both"/>
              <w:rPr>
                <w:rFonts w:ascii="Cambria" w:hAnsi="Cambria" w:cstheme="minorHAnsi"/>
                <w:sz w:val="20"/>
                <w:szCs w:val="20"/>
              </w:rPr>
            </w:pPr>
            <w:r w:rsidRPr="00730D83">
              <w:rPr>
                <w:rFonts w:ascii="Cambria" w:hAnsi="Cambria" w:cstheme="minorHAnsi"/>
                <w:sz w:val="20"/>
                <w:szCs w:val="20"/>
              </w:rPr>
              <w:t xml:space="preserve">What else has affected </w:t>
            </w:r>
            <w:r w:rsidRPr="00730D83">
              <w:rPr>
                <w:rFonts w:ascii="Cambria" w:hAnsi="Cambria" w:cstheme="minorHAnsi"/>
                <w:sz w:val="20"/>
                <w:szCs w:val="20"/>
              </w:rPr>
              <w:lastRenderedPageBreak/>
              <w:t>the changes achieved?</w:t>
            </w:r>
          </w:p>
          <w:p w14:paraId="7E928D75" w14:textId="77777777" w:rsidR="00630D6B" w:rsidRPr="00730D83" w:rsidRDefault="00630D6B" w:rsidP="00925CAD">
            <w:pPr>
              <w:numPr>
                <w:ilvl w:val="0"/>
                <w:numId w:val="40"/>
              </w:numPr>
              <w:spacing w:after="0"/>
              <w:contextualSpacing/>
              <w:jc w:val="both"/>
              <w:rPr>
                <w:rFonts w:ascii="Cambria" w:hAnsi="Cambria" w:cstheme="minorHAnsi"/>
                <w:sz w:val="20"/>
                <w:szCs w:val="20"/>
              </w:rPr>
            </w:pPr>
            <w:r w:rsidRPr="00730D83">
              <w:rPr>
                <w:rFonts w:ascii="Cambria" w:hAnsi="Cambria" w:cstheme="minorHAnsi"/>
                <w:sz w:val="20"/>
                <w:szCs w:val="20"/>
              </w:rPr>
              <w:t>How have beneficiaries experienced changes? Was this as expected?</w:t>
            </w:r>
          </w:p>
          <w:p w14:paraId="5749CE85" w14:textId="77777777" w:rsidR="00630D6B" w:rsidRPr="00730D83" w:rsidRDefault="00630D6B" w:rsidP="00925CAD">
            <w:pPr>
              <w:numPr>
                <w:ilvl w:val="0"/>
                <w:numId w:val="40"/>
              </w:numPr>
              <w:spacing w:after="0"/>
              <w:contextualSpacing/>
              <w:jc w:val="both"/>
              <w:rPr>
                <w:rFonts w:ascii="Cambria" w:hAnsi="Cambria" w:cstheme="minorHAnsi"/>
                <w:sz w:val="20"/>
                <w:szCs w:val="20"/>
              </w:rPr>
            </w:pPr>
            <w:r w:rsidRPr="00730D83">
              <w:rPr>
                <w:rFonts w:ascii="Cambria" w:hAnsi="Cambria" w:cstheme="minorHAnsi"/>
                <w:sz w:val="20"/>
                <w:szCs w:val="20"/>
              </w:rPr>
              <w:t>What new partnerships needs to be explored?</w:t>
            </w:r>
          </w:p>
          <w:p w14:paraId="45849876" w14:textId="77777777" w:rsidR="00630D6B" w:rsidRPr="00730D83" w:rsidRDefault="00630D6B" w:rsidP="00925CAD">
            <w:pPr>
              <w:numPr>
                <w:ilvl w:val="0"/>
                <w:numId w:val="40"/>
              </w:numPr>
              <w:spacing w:after="0"/>
              <w:contextualSpacing/>
              <w:jc w:val="both"/>
              <w:rPr>
                <w:rFonts w:ascii="Cambria" w:hAnsi="Cambria" w:cstheme="minorHAnsi"/>
                <w:sz w:val="20"/>
                <w:szCs w:val="20"/>
              </w:rPr>
            </w:pPr>
            <w:r w:rsidRPr="00730D83">
              <w:rPr>
                <w:rFonts w:ascii="Cambria" w:hAnsi="Cambria" w:cstheme="minorHAnsi"/>
                <w:sz w:val="20"/>
                <w:szCs w:val="20"/>
              </w:rPr>
              <w:t xml:space="preserve">How has gender been impacted? </w:t>
            </w:r>
          </w:p>
          <w:p w14:paraId="0AD9C009" w14:textId="77777777" w:rsidR="00630D6B" w:rsidRPr="00730D83" w:rsidRDefault="00630D6B" w:rsidP="00925CAD">
            <w:pPr>
              <w:numPr>
                <w:ilvl w:val="0"/>
                <w:numId w:val="40"/>
              </w:numPr>
              <w:spacing w:after="0"/>
              <w:contextualSpacing/>
              <w:jc w:val="both"/>
              <w:rPr>
                <w:rFonts w:ascii="Cambria" w:hAnsi="Cambria" w:cstheme="minorHAnsi"/>
                <w:sz w:val="20"/>
                <w:szCs w:val="20"/>
              </w:rPr>
            </w:pPr>
            <w:r w:rsidRPr="00730D83">
              <w:rPr>
                <w:rFonts w:ascii="Cambria" w:hAnsi="Cambria" w:cstheme="minorHAnsi"/>
                <w:sz w:val="20"/>
                <w:szCs w:val="20"/>
              </w:rPr>
              <w:t>What more needs to be done to ensure impact continues? What needs to change?</w:t>
            </w:r>
          </w:p>
          <w:p w14:paraId="5EA8D297" w14:textId="77777777" w:rsidR="00630D6B" w:rsidRPr="00730D83" w:rsidRDefault="00630D6B" w:rsidP="00925CAD">
            <w:pPr>
              <w:numPr>
                <w:ilvl w:val="0"/>
                <w:numId w:val="40"/>
              </w:numPr>
              <w:spacing w:after="0"/>
              <w:contextualSpacing/>
              <w:jc w:val="both"/>
              <w:rPr>
                <w:rFonts w:ascii="Cambria" w:hAnsi="Cambria" w:cstheme="minorHAnsi"/>
                <w:sz w:val="20"/>
                <w:szCs w:val="20"/>
              </w:rPr>
            </w:pPr>
            <w:r w:rsidRPr="00730D83">
              <w:rPr>
                <w:rFonts w:ascii="Cambria" w:hAnsi="Cambria" w:cstheme="minorHAnsi"/>
                <w:sz w:val="20"/>
                <w:szCs w:val="20"/>
              </w:rPr>
              <w:t>How can impacts achieved been sustained?</w:t>
            </w:r>
          </w:p>
          <w:p w14:paraId="0DA3C2F9" w14:textId="77777777" w:rsidR="00630D6B" w:rsidRPr="00730D83" w:rsidRDefault="00630D6B" w:rsidP="00F53B9B">
            <w:pPr>
              <w:jc w:val="both"/>
              <w:rPr>
                <w:rFonts w:ascii="Cambria" w:hAnsi="Cambria" w:cstheme="minorHAnsi"/>
                <w:sz w:val="20"/>
                <w:szCs w:val="20"/>
              </w:rPr>
            </w:pPr>
          </w:p>
        </w:tc>
        <w:tc>
          <w:tcPr>
            <w:tcW w:w="2452" w:type="dxa"/>
          </w:tcPr>
          <w:p w14:paraId="5E7B954F" w14:textId="77777777" w:rsidR="00630D6B" w:rsidRPr="00730D83" w:rsidRDefault="00630D6B" w:rsidP="00925CAD">
            <w:pPr>
              <w:numPr>
                <w:ilvl w:val="0"/>
                <w:numId w:val="41"/>
              </w:numPr>
              <w:spacing w:after="0"/>
              <w:contextualSpacing/>
              <w:jc w:val="both"/>
              <w:rPr>
                <w:rFonts w:ascii="Cambria" w:hAnsi="Cambria" w:cstheme="minorHAnsi"/>
                <w:sz w:val="20"/>
                <w:szCs w:val="20"/>
              </w:rPr>
            </w:pPr>
            <w:r w:rsidRPr="00730D83">
              <w:rPr>
                <w:rFonts w:ascii="Cambria" w:hAnsi="Cambria" w:cstheme="minorHAnsi"/>
                <w:sz w:val="20"/>
                <w:szCs w:val="20"/>
              </w:rPr>
              <w:lastRenderedPageBreak/>
              <w:t>What have been the benefits of the intervention?</w:t>
            </w:r>
          </w:p>
          <w:p w14:paraId="461BE325" w14:textId="77777777" w:rsidR="00630D6B" w:rsidRPr="00730D83" w:rsidRDefault="00630D6B" w:rsidP="00925CAD">
            <w:pPr>
              <w:numPr>
                <w:ilvl w:val="0"/>
                <w:numId w:val="41"/>
              </w:numPr>
              <w:spacing w:after="0"/>
              <w:contextualSpacing/>
              <w:jc w:val="both"/>
              <w:rPr>
                <w:rFonts w:ascii="Cambria" w:hAnsi="Cambria" w:cstheme="minorHAnsi"/>
                <w:sz w:val="20"/>
                <w:szCs w:val="20"/>
              </w:rPr>
            </w:pPr>
            <w:r w:rsidRPr="00730D83">
              <w:rPr>
                <w:rFonts w:ascii="Cambria" w:hAnsi="Cambria" w:cstheme="minorHAnsi"/>
                <w:sz w:val="20"/>
                <w:szCs w:val="20"/>
              </w:rPr>
              <w:t>What strong partnerships/networks have been established? What other alternative strategic partnerships are required?</w:t>
            </w:r>
          </w:p>
          <w:p w14:paraId="36E5EE6A" w14:textId="77777777" w:rsidR="00630D6B" w:rsidRPr="00730D83" w:rsidRDefault="00630D6B" w:rsidP="00925CAD">
            <w:pPr>
              <w:numPr>
                <w:ilvl w:val="0"/>
                <w:numId w:val="41"/>
              </w:numPr>
              <w:spacing w:after="0"/>
              <w:contextualSpacing/>
              <w:jc w:val="both"/>
              <w:rPr>
                <w:rFonts w:ascii="Cambria" w:hAnsi="Cambria" w:cstheme="minorHAnsi"/>
                <w:sz w:val="20"/>
                <w:szCs w:val="20"/>
              </w:rPr>
            </w:pPr>
            <w:r w:rsidRPr="00730D83">
              <w:rPr>
                <w:rFonts w:ascii="Cambria" w:hAnsi="Cambria" w:cstheme="minorHAnsi"/>
                <w:sz w:val="20"/>
                <w:szCs w:val="20"/>
              </w:rPr>
              <w:t>Who has benefited and to what degree?</w:t>
            </w:r>
          </w:p>
          <w:p w14:paraId="2DF82888" w14:textId="77777777" w:rsidR="00630D6B" w:rsidRPr="00730D83" w:rsidRDefault="00630D6B" w:rsidP="00925CAD">
            <w:pPr>
              <w:numPr>
                <w:ilvl w:val="0"/>
                <w:numId w:val="41"/>
              </w:numPr>
              <w:spacing w:after="0"/>
              <w:contextualSpacing/>
              <w:jc w:val="both"/>
              <w:rPr>
                <w:rFonts w:ascii="Cambria" w:hAnsi="Cambria" w:cstheme="minorHAnsi"/>
                <w:sz w:val="20"/>
                <w:szCs w:val="20"/>
              </w:rPr>
            </w:pPr>
            <w:r w:rsidRPr="00730D83">
              <w:rPr>
                <w:rFonts w:ascii="Cambria" w:hAnsi="Cambria" w:cstheme="minorHAnsi"/>
                <w:sz w:val="20"/>
                <w:szCs w:val="20"/>
              </w:rPr>
              <w:t>What can be improved to ensure benefits of the intervention are felt more widely?</w:t>
            </w:r>
          </w:p>
          <w:p w14:paraId="2437C2F3" w14:textId="77777777" w:rsidR="00630D6B" w:rsidRPr="00730D83" w:rsidRDefault="00630D6B" w:rsidP="00925CAD">
            <w:pPr>
              <w:numPr>
                <w:ilvl w:val="0"/>
                <w:numId w:val="41"/>
              </w:numPr>
              <w:spacing w:after="0"/>
              <w:contextualSpacing/>
              <w:jc w:val="both"/>
              <w:rPr>
                <w:rFonts w:ascii="Cambria" w:hAnsi="Cambria" w:cstheme="minorHAnsi"/>
                <w:sz w:val="20"/>
                <w:szCs w:val="20"/>
              </w:rPr>
            </w:pPr>
            <w:r w:rsidRPr="00730D83">
              <w:rPr>
                <w:rFonts w:ascii="Cambria" w:hAnsi="Cambria" w:cstheme="minorHAnsi"/>
                <w:sz w:val="20"/>
                <w:szCs w:val="20"/>
              </w:rPr>
              <w:lastRenderedPageBreak/>
              <w:t>How can the benefits last and continue during the life of the intervention and beyond?</w:t>
            </w:r>
          </w:p>
          <w:p w14:paraId="0A3E9A14" w14:textId="77777777" w:rsidR="00630D6B" w:rsidRPr="00730D83" w:rsidRDefault="00630D6B" w:rsidP="00925CAD">
            <w:pPr>
              <w:numPr>
                <w:ilvl w:val="0"/>
                <w:numId w:val="41"/>
              </w:numPr>
              <w:spacing w:after="0"/>
              <w:contextualSpacing/>
              <w:jc w:val="both"/>
              <w:rPr>
                <w:rFonts w:ascii="Cambria" w:hAnsi="Cambria" w:cstheme="minorHAnsi"/>
                <w:sz w:val="20"/>
                <w:szCs w:val="20"/>
              </w:rPr>
            </w:pPr>
            <w:r w:rsidRPr="00730D83">
              <w:rPr>
                <w:rFonts w:ascii="Cambria" w:hAnsi="Cambria" w:cstheme="minorHAnsi"/>
                <w:sz w:val="20"/>
                <w:szCs w:val="20"/>
              </w:rPr>
              <w:t xml:space="preserve">Are the risks identified still relevant? Why? Are there other risks? </w:t>
            </w:r>
          </w:p>
          <w:p w14:paraId="1EA9B4C7" w14:textId="77777777" w:rsidR="00630D6B" w:rsidRPr="00730D83" w:rsidRDefault="00630D6B" w:rsidP="00925CAD">
            <w:pPr>
              <w:numPr>
                <w:ilvl w:val="0"/>
                <w:numId w:val="41"/>
              </w:numPr>
              <w:spacing w:after="0"/>
              <w:contextualSpacing/>
              <w:jc w:val="both"/>
              <w:rPr>
                <w:rFonts w:ascii="Cambria" w:hAnsi="Cambria" w:cstheme="minorHAnsi"/>
                <w:sz w:val="20"/>
                <w:szCs w:val="20"/>
              </w:rPr>
            </w:pPr>
            <w:r w:rsidRPr="00730D83">
              <w:rPr>
                <w:rFonts w:ascii="Cambria" w:hAnsi="Cambria" w:cstheme="minorHAnsi"/>
                <w:sz w:val="20"/>
                <w:szCs w:val="20"/>
              </w:rPr>
              <w:t>How have risks been managed? How can these be managed to ensure effective implementation during the rest of the intervention period and after to ensure sustainability in the medium and long-term?</w:t>
            </w:r>
          </w:p>
          <w:p w14:paraId="6F890304" w14:textId="77777777" w:rsidR="00630D6B" w:rsidRPr="00730D83" w:rsidRDefault="00630D6B" w:rsidP="00925CAD">
            <w:pPr>
              <w:numPr>
                <w:ilvl w:val="0"/>
                <w:numId w:val="41"/>
              </w:numPr>
              <w:spacing w:after="0"/>
              <w:contextualSpacing/>
              <w:jc w:val="both"/>
              <w:rPr>
                <w:rFonts w:ascii="Cambria" w:hAnsi="Cambria" w:cstheme="minorHAnsi"/>
                <w:sz w:val="20"/>
                <w:szCs w:val="20"/>
              </w:rPr>
            </w:pPr>
            <w:r w:rsidRPr="00730D83">
              <w:rPr>
                <w:rFonts w:ascii="Cambria" w:hAnsi="Cambria" w:cstheme="minorHAnsi"/>
                <w:sz w:val="20"/>
                <w:szCs w:val="20"/>
              </w:rPr>
              <w:t xml:space="preserve">What contextual factors will affect sustainability? How can this be managed? </w:t>
            </w:r>
          </w:p>
        </w:tc>
      </w:tr>
    </w:tbl>
    <w:p w14:paraId="50D7A4E0" w14:textId="53FB85B1" w:rsidR="00943E85" w:rsidRDefault="00943E85" w:rsidP="00630D6B">
      <w:pPr>
        <w:jc w:val="both"/>
        <w:rPr>
          <w:rFonts w:ascii="Cambria" w:hAnsi="Cambria" w:cstheme="minorHAnsi"/>
          <w:sz w:val="20"/>
          <w:szCs w:val="20"/>
        </w:rPr>
      </w:pPr>
    </w:p>
    <w:p w14:paraId="7344AD64" w14:textId="2CBCCA38" w:rsidR="00543A03" w:rsidRDefault="00543A03" w:rsidP="00630D6B">
      <w:pPr>
        <w:jc w:val="both"/>
        <w:rPr>
          <w:rFonts w:ascii="Cambria" w:hAnsi="Cambria" w:cstheme="minorHAnsi"/>
          <w:sz w:val="20"/>
          <w:szCs w:val="20"/>
        </w:rPr>
      </w:pPr>
    </w:p>
    <w:p w14:paraId="53DFD9F2" w14:textId="0031339B" w:rsidR="00630D6B" w:rsidRPr="00730D83" w:rsidRDefault="0006445A" w:rsidP="00630D6B">
      <w:pPr>
        <w:pStyle w:val="Heading1"/>
        <w:spacing w:before="0"/>
        <w:jc w:val="both"/>
        <w:rPr>
          <w:rFonts w:ascii="Cambria" w:hAnsi="Cambria" w:cstheme="minorHAnsi"/>
          <w:b/>
          <w:bCs/>
          <w:color w:val="auto"/>
          <w:sz w:val="20"/>
          <w:szCs w:val="20"/>
        </w:rPr>
      </w:pPr>
      <w:bookmarkStart w:id="64" w:name="_Toc54247671"/>
      <w:r>
        <w:rPr>
          <w:rFonts w:ascii="Cambria" w:hAnsi="Cambria" w:cstheme="minorHAnsi"/>
          <w:b/>
          <w:bCs/>
          <w:color w:val="auto"/>
          <w:sz w:val="20"/>
          <w:szCs w:val="20"/>
        </w:rPr>
        <w:t xml:space="preserve">Annex Two: </w:t>
      </w:r>
      <w:r w:rsidR="00630D6B" w:rsidRPr="00730D83">
        <w:rPr>
          <w:rFonts w:ascii="Cambria" w:hAnsi="Cambria" w:cstheme="minorHAnsi"/>
          <w:b/>
          <w:bCs/>
          <w:color w:val="auto"/>
          <w:sz w:val="20"/>
          <w:szCs w:val="20"/>
        </w:rPr>
        <w:t>Documentation Provided for the Document Review</w:t>
      </w:r>
      <w:bookmarkEnd w:id="64"/>
      <w:r w:rsidR="00630D6B" w:rsidRPr="00730D83">
        <w:rPr>
          <w:rFonts w:ascii="Cambria" w:hAnsi="Cambria" w:cstheme="minorHAnsi"/>
          <w:b/>
          <w:bCs/>
          <w:color w:val="auto"/>
          <w:sz w:val="20"/>
          <w:szCs w:val="20"/>
        </w:rPr>
        <w:t xml:space="preserve"> </w:t>
      </w:r>
    </w:p>
    <w:p w14:paraId="4E78F150" w14:textId="77777777" w:rsidR="00630D6B" w:rsidRPr="00730D83" w:rsidRDefault="00630D6B" w:rsidP="00630D6B">
      <w:pPr>
        <w:spacing w:line="360" w:lineRule="auto"/>
        <w:jc w:val="both"/>
        <w:rPr>
          <w:rFonts w:ascii="Cambria" w:hAnsi="Cambria" w:cs="Times New Roman"/>
          <w:color w:val="000000" w:themeColor="text1"/>
          <w:sz w:val="20"/>
          <w:szCs w:val="20"/>
        </w:rPr>
      </w:pPr>
    </w:p>
    <w:p w14:paraId="10CE6D6C" w14:textId="77777777" w:rsidR="00630D6B" w:rsidRPr="00730D83" w:rsidRDefault="00630D6B" w:rsidP="00630D6B">
      <w:pPr>
        <w:spacing w:line="360" w:lineRule="auto"/>
        <w:jc w:val="both"/>
        <w:rPr>
          <w:rFonts w:ascii="Cambria" w:hAnsi="Cambria" w:cs="Times New Roman"/>
          <w:color w:val="000000" w:themeColor="text1"/>
          <w:sz w:val="20"/>
          <w:szCs w:val="20"/>
        </w:rPr>
      </w:pPr>
      <w:r w:rsidRPr="00730D83">
        <w:rPr>
          <w:rFonts w:ascii="Cambria" w:hAnsi="Cambria" w:cs="Times New Roman"/>
          <w:color w:val="000000" w:themeColor="text1"/>
          <w:sz w:val="20"/>
          <w:szCs w:val="20"/>
        </w:rPr>
        <w:t>Achieving Gender Equality in the Sri Lanka Police: An analysis of Women Officers (Centre for Women’s Research) (2019)</w:t>
      </w:r>
    </w:p>
    <w:p w14:paraId="5A48762A" w14:textId="77777777" w:rsidR="00630D6B" w:rsidRPr="00730D83" w:rsidRDefault="00630D6B" w:rsidP="00630D6B">
      <w:pPr>
        <w:spacing w:line="360" w:lineRule="auto"/>
        <w:jc w:val="both"/>
        <w:rPr>
          <w:rFonts w:ascii="Cambria" w:hAnsi="Cambria" w:cs="Times New Roman"/>
          <w:color w:val="000000" w:themeColor="text1"/>
          <w:sz w:val="20"/>
          <w:szCs w:val="20"/>
        </w:rPr>
      </w:pPr>
      <w:r w:rsidRPr="00730D83">
        <w:rPr>
          <w:rFonts w:ascii="Cambria" w:hAnsi="Cambria" w:cs="Times New Roman"/>
          <w:color w:val="000000" w:themeColor="text1"/>
          <w:sz w:val="20"/>
          <w:szCs w:val="20"/>
        </w:rPr>
        <w:t>Baseline Report: Study on Perceptions of Reconciliation and Sexual Bribery among Female Heads of Household in Kurunegala, Anuradhapura and Kilinochchi Officers (Centre for Women’s Research) (2019)</w:t>
      </w:r>
    </w:p>
    <w:p w14:paraId="28EA105C" w14:textId="77777777" w:rsidR="00630D6B" w:rsidRPr="00730D83" w:rsidRDefault="00630D6B" w:rsidP="00630D6B">
      <w:pPr>
        <w:spacing w:line="360" w:lineRule="auto"/>
        <w:jc w:val="both"/>
        <w:rPr>
          <w:rFonts w:ascii="Cambria" w:hAnsi="Cambria" w:cs="Times New Roman"/>
          <w:color w:val="000000" w:themeColor="text1"/>
          <w:sz w:val="20"/>
          <w:szCs w:val="20"/>
        </w:rPr>
      </w:pPr>
      <w:r w:rsidRPr="00730D83">
        <w:rPr>
          <w:rFonts w:ascii="Cambria" w:hAnsi="Cambria" w:cs="Times New Roman"/>
          <w:color w:val="000000" w:themeColor="text1"/>
          <w:sz w:val="20"/>
          <w:szCs w:val="20"/>
        </w:rPr>
        <w:t>Better Criteria for Better Evaluation: Revised Evaluation Criteria Definitions and Principles for Use (2018-2019)</w:t>
      </w:r>
    </w:p>
    <w:p w14:paraId="368270DD" w14:textId="77777777" w:rsidR="00630D6B" w:rsidRPr="00730D83" w:rsidRDefault="00630D6B" w:rsidP="00630D6B">
      <w:pPr>
        <w:spacing w:line="360" w:lineRule="auto"/>
        <w:jc w:val="both"/>
        <w:rPr>
          <w:rFonts w:ascii="Cambria" w:hAnsi="Cambria" w:cs="Times New Roman"/>
          <w:color w:val="000000" w:themeColor="text1"/>
          <w:sz w:val="20"/>
          <w:szCs w:val="20"/>
          <w:lang w:val="en-GB"/>
        </w:rPr>
      </w:pPr>
      <w:r w:rsidRPr="00730D83">
        <w:rPr>
          <w:rFonts w:ascii="Cambria" w:hAnsi="Cambria" w:cs="Times New Roman"/>
          <w:color w:val="000000" w:themeColor="text1"/>
          <w:sz w:val="20"/>
          <w:szCs w:val="20"/>
          <w:lang w:val="en-GB"/>
        </w:rPr>
        <w:t>Civil Society Consultation on Responsible Business and Human Rights (UNDP Sri Lanka in partnership with Law and Society Trust) (10</w:t>
      </w:r>
      <w:r w:rsidRPr="00730D83">
        <w:rPr>
          <w:rFonts w:ascii="Cambria" w:hAnsi="Cambria" w:cs="Times New Roman"/>
          <w:color w:val="000000" w:themeColor="text1"/>
          <w:sz w:val="20"/>
          <w:szCs w:val="20"/>
          <w:vertAlign w:val="superscript"/>
          <w:lang w:val="en-GB"/>
        </w:rPr>
        <w:t>th</w:t>
      </w:r>
      <w:r w:rsidRPr="00730D83">
        <w:rPr>
          <w:rFonts w:ascii="Cambria" w:hAnsi="Cambria" w:cs="Times New Roman"/>
          <w:color w:val="000000" w:themeColor="text1"/>
          <w:sz w:val="20"/>
          <w:szCs w:val="20"/>
          <w:lang w:val="en-GB"/>
        </w:rPr>
        <w:t xml:space="preserve"> February 2020)</w:t>
      </w:r>
    </w:p>
    <w:p w14:paraId="4530A726" w14:textId="77777777" w:rsidR="00630D6B" w:rsidRPr="00730D83" w:rsidRDefault="00630D6B" w:rsidP="00630D6B">
      <w:pPr>
        <w:spacing w:line="360" w:lineRule="auto"/>
        <w:jc w:val="both"/>
        <w:rPr>
          <w:rFonts w:ascii="Cambria" w:hAnsi="Cambria" w:cs="Times New Roman"/>
          <w:color w:val="000000" w:themeColor="text1"/>
          <w:sz w:val="20"/>
          <w:szCs w:val="20"/>
        </w:rPr>
      </w:pPr>
      <w:r w:rsidRPr="00730D83">
        <w:rPr>
          <w:rFonts w:ascii="Cambria" w:hAnsi="Cambria" w:cs="Times New Roman"/>
          <w:color w:val="000000" w:themeColor="text1"/>
          <w:sz w:val="20"/>
          <w:szCs w:val="20"/>
        </w:rPr>
        <w:t>Civil Society Engagement Strategy for the UN Country Team Sri Lanka: Inclusive Engagement of Civil Society in SDG implementation and Monitoring Process (December 2019)</w:t>
      </w:r>
    </w:p>
    <w:p w14:paraId="768946FA" w14:textId="77777777" w:rsidR="00630D6B" w:rsidRPr="00730D83" w:rsidRDefault="00630D6B" w:rsidP="00630D6B">
      <w:pPr>
        <w:spacing w:line="360" w:lineRule="auto"/>
        <w:jc w:val="both"/>
        <w:rPr>
          <w:rFonts w:ascii="Cambria" w:hAnsi="Cambria" w:cs="Times New Roman"/>
          <w:color w:val="000000" w:themeColor="text1"/>
          <w:sz w:val="20"/>
          <w:szCs w:val="20"/>
        </w:rPr>
      </w:pPr>
      <w:r w:rsidRPr="00730D83">
        <w:rPr>
          <w:rFonts w:ascii="Cambria" w:hAnsi="Cambria" w:cs="Times New Roman"/>
          <w:color w:val="000000" w:themeColor="text1"/>
          <w:sz w:val="20"/>
          <w:szCs w:val="20"/>
        </w:rPr>
        <w:t>Communications Strategy for Parliament of Sri Lanka and Recommendations (February 2020)</w:t>
      </w:r>
    </w:p>
    <w:p w14:paraId="0B74CD6C" w14:textId="77777777" w:rsidR="00630D6B" w:rsidRPr="00730D83" w:rsidRDefault="00630D6B" w:rsidP="00630D6B">
      <w:pPr>
        <w:spacing w:line="360" w:lineRule="auto"/>
        <w:jc w:val="both"/>
        <w:rPr>
          <w:rFonts w:ascii="Cambria" w:hAnsi="Cambria" w:cs="Times New Roman"/>
          <w:color w:val="000000" w:themeColor="text1"/>
          <w:sz w:val="20"/>
          <w:szCs w:val="20"/>
          <w:lang w:val="en-CA"/>
        </w:rPr>
      </w:pPr>
      <w:r w:rsidRPr="00730D83">
        <w:rPr>
          <w:rFonts w:ascii="Cambria" w:hAnsi="Cambria" w:cs="Times New Roman"/>
          <w:color w:val="000000" w:themeColor="text1"/>
          <w:sz w:val="20"/>
          <w:szCs w:val="20"/>
          <w:lang w:val="en-CA"/>
        </w:rPr>
        <w:t>Consultative Assessment of The Eighth Parliament and Development Priorities for The Ninth Parliament</w:t>
      </w:r>
    </w:p>
    <w:p w14:paraId="1AF97197" w14:textId="77777777" w:rsidR="00630D6B" w:rsidRPr="00730D83" w:rsidRDefault="00630D6B" w:rsidP="00630D6B">
      <w:pPr>
        <w:spacing w:line="360" w:lineRule="auto"/>
        <w:jc w:val="both"/>
        <w:rPr>
          <w:rFonts w:ascii="Cambria" w:hAnsi="Cambria" w:cs="Times New Roman"/>
          <w:color w:val="000000" w:themeColor="text1"/>
          <w:sz w:val="20"/>
          <w:szCs w:val="20"/>
          <w:lang w:val="en-CA"/>
        </w:rPr>
      </w:pPr>
      <w:r w:rsidRPr="00730D83">
        <w:rPr>
          <w:rFonts w:ascii="Cambria" w:hAnsi="Cambria" w:cs="Times New Roman"/>
          <w:color w:val="000000" w:themeColor="text1"/>
          <w:sz w:val="20"/>
          <w:szCs w:val="20"/>
          <w:lang w:val="en-CA"/>
        </w:rPr>
        <w:t>Divisional Bureaus for the Prevention of Abuse of Children and Women: An Assessment: UNDP and Centre for Women’s Research</w:t>
      </w:r>
    </w:p>
    <w:p w14:paraId="6E878106" w14:textId="63DD0B52" w:rsidR="00630D6B" w:rsidRPr="00730D83" w:rsidRDefault="00630D6B" w:rsidP="00630D6B">
      <w:pPr>
        <w:spacing w:line="360" w:lineRule="auto"/>
        <w:jc w:val="both"/>
        <w:rPr>
          <w:rFonts w:ascii="Cambria" w:hAnsi="Cambria" w:cs="Times New Roman"/>
          <w:color w:val="000000" w:themeColor="text1"/>
          <w:sz w:val="20"/>
          <w:szCs w:val="20"/>
        </w:rPr>
      </w:pPr>
      <w:r w:rsidRPr="00730D83">
        <w:rPr>
          <w:rFonts w:ascii="Cambria" w:hAnsi="Cambria" w:cs="Times New Roman"/>
          <w:color w:val="000000" w:themeColor="text1"/>
          <w:sz w:val="20"/>
          <w:szCs w:val="20"/>
        </w:rPr>
        <w:t xml:space="preserve">Establishment/ </w:t>
      </w:r>
      <w:r w:rsidR="00A6095F">
        <w:rPr>
          <w:rFonts w:ascii="Cambria" w:hAnsi="Cambria" w:cs="Times New Roman"/>
          <w:color w:val="000000" w:themeColor="text1"/>
          <w:sz w:val="20"/>
          <w:szCs w:val="20"/>
        </w:rPr>
        <w:t>V</w:t>
      </w:r>
      <w:r w:rsidRPr="00730D83">
        <w:rPr>
          <w:rFonts w:ascii="Cambria" w:hAnsi="Cambria" w:cs="Times New Roman"/>
          <w:color w:val="000000" w:themeColor="text1"/>
          <w:sz w:val="20"/>
          <w:szCs w:val="20"/>
        </w:rPr>
        <w:t>erification of Baselines and Targets for the Results framework of UNDP, Marga Institute, September 2020</w:t>
      </w:r>
    </w:p>
    <w:p w14:paraId="5F6DB4D8" w14:textId="77777777" w:rsidR="00630D6B" w:rsidRPr="00730D83" w:rsidRDefault="00630D6B" w:rsidP="00630D6B">
      <w:pPr>
        <w:spacing w:line="360" w:lineRule="auto"/>
        <w:jc w:val="both"/>
        <w:rPr>
          <w:rFonts w:ascii="Cambria" w:eastAsia="Times New Roman" w:hAnsi="Cambria" w:cs="Times New Roman"/>
          <w:color w:val="000000" w:themeColor="text1"/>
          <w:sz w:val="20"/>
          <w:szCs w:val="20"/>
        </w:rPr>
      </w:pPr>
      <w:r w:rsidRPr="00730D83">
        <w:rPr>
          <w:rFonts w:ascii="Cambria" w:eastAsia="Times New Roman" w:hAnsi="Cambria" w:cs="Times New Roman"/>
          <w:color w:val="000000" w:themeColor="text1"/>
          <w:sz w:val="20"/>
          <w:szCs w:val="20"/>
        </w:rPr>
        <w:t>Gender Equality Strategy (UNDP Sri Lanka Country Office) (2019-2022)</w:t>
      </w:r>
    </w:p>
    <w:p w14:paraId="0EBFB171" w14:textId="77777777" w:rsidR="00630D6B" w:rsidRPr="00730D83" w:rsidRDefault="00630D6B" w:rsidP="00630D6B">
      <w:pPr>
        <w:spacing w:line="360" w:lineRule="auto"/>
        <w:jc w:val="both"/>
        <w:rPr>
          <w:rFonts w:ascii="Cambria" w:eastAsia="Times New Roman" w:hAnsi="Cambria" w:cs="Times New Roman"/>
          <w:color w:val="000000" w:themeColor="text1"/>
          <w:sz w:val="20"/>
          <w:szCs w:val="20"/>
        </w:rPr>
      </w:pPr>
      <w:r w:rsidRPr="00730D83">
        <w:rPr>
          <w:rFonts w:ascii="Cambria" w:eastAsia="Times New Roman" w:hAnsi="Cambria" w:cs="Times New Roman"/>
          <w:color w:val="000000" w:themeColor="text1"/>
          <w:sz w:val="20"/>
          <w:szCs w:val="20"/>
        </w:rPr>
        <w:t>Global Pilot: The Role of Parliaments as Partners in Advancing the Women, Peace and Security Agenda, Final Report (UNDP) (30</w:t>
      </w:r>
      <w:r w:rsidRPr="00730D83">
        <w:rPr>
          <w:rFonts w:ascii="Cambria" w:eastAsia="Times New Roman" w:hAnsi="Cambria" w:cs="Times New Roman"/>
          <w:color w:val="000000" w:themeColor="text1"/>
          <w:sz w:val="20"/>
          <w:szCs w:val="20"/>
          <w:vertAlign w:val="superscript"/>
        </w:rPr>
        <w:t xml:space="preserve">th </w:t>
      </w:r>
      <w:r w:rsidRPr="00730D83">
        <w:rPr>
          <w:rFonts w:ascii="Cambria" w:eastAsia="Times New Roman" w:hAnsi="Cambria" w:cs="Times New Roman"/>
          <w:color w:val="000000" w:themeColor="text1"/>
          <w:sz w:val="20"/>
          <w:szCs w:val="20"/>
        </w:rPr>
        <w:t>June 2019)</w:t>
      </w:r>
    </w:p>
    <w:p w14:paraId="6B06EFE6" w14:textId="77777777" w:rsidR="00630D6B" w:rsidRPr="00730D83" w:rsidRDefault="00630D6B" w:rsidP="00630D6B">
      <w:pPr>
        <w:spacing w:line="360" w:lineRule="auto"/>
        <w:jc w:val="both"/>
        <w:rPr>
          <w:rFonts w:ascii="Cambria" w:hAnsi="Cambria" w:cs="Times New Roman"/>
          <w:color w:val="000000" w:themeColor="text1"/>
          <w:sz w:val="20"/>
          <w:szCs w:val="20"/>
        </w:rPr>
      </w:pPr>
      <w:r w:rsidRPr="00730D83">
        <w:rPr>
          <w:rFonts w:ascii="Cambria" w:hAnsi="Cambria" w:cs="Times New Roman"/>
          <w:color w:val="000000" w:themeColor="text1"/>
          <w:sz w:val="20"/>
          <w:szCs w:val="20"/>
        </w:rPr>
        <w:t>Guidance note of the Secretary General: UN Approach to Transitional Justice (March 2010)</w:t>
      </w:r>
    </w:p>
    <w:p w14:paraId="042E3F12" w14:textId="77777777" w:rsidR="00630D6B" w:rsidRPr="00730D83" w:rsidRDefault="00630D6B" w:rsidP="00630D6B">
      <w:pPr>
        <w:spacing w:line="360" w:lineRule="auto"/>
        <w:jc w:val="both"/>
        <w:rPr>
          <w:rFonts w:ascii="Cambria" w:hAnsi="Cambria" w:cs="Times New Roman"/>
          <w:color w:val="000000" w:themeColor="text1"/>
          <w:sz w:val="20"/>
          <w:szCs w:val="20"/>
        </w:rPr>
      </w:pPr>
      <w:r w:rsidRPr="00730D83">
        <w:rPr>
          <w:rFonts w:ascii="Cambria" w:hAnsi="Cambria" w:cs="Times New Roman"/>
          <w:color w:val="000000" w:themeColor="text1"/>
          <w:sz w:val="20"/>
          <w:szCs w:val="20"/>
        </w:rPr>
        <w:lastRenderedPageBreak/>
        <w:t>Lessons learned Exercise on UN/UNDP Peacebuilding Efforts in Sri Lanka, Final Report (October 2018)</w:t>
      </w:r>
    </w:p>
    <w:p w14:paraId="7D365A65" w14:textId="77777777" w:rsidR="00630D6B" w:rsidRPr="00730D83" w:rsidRDefault="00630D6B" w:rsidP="00630D6B">
      <w:pPr>
        <w:spacing w:line="0" w:lineRule="auto"/>
        <w:jc w:val="both"/>
        <w:rPr>
          <w:rFonts w:ascii="Cambria" w:eastAsia="Times New Roman" w:hAnsi="Cambria" w:cs="Times New Roman"/>
          <w:color w:val="000000" w:themeColor="text1"/>
          <w:sz w:val="20"/>
          <w:szCs w:val="20"/>
          <w:lang w:eastAsia="en-GB"/>
        </w:rPr>
      </w:pPr>
      <w:r w:rsidRPr="00730D83">
        <w:rPr>
          <w:rFonts w:ascii="Cambria" w:eastAsia="Times New Roman" w:hAnsi="Cambria" w:cs="Times New Roman"/>
          <w:color w:val="000000" w:themeColor="text1"/>
          <w:sz w:val="20"/>
          <w:szCs w:val="20"/>
          <w:lang w:eastAsia="en-GB"/>
        </w:rPr>
        <w:t xml:space="preserve"> Oct 2020</w:t>
      </w:r>
    </w:p>
    <w:p w14:paraId="2936D220" w14:textId="77777777" w:rsidR="00630D6B" w:rsidRPr="00730D83" w:rsidRDefault="00630D6B" w:rsidP="00630D6B">
      <w:pPr>
        <w:spacing w:line="0" w:lineRule="auto"/>
        <w:jc w:val="both"/>
        <w:rPr>
          <w:rFonts w:ascii="Cambria" w:eastAsia="Times New Roman" w:hAnsi="Cambria" w:cs="Times New Roman"/>
          <w:color w:val="000000" w:themeColor="text1"/>
          <w:sz w:val="20"/>
          <w:szCs w:val="20"/>
          <w:lang w:eastAsia="en-GB"/>
        </w:rPr>
      </w:pPr>
      <w:r w:rsidRPr="00730D83">
        <w:rPr>
          <w:rFonts w:ascii="Cambria" w:eastAsia="Times New Roman" w:hAnsi="Cambria" w:cs="Times New Roman"/>
          <w:color w:val="000000" w:themeColor="text1"/>
          <w:sz w:val="20"/>
          <w:szCs w:val="20"/>
          <w:lang w:eastAsia="en-GB"/>
        </w:rPr>
        <w:t xml:space="preserve">Of </w:t>
      </w:r>
    </w:p>
    <w:p w14:paraId="3727CBCD" w14:textId="77777777" w:rsidR="00630D6B" w:rsidRPr="00730D83" w:rsidRDefault="00630D6B" w:rsidP="00630D6B">
      <w:pPr>
        <w:spacing w:line="360" w:lineRule="auto"/>
        <w:jc w:val="both"/>
        <w:rPr>
          <w:rFonts w:ascii="Cambria" w:hAnsi="Cambria" w:cs="Times New Roman"/>
          <w:color w:val="000000" w:themeColor="text1"/>
          <w:sz w:val="20"/>
          <w:szCs w:val="20"/>
        </w:rPr>
      </w:pPr>
      <w:r w:rsidRPr="00730D83">
        <w:rPr>
          <w:rFonts w:ascii="Cambria" w:hAnsi="Cambria" w:cs="Times New Roman"/>
          <w:color w:val="000000" w:themeColor="text1"/>
          <w:sz w:val="20"/>
          <w:szCs w:val="20"/>
        </w:rPr>
        <w:t>Parliamentary Development Support Project (UNDP) (2016-2019)</w:t>
      </w:r>
    </w:p>
    <w:p w14:paraId="0CC23777" w14:textId="77777777" w:rsidR="00630D6B" w:rsidRPr="00730D83" w:rsidRDefault="00630D6B" w:rsidP="00630D6B">
      <w:pPr>
        <w:spacing w:line="360" w:lineRule="auto"/>
        <w:jc w:val="both"/>
        <w:rPr>
          <w:rFonts w:ascii="Cambria" w:hAnsi="Cambria" w:cs="Times New Roman"/>
          <w:color w:val="000000" w:themeColor="text1"/>
          <w:sz w:val="20"/>
          <w:szCs w:val="20"/>
        </w:rPr>
      </w:pPr>
      <w:r w:rsidRPr="00730D83">
        <w:rPr>
          <w:rFonts w:ascii="Cambria" w:hAnsi="Cambria" w:cs="Times New Roman"/>
          <w:color w:val="000000" w:themeColor="text1"/>
          <w:sz w:val="20"/>
          <w:szCs w:val="20"/>
        </w:rPr>
        <w:t>Programming Standards and Principles Evaluation (2017)</w:t>
      </w:r>
    </w:p>
    <w:p w14:paraId="11D6885B" w14:textId="77777777" w:rsidR="00630D6B" w:rsidRPr="00730D83" w:rsidRDefault="00630D6B" w:rsidP="00630D6B">
      <w:pPr>
        <w:spacing w:line="0" w:lineRule="auto"/>
        <w:jc w:val="both"/>
        <w:rPr>
          <w:rFonts w:ascii="Cambria" w:eastAsia="Times New Roman" w:hAnsi="Cambria" w:cs="Times New Roman"/>
          <w:color w:val="000000" w:themeColor="text1"/>
          <w:sz w:val="20"/>
          <w:szCs w:val="20"/>
          <w:lang w:eastAsia="en-GB"/>
        </w:rPr>
      </w:pPr>
      <w:r w:rsidRPr="00730D83">
        <w:rPr>
          <w:rFonts w:ascii="Cambria" w:eastAsia="Times New Roman" w:hAnsi="Cambria" w:cs="Times New Roman"/>
          <w:color w:val="000000" w:themeColor="text1"/>
          <w:sz w:val="20"/>
          <w:szCs w:val="20"/>
          <w:lang w:eastAsia="en-GB"/>
        </w:rPr>
        <w:t>Progress Template LOA MWCD &amp; UNDP following Sec meeng on 5</w:t>
      </w:r>
    </w:p>
    <w:p w14:paraId="6E39C068" w14:textId="77777777" w:rsidR="00630D6B" w:rsidRPr="00730D83" w:rsidRDefault="00630D6B" w:rsidP="00630D6B">
      <w:pPr>
        <w:spacing w:line="360" w:lineRule="auto"/>
        <w:jc w:val="both"/>
        <w:rPr>
          <w:rFonts w:ascii="Cambria" w:eastAsia="Times New Roman" w:hAnsi="Cambria" w:cs="Times New Roman"/>
          <w:color w:val="000000" w:themeColor="text1"/>
          <w:sz w:val="20"/>
          <w:szCs w:val="20"/>
        </w:rPr>
      </w:pPr>
      <w:r w:rsidRPr="00730D83">
        <w:rPr>
          <w:rFonts w:ascii="Cambria" w:eastAsia="Times New Roman" w:hAnsi="Cambria" w:cs="Times New Roman"/>
          <w:color w:val="000000" w:themeColor="text1"/>
          <w:sz w:val="20"/>
          <w:szCs w:val="20"/>
        </w:rPr>
        <w:t>Progress Template LOA MWCD and UNDP following Sec meeting on 5</w:t>
      </w:r>
      <w:r w:rsidRPr="00730D83">
        <w:rPr>
          <w:rFonts w:ascii="Cambria" w:eastAsia="Times New Roman" w:hAnsi="Cambria" w:cs="Times New Roman"/>
          <w:color w:val="000000" w:themeColor="text1"/>
          <w:sz w:val="20"/>
          <w:szCs w:val="20"/>
          <w:vertAlign w:val="superscript"/>
        </w:rPr>
        <w:t>th</w:t>
      </w:r>
      <w:r w:rsidRPr="00730D83">
        <w:rPr>
          <w:rFonts w:ascii="Cambria" w:eastAsia="Times New Roman" w:hAnsi="Cambria" w:cs="Times New Roman"/>
          <w:color w:val="000000" w:themeColor="text1"/>
          <w:sz w:val="20"/>
          <w:szCs w:val="20"/>
        </w:rPr>
        <w:t xml:space="preserve"> October 2020</w:t>
      </w:r>
    </w:p>
    <w:p w14:paraId="38973C36" w14:textId="77777777" w:rsidR="00630D6B" w:rsidRPr="00730D83" w:rsidRDefault="00630D6B" w:rsidP="00630D6B">
      <w:pPr>
        <w:spacing w:line="360" w:lineRule="auto"/>
        <w:jc w:val="both"/>
        <w:rPr>
          <w:rFonts w:ascii="Cambria" w:hAnsi="Cambria" w:cs="Times New Roman"/>
          <w:color w:val="000000" w:themeColor="text1"/>
          <w:sz w:val="20"/>
          <w:szCs w:val="20"/>
        </w:rPr>
      </w:pPr>
      <w:r w:rsidRPr="00730D83">
        <w:rPr>
          <w:rFonts w:ascii="Cambria" w:hAnsi="Cambria" w:cs="Times New Roman"/>
          <w:color w:val="000000" w:themeColor="text1"/>
          <w:sz w:val="20"/>
          <w:szCs w:val="20"/>
        </w:rPr>
        <w:t>Quarterly Progress Reviews</w:t>
      </w:r>
    </w:p>
    <w:p w14:paraId="1CEDA2C9" w14:textId="77777777" w:rsidR="00630D6B" w:rsidRPr="00730D83" w:rsidRDefault="00630D6B" w:rsidP="00630D6B">
      <w:pPr>
        <w:spacing w:line="360" w:lineRule="auto"/>
        <w:ind w:firstLine="720"/>
        <w:jc w:val="both"/>
        <w:rPr>
          <w:rFonts w:ascii="Cambria" w:hAnsi="Cambria" w:cs="Times New Roman"/>
          <w:color w:val="000000" w:themeColor="text1"/>
          <w:sz w:val="20"/>
          <w:szCs w:val="20"/>
        </w:rPr>
      </w:pPr>
      <w:r w:rsidRPr="00730D83">
        <w:rPr>
          <w:rFonts w:ascii="Cambria" w:hAnsi="Cambria" w:cs="Times New Roman"/>
          <w:color w:val="000000" w:themeColor="text1"/>
          <w:sz w:val="20"/>
          <w:szCs w:val="20"/>
        </w:rPr>
        <w:t>Accountable and Effective Service Delivery 2020 Q1</w:t>
      </w:r>
    </w:p>
    <w:p w14:paraId="638AB137" w14:textId="77777777" w:rsidR="00630D6B" w:rsidRPr="00730D83" w:rsidRDefault="00630D6B" w:rsidP="00630D6B">
      <w:pPr>
        <w:spacing w:line="360" w:lineRule="auto"/>
        <w:ind w:firstLine="720"/>
        <w:jc w:val="both"/>
        <w:rPr>
          <w:rFonts w:ascii="Cambria" w:hAnsi="Cambria" w:cs="Times New Roman"/>
          <w:color w:val="000000" w:themeColor="text1"/>
          <w:sz w:val="20"/>
          <w:szCs w:val="20"/>
        </w:rPr>
      </w:pPr>
      <w:r w:rsidRPr="00730D83">
        <w:rPr>
          <w:rFonts w:ascii="Cambria" w:hAnsi="Cambria" w:cs="Times New Roman"/>
          <w:color w:val="000000" w:themeColor="text1"/>
          <w:sz w:val="20"/>
          <w:szCs w:val="20"/>
        </w:rPr>
        <w:t xml:space="preserve">Efficient Local Governance </w:t>
      </w:r>
    </w:p>
    <w:p w14:paraId="5ABD6DA9" w14:textId="77777777" w:rsidR="00630D6B" w:rsidRPr="00730D83" w:rsidRDefault="00630D6B" w:rsidP="00630D6B">
      <w:pPr>
        <w:spacing w:line="360" w:lineRule="auto"/>
        <w:jc w:val="both"/>
        <w:rPr>
          <w:rFonts w:ascii="Cambria" w:hAnsi="Cambria" w:cs="Times New Roman"/>
          <w:color w:val="000000" w:themeColor="text1"/>
          <w:sz w:val="20"/>
          <w:szCs w:val="20"/>
        </w:rPr>
      </w:pPr>
      <w:r w:rsidRPr="00730D83">
        <w:rPr>
          <w:rFonts w:ascii="Cambria" w:hAnsi="Cambria" w:cs="Times New Roman"/>
          <w:color w:val="000000" w:themeColor="text1"/>
          <w:sz w:val="20"/>
          <w:szCs w:val="20"/>
        </w:rPr>
        <w:tab/>
        <w:t>Parliament and Independent Commissions 2020 Q1</w:t>
      </w:r>
    </w:p>
    <w:p w14:paraId="3024CEB4" w14:textId="77777777" w:rsidR="00630D6B" w:rsidRPr="00730D83" w:rsidRDefault="00630D6B" w:rsidP="00630D6B">
      <w:pPr>
        <w:spacing w:line="360" w:lineRule="auto"/>
        <w:ind w:firstLine="720"/>
        <w:jc w:val="both"/>
        <w:rPr>
          <w:rFonts w:ascii="Cambria" w:hAnsi="Cambria" w:cs="Times New Roman"/>
          <w:color w:val="000000" w:themeColor="text1"/>
          <w:sz w:val="20"/>
          <w:szCs w:val="20"/>
        </w:rPr>
      </w:pPr>
      <w:r w:rsidRPr="00730D83">
        <w:rPr>
          <w:rFonts w:ascii="Cambria" w:hAnsi="Cambria" w:cs="Times New Roman"/>
          <w:color w:val="000000" w:themeColor="text1"/>
          <w:sz w:val="20"/>
          <w:szCs w:val="20"/>
        </w:rPr>
        <w:t>Parliament and Independent Commissions 2020 Q2 Mid-Term</w:t>
      </w:r>
    </w:p>
    <w:p w14:paraId="0F1A8EDC" w14:textId="77777777" w:rsidR="00630D6B" w:rsidRPr="00730D83" w:rsidRDefault="00630D6B" w:rsidP="00630D6B">
      <w:pPr>
        <w:spacing w:line="360" w:lineRule="auto"/>
        <w:ind w:firstLine="720"/>
        <w:jc w:val="both"/>
        <w:rPr>
          <w:rFonts w:ascii="Cambria" w:hAnsi="Cambria" w:cs="Times New Roman"/>
          <w:color w:val="000000" w:themeColor="text1"/>
          <w:sz w:val="20"/>
          <w:szCs w:val="20"/>
        </w:rPr>
      </w:pPr>
      <w:r w:rsidRPr="00730D83">
        <w:rPr>
          <w:rFonts w:ascii="Cambria" w:hAnsi="Cambria" w:cs="Times New Roman"/>
          <w:color w:val="000000" w:themeColor="text1"/>
          <w:sz w:val="20"/>
          <w:szCs w:val="20"/>
        </w:rPr>
        <w:t>Rule of Law and Access to Justice 2020 Q1</w:t>
      </w:r>
    </w:p>
    <w:p w14:paraId="08E73BA2" w14:textId="77777777" w:rsidR="00630D6B" w:rsidRPr="00730D83" w:rsidRDefault="00630D6B" w:rsidP="00630D6B">
      <w:pPr>
        <w:spacing w:line="360" w:lineRule="auto"/>
        <w:ind w:firstLine="720"/>
        <w:jc w:val="both"/>
        <w:rPr>
          <w:rFonts w:ascii="Cambria" w:hAnsi="Cambria" w:cs="Times New Roman"/>
          <w:color w:val="000000" w:themeColor="text1"/>
          <w:sz w:val="20"/>
          <w:szCs w:val="20"/>
        </w:rPr>
      </w:pPr>
      <w:r w:rsidRPr="00730D83">
        <w:rPr>
          <w:rFonts w:ascii="Cambria" w:hAnsi="Cambria" w:cs="Times New Roman"/>
          <w:color w:val="000000" w:themeColor="text1"/>
          <w:sz w:val="20"/>
          <w:szCs w:val="20"/>
        </w:rPr>
        <w:t>Rule of Law and Access to Justice 2020 Q2</w:t>
      </w:r>
    </w:p>
    <w:p w14:paraId="29E761B0" w14:textId="77777777" w:rsidR="00630D6B" w:rsidRPr="00730D83" w:rsidRDefault="00630D6B" w:rsidP="00630D6B">
      <w:pPr>
        <w:spacing w:line="360" w:lineRule="auto"/>
        <w:jc w:val="both"/>
        <w:rPr>
          <w:rFonts w:ascii="Cambria" w:eastAsia="Times New Roman" w:hAnsi="Cambria" w:cs="Times New Roman"/>
          <w:color w:val="000000" w:themeColor="text1"/>
          <w:sz w:val="20"/>
          <w:szCs w:val="20"/>
        </w:rPr>
      </w:pPr>
      <w:r w:rsidRPr="00730D83">
        <w:rPr>
          <w:rFonts w:ascii="Cambria" w:eastAsia="Times New Roman" w:hAnsi="Cambria" w:cs="Times New Roman"/>
          <w:color w:val="000000" w:themeColor="text1"/>
          <w:sz w:val="20"/>
          <w:szCs w:val="20"/>
        </w:rPr>
        <w:t xml:space="preserve">Referral Pathway for Survivors of SGBV: Model developed by the MWCA </w:t>
      </w:r>
    </w:p>
    <w:p w14:paraId="2C9B5A61" w14:textId="77777777" w:rsidR="00630D6B" w:rsidRPr="00730D83" w:rsidRDefault="00630D6B" w:rsidP="00630D6B">
      <w:pPr>
        <w:spacing w:line="360" w:lineRule="auto"/>
        <w:jc w:val="both"/>
        <w:rPr>
          <w:rFonts w:ascii="Cambria" w:hAnsi="Cambria" w:cs="Times New Roman"/>
          <w:color w:val="000000" w:themeColor="text1"/>
          <w:sz w:val="20"/>
          <w:szCs w:val="20"/>
        </w:rPr>
      </w:pPr>
      <w:r w:rsidRPr="00730D83">
        <w:rPr>
          <w:rFonts w:ascii="Cambria" w:hAnsi="Cambria" w:cs="Times New Roman"/>
          <w:color w:val="000000" w:themeColor="text1"/>
          <w:sz w:val="20"/>
          <w:szCs w:val="20"/>
        </w:rPr>
        <w:t>Report of the Secretary General’s Internal Review Panel on United Nations Action in Sri Lanka</w:t>
      </w:r>
    </w:p>
    <w:p w14:paraId="5EE712FA" w14:textId="77777777" w:rsidR="00630D6B" w:rsidRPr="00730D83" w:rsidRDefault="00630D6B" w:rsidP="00630D6B">
      <w:pPr>
        <w:spacing w:line="360" w:lineRule="auto"/>
        <w:jc w:val="both"/>
        <w:rPr>
          <w:rFonts w:ascii="Cambria" w:hAnsi="Cambria" w:cs="Times New Roman"/>
          <w:color w:val="000000" w:themeColor="text1"/>
          <w:sz w:val="20"/>
          <w:szCs w:val="20"/>
          <w:lang w:val="en-GB"/>
        </w:rPr>
      </w:pPr>
      <w:r w:rsidRPr="00730D83">
        <w:rPr>
          <w:rFonts w:ascii="Cambria" w:hAnsi="Cambria" w:cs="Times New Roman"/>
          <w:color w:val="000000" w:themeColor="text1"/>
          <w:sz w:val="20"/>
          <w:szCs w:val="20"/>
          <w:lang w:val="en-GB"/>
        </w:rPr>
        <w:t>Report on the Sri Lanka National Dialog on Responsible Business and Human Rights (October 2019)</w:t>
      </w:r>
    </w:p>
    <w:p w14:paraId="61CFF58F" w14:textId="77777777" w:rsidR="00630D6B" w:rsidRPr="00730D83" w:rsidRDefault="00630D6B" w:rsidP="00630D6B">
      <w:pPr>
        <w:spacing w:line="360" w:lineRule="auto"/>
        <w:jc w:val="both"/>
        <w:rPr>
          <w:rFonts w:ascii="Cambria" w:hAnsi="Cambria" w:cs="Times New Roman"/>
          <w:color w:val="000000" w:themeColor="text1"/>
          <w:sz w:val="20"/>
          <w:szCs w:val="20"/>
        </w:rPr>
      </w:pPr>
      <w:r w:rsidRPr="00730D83">
        <w:rPr>
          <w:rFonts w:ascii="Cambria" w:hAnsi="Cambria" w:cs="Times New Roman"/>
          <w:color w:val="000000" w:themeColor="text1"/>
          <w:sz w:val="20"/>
          <w:szCs w:val="20"/>
        </w:rPr>
        <w:t>SGBV Referral Mechanisms and Follow up Meeting (Presentation)</w:t>
      </w:r>
    </w:p>
    <w:p w14:paraId="020C48A4" w14:textId="77777777" w:rsidR="00630D6B" w:rsidRPr="00730D83" w:rsidRDefault="00630D6B" w:rsidP="00630D6B">
      <w:pPr>
        <w:spacing w:line="360" w:lineRule="auto"/>
        <w:jc w:val="both"/>
        <w:rPr>
          <w:rFonts w:ascii="Cambria" w:hAnsi="Cambria" w:cs="Times New Roman"/>
          <w:color w:val="000000" w:themeColor="text1"/>
          <w:sz w:val="20"/>
          <w:szCs w:val="20"/>
        </w:rPr>
      </w:pPr>
      <w:r w:rsidRPr="00730D83">
        <w:rPr>
          <w:rFonts w:ascii="Cambria" w:hAnsi="Cambria" w:cs="Times New Roman"/>
          <w:color w:val="000000" w:themeColor="text1"/>
          <w:sz w:val="20"/>
          <w:szCs w:val="20"/>
        </w:rPr>
        <w:t>Sri Lanka’s flagship Portfolio on SDG 16: Final Report (November 2012)</w:t>
      </w:r>
    </w:p>
    <w:p w14:paraId="2C4B7F51" w14:textId="77777777" w:rsidR="00630D6B" w:rsidRPr="00730D83" w:rsidRDefault="00630D6B" w:rsidP="00630D6B">
      <w:pPr>
        <w:spacing w:line="0" w:lineRule="auto"/>
        <w:jc w:val="both"/>
        <w:rPr>
          <w:rFonts w:ascii="Cambria" w:eastAsia="Times New Roman" w:hAnsi="Cambria" w:cs="Times New Roman"/>
          <w:color w:val="000000" w:themeColor="text1"/>
          <w:spacing w:val="-2"/>
          <w:sz w:val="20"/>
          <w:szCs w:val="20"/>
          <w:lang w:eastAsia="en-GB"/>
        </w:rPr>
      </w:pPr>
      <w:r w:rsidRPr="00730D83">
        <w:rPr>
          <w:rFonts w:ascii="Cambria" w:eastAsia="Times New Roman" w:hAnsi="Cambria" w:cs="Times New Roman"/>
          <w:color w:val="000000" w:themeColor="text1"/>
          <w:spacing w:val="-2"/>
          <w:sz w:val="20"/>
          <w:szCs w:val="20"/>
          <w:lang w:eastAsia="en-GB"/>
        </w:rPr>
        <w:t>stablishment/</w:t>
      </w:r>
      <w:r w:rsidRPr="00730D83">
        <w:rPr>
          <w:rFonts w:ascii="Cambria" w:eastAsia="Times New Roman" w:hAnsi="Cambria" w:cs="Times New Roman"/>
          <w:color w:val="000000" w:themeColor="text1"/>
          <w:sz w:val="20"/>
          <w:szCs w:val="20"/>
          <w:lang w:eastAsia="en-GB"/>
        </w:rPr>
        <w:t>v</w:t>
      </w:r>
      <w:r w:rsidRPr="00730D83">
        <w:rPr>
          <w:rFonts w:ascii="Cambria" w:eastAsia="Times New Roman" w:hAnsi="Cambria" w:cs="Times New Roman"/>
          <w:color w:val="000000" w:themeColor="text1"/>
          <w:spacing w:val="-3"/>
          <w:sz w:val="20"/>
          <w:szCs w:val="20"/>
          <w:lang w:eastAsia="en-GB"/>
        </w:rPr>
        <w:t>erification</w:t>
      </w:r>
      <w:r w:rsidRPr="00730D83">
        <w:rPr>
          <w:rFonts w:ascii="Cambria" w:eastAsia="Times New Roman" w:hAnsi="Cambria" w:cs="Times New Roman"/>
          <w:color w:val="000000" w:themeColor="text1"/>
          <w:sz w:val="20"/>
          <w:szCs w:val="20"/>
          <w:lang w:eastAsia="en-GB"/>
        </w:rPr>
        <w:t xml:space="preserve"> </w:t>
      </w:r>
      <w:r w:rsidRPr="00730D83">
        <w:rPr>
          <w:rFonts w:ascii="Cambria" w:eastAsia="Times New Roman" w:hAnsi="Cambria" w:cs="Times New Roman"/>
          <w:color w:val="000000" w:themeColor="text1"/>
          <w:spacing w:val="-2"/>
          <w:sz w:val="20"/>
          <w:szCs w:val="20"/>
          <w:lang w:eastAsia="en-GB"/>
        </w:rPr>
        <w:t xml:space="preserve">of </w:t>
      </w:r>
      <w:r w:rsidRPr="00730D83">
        <w:rPr>
          <w:rFonts w:ascii="Cambria" w:eastAsia="Times New Roman" w:hAnsi="Cambria" w:cs="Times New Roman"/>
          <w:color w:val="000000" w:themeColor="text1"/>
          <w:sz w:val="20"/>
          <w:szCs w:val="20"/>
          <w:lang w:eastAsia="en-GB"/>
        </w:rPr>
        <w:t>B</w:t>
      </w:r>
      <w:r w:rsidRPr="00730D83">
        <w:rPr>
          <w:rFonts w:ascii="Cambria" w:eastAsia="Times New Roman" w:hAnsi="Cambria" w:cs="Times New Roman"/>
          <w:color w:val="000000" w:themeColor="text1"/>
          <w:spacing w:val="-2"/>
          <w:sz w:val="20"/>
          <w:szCs w:val="20"/>
          <w:lang w:eastAsia="en-GB"/>
        </w:rPr>
        <w:t xml:space="preserve">aselines </w:t>
      </w:r>
    </w:p>
    <w:p w14:paraId="676001B2" w14:textId="77777777" w:rsidR="00630D6B" w:rsidRPr="00730D83" w:rsidRDefault="00630D6B" w:rsidP="00630D6B">
      <w:pPr>
        <w:spacing w:line="360" w:lineRule="auto"/>
        <w:jc w:val="both"/>
        <w:rPr>
          <w:rFonts w:ascii="Cambria" w:hAnsi="Cambria" w:cs="Times New Roman"/>
          <w:color w:val="000000" w:themeColor="text1"/>
          <w:sz w:val="20"/>
          <w:szCs w:val="20"/>
        </w:rPr>
      </w:pPr>
      <w:r w:rsidRPr="00730D83">
        <w:rPr>
          <w:rFonts w:ascii="Cambria" w:hAnsi="Cambria" w:cs="Times New Roman"/>
          <w:color w:val="000000" w:themeColor="text1"/>
          <w:sz w:val="20"/>
          <w:szCs w:val="20"/>
        </w:rPr>
        <w:t>Standing Orders of the Parliament of the Democratic Socialist Republic of Sri Lanka (April 2018)</w:t>
      </w:r>
    </w:p>
    <w:p w14:paraId="692DEE24" w14:textId="77777777" w:rsidR="00630D6B" w:rsidRPr="00730D83" w:rsidRDefault="00630D6B" w:rsidP="00630D6B">
      <w:pPr>
        <w:spacing w:line="360" w:lineRule="auto"/>
        <w:jc w:val="both"/>
        <w:rPr>
          <w:rFonts w:ascii="Cambria" w:hAnsi="Cambria" w:cs="Times New Roman"/>
          <w:color w:val="000000" w:themeColor="text1"/>
          <w:sz w:val="20"/>
          <w:szCs w:val="20"/>
          <w:lang w:val="en-GB"/>
        </w:rPr>
      </w:pPr>
      <w:r w:rsidRPr="00730D83">
        <w:rPr>
          <w:rFonts w:ascii="Cambria" w:hAnsi="Cambria" w:cs="Times New Roman"/>
          <w:color w:val="000000" w:themeColor="text1"/>
          <w:sz w:val="20"/>
          <w:szCs w:val="20"/>
          <w:lang w:val="en-GB"/>
        </w:rPr>
        <w:t>Terminal Evaluation: Catalytic Support to Peace building in Sri Lanka (Outcome 4 - UN catalytic engagement with resettlement and durable solutions has supported wider political transition, Peacebuilding and reconciliation efforts in Sri Lanka) (October 2019)</w:t>
      </w:r>
    </w:p>
    <w:p w14:paraId="2215CB2C" w14:textId="77777777" w:rsidR="00630D6B" w:rsidRPr="00730D83" w:rsidRDefault="00630D6B" w:rsidP="00630D6B">
      <w:pPr>
        <w:spacing w:line="0" w:lineRule="auto"/>
        <w:jc w:val="both"/>
        <w:rPr>
          <w:rFonts w:ascii="Cambria" w:eastAsia="Times New Roman" w:hAnsi="Cambria" w:cs="Times New Roman"/>
          <w:color w:val="000000" w:themeColor="text1"/>
          <w:sz w:val="20"/>
          <w:szCs w:val="20"/>
          <w:lang w:eastAsia="en-GB"/>
        </w:rPr>
      </w:pPr>
      <w:r w:rsidRPr="00730D83">
        <w:rPr>
          <w:rFonts w:ascii="Cambria" w:eastAsia="Times New Roman" w:hAnsi="Cambria" w:cs="Times New Roman"/>
          <w:color w:val="000000" w:themeColor="text1"/>
          <w:sz w:val="20"/>
          <w:szCs w:val="20"/>
          <w:lang w:eastAsia="en-GB"/>
        </w:rPr>
        <w:t>th</w:t>
      </w:r>
    </w:p>
    <w:p w14:paraId="392026A2" w14:textId="77777777" w:rsidR="00630D6B" w:rsidRPr="00730D83" w:rsidRDefault="00630D6B" w:rsidP="00630D6B">
      <w:pPr>
        <w:spacing w:line="360" w:lineRule="auto"/>
        <w:jc w:val="both"/>
        <w:rPr>
          <w:rFonts w:ascii="Cambria" w:hAnsi="Cambria" w:cs="Times New Roman"/>
          <w:color w:val="000000" w:themeColor="text1"/>
          <w:sz w:val="20"/>
          <w:szCs w:val="20"/>
        </w:rPr>
      </w:pPr>
      <w:r w:rsidRPr="00730D83">
        <w:rPr>
          <w:rFonts w:ascii="Cambria" w:hAnsi="Cambria" w:cs="Times New Roman"/>
          <w:color w:val="000000" w:themeColor="text1"/>
          <w:sz w:val="20"/>
          <w:szCs w:val="20"/>
        </w:rPr>
        <w:t>The 2030 Agenda for Sustainable Development</w:t>
      </w:r>
    </w:p>
    <w:p w14:paraId="2176F1EA" w14:textId="77777777" w:rsidR="00630D6B" w:rsidRPr="00730D83" w:rsidRDefault="00630D6B" w:rsidP="00630D6B">
      <w:pPr>
        <w:spacing w:line="360" w:lineRule="auto"/>
        <w:jc w:val="both"/>
        <w:rPr>
          <w:rFonts w:ascii="Cambria" w:hAnsi="Cambria" w:cs="Times New Roman"/>
          <w:color w:val="000000" w:themeColor="text1"/>
          <w:sz w:val="20"/>
          <w:szCs w:val="20"/>
        </w:rPr>
      </w:pPr>
      <w:r w:rsidRPr="00730D83">
        <w:rPr>
          <w:rFonts w:ascii="Cambria" w:hAnsi="Cambria" w:cs="Times New Roman"/>
          <w:color w:val="000000" w:themeColor="text1"/>
          <w:sz w:val="20"/>
          <w:szCs w:val="20"/>
        </w:rPr>
        <w:t xml:space="preserve">The Consultative Assessment on Strengthening the Core Functions of Parliament and the formulation of a draft Parliamentary Development Action Plan (2020-2022) </w:t>
      </w:r>
    </w:p>
    <w:p w14:paraId="6B2B6869" w14:textId="77777777" w:rsidR="00630D6B" w:rsidRPr="00730D83" w:rsidRDefault="00630D6B" w:rsidP="00630D6B">
      <w:pPr>
        <w:spacing w:line="360" w:lineRule="auto"/>
        <w:jc w:val="both"/>
        <w:rPr>
          <w:rFonts w:ascii="Cambria" w:hAnsi="Cambria" w:cs="Times New Roman"/>
          <w:color w:val="000000" w:themeColor="text1"/>
          <w:sz w:val="20"/>
          <w:szCs w:val="20"/>
        </w:rPr>
      </w:pPr>
      <w:r w:rsidRPr="00730D83">
        <w:rPr>
          <w:rFonts w:ascii="Cambria" w:hAnsi="Cambria" w:cs="Times New Roman"/>
          <w:color w:val="000000" w:themeColor="text1"/>
          <w:sz w:val="20"/>
          <w:szCs w:val="20"/>
        </w:rPr>
        <w:t>The Twentieth Amendment Bill to amend the Constitution of Sri Lanka (August 2020)</w:t>
      </w:r>
    </w:p>
    <w:p w14:paraId="7B516C24" w14:textId="77777777" w:rsidR="00630D6B" w:rsidRPr="00730D83" w:rsidRDefault="00630D6B" w:rsidP="00630D6B">
      <w:pPr>
        <w:spacing w:line="360" w:lineRule="auto"/>
        <w:jc w:val="both"/>
        <w:rPr>
          <w:rFonts w:ascii="Cambria" w:hAnsi="Cambria" w:cs="Times New Roman"/>
          <w:color w:val="000000" w:themeColor="text1"/>
          <w:sz w:val="20"/>
          <w:szCs w:val="20"/>
        </w:rPr>
      </w:pPr>
      <w:r w:rsidRPr="00730D83">
        <w:rPr>
          <w:rFonts w:ascii="Cambria" w:hAnsi="Cambria" w:cs="Times New Roman"/>
          <w:color w:val="000000" w:themeColor="text1"/>
          <w:sz w:val="20"/>
          <w:szCs w:val="20"/>
        </w:rPr>
        <w:t>Training needs Assessment of the National Police Commission (SLIDA) (December 2018)</w:t>
      </w:r>
    </w:p>
    <w:p w14:paraId="7DAEA5C6" w14:textId="77777777" w:rsidR="00630D6B" w:rsidRPr="00730D83" w:rsidRDefault="00630D6B" w:rsidP="00630D6B">
      <w:pPr>
        <w:spacing w:line="360" w:lineRule="auto"/>
        <w:jc w:val="both"/>
        <w:rPr>
          <w:rFonts w:ascii="Cambria" w:hAnsi="Cambria" w:cs="Times New Roman"/>
          <w:color w:val="000000" w:themeColor="text1"/>
          <w:sz w:val="20"/>
          <w:szCs w:val="20"/>
        </w:rPr>
      </w:pPr>
      <w:r w:rsidRPr="00730D83">
        <w:rPr>
          <w:rFonts w:ascii="Cambria" w:hAnsi="Cambria" w:cs="Times New Roman"/>
          <w:color w:val="000000" w:themeColor="text1"/>
          <w:sz w:val="20"/>
          <w:szCs w:val="20"/>
        </w:rPr>
        <w:t>UN Advisory Paper: Immediate Socio-Economic Response to Covid-19 in Sri Lanka (UN Sri Lanka) (June 2020)</w:t>
      </w:r>
    </w:p>
    <w:p w14:paraId="301A9125" w14:textId="77777777" w:rsidR="00630D6B" w:rsidRPr="00730D83" w:rsidRDefault="00630D6B" w:rsidP="00630D6B">
      <w:pPr>
        <w:spacing w:line="360" w:lineRule="auto"/>
        <w:jc w:val="both"/>
        <w:rPr>
          <w:rFonts w:ascii="Cambria" w:hAnsi="Cambria" w:cs="Times New Roman"/>
          <w:bCs/>
          <w:color w:val="000000" w:themeColor="text1"/>
          <w:sz w:val="20"/>
          <w:szCs w:val="20"/>
          <w:lang w:val="en-GB"/>
        </w:rPr>
      </w:pPr>
      <w:r w:rsidRPr="00730D83">
        <w:rPr>
          <w:rFonts w:ascii="Cambria" w:hAnsi="Cambria" w:cs="Times New Roman"/>
          <w:bCs/>
          <w:color w:val="000000" w:themeColor="text1"/>
          <w:sz w:val="20"/>
          <w:szCs w:val="20"/>
          <w:lang w:val="en-GB"/>
        </w:rPr>
        <w:t>UN Draft country programme document for Sri Lanka (Executive Board of the UNDP, UNPF and the UNOPS) (2018-2022)</w:t>
      </w:r>
    </w:p>
    <w:p w14:paraId="063F07CB" w14:textId="77777777" w:rsidR="00630D6B" w:rsidRPr="00730D83" w:rsidRDefault="00630D6B" w:rsidP="00630D6B">
      <w:pPr>
        <w:spacing w:line="360" w:lineRule="auto"/>
        <w:jc w:val="both"/>
        <w:rPr>
          <w:rFonts w:ascii="Cambria" w:hAnsi="Cambria" w:cs="Times New Roman"/>
          <w:color w:val="000000" w:themeColor="text1"/>
          <w:sz w:val="20"/>
          <w:szCs w:val="20"/>
        </w:rPr>
      </w:pPr>
      <w:r w:rsidRPr="00730D83">
        <w:rPr>
          <w:rFonts w:ascii="Cambria" w:hAnsi="Cambria" w:cs="Times New Roman"/>
          <w:color w:val="000000" w:themeColor="text1"/>
          <w:sz w:val="20"/>
          <w:szCs w:val="20"/>
        </w:rPr>
        <w:lastRenderedPageBreak/>
        <w:t>UN General Assembly Resolution 30/1 adopted on 1</w:t>
      </w:r>
      <w:r w:rsidRPr="00730D83">
        <w:rPr>
          <w:rFonts w:ascii="Cambria" w:hAnsi="Cambria" w:cs="Times New Roman"/>
          <w:color w:val="000000" w:themeColor="text1"/>
          <w:sz w:val="20"/>
          <w:szCs w:val="20"/>
          <w:vertAlign w:val="superscript"/>
        </w:rPr>
        <w:t>st</w:t>
      </w:r>
      <w:r w:rsidRPr="00730D83">
        <w:rPr>
          <w:rFonts w:ascii="Cambria" w:hAnsi="Cambria" w:cs="Times New Roman"/>
          <w:color w:val="000000" w:themeColor="text1"/>
          <w:sz w:val="20"/>
          <w:szCs w:val="20"/>
        </w:rPr>
        <w:t xml:space="preserve"> October 2015</w:t>
      </w:r>
    </w:p>
    <w:p w14:paraId="3B1AB7EF" w14:textId="77777777" w:rsidR="00630D6B" w:rsidRPr="00730D83" w:rsidRDefault="00630D6B" w:rsidP="00630D6B">
      <w:pPr>
        <w:spacing w:line="360" w:lineRule="auto"/>
        <w:jc w:val="both"/>
        <w:rPr>
          <w:rFonts w:ascii="Cambria" w:hAnsi="Cambria" w:cs="Times New Roman"/>
          <w:color w:val="000000" w:themeColor="text1"/>
          <w:sz w:val="20"/>
          <w:szCs w:val="20"/>
        </w:rPr>
      </w:pPr>
      <w:r w:rsidRPr="00730D83">
        <w:rPr>
          <w:rFonts w:ascii="Cambria" w:hAnsi="Cambria" w:cs="Times New Roman"/>
          <w:color w:val="000000" w:themeColor="text1"/>
          <w:sz w:val="20"/>
          <w:szCs w:val="20"/>
        </w:rPr>
        <w:t>UNDP Country Programme Document 2013-2017</w:t>
      </w:r>
    </w:p>
    <w:p w14:paraId="0B0F26B7" w14:textId="77777777" w:rsidR="00630D6B" w:rsidRPr="00730D83" w:rsidRDefault="00630D6B" w:rsidP="00630D6B">
      <w:pPr>
        <w:spacing w:line="360" w:lineRule="auto"/>
        <w:jc w:val="both"/>
        <w:rPr>
          <w:rFonts w:ascii="Cambria" w:hAnsi="Cambria" w:cs="Times New Roman"/>
          <w:color w:val="000000" w:themeColor="text1"/>
          <w:sz w:val="20"/>
          <w:szCs w:val="20"/>
        </w:rPr>
      </w:pPr>
      <w:r w:rsidRPr="00730D83">
        <w:rPr>
          <w:rFonts w:ascii="Cambria" w:hAnsi="Cambria" w:cs="Times New Roman"/>
          <w:color w:val="000000" w:themeColor="text1"/>
          <w:sz w:val="20"/>
          <w:szCs w:val="20"/>
        </w:rPr>
        <w:t>UNDP Evaluation Guidelines (January 2019)</w:t>
      </w:r>
    </w:p>
    <w:p w14:paraId="5F4CFA9E" w14:textId="77777777" w:rsidR="00630D6B" w:rsidRPr="00730D83" w:rsidRDefault="00630D6B" w:rsidP="00630D6B">
      <w:pPr>
        <w:spacing w:line="360" w:lineRule="auto"/>
        <w:jc w:val="both"/>
        <w:rPr>
          <w:rFonts w:ascii="Cambria" w:hAnsi="Cambria" w:cs="Times New Roman"/>
          <w:color w:val="000000" w:themeColor="text1"/>
          <w:sz w:val="20"/>
          <w:szCs w:val="20"/>
        </w:rPr>
      </w:pPr>
      <w:r w:rsidRPr="00730D83">
        <w:rPr>
          <w:rFonts w:ascii="Cambria" w:hAnsi="Cambria" w:cs="Times New Roman"/>
          <w:color w:val="000000" w:themeColor="text1"/>
          <w:sz w:val="20"/>
          <w:szCs w:val="20"/>
        </w:rPr>
        <w:t>UNDP Sri Lanka Flagship Portfolio on SDG 16 on Peace, Justice and Strong Institutions: Progress Report (December 2018-October 2019)</w:t>
      </w:r>
    </w:p>
    <w:p w14:paraId="27376BD2" w14:textId="77777777" w:rsidR="00630D6B" w:rsidRPr="00730D83" w:rsidRDefault="00630D6B" w:rsidP="00630D6B">
      <w:pPr>
        <w:spacing w:line="360" w:lineRule="auto"/>
        <w:jc w:val="both"/>
        <w:rPr>
          <w:rFonts w:ascii="Cambria" w:hAnsi="Cambria" w:cs="Times New Roman"/>
          <w:color w:val="000000" w:themeColor="text1"/>
          <w:sz w:val="20"/>
          <w:szCs w:val="20"/>
        </w:rPr>
      </w:pPr>
      <w:r w:rsidRPr="00730D83">
        <w:rPr>
          <w:rFonts w:ascii="Cambria" w:hAnsi="Cambria" w:cs="Times New Roman"/>
          <w:color w:val="000000" w:themeColor="text1"/>
          <w:sz w:val="20"/>
          <w:szCs w:val="20"/>
        </w:rPr>
        <w:t>UNDP Sri Lanka:</w:t>
      </w:r>
    </w:p>
    <w:p w14:paraId="14302AC3" w14:textId="77777777" w:rsidR="00630D6B" w:rsidRPr="00730D83" w:rsidRDefault="00630D6B" w:rsidP="00630D6B">
      <w:pPr>
        <w:spacing w:line="360" w:lineRule="auto"/>
        <w:ind w:left="720"/>
        <w:jc w:val="both"/>
        <w:rPr>
          <w:rFonts w:ascii="Cambria" w:eastAsia="Times New Roman" w:hAnsi="Cambria" w:cs="Times New Roman"/>
          <w:color w:val="000000" w:themeColor="text1"/>
          <w:sz w:val="20"/>
          <w:szCs w:val="20"/>
        </w:rPr>
      </w:pPr>
      <w:r w:rsidRPr="00730D83">
        <w:rPr>
          <w:rFonts w:ascii="Cambria" w:eastAsia="Times New Roman" w:hAnsi="Cambria" w:cs="Times New Roman"/>
          <w:color w:val="000000" w:themeColor="text1"/>
          <w:spacing w:val="-5"/>
          <w:sz w:val="20"/>
          <w:szCs w:val="20"/>
        </w:rPr>
        <w:t xml:space="preserve">Action Plan to Prevent Sexual Harassment in the Workplace and </w:t>
      </w:r>
      <w:r w:rsidRPr="00730D83">
        <w:rPr>
          <w:rFonts w:ascii="Cambria" w:eastAsia="Times New Roman" w:hAnsi="Cambria" w:cs="Times New Roman"/>
          <w:color w:val="000000" w:themeColor="text1"/>
          <w:sz w:val="20"/>
          <w:szCs w:val="20"/>
        </w:rPr>
        <w:t>Sexual Exploitation and Abuse 2020</w:t>
      </w:r>
    </w:p>
    <w:p w14:paraId="16E53BA8" w14:textId="77777777" w:rsidR="00630D6B" w:rsidRPr="00730D83" w:rsidRDefault="00630D6B" w:rsidP="00630D6B">
      <w:pPr>
        <w:spacing w:line="360" w:lineRule="auto"/>
        <w:ind w:firstLine="720"/>
        <w:jc w:val="both"/>
        <w:rPr>
          <w:rFonts w:ascii="Cambria" w:hAnsi="Cambria" w:cs="Times New Roman"/>
          <w:color w:val="000000" w:themeColor="text1"/>
          <w:sz w:val="20"/>
          <w:szCs w:val="20"/>
        </w:rPr>
      </w:pPr>
      <w:r w:rsidRPr="00730D83">
        <w:rPr>
          <w:rFonts w:ascii="Cambria" w:hAnsi="Cambria" w:cs="Times New Roman"/>
          <w:color w:val="000000" w:themeColor="text1"/>
          <w:sz w:val="20"/>
          <w:szCs w:val="20"/>
        </w:rPr>
        <w:tab/>
        <w:t xml:space="preserve"> Gender Equality Action Plan 2020</w:t>
      </w:r>
    </w:p>
    <w:p w14:paraId="732E5413" w14:textId="77777777" w:rsidR="00630D6B" w:rsidRPr="00730D83" w:rsidRDefault="00630D6B" w:rsidP="00630D6B">
      <w:pPr>
        <w:spacing w:line="360" w:lineRule="auto"/>
        <w:ind w:firstLine="720"/>
        <w:jc w:val="both"/>
        <w:rPr>
          <w:rFonts w:ascii="Cambria" w:hAnsi="Cambria" w:cs="Times New Roman"/>
          <w:color w:val="000000" w:themeColor="text1"/>
          <w:sz w:val="20"/>
          <w:szCs w:val="20"/>
        </w:rPr>
      </w:pPr>
      <w:r w:rsidRPr="00730D83">
        <w:rPr>
          <w:rFonts w:ascii="Cambria" w:hAnsi="Cambria" w:cs="Times New Roman"/>
          <w:color w:val="000000" w:themeColor="text1"/>
          <w:sz w:val="20"/>
          <w:szCs w:val="20"/>
        </w:rPr>
        <w:t xml:space="preserve"> Gender Equality Seal 2018-2019: Country Office Action Plan</w:t>
      </w:r>
    </w:p>
    <w:p w14:paraId="535C5802" w14:textId="77777777" w:rsidR="00630D6B" w:rsidRPr="00730D83" w:rsidRDefault="00630D6B" w:rsidP="00630D6B">
      <w:pPr>
        <w:spacing w:line="360" w:lineRule="auto"/>
        <w:ind w:left="720"/>
        <w:jc w:val="both"/>
        <w:rPr>
          <w:rFonts w:ascii="Cambria" w:eastAsia="Times New Roman" w:hAnsi="Cambria" w:cs="Times New Roman"/>
          <w:color w:val="000000" w:themeColor="text1"/>
          <w:sz w:val="20"/>
          <w:szCs w:val="20"/>
        </w:rPr>
      </w:pPr>
      <w:r w:rsidRPr="00730D83">
        <w:rPr>
          <w:rFonts w:ascii="Cambria" w:eastAsia="Times New Roman" w:hAnsi="Cambria" w:cs="Times New Roman"/>
          <w:color w:val="000000" w:themeColor="text1"/>
          <w:sz w:val="20"/>
          <w:szCs w:val="20"/>
        </w:rPr>
        <w:t>Responding to critical needs of survivors of SGBV and strengthening shelters for women and girl victims of SGBV - COVID-19 response and recovery</w:t>
      </w:r>
    </w:p>
    <w:p w14:paraId="18A92F5A" w14:textId="77777777" w:rsidR="00630D6B" w:rsidRPr="00730D83" w:rsidRDefault="00630D6B" w:rsidP="00630D6B">
      <w:pPr>
        <w:spacing w:line="360" w:lineRule="auto"/>
        <w:jc w:val="both"/>
        <w:rPr>
          <w:rFonts w:ascii="Cambria" w:hAnsi="Cambria" w:cs="Times New Roman"/>
          <w:bCs/>
          <w:color w:val="000000" w:themeColor="text1"/>
          <w:sz w:val="20"/>
          <w:szCs w:val="20"/>
          <w:lang w:val="en-GB"/>
        </w:rPr>
      </w:pPr>
      <w:r w:rsidRPr="00730D83">
        <w:rPr>
          <w:rFonts w:ascii="Cambria" w:hAnsi="Cambria" w:cs="Times New Roman"/>
          <w:bCs/>
          <w:color w:val="000000" w:themeColor="text1"/>
          <w:sz w:val="20"/>
          <w:szCs w:val="20"/>
          <w:lang w:val="en-GB"/>
        </w:rPr>
        <w:t>UNDP Sri Lanka, Annual Work Plans (2019 and 2020)</w:t>
      </w:r>
    </w:p>
    <w:p w14:paraId="2D8A5561" w14:textId="77777777" w:rsidR="00630D6B" w:rsidRPr="00730D83" w:rsidRDefault="00630D6B" w:rsidP="00630D6B">
      <w:pPr>
        <w:spacing w:line="360" w:lineRule="auto"/>
        <w:jc w:val="both"/>
        <w:rPr>
          <w:rFonts w:ascii="Cambria" w:hAnsi="Cambria" w:cs="Times New Roman"/>
          <w:color w:val="000000" w:themeColor="text1"/>
          <w:sz w:val="20"/>
          <w:szCs w:val="20"/>
        </w:rPr>
      </w:pPr>
      <w:r w:rsidRPr="00730D83">
        <w:rPr>
          <w:rFonts w:ascii="Cambria" w:hAnsi="Cambria" w:cs="Times New Roman"/>
          <w:color w:val="000000" w:themeColor="text1"/>
          <w:sz w:val="20"/>
          <w:szCs w:val="20"/>
        </w:rPr>
        <w:t xml:space="preserve">UNDP Sri Lanka Flagship Portfolio on SDG 16 on Peace, Justice and Strong Institutions: </w:t>
      </w:r>
    </w:p>
    <w:p w14:paraId="2EFA413B" w14:textId="77777777" w:rsidR="00630D6B" w:rsidRPr="00730D83" w:rsidRDefault="00630D6B" w:rsidP="00630D6B">
      <w:pPr>
        <w:spacing w:line="360" w:lineRule="auto"/>
        <w:ind w:firstLine="720"/>
        <w:jc w:val="both"/>
        <w:rPr>
          <w:rFonts w:ascii="Cambria" w:hAnsi="Cambria" w:cs="Times New Roman"/>
          <w:color w:val="000000" w:themeColor="text1"/>
          <w:sz w:val="20"/>
          <w:szCs w:val="20"/>
        </w:rPr>
      </w:pPr>
      <w:r w:rsidRPr="00730D83">
        <w:rPr>
          <w:rFonts w:ascii="Cambria" w:hAnsi="Cambria" w:cs="Times New Roman"/>
          <w:color w:val="000000" w:themeColor="text1"/>
          <w:sz w:val="20"/>
          <w:szCs w:val="20"/>
        </w:rPr>
        <w:t>Indicator Tracking Sheet: Pillar 1 and 2</w:t>
      </w:r>
    </w:p>
    <w:p w14:paraId="51A549DA" w14:textId="77777777" w:rsidR="00630D6B" w:rsidRPr="00730D83" w:rsidRDefault="00630D6B" w:rsidP="00630D6B">
      <w:pPr>
        <w:spacing w:line="360" w:lineRule="auto"/>
        <w:ind w:firstLine="720"/>
        <w:jc w:val="both"/>
        <w:rPr>
          <w:rFonts w:ascii="Cambria" w:hAnsi="Cambria" w:cs="Times New Roman"/>
          <w:color w:val="000000" w:themeColor="text1"/>
          <w:sz w:val="20"/>
          <w:szCs w:val="20"/>
        </w:rPr>
      </w:pPr>
      <w:r w:rsidRPr="00730D83">
        <w:rPr>
          <w:rFonts w:ascii="Cambria" w:hAnsi="Cambria" w:cs="Times New Roman"/>
          <w:color w:val="000000" w:themeColor="text1"/>
          <w:sz w:val="20"/>
          <w:szCs w:val="20"/>
        </w:rPr>
        <w:t>Minutes of the Project Board Meeting dated 17th July 2020</w:t>
      </w:r>
    </w:p>
    <w:p w14:paraId="4D0F0CBB" w14:textId="77777777" w:rsidR="00630D6B" w:rsidRPr="00730D83" w:rsidRDefault="00630D6B" w:rsidP="00630D6B">
      <w:pPr>
        <w:spacing w:line="360" w:lineRule="auto"/>
        <w:ind w:firstLine="720"/>
        <w:jc w:val="both"/>
        <w:rPr>
          <w:rFonts w:ascii="Cambria" w:hAnsi="Cambria" w:cs="Times New Roman"/>
          <w:color w:val="000000" w:themeColor="text1"/>
          <w:sz w:val="20"/>
          <w:szCs w:val="20"/>
        </w:rPr>
      </w:pPr>
      <w:r w:rsidRPr="00730D83">
        <w:rPr>
          <w:rFonts w:ascii="Cambria" w:hAnsi="Cambria" w:cs="Times New Roman"/>
          <w:color w:val="000000" w:themeColor="text1"/>
          <w:sz w:val="20"/>
          <w:szCs w:val="20"/>
        </w:rPr>
        <w:t>Portfolio Document</w:t>
      </w:r>
    </w:p>
    <w:p w14:paraId="55684849" w14:textId="77777777" w:rsidR="00630D6B" w:rsidRPr="00730D83" w:rsidRDefault="00630D6B" w:rsidP="00630D6B">
      <w:pPr>
        <w:spacing w:line="360" w:lineRule="auto"/>
        <w:ind w:firstLine="720"/>
        <w:jc w:val="both"/>
        <w:rPr>
          <w:rFonts w:ascii="Cambria" w:hAnsi="Cambria" w:cs="Times New Roman"/>
          <w:color w:val="000000" w:themeColor="text1"/>
          <w:sz w:val="20"/>
          <w:szCs w:val="20"/>
        </w:rPr>
      </w:pPr>
      <w:r w:rsidRPr="00730D83">
        <w:rPr>
          <w:rFonts w:ascii="Cambria" w:hAnsi="Cambria" w:cs="Times New Roman"/>
          <w:color w:val="000000" w:themeColor="text1"/>
          <w:sz w:val="20"/>
          <w:szCs w:val="20"/>
        </w:rPr>
        <w:t>Programme Diagram</w:t>
      </w:r>
    </w:p>
    <w:p w14:paraId="1CA9F702" w14:textId="77777777" w:rsidR="00630D6B" w:rsidRPr="00730D83" w:rsidRDefault="00630D6B" w:rsidP="00630D6B">
      <w:pPr>
        <w:spacing w:line="360" w:lineRule="auto"/>
        <w:ind w:firstLine="720"/>
        <w:jc w:val="both"/>
        <w:rPr>
          <w:rFonts w:ascii="Cambria" w:hAnsi="Cambria" w:cs="Times New Roman"/>
          <w:color w:val="000000" w:themeColor="text1"/>
          <w:sz w:val="20"/>
          <w:szCs w:val="20"/>
        </w:rPr>
      </w:pPr>
      <w:r w:rsidRPr="00730D83">
        <w:rPr>
          <w:rFonts w:ascii="Cambria" w:hAnsi="Cambria" w:cs="Times New Roman"/>
          <w:color w:val="000000" w:themeColor="text1"/>
          <w:sz w:val="20"/>
          <w:szCs w:val="20"/>
        </w:rPr>
        <w:t>Results Framework</w:t>
      </w:r>
    </w:p>
    <w:p w14:paraId="3F75BD13" w14:textId="77777777" w:rsidR="00630D6B" w:rsidRPr="00730D83" w:rsidRDefault="00630D6B" w:rsidP="00630D6B">
      <w:pPr>
        <w:spacing w:line="360" w:lineRule="auto"/>
        <w:ind w:firstLine="720"/>
        <w:jc w:val="both"/>
        <w:rPr>
          <w:rFonts w:ascii="Cambria" w:hAnsi="Cambria" w:cs="Times New Roman"/>
          <w:color w:val="000000" w:themeColor="text1"/>
          <w:sz w:val="20"/>
          <w:szCs w:val="20"/>
        </w:rPr>
      </w:pPr>
      <w:r w:rsidRPr="00730D83">
        <w:rPr>
          <w:rFonts w:ascii="Cambria" w:hAnsi="Cambria" w:cs="Times New Roman"/>
          <w:color w:val="000000" w:themeColor="text1"/>
          <w:sz w:val="20"/>
          <w:szCs w:val="20"/>
        </w:rPr>
        <w:t>Risk Log</w:t>
      </w:r>
    </w:p>
    <w:p w14:paraId="22E36855" w14:textId="77777777" w:rsidR="00630D6B" w:rsidRPr="00730D83" w:rsidRDefault="00630D6B" w:rsidP="00630D6B">
      <w:pPr>
        <w:spacing w:line="0" w:lineRule="auto"/>
        <w:jc w:val="both"/>
        <w:rPr>
          <w:rFonts w:ascii="Cambria" w:eastAsia="Times New Roman" w:hAnsi="Cambria" w:cs="Times New Roman"/>
          <w:color w:val="000000" w:themeColor="text1"/>
          <w:spacing w:val="-4"/>
          <w:sz w:val="20"/>
          <w:szCs w:val="20"/>
          <w:lang w:eastAsia="en-GB"/>
        </w:rPr>
      </w:pPr>
      <w:r w:rsidRPr="00730D83">
        <w:rPr>
          <w:rFonts w:ascii="Cambria" w:eastAsia="Times New Roman" w:hAnsi="Cambria" w:cs="Times New Roman"/>
          <w:color w:val="000000" w:themeColor="text1"/>
          <w:spacing w:val="-4"/>
          <w:sz w:val="20"/>
          <w:szCs w:val="20"/>
          <w:lang w:eastAsia="en-GB"/>
        </w:rPr>
        <w:t>UNDP Sri Lanka’s Flagship Portfolio on SDG</w:t>
      </w:r>
    </w:p>
    <w:p w14:paraId="092643F9" w14:textId="77777777" w:rsidR="00630D6B" w:rsidRPr="00730D83" w:rsidRDefault="00630D6B" w:rsidP="00630D6B">
      <w:pPr>
        <w:spacing w:line="360" w:lineRule="auto"/>
        <w:jc w:val="both"/>
        <w:rPr>
          <w:rFonts w:ascii="Cambria" w:hAnsi="Cambria" w:cs="Times New Roman"/>
          <w:color w:val="000000" w:themeColor="text1"/>
          <w:sz w:val="20"/>
          <w:szCs w:val="20"/>
        </w:rPr>
      </w:pPr>
      <w:r w:rsidRPr="00730D83">
        <w:rPr>
          <w:rFonts w:ascii="Cambria" w:hAnsi="Cambria" w:cs="Times New Roman"/>
          <w:color w:val="000000" w:themeColor="text1"/>
          <w:sz w:val="20"/>
          <w:szCs w:val="20"/>
        </w:rPr>
        <w:t xml:space="preserve">UNDP Strategic Plan </w:t>
      </w:r>
      <w:r w:rsidRPr="00730D83">
        <w:rPr>
          <w:rFonts w:ascii="Cambria" w:hAnsi="Cambria" w:cs="Times New Roman"/>
          <w:bCs/>
          <w:color w:val="000000" w:themeColor="text1"/>
          <w:sz w:val="20"/>
          <w:szCs w:val="20"/>
          <w:lang w:val="en-GB"/>
        </w:rPr>
        <w:t>(Executive Board of the UNDP, UNPF and the UNOPS) (2018-2022)</w:t>
      </w:r>
    </w:p>
    <w:p w14:paraId="1C0A58B0" w14:textId="77777777" w:rsidR="00630D6B" w:rsidRPr="00730D83" w:rsidRDefault="00630D6B" w:rsidP="00630D6B">
      <w:pPr>
        <w:spacing w:line="360" w:lineRule="auto"/>
        <w:jc w:val="both"/>
        <w:rPr>
          <w:rFonts w:ascii="Cambria" w:hAnsi="Cambria" w:cs="Times New Roman"/>
          <w:color w:val="000000" w:themeColor="text1"/>
          <w:sz w:val="20"/>
          <w:szCs w:val="20"/>
        </w:rPr>
      </w:pPr>
      <w:r w:rsidRPr="00730D83">
        <w:rPr>
          <w:rFonts w:ascii="Cambria" w:hAnsi="Cambria" w:cs="Times New Roman"/>
          <w:color w:val="000000" w:themeColor="text1"/>
          <w:sz w:val="20"/>
          <w:szCs w:val="20"/>
        </w:rPr>
        <w:t>UNEG Norms and Standard for Evaluation (2016, 2017)</w:t>
      </w:r>
    </w:p>
    <w:p w14:paraId="187494F4" w14:textId="45D0055C" w:rsidR="00630D6B" w:rsidRDefault="00630D6B" w:rsidP="00630D6B">
      <w:pPr>
        <w:spacing w:line="360" w:lineRule="auto"/>
        <w:jc w:val="both"/>
        <w:rPr>
          <w:rFonts w:ascii="Cambria" w:hAnsi="Cambria" w:cs="Times New Roman"/>
          <w:color w:val="000000" w:themeColor="text1"/>
          <w:sz w:val="20"/>
          <w:szCs w:val="20"/>
        </w:rPr>
      </w:pPr>
      <w:r w:rsidRPr="00730D83">
        <w:rPr>
          <w:rFonts w:ascii="Cambria" w:hAnsi="Cambria" w:cs="Times New Roman"/>
          <w:color w:val="000000" w:themeColor="text1"/>
          <w:sz w:val="20"/>
          <w:szCs w:val="20"/>
        </w:rPr>
        <w:t xml:space="preserve">United Nations Sustainable Development Framework (UN Sri Lanka) (2018 – 2022) </w:t>
      </w:r>
    </w:p>
    <w:p w14:paraId="586A79F4" w14:textId="07D57630" w:rsidR="00630D6B" w:rsidRDefault="00630D6B" w:rsidP="00630D6B">
      <w:pPr>
        <w:spacing w:line="360" w:lineRule="auto"/>
        <w:jc w:val="both"/>
        <w:rPr>
          <w:rFonts w:ascii="Cambria" w:hAnsi="Cambria" w:cs="Times New Roman"/>
          <w:color w:val="000000" w:themeColor="text1"/>
          <w:sz w:val="20"/>
          <w:szCs w:val="20"/>
        </w:rPr>
      </w:pPr>
    </w:p>
    <w:p w14:paraId="2323BC2C" w14:textId="6C30A7EB" w:rsidR="00630D6B" w:rsidRDefault="00630D6B" w:rsidP="00630D6B">
      <w:pPr>
        <w:spacing w:line="360" w:lineRule="auto"/>
        <w:jc w:val="both"/>
        <w:rPr>
          <w:rFonts w:ascii="Cambria" w:hAnsi="Cambria" w:cs="Times New Roman"/>
          <w:color w:val="000000" w:themeColor="text1"/>
          <w:sz w:val="20"/>
          <w:szCs w:val="20"/>
        </w:rPr>
      </w:pPr>
    </w:p>
    <w:p w14:paraId="21A6DE88" w14:textId="3EC8FF6A" w:rsidR="00630D6B" w:rsidRDefault="00630D6B" w:rsidP="00630D6B">
      <w:pPr>
        <w:spacing w:line="360" w:lineRule="auto"/>
        <w:jc w:val="both"/>
        <w:rPr>
          <w:rFonts w:ascii="Cambria" w:hAnsi="Cambria" w:cs="Times New Roman"/>
          <w:color w:val="000000" w:themeColor="text1"/>
          <w:sz w:val="20"/>
          <w:szCs w:val="20"/>
        </w:rPr>
      </w:pPr>
    </w:p>
    <w:p w14:paraId="3FFB4FFD" w14:textId="16D266C6" w:rsidR="00630D6B" w:rsidRDefault="00630D6B" w:rsidP="00630D6B">
      <w:pPr>
        <w:spacing w:line="360" w:lineRule="auto"/>
        <w:jc w:val="both"/>
        <w:rPr>
          <w:rFonts w:ascii="Cambria" w:hAnsi="Cambria" w:cs="Times New Roman"/>
          <w:color w:val="000000" w:themeColor="text1"/>
          <w:sz w:val="20"/>
          <w:szCs w:val="20"/>
        </w:rPr>
      </w:pPr>
    </w:p>
    <w:p w14:paraId="20BD7EB7" w14:textId="7DEDFD78" w:rsidR="00630D6B" w:rsidRDefault="00630D6B" w:rsidP="00630D6B">
      <w:pPr>
        <w:spacing w:line="360" w:lineRule="auto"/>
        <w:jc w:val="both"/>
        <w:rPr>
          <w:rFonts w:ascii="Cambria" w:hAnsi="Cambria" w:cs="Times New Roman"/>
          <w:color w:val="000000" w:themeColor="text1"/>
          <w:sz w:val="20"/>
          <w:szCs w:val="20"/>
        </w:rPr>
      </w:pPr>
    </w:p>
    <w:p w14:paraId="2E21CED8" w14:textId="77777777" w:rsidR="00630D6B" w:rsidRPr="00730D83" w:rsidRDefault="00630D6B" w:rsidP="00630D6B">
      <w:pPr>
        <w:spacing w:line="360" w:lineRule="auto"/>
        <w:jc w:val="both"/>
        <w:rPr>
          <w:rFonts w:ascii="Cambria" w:hAnsi="Cambria" w:cs="Times New Roman"/>
          <w:color w:val="000000" w:themeColor="text1"/>
          <w:sz w:val="20"/>
          <w:szCs w:val="20"/>
        </w:rPr>
      </w:pPr>
    </w:p>
    <w:p w14:paraId="4B832065" w14:textId="1333F6B8" w:rsidR="00630D6B" w:rsidRPr="00730D83" w:rsidRDefault="0006445A" w:rsidP="00630D6B">
      <w:pPr>
        <w:pStyle w:val="Heading1"/>
        <w:spacing w:before="0"/>
        <w:jc w:val="both"/>
        <w:rPr>
          <w:rFonts w:ascii="Cambria" w:hAnsi="Cambria" w:cstheme="minorHAnsi"/>
          <w:b/>
          <w:bCs/>
          <w:color w:val="auto"/>
          <w:sz w:val="20"/>
          <w:szCs w:val="20"/>
        </w:rPr>
      </w:pPr>
      <w:bookmarkStart w:id="65" w:name="_Toc54247672"/>
      <w:r>
        <w:rPr>
          <w:rFonts w:ascii="Cambria" w:hAnsi="Cambria" w:cstheme="minorHAnsi"/>
          <w:b/>
          <w:bCs/>
          <w:color w:val="auto"/>
          <w:sz w:val="20"/>
          <w:szCs w:val="20"/>
        </w:rPr>
        <w:lastRenderedPageBreak/>
        <w:t xml:space="preserve">Annex Three: </w:t>
      </w:r>
      <w:r w:rsidR="00630D6B" w:rsidRPr="00730D83">
        <w:rPr>
          <w:rFonts w:ascii="Cambria" w:hAnsi="Cambria" w:cstheme="minorHAnsi"/>
          <w:b/>
          <w:bCs/>
          <w:color w:val="auto"/>
          <w:sz w:val="20"/>
          <w:szCs w:val="20"/>
        </w:rPr>
        <w:t>Evaluation Tool</w:t>
      </w:r>
      <w:bookmarkEnd w:id="65"/>
      <w:r w:rsidR="00630D6B" w:rsidRPr="00730D83">
        <w:rPr>
          <w:rFonts w:ascii="Cambria" w:hAnsi="Cambria" w:cstheme="minorHAnsi"/>
          <w:b/>
          <w:bCs/>
          <w:color w:val="auto"/>
          <w:sz w:val="20"/>
          <w:szCs w:val="20"/>
        </w:rPr>
        <w:t xml:space="preserve"> </w:t>
      </w:r>
    </w:p>
    <w:p w14:paraId="007E8EAC" w14:textId="77777777" w:rsidR="00630D6B" w:rsidRPr="00730D83" w:rsidRDefault="00630D6B" w:rsidP="00630D6B">
      <w:pPr>
        <w:jc w:val="both"/>
        <w:rPr>
          <w:rFonts w:ascii="Cambria" w:hAnsi="Cambria" w:cstheme="minorHAnsi"/>
          <w:sz w:val="20"/>
          <w:szCs w:val="20"/>
        </w:rPr>
      </w:pPr>
    </w:p>
    <w:p w14:paraId="12341702" w14:textId="77777777" w:rsidR="00630D6B" w:rsidRPr="00730D83" w:rsidRDefault="00630D6B" w:rsidP="00630D6B">
      <w:pPr>
        <w:jc w:val="center"/>
        <w:rPr>
          <w:rFonts w:ascii="Cambria" w:hAnsi="Cambria" w:cstheme="minorHAnsi"/>
          <w:b/>
          <w:bCs/>
          <w:sz w:val="20"/>
          <w:szCs w:val="20"/>
        </w:rPr>
      </w:pPr>
      <w:r w:rsidRPr="00730D83">
        <w:rPr>
          <w:rFonts w:ascii="Cambria" w:hAnsi="Cambria" w:cstheme="minorHAnsi"/>
          <w:b/>
          <w:bCs/>
          <w:sz w:val="20"/>
          <w:szCs w:val="20"/>
        </w:rPr>
        <w:t>Key Person Interview Guidelines</w:t>
      </w:r>
    </w:p>
    <w:p w14:paraId="736355E1" w14:textId="77777777" w:rsidR="00630D6B" w:rsidRPr="00730D83" w:rsidRDefault="00630D6B" w:rsidP="00630D6B">
      <w:pPr>
        <w:jc w:val="both"/>
        <w:rPr>
          <w:rFonts w:ascii="Cambria" w:hAnsi="Cambria" w:cstheme="minorHAnsi"/>
          <w:sz w:val="20"/>
          <w:szCs w:val="20"/>
        </w:rPr>
      </w:pPr>
    </w:p>
    <w:p w14:paraId="44E2A03F" w14:textId="77777777" w:rsidR="00630D6B" w:rsidRPr="00730D83" w:rsidRDefault="00630D6B" w:rsidP="00630D6B">
      <w:pPr>
        <w:jc w:val="both"/>
        <w:rPr>
          <w:rFonts w:ascii="Cambria" w:hAnsi="Cambria" w:cstheme="minorHAnsi"/>
          <w:b/>
          <w:bCs/>
          <w:sz w:val="20"/>
          <w:szCs w:val="20"/>
        </w:rPr>
      </w:pPr>
      <w:r w:rsidRPr="00730D83">
        <w:rPr>
          <w:rFonts w:ascii="Cambria" w:hAnsi="Cambria" w:cstheme="minorHAnsi"/>
          <w:b/>
          <w:bCs/>
          <w:sz w:val="20"/>
          <w:szCs w:val="20"/>
        </w:rPr>
        <w:t>Introduction:</w:t>
      </w:r>
    </w:p>
    <w:p w14:paraId="452A6ABA" w14:textId="77777777" w:rsidR="00630D6B" w:rsidRPr="00730D83" w:rsidRDefault="00630D6B" w:rsidP="00630D6B">
      <w:pPr>
        <w:jc w:val="both"/>
        <w:rPr>
          <w:rFonts w:ascii="Cambria" w:hAnsi="Cambria" w:cstheme="minorHAnsi"/>
          <w:b/>
          <w:bCs/>
          <w:sz w:val="20"/>
          <w:szCs w:val="20"/>
        </w:rPr>
      </w:pPr>
    </w:p>
    <w:p w14:paraId="074D333F" w14:textId="77777777" w:rsidR="00630D6B" w:rsidRPr="00730D83" w:rsidRDefault="00630D6B" w:rsidP="00630D6B">
      <w:pPr>
        <w:jc w:val="both"/>
        <w:rPr>
          <w:rFonts w:ascii="Cambria" w:eastAsia="Times New Roman" w:hAnsi="Cambria" w:cstheme="minorHAnsi"/>
          <w:sz w:val="20"/>
          <w:szCs w:val="20"/>
        </w:rPr>
      </w:pPr>
      <w:r w:rsidRPr="00730D83">
        <w:rPr>
          <w:rFonts w:ascii="Cambria" w:hAnsi="Cambria" w:cstheme="minorHAnsi"/>
          <w:sz w:val="20"/>
          <w:szCs w:val="20"/>
        </w:rPr>
        <w:t xml:space="preserve">UNDP Sri Lanka has commissioned a mid-term evaluation of its Portfolio, (for the duration 2019-2022) prioritizing SDG 16 – Peace, Justice and Strong Institutions. The evaluation aims </w:t>
      </w:r>
      <w:r w:rsidRPr="00730D83">
        <w:rPr>
          <w:rFonts w:ascii="Cambria" w:eastAsia="Times New Roman" w:hAnsi="Cambria" w:cstheme="minorHAnsi"/>
          <w:sz w:val="20"/>
          <w:szCs w:val="20"/>
        </w:rPr>
        <w:t>to identify best practices and achievements to-date (January 2019 to August 2020) which the Portfolio should continue to build on, in-line with strategic country requirements and government priorities.</w:t>
      </w:r>
    </w:p>
    <w:p w14:paraId="37B3AAEA" w14:textId="77777777" w:rsidR="00630D6B" w:rsidRPr="00730D83" w:rsidRDefault="00630D6B" w:rsidP="00630D6B">
      <w:pPr>
        <w:jc w:val="both"/>
        <w:rPr>
          <w:rFonts w:ascii="Cambria" w:hAnsi="Cambria" w:cstheme="minorHAnsi"/>
          <w:sz w:val="20"/>
          <w:szCs w:val="20"/>
        </w:rPr>
      </w:pPr>
    </w:p>
    <w:p w14:paraId="02B0A13D" w14:textId="77777777" w:rsidR="00630D6B" w:rsidRPr="00730D83" w:rsidRDefault="00630D6B" w:rsidP="00630D6B">
      <w:pPr>
        <w:jc w:val="both"/>
        <w:rPr>
          <w:rFonts w:ascii="Cambria" w:hAnsi="Cambria" w:cstheme="minorHAnsi"/>
          <w:b/>
          <w:bCs/>
          <w:sz w:val="20"/>
          <w:szCs w:val="20"/>
        </w:rPr>
      </w:pPr>
      <w:r w:rsidRPr="00730D83">
        <w:rPr>
          <w:rFonts w:ascii="Cambria" w:hAnsi="Cambria" w:cstheme="minorHAnsi"/>
          <w:b/>
          <w:bCs/>
          <w:sz w:val="20"/>
          <w:szCs w:val="20"/>
        </w:rPr>
        <w:t>Your views:</w:t>
      </w:r>
    </w:p>
    <w:p w14:paraId="4D26468D" w14:textId="77777777" w:rsidR="00630D6B" w:rsidRPr="00730D83" w:rsidRDefault="00630D6B" w:rsidP="00925CAD">
      <w:pPr>
        <w:numPr>
          <w:ilvl w:val="0"/>
          <w:numId w:val="43"/>
        </w:numPr>
        <w:spacing w:after="0"/>
        <w:contextualSpacing/>
        <w:jc w:val="both"/>
        <w:rPr>
          <w:rFonts w:ascii="Cambria" w:hAnsi="Cambria" w:cstheme="minorHAnsi"/>
          <w:sz w:val="20"/>
          <w:szCs w:val="20"/>
        </w:rPr>
      </w:pPr>
      <w:r w:rsidRPr="00730D83">
        <w:rPr>
          <w:rFonts w:ascii="Cambria" w:hAnsi="Cambria" w:cstheme="minorHAnsi"/>
          <w:sz w:val="20"/>
          <w:szCs w:val="20"/>
        </w:rPr>
        <w:t xml:space="preserve">Will be confidential. We will only present findings in an aggregated manner. </w:t>
      </w:r>
    </w:p>
    <w:p w14:paraId="506D5B34" w14:textId="77777777" w:rsidR="00630D6B" w:rsidRPr="00730D83" w:rsidRDefault="00630D6B" w:rsidP="00925CAD">
      <w:pPr>
        <w:numPr>
          <w:ilvl w:val="0"/>
          <w:numId w:val="43"/>
        </w:numPr>
        <w:spacing w:after="0"/>
        <w:contextualSpacing/>
        <w:jc w:val="both"/>
        <w:rPr>
          <w:rFonts w:ascii="Cambria" w:hAnsi="Cambria" w:cstheme="minorHAnsi"/>
          <w:sz w:val="20"/>
          <w:szCs w:val="20"/>
        </w:rPr>
      </w:pPr>
      <w:r w:rsidRPr="00730D83">
        <w:rPr>
          <w:rFonts w:ascii="Cambria" w:hAnsi="Cambria" w:cstheme="minorHAnsi"/>
          <w:sz w:val="20"/>
          <w:szCs w:val="20"/>
        </w:rPr>
        <w:t xml:space="preserve">Your answer will not be linked back to you. The information will be used to compile a report to be used by UNDP to improve the programme implementation. </w:t>
      </w:r>
    </w:p>
    <w:p w14:paraId="0E50AB6A" w14:textId="77777777" w:rsidR="00630D6B" w:rsidRPr="00730D83" w:rsidRDefault="00630D6B" w:rsidP="00925CAD">
      <w:pPr>
        <w:numPr>
          <w:ilvl w:val="0"/>
          <w:numId w:val="43"/>
        </w:numPr>
        <w:spacing w:after="0"/>
        <w:contextualSpacing/>
        <w:jc w:val="both"/>
        <w:rPr>
          <w:rFonts w:ascii="Cambria" w:hAnsi="Cambria" w:cstheme="minorHAnsi"/>
          <w:sz w:val="20"/>
          <w:szCs w:val="20"/>
        </w:rPr>
      </w:pPr>
      <w:r w:rsidRPr="00730D83">
        <w:rPr>
          <w:rFonts w:ascii="Cambria" w:hAnsi="Cambria" w:cstheme="minorHAnsi"/>
          <w:sz w:val="20"/>
          <w:szCs w:val="20"/>
        </w:rPr>
        <w:t xml:space="preserve">You may stop at any time. </w:t>
      </w:r>
    </w:p>
    <w:p w14:paraId="47CCCCF6" w14:textId="77777777" w:rsidR="00630D6B" w:rsidRPr="00730D83" w:rsidRDefault="00630D6B" w:rsidP="00925CAD">
      <w:pPr>
        <w:numPr>
          <w:ilvl w:val="0"/>
          <w:numId w:val="43"/>
        </w:numPr>
        <w:spacing w:after="0"/>
        <w:contextualSpacing/>
        <w:jc w:val="both"/>
        <w:rPr>
          <w:rFonts w:ascii="Cambria" w:hAnsi="Cambria" w:cstheme="minorHAnsi"/>
          <w:sz w:val="20"/>
          <w:szCs w:val="20"/>
        </w:rPr>
      </w:pPr>
      <w:r w:rsidRPr="00730D83">
        <w:rPr>
          <w:rFonts w:ascii="Cambria" w:hAnsi="Cambria" w:cstheme="minorHAnsi"/>
          <w:sz w:val="20"/>
          <w:szCs w:val="20"/>
        </w:rPr>
        <w:t xml:space="preserve">You may ask me any questions at any time. </w:t>
      </w:r>
    </w:p>
    <w:p w14:paraId="16DFCFD6" w14:textId="77777777" w:rsidR="00630D6B" w:rsidRPr="00730D83" w:rsidRDefault="00630D6B" w:rsidP="00925CAD">
      <w:pPr>
        <w:numPr>
          <w:ilvl w:val="0"/>
          <w:numId w:val="43"/>
        </w:numPr>
        <w:spacing w:after="0"/>
        <w:contextualSpacing/>
        <w:jc w:val="both"/>
        <w:rPr>
          <w:rFonts w:ascii="Cambria" w:hAnsi="Cambria" w:cstheme="minorHAnsi"/>
          <w:sz w:val="20"/>
          <w:szCs w:val="20"/>
        </w:rPr>
      </w:pPr>
      <w:r w:rsidRPr="00730D83">
        <w:rPr>
          <w:rFonts w:ascii="Cambria" w:hAnsi="Cambria" w:cstheme="minorHAnsi"/>
          <w:sz w:val="20"/>
          <w:szCs w:val="20"/>
        </w:rPr>
        <w:t xml:space="preserve">We value your inputs and thank you for making the time to speak to us. </w:t>
      </w:r>
    </w:p>
    <w:p w14:paraId="23350FBF" w14:textId="77777777" w:rsidR="00630D6B" w:rsidRPr="00730D83" w:rsidRDefault="00630D6B" w:rsidP="00630D6B">
      <w:pPr>
        <w:jc w:val="both"/>
        <w:rPr>
          <w:rFonts w:ascii="Cambria" w:hAnsi="Cambria" w:cstheme="minorHAnsi"/>
          <w:sz w:val="20"/>
          <w:szCs w:val="20"/>
        </w:rPr>
      </w:pPr>
    </w:p>
    <w:p w14:paraId="45A9E568" w14:textId="77777777" w:rsidR="00630D6B" w:rsidRPr="00730D83" w:rsidRDefault="00630D6B" w:rsidP="00925CAD">
      <w:pPr>
        <w:numPr>
          <w:ilvl w:val="0"/>
          <w:numId w:val="44"/>
        </w:numPr>
        <w:spacing w:after="0"/>
        <w:contextualSpacing/>
        <w:jc w:val="both"/>
        <w:rPr>
          <w:rFonts w:ascii="Cambria" w:hAnsi="Cambria" w:cstheme="minorHAnsi"/>
          <w:b/>
          <w:bCs/>
          <w:sz w:val="20"/>
          <w:szCs w:val="20"/>
        </w:rPr>
      </w:pPr>
      <w:r w:rsidRPr="00730D83">
        <w:rPr>
          <w:rFonts w:ascii="Cambria" w:hAnsi="Cambria" w:cstheme="minorHAnsi"/>
          <w:b/>
          <w:bCs/>
          <w:sz w:val="20"/>
          <w:szCs w:val="20"/>
        </w:rPr>
        <w:t>Profiling information:</w:t>
      </w:r>
    </w:p>
    <w:tbl>
      <w:tblPr>
        <w:tblW w:w="0" w:type="auto"/>
        <w:tblInd w:w="360" w:type="dxa"/>
        <w:tblLook w:val="04A0" w:firstRow="1" w:lastRow="0" w:firstColumn="1" w:lastColumn="0" w:noHBand="0" w:noVBand="1"/>
      </w:tblPr>
      <w:tblGrid>
        <w:gridCol w:w="4921"/>
        <w:gridCol w:w="4069"/>
      </w:tblGrid>
      <w:tr w:rsidR="00630D6B" w:rsidRPr="00730D83" w14:paraId="32B9A648" w14:textId="77777777" w:rsidTr="00F53B9B">
        <w:tc>
          <w:tcPr>
            <w:tcW w:w="4921" w:type="dxa"/>
          </w:tcPr>
          <w:p w14:paraId="21D2AA83" w14:textId="77777777" w:rsidR="00630D6B" w:rsidRPr="00730D83" w:rsidRDefault="00630D6B" w:rsidP="00925CAD">
            <w:pPr>
              <w:numPr>
                <w:ilvl w:val="0"/>
                <w:numId w:val="45"/>
              </w:numPr>
              <w:spacing w:after="0"/>
              <w:contextualSpacing/>
              <w:jc w:val="both"/>
              <w:rPr>
                <w:rFonts w:ascii="Cambria" w:hAnsi="Cambria" w:cstheme="minorHAnsi"/>
                <w:sz w:val="20"/>
                <w:szCs w:val="20"/>
              </w:rPr>
            </w:pPr>
            <w:r w:rsidRPr="00730D83">
              <w:rPr>
                <w:rFonts w:ascii="Cambria" w:hAnsi="Cambria" w:cstheme="minorHAnsi"/>
                <w:sz w:val="20"/>
                <w:szCs w:val="20"/>
              </w:rPr>
              <w:t>Name:</w:t>
            </w:r>
          </w:p>
        </w:tc>
        <w:tc>
          <w:tcPr>
            <w:tcW w:w="4069" w:type="dxa"/>
          </w:tcPr>
          <w:p w14:paraId="29E4345D" w14:textId="77777777" w:rsidR="00630D6B" w:rsidRPr="00730D83" w:rsidRDefault="00630D6B" w:rsidP="00F53B9B">
            <w:pPr>
              <w:jc w:val="both"/>
              <w:rPr>
                <w:rFonts w:ascii="Cambria" w:hAnsi="Cambria" w:cstheme="minorHAnsi"/>
                <w:sz w:val="20"/>
                <w:szCs w:val="20"/>
              </w:rPr>
            </w:pPr>
          </w:p>
        </w:tc>
      </w:tr>
      <w:tr w:rsidR="00630D6B" w:rsidRPr="00730D83" w14:paraId="3B1BEBDB" w14:textId="77777777" w:rsidTr="00F53B9B">
        <w:tc>
          <w:tcPr>
            <w:tcW w:w="4921" w:type="dxa"/>
          </w:tcPr>
          <w:p w14:paraId="172CF179" w14:textId="77777777" w:rsidR="00630D6B" w:rsidRPr="00730D83" w:rsidRDefault="00630D6B" w:rsidP="00925CAD">
            <w:pPr>
              <w:numPr>
                <w:ilvl w:val="0"/>
                <w:numId w:val="45"/>
              </w:numPr>
              <w:spacing w:after="0"/>
              <w:contextualSpacing/>
              <w:jc w:val="both"/>
              <w:rPr>
                <w:rFonts w:ascii="Cambria" w:hAnsi="Cambria" w:cstheme="minorHAnsi"/>
                <w:sz w:val="20"/>
                <w:szCs w:val="20"/>
              </w:rPr>
            </w:pPr>
            <w:r w:rsidRPr="00730D83">
              <w:rPr>
                <w:rFonts w:ascii="Cambria" w:hAnsi="Cambria" w:cstheme="minorHAnsi"/>
                <w:sz w:val="20"/>
                <w:szCs w:val="20"/>
              </w:rPr>
              <w:t>Institution:</w:t>
            </w:r>
          </w:p>
        </w:tc>
        <w:tc>
          <w:tcPr>
            <w:tcW w:w="4069" w:type="dxa"/>
          </w:tcPr>
          <w:p w14:paraId="32387637" w14:textId="77777777" w:rsidR="00630D6B" w:rsidRPr="00730D83" w:rsidRDefault="00630D6B" w:rsidP="00F53B9B">
            <w:pPr>
              <w:jc w:val="both"/>
              <w:rPr>
                <w:rFonts w:ascii="Cambria" w:hAnsi="Cambria" w:cstheme="minorHAnsi"/>
                <w:sz w:val="20"/>
                <w:szCs w:val="20"/>
              </w:rPr>
            </w:pPr>
          </w:p>
        </w:tc>
      </w:tr>
      <w:tr w:rsidR="00630D6B" w:rsidRPr="00730D83" w14:paraId="13356DBD" w14:textId="77777777" w:rsidTr="00F53B9B">
        <w:tc>
          <w:tcPr>
            <w:tcW w:w="4921" w:type="dxa"/>
          </w:tcPr>
          <w:p w14:paraId="3933FC29" w14:textId="77777777" w:rsidR="00630D6B" w:rsidRPr="00730D83" w:rsidRDefault="00630D6B" w:rsidP="00925CAD">
            <w:pPr>
              <w:numPr>
                <w:ilvl w:val="0"/>
                <w:numId w:val="45"/>
              </w:numPr>
              <w:spacing w:after="0"/>
              <w:contextualSpacing/>
              <w:jc w:val="both"/>
              <w:rPr>
                <w:rFonts w:ascii="Cambria" w:hAnsi="Cambria" w:cstheme="minorHAnsi"/>
                <w:sz w:val="20"/>
                <w:szCs w:val="20"/>
              </w:rPr>
            </w:pPr>
            <w:r w:rsidRPr="00730D83">
              <w:rPr>
                <w:rFonts w:ascii="Cambria" w:hAnsi="Cambria" w:cstheme="minorHAnsi"/>
                <w:sz w:val="20"/>
                <w:szCs w:val="20"/>
              </w:rPr>
              <w:t xml:space="preserve">Designation: </w:t>
            </w:r>
          </w:p>
        </w:tc>
        <w:tc>
          <w:tcPr>
            <w:tcW w:w="4069" w:type="dxa"/>
          </w:tcPr>
          <w:p w14:paraId="1A5D954D" w14:textId="77777777" w:rsidR="00630D6B" w:rsidRPr="00730D83" w:rsidRDefault="00630D6B" w:rsidP="00F53B9B">
            <w:pPr>
              <w:jc w:val="both"/>
              <w:rPr>
                <w:rFonts w:ascii="Cambria" w:hAnsi="Cambria" w:cstheme="minorHAnsi"/>
                <w:sz w:val="20"/>
                <w:szCs w:val="20"/>
              </w:rPr>
            </w:pPr>
          </w:p>
        </w:tc>
      </w:tr>
      <w:tr w:rsidR="00630D6B" w:rsidRPr="00730D83" w14:paraId="459AD536" w14:textId="77777777" w:rsidTr="00F53B9B">
        <w:tc>
          <w:tcPr>
            <w:tcW w:w="4921" w:type="dxa"/>
          </w:tcPr>
          <w:p w14:paraId="03BF9912" w14:textId="77777777" w:rsidR="00630D6B" w:rsidRPr="00730D83" w:rsidRDefault="00630D6B" w:rsidP="00925CAD">
            <w:pPr>
              <w:numPr>
                <w:ilvl w:val="0"/>
                <w:numId w:val="45"/>
              </w:numPr>
              <w:spacing w:after="0"/>
              <w:contextualSpacing/>
              <w:jc w:val="both"/>
              <w:rPr>
                <w:rFonts w:ascii="Cambria" w:hAnsi="Cambria" w:cstheme="minorHAnsi"/>
                <w:sz w:val="20"/>
                <w:szCs w:val="20"/>
              </w:rPr>
            </w:pPr>
            <w:r w:rsidRPr="00730D83">
              <w:rPr>
                <w:rFonts w:ascii="Cambria" w:hAnsi="Cambria" w:cstheme="minorHAnsi"/>
                <w:sz w:val="20"/>
                <w:szCs w:val="20"/>
              </w:rPr>
              <w:t xml:space="preserve">Involvement in the intervention: </w:t>
            </w:r>
          </w:p>
        </w:tc>
        <w:tc>
          <w:tcPr>
            <w:tcW w:w="4069" w:type="dxa"/>
          </w:tcPr>
          <w:p w14:paraId="685FFDDC" w14:textId="77777777" w:rsidR="00630D6B" w:rsidRPr="00730D83" w:rsidRDefault="00630D6B" w:rsidP="00F53B9B">
            <w:pPr>
              <w:jc w:val="both"/>
              <w:rPr>
                <w:rFonts w:ascii="Cambria" w:hAnsi="Cambria" w:cstheme="minorHAnsi"/>
                <w:sz w:val="20"/>
                <w:szCs w:val="20"/>
              </w:rPr>
            </w:pPr>
          </w:p>
        </w:tc>
      </w:tr>
      <w:tr w:rsidR="00630D6B" w:rsidRPr="00730D83" w14:paraId="330ED0FD" w14:textId="77777777" w:rsidTr="00F53B9B">
        <w:tc>
          <w:tcPr>
            <w:tcW w:w="4921" w:type="dxa"/>
          </w:tcPr>
          <w:p w14:paraId="5FF24EDC" w14:textId="77777777" w:rsidR="00630D6B" w:rsidRPr="00730D83" w:rsidRDefault="00630D6B" w:rsidP="00925CAD">
            <w:pPr>
              <w:numPr>
                <w:ilvl w:val="0"/>
                <w:numId w:val="45"/>
              </w:numPr>
              <w:spacing w:after="0"/>
              <w:contextualSpacing/>
              <w:jc w:val="both"/>
              <w:rPr>
                <w:rFonts w:ascii="Cambria" w:hAnsi="Cambria" w:cstheme="minorHAnsi"/>
                <w:sz w:val="20"/>
                <w:szCs w:val="20"/>
              </w:rPr>
            </w:pPr>
            <w:r w:rsidRPr="00730D83">
              <w:rPr>
                <w:rFonts w:ascii="Cambria" w:hAnsi="Cambria" w:cstheme="minorHAnsi"/>
                <w:sz w:val="20"/>
                <w:szCs w:val="20"/>
              </w:rPr>
              <w:t>KPI category</w:t>
            </w:r>
          </w:p>
        </w:tc>
        <w:tc>
          <w:tcPr>
            <w:tcW w:w="4069" w:type="dxa"/>
          </w:tcPr>
          <w:p w14:paraId="6DC82A62" w14:textId="77777777" w:rsidR="00630D6B" w:rsidRPr="00730D83" w:rsidRDefault="00630D6B" w:rsidP="00F53B9B">
            <w:pPr>
              <w:jc w:val="both"/>
              <w:rPr>
                <w:rFonts w:ascii="Cambria" w:hAnsi="Cambria" w:cstheme="minorHAnsi"/>
                <w:sz w:val="20"/>
                <w:szCs w:val="20"/>
              </w:rPr>
            </w:pPr>
          </w:p>
        </w:tc>
      </w:tr>
    </w:tbl>
    <w:p w14:paraId="5A74363A" w14:textId="77777777" w:rsidR="00630D6B" w:rsidRPr="00730D83" w:rsidRDefault="00630D6B" w:rsidP="00630D6B">
      <w:pPr>
        <w:jc w:val="both"/>
        <w:rPr>
          <w:rFonts w:ascii="Cambria" w:hAnsi="Cambria" w:cstheme="minorHAnsi"/>
          <w:sz w:val="20"/>
          <w:szCs w:val="20"/>
        </w:rPr>
      </w:pPr>
    </w:p>
    <w:p w14:paraId="37513161" w14:textId="77777777" w:rsidR="00630D6B" w:rsidRPr="00730D83" w:rsidRDefault="00630D6B" w:rsidP="00925CAD">
      <w:pPr>
        <w:numPr>
          <w:ilvl w:val="0"/>
          <w:numId w:val="44"/>
        </w:numPr>
        <w:spacing w:after="0"/>
        <w:contextualSpacing/>
        <w:jc w:val="both"/>
        <w:rPr>
          <w:rFonts w:ascii="Cambria" w:hAnsi="Cambria" w:cstheme="minorHAnsi"/>
          <w:b/>
          <w:bCs/>
          <w:sz w:val="20"/>
          <w:szCs w:val="20"/>
        </w:rPr>
      </w:pPr>
      <w:r w:rsidRPr="00730D83">
        <w:rPr>
          <w:rFonts w:ascii="Cambria" w:hAnsi="Cambria" w:cstheme="minorHAnsi"/>
          <w:b/>
          <w:bCs/>
          <w:sz w:val="20"/>
          <w:szCs w:val="20"/>
        </w:rPr>
        <w:t>Understanding the Context:</w:t>
      </w:r>
    </w:p>
    <w:p w14:paraId="40E015B4" w14:textId="77777777" w:rsidR="00630D6B" w:rsidRPr="00730D83" w:rsidRDefault="00630D6B" w:rsidP="00630D6B">
      <w:pPr>
        <w:jc w:val="both"/>
        <w:rPr>
          <w:rFonts w:ascii="Cambria" w:hAnsi="Cambria" w:cstheme="minorHAnsi"/>
          <w:b/>
          <w:bCs/>
          <w:sz w:val="20"/>
          <w:szCs w:val="20"/>
        </w:rPr>
      </w:pPr>
    </w:p>
    <w:p w14:paraId="6FAD6E75" w14:textId="77777777" w:rsidR="00630D6B" w:rsidRPr="00730D83" w:rsidRDefault="00630D6B" w:rsidP="00630D6B">
      <w:pPr>
        <w:jc w:val="both"/>
        <w:rPr>
          <w:rFonts w:ascii="Cambria" w:hAnsi="Cambria" w:cstheme="minorHAnsi"/>
          <w:sz w:val="20"/>
          <w:szCs w:val="20"/>
        </w:rPr>
      </w:pPr>
      <w:r w:rsidRPr="00730D83">
        <w:rPr>
          <w:rFonts w:ascii="Cambria" w:hAnsi="Cambria" w:cstheme="minorHAnsi"/>
          <w:sz w:val="20"/>
          <w:szCs w:val="20"/>
        </w:rPr>
        <w:t xml:space="preserve">I would like to know what you think about the previous and current context that that intervention and activities you implement operate in. We will focus on the political and economic context. </w:t>
      </w:r>
    </w:p>
    <w:p w14:paraId="6B737710" w14:textId="77777777" w:rsidR="00630D6B" w:rsidRPr="00730D83" w:rsidRDefault="00630D6B" w:rsidP="00630D6B">
      <w:pPr>
        <w:jc w:val="both"/>
        <w:rPr>
          <w:rFonts w:ascii="Cambria" w:hAnsi="Cambria" w:cstheme="minorHAnsi"/>
          <w:sz w:val="20"/>
          <w:szCs w:val="20"/>
        </w:rPr>
      </w:pPr>
    </w:p>
    <w:p w14:paraId="47AB84B1" w14:textId="77777777" w:rsidR="00630D6B" w:rsidRPr="00730D83" w:rsidRDefault="00630D6B" w:rsidP="00925CAD">
      <w:pPr>
        <w:numPr>
          <w:ilvl w:val="1"/>
          <w:numId w:val="44"/>
        </w:numPr>
        <w:spacing w:after="0"/>
        <w:ind w:left="567" w:hanging="567"/>
        <w:contextualSpacing/>
        <w:jc w:val="both"/>
        <w:rPr>
          <w:rFonts w:ascii="Cambria" w:hAnsi="Cambria" w:cstheme="minorHAnsi"/>
          <w:b/>
          <w:bCs/>
          <w:sz w:val="20"/>
          <w:szCs w:val="20"/>
        </w:rPr>
      </w:pPr>
      <w:r w:rsidRPr="00730D83">
        <w:rPr>
          <w:rFonts w:ascii="Cambria" w:hAnsi="Cambria" w:cstheme="minorHAnsi"/>
          <w:b/>
          <w:bCs/>
          <w:sz w:val="20"/>
          <w:szCs w:val="20"/>
        </w:rPr>
        <w:t xml:space="preserve">Political context </w:t>
      </w:r>
    </w:p>
    <w:p w14:paraId="1A0E5916" w14:textId="77777777" w:rsidR="00630D6B" w:rsidRPr="00730D83" w:rsidRDefault="00630D6B" w:rsidP="00925CAD">
      <w:pPr>
        <w:numPr>
          <w:ilvl w:val="1"/>
          <w:numId w:val="42"/>
        </w:numPr>
        <w:spacing w:after="0"/>
        <w:ind w:left="284" w:hanging="284"/>
        <w:contextualSpacing/>
        <w:jc w:val="both"/>
        <w:rPr>
          <w:rFonts w:ascii="Cambria" w:hAnsi="Cambria" w:cstheme="minorHAnsi"/>
          <w:sz w:val="20"/>
          <w:szCs w:val="20"/>
        </w:rPr>
      </w:pPr>
      <w:r w:rsidRPr="00730D83">
        <w:rPr>
          <w:rFonts w:ascii="Cambria" w:hAnsi="Cambria" w:cstheme="minorHAnsi"/>
          <w:sz w:val="20"/>
          <w:szCs w:val="20"/>
        </w:rPr>
        <w:t>How has changes in the political context affected the implementation of the portfolio? Reflect on changes in President and changes in government, related institutional changes and how that has affected the landscape within which the portfolio has been implemented in the last two years.</w:t>
      </w:r>
    </w:p>
    <w:p w14:paraId="337C7237" w14:textId="77777777" w:rsidR="00630D6B" w:rsidRPr="00730D83" w:rsidRDefault="00630D6B" w:rsidP="00925CAD">
      <w:pPr>
        <w:numPr>
          <w:ilvl w:val="1"/>
          <w:numId w:val="42"/>
        </w:numPr>
        <w:spacing w:after="0"/>
        <w:ind w:left="284" w:hanging="284"/>
        <w:contextualSpacing/>
        <w:jc w:val="both"/>
        <w:rPr>
          <w:rFonts w:ascii="Cambria" w:hAnsi="Cambria" w:cstheme="minorHAnsi"/>
          <w:sz w:val="20"/>
          <w:szCs w:val="20"/>
        </w:rPr>
      </w:pPr>
      <w:r w:rsidRPr="00730D83">
        <w:rPr>
          <w:rFonts w:ascii="Cambria" w:hAnsi="Cambria" w:cstheme="minorHAnsi"/>
          <w:sz w:val="20"/>
          <w:szCs w:val="20"/>
        </w:rPr>
        <w:t xml:space="preserve">How conducive is the current political environment to implement the current portfolio under pillar 1 and 2? </w:t>
      </w:r>
    </w:p>
    <w:p w14:paraId="48367DEC" w14:textId="77777777" w:rsidR="00630D6B" w:rsidRPr="00730D83" w:rsidRDefault="00630D6B" w:rsidP="00925CAD">
      <w:pPr>
        <w:numPr>
          <w:ilvl w:val="1"/>
          <w:numId w:val="42"/>
        </w:numPr>
        <w:spacing w:after="0"/>
        <w:ind w:left="284" w:hanging="284"/>
        <w:contextualSpacing/>
        <w:jc w:val="both"/>
        <w:rPr>
          <w:rFonts w:ascii="Cambria" w:hAnsi="Cambria" w:cstheme="minorHAnsi"/>
          <w:sz w:val="20"/>
          <w:szCs w:val="20"/>
        </w:rPr>
      </w:pPr>
      <w:r w:rsidRPr="00730D83">
        <w:rPr>
          <w:rFonts w:ascii="Cambria" w:hAnsi="Cambria" w:cstheme="minorHAnsi"/>
          <w:sz w:val="20"/>
          <w:szCs w:val="20"/>
        </w:rPr>
        <w:t>What are some of the opportunities that the present political environment presents?</w:t>
      </w:r>
    </w:p>
    <w:p w14:paraId="6D89ADAF" w14:textId="77777777" w:rsidR="00630D6B" w:rsidRPr="00730D83" w:rsidRDefault="00630D6B" w:rsidP="00925CAD">
      <w:pPr>
        <w:numPr>
          <w:ilvl w:val="1"/>
          <w:numId w:val="42"/>
        </w:numPr>
        <w:spacing w:after="0"/>
        <w:ind w:left="284" w:hanging="284"/>
        <w:contextualSpacing/>
        <w:jc w:val="both"/>
        <w:rPr>
          <w:rFonts w:ascii="Cambria" w:hAnsi="Cambria" w:cstheme="minorHAnsi"/>
          <w:sz w:val="20"/>
          <w:szCs w:val="20"/>
        </w:rPr>
      </w:pPr>
      <w:r w:rsidRPr="00730D83">
        <w:rPr>
          <w:rFonts w:ascii="Cambria" w:hAnsi="Cambria" w:cstheme="minorHAnsi"/>
          <w:sz w:val="20"/>
          <w:szCs w:val="20"/>
        </w:rPr>
        <w:t>What are the challenges? How can these be overcome for more effective implementation and to see results?</w:t>
      </w:r>
    </w:p>
    <w:p w14:paraId="55D90271" w14:textId="77777777" w:rsidR="00630D6B" w:rsidRPr="00730D83" w:rsidRDefault="00630D6B" w:rsidP="00630D6B">
      <w:pPr>
        <w:ind w:left="284"/>
        <w:jc w:val="both"/>
        <w:rPr>
          <w:rFonts w:ascii="Cambria" w:hAnsi="Cambria" w:cstheme="minorHAnsi"/>
          <w:sz w:val="20"/>
          <w:szCs w:val="20"/>
        </w:rPr>
      </w:pPr>
    </w:p>
    <w:p w14:paraId="013F8A3D" w14:textId="77777777" w:rsidR="00630D6B" w:rsidRPr="00730D83" w:rsidRDefault="00630D6B" w:rsidP="00925CAD">
      <w:pPr>
        <w:numPr>
          <w:ilvl w:val="1"/>
          <w:numId w:val="44"/>
        </w:numPr>
        <w:spacing w:after="0"/>
        <w:ind w:left="567" w:hanging="567"/>
        <w:contextualSpacing/>
        <w:jc w:val="both"/>
        <w:rPr>
          <w:rFonts w:ascii="Cambria" w:hAnsi="Cambria" w:cstheme="minorHAnsi"/>
          <w:b/>
          <w:bCs/>
          <w:sz w:val="20"/>
          <w:szCs w:val="20"/>
        </w:rPr>
      </w:pPr>
      <w:r w:rsidRPr="00730D83">
        <w:rPr>
          <w:rFonts w:ascii="Cambria" w:hAnsi="Cambria" w:cstheme="minorHAnsi"/>
          <w:b/>
          <w:bCs/>
          <w:sz w:val="20"/>
          <w:szCs w:val="20"/>
        </w:rPr>
        <w:t>Economic conditions</w:t>
      </w:r>
    </w:p>
    <w:p w14:paraId="7DA6E9D3" w14:textId="77777777" w:rsidR="00630D6B" w:rsidRPr="00730D83" w:rsidRDefault="00630D6B" w:rsidP="00925CAD">
      <w:pPr>
        <w:numPr>
          <w:ilvl w:val="0"/>
          <w:numId w:val="53"/>
        </w:numPr>
        <w:spacing w:after="0"/>
        <w:contextualSpacing/>
        <w:jc w:val="both"/>
        <w:rPr>
          <w:rFonts w:ascii="Cambria" w:hAnsi="Cambria" w:cstheme="minorHAnsi"/>
          <w:sz w:val="20"/>
          <w:szCs w:val="20"/>
        </w:rPr>
      </w:pPr>
      <w:r w:rsidRPr="00730D83">
        <w:rPr>
          <w:rFonts w:ascii="Cambria" w:hAnsi="Cambria" w:cstheme="minorHAnsi"/>
          <w:sz w:val="20"/>
          <w:szCs w:val="20"/>
        </w:rPr>
        <w:t>What are the critical economic factors/challenges that need to be considered in the current economic context, that may be affecting how the portfolio is implemented? Have these worsened? How?</w:t>
      </w:r>
    </w:p>
    <w:p w14:paraId="07652F2E" w14:textId="77777777" w:rsidR="00630D6B" w:rsidRPr="00730D83" w:rsidRDefault="00630D6B" w:rsidP="00925CAD">
      <w:pPr>
        <w:numPr>
          <w:ilvl w:val="0"/>
          <w:numId w:val="53"/>
        </w:numPr>
        <w:spacing w:after="0"/>
        <w:contextualSpacing/>
        <w:jc w:val="both"/>
        <w:rPr>
          <w:rFonts w:ascii="Cambria" w:hAnsi="Cambria" w:cstheme="minorHAnsi"/>
          <w:sz w:val="20"/>
          <w:szCs w:val="20"/>
        </w:rPr>
      </w:pPr>
      <w:r w:rsidRPr="00730D83">
        <w:rPr>
          <w:rFonts w:ascii="Cambria" w:hAnsi="Cambria" w:cstheme="minorHAnsi"/>
          <w:sz w:val="20"/>
          <w:szCs w:val="20"/>
        </w:rPr>
        <w:t>How conducive is the current economic environment to implement the current portfolio under pillar 1 and 2?</w:t>
      </w:r>
    </w:p>
    <w:p w14:paraId="4FCFA98A" w14:textId="77777777" w:rsidR="00630D6B" w:rsidRPr="00730D83" w:rsidRDefault="00630D6B" w:rsidP="00630D6B">
      <w:pPr>
        <w:ind w:left="284"/>
        <w:jc w:val="both"/>
        <w:rPr>
          <w:rFonts w:ascii="Cambria" w:hAnsi="Cambria" w:cstheme="minorHAnsi"/>
          <w:sz w:val="20"/>
          <w:szCs w:val="20"/>
        </w:rPr>
      </w:pPr>
    </w:p>
    <w:p w14:paraId="6CA7E4F4" w14:textId="77777777" w:rsidR="00630D6B" w:rsidRPr="00730D83" w:rsidRDefault="00630D6B" w:rsidP="00925CAD">
      <w:pPr>
        <w:numPr>
          <w:ilvl w:val="1"/>
          <w:numId w:val="44"/>
        </w:numPr>
        <w:spacing w:after="0"/>
        <w:ind w:left="567" w:hanging="567"/>
        <w:contextualSpacing/>
        <w:jc w:val="both"/>
        <w:rPr>
          <w:rFonts w:ascii="Cambria" w:hAnsi="Cambria" w:cstheme="minorHAnsi"/>
          <w:b/>
          <w:bCs/>
          <w:sz w:val="20"/>
          <w:szCs w:val="20"/>
        </w:rPr>
      </w:pPr>
      <w:r w:rsidRPr="00730D83">
        <w:rPr>
          <w:rFonts w:ascii="Cambria" w:hAnsi="Cambria" w:cstheme="minorHAnsi"/>
          <w:b/>
          <w:bCs/>
          <w:sz w:val="20"/>
          <w:szCs w:val="20"/>
        </w:rPr>
        <w:t xml:space="preserve">Other contextual challenges </w:t>
      </w:r>
    </w:p>
    <w:p w14:paraId="00074BF9" w14:textId="77777777" w:rsidR="00630D6B" w:rsidRPr="00730D83" w:rsidRDefault="00630D6B" w:rsidP="00925CAD">
      <w:pPr>
        <w:numPr>
          <w:ilvl w:val="0"/>
          <w:numId w:val="52"/>
        </w:numPr>
        <w:spacing w:after="0"/>
        <w:contextualSpacing/>
        <w:jc w:val="both"/>
        <w:rPr>
          <w:rFonts w:ascii="Cambria" w:hAnsi="Cambria" w:cstheme="minorHAnsi"/>
          <w:sz w:val="20"/>
          <w:szCs w:val="20"/>
        </w:rPr>
      </w:pPr>
      <w:r w:rsidRPr="00730D83">
        <w:rPr>
          <w:rFonts w:ascii="Cambria" w:hAnsi="Cambria" w:cstheme="minorHAnsi"/>
          <w:sz w:val="20"/>
          <w:szCs w:val="20"/>
        </w:rPr>
        <w:t>How do you think other challenges within the current context will affect the intervention? Reflect on what is taking place in the context now and immediate future.</w:t>
      </w:r>
    </w:p>
    <w:p w14:paraId="32FA2F27" w14:textId="77777777" w:rsidR="00630D6B" w:rsidRPr="00730D83" w:rsidRDefault="00630D6B" w:rsidP="00925CAD">
      <w:pPr>
        <w:numPr>
          <w:ilvl w:val="0"/>
          <w:numId w:val="52"/>
        </w:numPr>
        <w:spacing w:after="0"/>
        <w:contextualSpacing/>
        <w:jc w:val="both"/>
        <w:rPr>
          <w:rFonts w:ascii="Cambria" w:hAnsi="Cambria" w:cstheme="minorHAnsi"/>
          <w:sz w:val="20"/>
          <w:szCs w:val="20"/>
        </w:rPr>
      </w:pPr>
      <w:r w:rsidRPr="00730D83">
        <w:rPr>
          <w:rFonts w:ascii="Cambria" w:hAnsi="Cambria" w:cstheme="minorHAnsi"/>
          <w:sz w:val="20"/>
          <w:szCs w:val="20"/>
        </w:rPr>
        <w:t>Has it affected the intervention in any way?</w:t>
      </w:r>
    </w:p>
    <w:p w14:paraId="42EFBEA4" w14:textId="77777777" w:rsidR="00630D6B" w:rsidRPr="00730D83" w:rsidRDefault="00630D6B" w:rsidP="00925CAD">
      <w:pPr>
        <w:numPr>
          <w:ilvl w:val="0"/>
          <w:numId w:val="52"/>
        </w:numPr>
        <w:spacing w:after="0"/>
        <w:contextualSpacing/>
        <w:jc w:val="both"/>
        <w:rPr>
          <w:rFonts w:ascii="Cambria" w:hAnsi="Cambria" w:cstheme="minorHAnsi"/>
          <w:sz w:val="20"/>
          <w:szCs w:val="20"/>
        </w:rPr>
      </w:pPr>
      <w:r w:rsidRPr="00730D83">
        <w:rPr>
          <w:rFonts w:ascii="Cambria" w:hAnsi="Cambria" w:cstheme="minorHAnsi"/>
          <w:sz w:val="20"/>
          <w:szCs w:val="20"/>
        </w:rPr>
        <w:t xml:space="preserve">How can the effects of these be managed when implementing the intervention, how can challenges be managed? What do we need to be mindful of? (such as Covid-19, 20th Amendment to the Constitution, new constitution, economic instability etc.) </w:t>
      </w:r>
    </w:p>
    <w:p w14:paraId="02716808" w14:textId="77777777" w:rsidR="00630D6B" w:rsidRPr="00730D83" w:rsidRDefault="00630D6B" w:rsidP="00925CAD">
      <w:pPr>
        <w:numPr>
          <w:ilvl w:val="0"/>
          <w:numId w:val="52"/>
        </w:numPr>
        <w:spacing w:after="0"/>
        <w:contextualSpacing/>
        <w:jc w:val="both"/>
        <w:rPr>
          <w:rFonts w:ascii="Cambria" w:hAnsi="Cambria" w:cstheme="minorHAnsi"/>
          <w:sz w:val="20"/>
          <w:szCs w:val="20"/>
        </w:rPr>
      </w:pPr>
      <w:r w:rsidRPr="00730D83">
        <w:rPr>
          <w:rFonts w:ascii="Cambria" w:hAnsi="Cambria" w:cstheme="minorHAnsi"/>
          <w:sz w:val="20"/>
          <w:szCs w:val="20"/>
        </w:rPr>
        <w:t xml:space="preserve">How will the Twentieth Amendment to the constitution affect the independence of the current commissions and parliament? </w:t>
      </w:r>
    </w:p>
    <w:p w14:paraId="53B0B533" w14:textId="77777777" w:rsidR="00630D6B" w:rsidRPr="00730D83" w:rsidRDefault="00630D6B" w:rsidP="00925CAD">
      <w:pPr>
        <w:numPr>
          <w:ilvl w:val="0"/>
          <w:numId w:val="52"/>
        </w:numPr>
        <w:spacing w:after="0"/>
        <w:contextualSpacing/>
        <w:jc w:val="both"/>
        <w:rPr>
          <w:rFonts w:ascii="Cambria" w:hAnsi="Cambria" w:cstheme="minorHAnsi"/>
          <w:sz w:val="20"/>
          <w:szCs w:val="20"/>
        </w:rPr>
      </w:pPr>
      <w:r w:rsidRPr="00730D83">
        <w:rPr>
          <w:rFonts w:ascii="Cambria" w:hAnsi="Cambria" w:cstheme="minorHAnsi"/>
          <w:sz w:val="20"/>
          <w:szCs w:val="20"/>
        </w:rPr>
        <w:t xml:space="preserve">What action/support can the UNDP take to mitigate/minimize this? </w:t>
      </w:r>
    </w:p>
    <w:p w14:paraId="3D244B82" w14:textId="77777777" w:rsidR="00630D6B" w:rsidRPr="00730D83" w:rsidRDefault="00630D6B" w:rsidP="00925CAD">
      <w:pPr>
        <w:numPr>
          <w:ilvl w:val="0"/>
          <w:numId w:val="52"/>
        </w:numPr>
        <w:spacing w:after="0"/>
        <w:contextualSpacing/>
        <w:jc w:val="both"/>
        <w:rPr>
          <w:rFonts w:ascii="Cambria" w:hAnsi="Cambria" w:cstheme="minorHAnsi"/>
          <w:sz w:val="20"/>
          <w:szCs w:val="20"/>
        </w:rPr>
      </w:pPr>
      <w:r w:rsidRPr="00730D83">
        <w:rPr>
          <w:rFonts w:ascii="Cambria" w:hAnsi="Cambria" w:cstheme="minorHAnsi"/>
          <w:sz w:val="20"/>
          <w:szCs w:val="20"/>
        </w:rPr>
        <w:t>What are the substantive gaps/areas that the Portfolio should focus on given the current context and government interests?</w:t>
      </w:r>
    </w:p>
    <w:p w14:paraId="34718CE0" w14:textId="77777777" w:rsidR="00630D6B" w:rsidRPr="00730D83" w:rsidRDefault="00630D6B" w:rsidP="00925CAD">
      <w:pPr>
        <w:numPr>
          <w:ilvl w:val="0"/>
          <w:numId w:val="52"/>
        </w:numPr>
        <w:spacing w:after="0"/>
        <w:contextualSpacing/>
        <w:jc w:val="both"/>
        <w:rPr>
          <w:rFonts w:ascii="Cambria" w:hAnsi="Cambria" w:cstheme="minorHAnsi"/>
          <w:sz w:val="20"/>
          <w:szCs w:val="20"/>
        </w:rPr>
      </w:pPr>
      <w:r w:rsidRPr="00730D83">
        <w:rPr>
          <w:rFonts w:ascii="Cambria" w:hAnsi="Cambria" w:cstheme="minorHAnsi"/>
          <w:sz w:val="20"/>
          <w:szCs w:val="20"/>
        </w:rPr>
        <w:t>What are the positive trends/factors that may contribute towards the implementation of the portfolio?</w:t>
      </w:r>
    </w:p>
    <w:p w14:paraId="03362E44" w14:textId="77777777" w:rsidR="00630D6B" w:rsidRPr="00730D83" w:rsidRDefault="00630D6B" w:rsidP="00630D6B">
      <w:pPr>
        <w:jc w:val="both"/>
        <w:rPr>
          <w:rFonts w:ascii="Cambria" w:hAnsi="Cambria" w:cstheme="minorHAnsi"/>
          <w:sz w:val="20"/>
          <w:szCs w:val="20"/>
        </w:rPr>
      </w:pPr>
    </w:p>
    <w:p w14:paraId="5099A5B8" w14:textId="77777777" w:rsidR="00630D6B" w:rsidRPr="00730D83" w:rsidRDefault="00630D6B" w:rsidP="00925CAD">
      <w:pPr>
        <w:numPr>
          <w:ilvl w:val="0"/>
          <w:numId w:val="44"/>
        </w:numPr>
        <w:spacing w:after="0"/>
        <w:contextualSpacing/>
        <w:jc w:val="both"/>
        <w:rPr>
          <w:rFonts w:ascii="Cambria" w:hAnsi="Cambria" w:cstheme="minorHAnsi"/>
          <w:b/>
          <w:bCs/>
          <w:sz w:val="20"/>
          <w:szCs w:val="20"/>
        </w:rPr>
      </w:pPr>
      <w:r w:rsidRPr="00730D83">
        <w:rPr>
          <w:rFonts w:ascii="Cambria" w:hAnsi="Cambria" w:cstheme="minorHAnsi"/>
          <w:b/>
          <w:bCs/>
          <w:sz w:val="20"/>
          <w:szCs w:val="20"/>
        </w:rPr>
        <w:t xml:space="preserve">Gender </w:t>
      </w:r>
    </w:p>
    <w:p w14:paraId="31775478" w14:textId="77777777" w:rsidR="00630D6B" w:rsidRPr="00730D83" w:rsidRDefault="00630D6B" w:rsidP="00925CAD">
      <w:pPr>
        <w:numPr>
          <w:ilvl w:val="0"/>
          <w:numId w:val="46"/>
        </w:numPr>
        <w:spacing w:after="0"/>
        <w:contextualSpacing/>
        <w:jc w:val="both"/>
        <w:rPr>
          <w:rFonts w:ascii="Cambria" w:hAnsi="Cambria" w:cstheme="minorHAnsi"/>
          <w:sz w:val="20"/>
          <w:szCs w:val="20"/>
        </w:rPr>
      </w:pPr>
      <w:r w:rsidRPr="00730D83">
        <w:rPr>
          <w:rFonts w:ascii="Cambria" w:hAnsi="Cambria" w:cstheme="minorHAnsi"/>
          <w:sz w:val="20"/>
          <w:szCs w:val="20"/>
        </w:rPr>
        <w:t>There is no cabinet Ministry for women and children. Only a state ministry. What is the implication of this to achieving gender equality and addressing the many gender related issues and problems in the country? How does integrating gender into the portfolio get affected as a result?</w:t>
      </w:r>
    </w:p>
    <w:p w14:paraId="49F05B28" w14:textId="77777777" w:rsidR="00630D6B" w:rsidRPr="00730D83" w:rsidRDefault="00630D6B" w:rsidP="00925CAD">
      <w:pPr>
        <w:numPr>
          <w:ilvl w:val="0"/>
          <w:numId w:val="46"/>
        </w:numPr>
        <w:spacing w:after="0"/>
        <w:contextualSpacing/>
        <w:jc w:val="both"/>
        <w:rPr>
          <w:rFonts w:ascii="Cambria" w:hAnsi="Cambria" w:cstheme="minorHAnsi"/>
          <w:sz w:val="20"/>
          <w:szCs w:val="20"/>
        </w:rPr>
      </w:pPr>
      <w:r w:rsidRPr="00730D83">
        <w:rPr>
          <w:rFonts w:ascii="Cambria" w:hAnsi="Cambria" w:cstheme="minorHAnsi"/>
          <w:sz w:val="20"/>
          <w:szCs w:val="20"/>
        </w:rPr>
        <w:t>Do you think the space for gender equality and women’s empowerment is diminishing significantly under the current government? Why do you think so?</w:t>
      </w:r>
    </w:p>
    <w:p w14:paraId="24E5E606" w14:textId="77777777" w:rsidR="00630D6B" w:rsidRPr="00730D83" w:rsidRDefault="00630D6B" w:rsidP="00925CAD">
      <w:pPr>
        <w:numPr>
          <w:ilvl w:val="0"/>
          <w:numId w:val="46"/>
        </w:numPr>
        <w:spacing w:after="0"/>
        <w:contextualSpacing/>
        <w:jc w:val="both"/>
        <w:rPr>
          <w:rFonts w:ascii="Cambria" w:hAnsi="Cambria" w:cstheme="minorHAnsi"/>
          <w:sz w:val="20"/>
          <w:szCs w:val="20"/>
        </w:rPr>
      </w:pPr>
      <w:r w:rsidRPr="00730D83">
        <w:rPr>
          <w:rFonts w:ascii="Cambria" w:hAnsi="Cambria" w:cstheme="minorHAnsi"/>
          <w:sz w:val="20"/>
          <w:szCs w:val="20"/>
        </w:rPr>
        <w:t>How have women been included in the intervention activities? How has gender equality been included? In which aspects has it been included? How effective has this been in implementing and achieving the objectives of the overall portfolio?</w:t>
      </w:r>
    </w:p>
    <w:p w14:paraId="22B63B83" w14:textId="77777777" w:rsidR="00630D6B" w:rsidRPr="00730D83" w:rsidRDefault="00630D6B" w:rsidP="00925CAD">
      <w:pPr>
        <w:numPr>
          <w:ilvl w:val="0"/>
          <w:numId w:val="46"/>
        </w:numPr>
        <w:spacing w:after="0"/>
        <w:contextualSpacing/>
        <w:jc w:val="both"/>
        <w:rPr>
          <w:rFonts w:ascii="Cambria" w:hAnsi="Cambria" w:cstheme="minorHAnsi"/>
          <w:sz w:val="20"/>
          <w:szCs w:val="20"/>
        </w:rPr>
      </w:pPr>
      <w:r w:rsidRPr="00730D83">
        <w:rPr>
          <w:rFonts w:ascii="Cambria" w:hAnsi="Cambria" w:cstheme="minorHAnsi"/>
          <w:sz w:val="20"/>
          <w:szCs w:val="20"/>
        </w:rPr>
        <w:t xml:space="preserve">What has been done to increase women’s political participation? How effective has this been in implementing and achieving the objectives of the portfolio? </w:t>
      </w:r>
    </w:p>
    <w:p w14:paraId="4415E76F" w14:textId="77777777" w:rsidR="00630D6B" w:rsidRPr="00730D83" w:rsidRDefault="00630D6B" w:rsidP="00925CAD">
      <w:pPr>
        <w:numPr>
          <w:ilvl w:val="0"/>
          <w:numId w:val="46"/>
        </w:numPr>
        <w:spacing w:after="0"/>
        <w:contextualSpacing/>
        <w:jc w:val="both"/>
        <w:rPr>
          <w:rFonts w:ascii="Cambria" w:hAnsi="Cambria" w:cstheme="minorHAnsi"/>
          <w:sz w:val="20"/>
          <w:szCs w:val="20"/>
        </w:rPr>
      </w:pPr>
      <w:r w:rsidRPr="00730D83">
        <w:rPr>
          <w:rFonts w:ascii="Cambria" w:hAnsi="Cambria" w:cstheme="minorHAnsi"/>
          <w:sz w:val="20"/>
          <w:szCs w:val="20"/>
        </w:rPr>
        <w:t xml:space="preserve">Can you reflect on how gender has been integrated into the portfolio? Is it adequate? How does it need to be improved to ensure more effective realization of gender? What other means can be used to ensure greater integration of gender within the portfolio?  </w:t>
      </w:r>
    </w:p>
    <w:p w14:paraId="175C54CF" w14:textId="77777777" w:rsidR="00630D6B" w:rsidRPr="00730D83" w:rsidRDefault="00630D6B" w:rsidP="00925CAD">
      <w:pPr>
        <w:numPr>
          <w:ilvl w:val="0"/>
          <w:numId w:val="46"/>
        </w:numPr>
        <w:spacing w:after="0"/>
        <w:contextualSpacing/>
        <w:jc w:val="both"/>
        <w:rPr>
          <w:rFonts w:ascii="Cambria" w:hAnsi="Cambria" w:cstheme="minorHAnsi"/>
          <w:sz w:val="20"/>
          <w:szCs w:val="20"/>
        </w:rPr>
      </w:pPr>
      <w:r w:rsidRPr="00730D83">
        <w:rPr>
          <w:rFonts w:ascii="Cambria" w:hAnsi="Cambria" w:cstheme="minorHAnsi"/>
          <w:sz w:val="20"/>
          <w:szCs w:val="20"/>
        </w:rPr>
        <w:t xml:space="preserve">Where do you think UNDP should be currently focusing on? </w:t>
      </w:r>
    </w:p>
    <w:p w14:paraId="4C2E479D" w14:textId="77777777" w:rsidR="00630D6B" w:rsidRPr="00730D83" w:rsidRDefault="00630D6B" w:rsidP="00630D6B">
      <w:pPr>
        <w:jc w:val="both"/>
        <w:rPr>
          <w:rFonts w:ascii="Cambria" w:hAnsi="Cambria" w:cstheme="minorHAnsi"/>
          <w:sz w:val="20"/>
          <w:szCs w:val="20"/>
        </w:rPr>
      </w:pPr>
    </w:p>
    <w:p w14:paraId="267E37A4" w14:textId="77777777" w:rsidR="00630D6B" w:rsidRPr="00730D83" w:rsidRDefault="00630D6B" w:rsidP="00925CAD">
      <w:pPr>
        <w:numPr>
          <w:ilvl w:val="0"/>
          <w:numId w:val="44"/>
        </w:numPr>
        <w:spacing w:after="0"/>
        <w:contextualSpacing/>
        <w:jc w:val="both"/>
        <w:rPr>
          <w:rFonts w:ascii="Cambria" w:hAnsi="Cambria" w:cstheme="minorHAnsi"/>
          <w:b/>
          <w:bCs/>
          <w:sz w:val="20"/>
          <w:szCs w:val="20"/>
        </w:rPr>
      </w:pPr>
      <w:r w:rsidRPr="00730D83">
        <w:rPr>
          <w:rFonts w:ascii="Cambria" w:hAnsi="Cambria" w:cstheme="minorHAnsi"/>
          <w:b/>
          <w:bCs/>
          <w:sz w:val="20"/>
          <w:szCs w:val="20"/>
        </w:rPr>
        <w:t>Youth </w:t>
      </w:r>
    </w:p>
    <w:p w14:paraId="53294DBE" w14:textId="77777777" w:rsidR="00630D6B" w:rsidRPr="00730D83" w:rsidRDefault="00630D6B" w:rsidP="00925CAD">
      <w:pPr>
        <w:numPr>
          <w:ilvl w:val="0"/>
          <w:numId w:val="57"/>
        </w:numPr>
        <w:spacing w:after="0"/>
        <w:contextualSpacing/>
        <w:jc w:val="both"/>
        <w:rPr>
          <w:rFonts w:ascii="Cambria" w:hAnsi="Cambria" w:cstheme="minorHAnsi"/>
          <w:sz w:val="20"/>
          <w:szCs w:val="20"/>
        </w:rPr>
      </w:pPr>
      <w:r w:rsidRPr="00730D83">
        <w:rPr>
          <w:rFonts w:ascii="Cambria" w:hAnsi="Cambria" w:cstheme="minorHAnsi"/>
          <w:sz w:val="20"/>
          <w:szCs w:val="20"/>
        </w:rPr>
        <w:t xml:space="preserve">Do you think the space for youth engagement within the current context? How so? How is this/has this been challenging? </w:t>
      </w:r>
    </w:p>
    <w:p w14:paraId="72985095" w14:textId="77777777" w:rsidR="00630D6B" w:rsidRPr="00730D83" w:rsidRDefault="00630D6B" w:rsidP="00925CAD">
      <w:pPr>
        <w:numPr>
          <w:ilvl w:val="0"/>
          <w:numId w:val="57"/>
        </w:numPr>
        <w:spacing w:after="0"/>
        <w:contextualSpacing/>
        <w:jc w:val="both"/>
        <w:rPr>
          <w:rFonts w:ascii="Cambria" w:hAnsi="Cambria" w:cstheme="minorHAnsi"/>
          <w:sz w:val="20"/>
          <w:szCs w:val="20"/>
        </w:rPr>
      </w:pPr>
      <w:r w:rsidRPr="00730D83">
        <w:rPr>
          <w:rFonts w:ascii="Cambria" w:hAnsi="Cambria" w:cstheme="minorHAnsi"/>
          <w:sz w:val="20"/>
          <w:szCs w:val="20"/>
        </w:rPr>
        <w:t xml:space="preserve">Can you reflect on how youth has been integrated into the portfolio? Is it adequate? How does it need to be improved to ensure more effective youth participation and addressing youth issues? What other means can be used to ensure greater integration of youth and youth issues?  </w:t>
      </w:r>
    </w:p>
    <w:p w14:paraId="585846CF" w14:textId="77777777" w:rsidR="00630D6B" w:rsidRPr="00730D83" w:rsidRDefault="00630D6B" w:rsidP="00630D6B">
      <w:pPr>
        <w:jc w:val="both"/>
        <w:rPr>
          <w:rFonts w:ascii="Cambria" w:hAnsi="Cambria" w:cstheme="minorHAnsi"/>
          <w:sz w:val="20"/>
          <w:szCs w:val="20"/>
        </w:rPr>
      </w:pPr>
    </w:p>
    <w:p w14:paraId="4DA15594" w14:textId="77777777" w:rsidR="00630D6B" w:rsidRPr="00730D83" w:rsidRDefault="00630D6B" w:rsidP="00925CAD">
      <w:pPr>
        <w:numPr>
          <w:ilvl w:val="0"/>
          <w:numId w:val="44"/>
        </w:numPr>
        <w:spacing w:after="0"/>
        <w:contextualSpacing/>
        <w:jc w:val="both"/>
        <w:rPr>
          <w:rFonts w:ascii="Cambria" w:hAnsi="Cambria" w:cstheme="minorHAnsi"/>
          <w:b/>
          <w:bCs/>
          <w:sz w:val="20"/>
          <w:szCs w:val="20"/>
        </w:rPr>
      </w:pPr>
      <w:r w:rsidRPr="00730D83">
        <w:rPr>
          <w:rFonts w:ascii="Cambria" w:hAnsi="Cambria" w:cstheme="minorHAnsi"/>
          <w:b/>
          <w:bCs/>
          <w:sz w:val="20"/>
          <w:szCs w:val="20"/>
        </w:rPr>
        <w:t xml:space="preserve">Human Rights Bases Approaches </w:t>
      </w:r>
    </w:p>
    <w:p w14:paraId="415CFB90" w14:textId="77777777" w:rsidR="00630D6B" w:rsidRPr="00730D83" w:rsidRDefault="00630D6B" w:rsidP="00925CAD">
      <w:pPr>
        <w:numPr>
          <w:ilvl w:val="0"/>
          <w:numId w:val="58"/>
        </w:numPr>
        <w:spacing w:after="0"/>
        <w:contextualSpacing/>
        <w:jc w:val="both"/>
        <w:rPr>
          <w:rFonts w:ascii="Cambria" w:hAnsi="Cambria" w:cstheme="minorHAnsi"/>
          <w:sz w:val="20"/>
          <w:szCs w:val="20"/>
        </w:rPr>
      </w:pPr>
      <w:r w:rsidRPr="00730D83">
        <w:rPr>
          <w:rFonts w:ascii="Cambria" w:hAnsi="Cambria" w:cstheme="minorHAnsi"/>
          <w:sz w:val="20"/>
          <w:szCs w:val="20"/>
        </w:rPr>
        <w:t>Do you think the space for addressing human rights issues within the current context? How so? How is this/has this been challenging?</w:t>
      </w:r>
    </w:p>
    <w:p w14:paraId="272B9343" w14:textId="77777777" w:rsidR="00630D6B" w:rsidRPr="00730D83" w:rsidRDefault="00630D6B" w:rsidP="00925CAD">
      <w:pPr>
        <w:numPr>
          <w:ilvl w:val="0"/>
          <w:numId w:val="58"/>
        </w:numPr>
        <w:spacing w:after="0"/>
        <w:contextualSpacing/>
        <w:jc w:val="both"/>
        <w:rPr>
          <w:rFonts w:ascii="Cambria" w:hAnsi="Cambria" w:cstheme="minorHAnsi"/>
          <w:sz w:val="20"/>
          <w:szCs w:val="20"/>
        </w:rPr>
      </w:pPr>
      <w:r w:rsidRPr="00730D83">
        <w:rPr>
          <w:rFonts w:ascii="Cambria" w:hAnsi="Cambria" w:cstheme="minorHAnsi"/>
          <w:sz w:val="20"/>
          <w:szCs w:val="20"/>
        </w:rPr>
        <w:t xml:space="preserve">Can you reflect on how human rights issues have has been integrated into the portfolio? Is it adequate? How does it need to be improved to ensure more effective addressing of human rights related issues? What other means can be used to ensure greater integration of the relevant issues?  </w:t>
      </w:r>
    </w:p>
    <w:p w14:paraId="4DBD43E9" w14:textId="77777777" w:rsidR="00630D6B" w:rsidRPr="00730D83" w:rsidRDefault="00630D6B" w:rsidP="00630D6B">
      <w:pPr>
        <w:jc w:val="both"/>
        <w:rPr>
          <w:rFonts w:ascii="Cambria" w:hAnsi="Cambria" w:cstheme="minorHAnsi"/>
          <w:sz w:val="20"/>
          <w:szCs w:val="20"/>
        </w:rPr>
      </w:pPr>
    </w:p>
    <w:p w14:paraId="70E321ED" w14:textId="77777777" w:rsidR="00630D6B" w:rsidRPr="00730D83" w:rsidRDefault="00630D6B" w:rsidP="00925CAD">
      <w:pPr>
        <w:numPr>
          <w:ilvl w:val="0"/>
          <w:numId w:val="44"/>
        </w:numPr>
        <w:spacing w:after="0"/>
        <w:contextualSpacing/>
        <w:jc w:val="both"/>
        <w:rPr>
          <w:rFonts w:ascii="Cambria" w:hAnsi="Cambria" w:cstheme="minorHAnsi"/>
          <w:b/>
          <w:bCs/>
          <w:sz w:val="20"/>
          <w:szCs w:val="20"/>
        </w:rPr>
      </w:pPr>
      <w:r w:rsidRPr="00730D83">
        <w:rPr>
          <w:rFonts w:ascii="Cambria" w:hAnsi="Cambria" w:cstheme="minorHAnsi"/>
          <w:b/>
          <w:bCs/>
          <w:sz w:val="20"/>
          <w:szCs w:val="20"/>
        </w:rPr>
        <w:t>Sustainable Development Goal 16 </w:t>
      </w:r>
    </w:p>
    <w:p w14:paraId="54996A99" w14:textId="77777777" w:rsidR="00630D6B" w:rsidRPr="00730D83" w:rsidRDefault="00630D6B" w:rsidP="00925CAD">
      <w:pPr>
        <w:numPr>
          <w:ilvl w:val="0"/>
          <w:numId w:val="54"/>
        </w:numPr>
        <w:spacing w:after="0"/>
        <w:contextualSpacing/>
        <w:jc w:val="both"/>
        <w:rPr>
          <w:rFonts w:ascii="Cambria" w:eastAsia="Times New Roman" w:hAnsi="Cambria" w:cstheme="minorHAnsi"/>
          <w:color w:val="222222"/>
          <w:sz w:val="20"/>
          <w:szCs w:val="20"/>
        </w:rPr>
      </w:pPr>
      <w:r w:rsidRPr="00730D83">
        <w:rPr>
          <w:rFonts w:ascii="Cambria" w:eastAsia="Times New Roman" w:hAnsi="Cambria" w:cstheme="minorHAnsi"/>
          <w:color w:val="222222"/>
          <w:sz w:val="20"/>
          <w:szCs w:val="20"/>
        </w:rPr>
        <w:t>What should be the priorities to focus on in Sri Lanka in order to achieve SDG 16 (peace, justice and strong institutions) and its related targets?</w:t>
      </w:r>
    </w:p>
    <w:p w14:paraId="1C9B3FD5" w14:textId="77777777" w:rsidR="00630D6B" w:rsidRPr="00730D83" w:rsidRDefault="00630D6B" w:rsidP="00925CAD">
      <w:pPr>
        <w:numPr>
          <w:ilvl w:val="0"/>
          <w:numId w:val="54"/>
        </w:numPr>
        <w:spacing w:after="0"/>
        <w:contextualSpacing/>
        <w:jc w:val="both"/>
        <w:rPr>
          <w:rFonts w:ascii="Cambria" w:eastAsia="Times New Roman" w:hAnsi="Cambria" w:cstheme="minorHAnsi"/>
          <w:color w:val="222222"/>
          <w:sz w:val="20"/>
          <w:szCs w:val="20"/>
        </w:rPr>
      </w:pPr>
      <w:r w:rsidRPr="00730D83">
        <w:rPr>
          <w:rFonts w:ascii="Cambria" w:eastAsia="Times New Roman" w:hAnsi="Cambria" w:cstheme="minorHAnsi"/>
          <w:color w:val="222222"/>
          <w:sz w:val="20"/>
          <w:szCs w:val="20"/>
        </w:rPr>
        <w:t>Are there any opportunities that have arisen that UNDP can take advantage of in trying to implement the portfolio? Nationally and/or sub-nationally</w:t>
      </w:r>
    </w:p>
    <w:p w14:paraId="0AEC9677" w14:textId="77777777" w:rsidR="00630D6B" w:rsidRPr="00730D83" w:rsidRDefault="00630D6B" w:rsidP="00925CAD">
      <w:pPr>
        <w:numPr>
          <w:ilvl w:val="0"/>
          <w:numId w:val="54"/>
        </w:numPr>
        <w:spacing w:after="0"/>
        <w:contextualSpacing/>
        <w:jc w:val="both"/>
        <w:rPr>
          <w:rFonts w:ascii="Cambria" w:eastAsia="Times New Roman" w:hAnsi="Cambria" w:cstheme="minorHAnsi"/>
          <w:color w:val="222222"/>
          <w:sz w:val="20"/>
          <w:szCs w:val="20"/>
        </w:rPr>
      </w:pPr>
      <w:r w:rsidRPr="00730D83">
        <w:rPr>
          <w:rFonts w:ascii="Cambria" w:eastAsia="Times New Roman" w:hAnsi="Cambria" w:cstheme="minorHAnsi"/>
          <w:color w:val="222222"/>
          <w:sz w:val="20"/>
          <w:szCs w:val="20"/>
        </w:rPr>
        <w:lastRenderedPageBreak/>
        <w:t>What more can UNDP be doing to realise Goal 16 in Sri Lanka?</w:t>
      </w:r>
    </w:p>
    <w:p w14:paraId="3154FCAB" w14:textId="77777777" w:rsidR="00630D6B" w:rsidRPr="00730D83" w:rsidRDefault="00630D6B" w:rsidP="00925CAD">
      <w:pPr>
        <w:numPr>
          <w:ilvl w:val="0"/>
          <w:numId w:val="54"/>
        </w:numPr>
        <w:spacing w:after="0"/>
        <w:contextualSpacing/>
        <w:jc w:val="both"/>
        <w:rPr>
          <w:rFonts w:ascii="Cambria" w:eastAsia="Times New Roman" w:hAnsi="Cambria" w:cstheme="minorHAnsi"/>
          <w:color w:val="222222"/>
          <w:sz w:val="20"/>
          <w:szCs w:val="20"/>
        </w:rPr>
      </w:pPr>
      <w:r w:rsidRPr="00730D83">
        <w:rPr>
          <w:rFonts w:ascii="Cambria" w:eastAsia="Times New Roman" w:hAnsi="Cambria" w:cstheme="minorHAnsi"/>
          <w:color w:val="222222"/>
          <w:sz w:val="20"/>
          <w:szCs w:val="20"/>
        </w:rPr>
        <w:t>How could the current context in Sri Lanka and related issues within it affect the achievement of Goal 16 positively and/or negatively? Opportunities and challenges. </w:t>
      </w:r>
    </w:p>
    <w:p w14:paraId="246DF0C2" w14:textId="77777777" w:rsidR="00630D6B" w:rsidRPr="00730D83" w:rsidRDefault="00630D6B" w:rsidP="00630D6B">
      <w:pPr>
        <w:jc w:val="both"/>
        <w:rPr>
          <w:rFonts w:ascii="Cambria" w:eastAsia="Times New Roman" w:hAnsi="Cambria" w:cstheme="minorHAnsi"/>
          <w:color w:val="222222"/>
          <w:sz w:val="20"/>
          <w:szCs w:val="20"/>
        </w:rPr>
      </w:pPr>
    </w:p>
    <w:p w14:paraId="28BA04A4" w14:textId="77777777" w:rsidR="00630D6B" w:rsidRPr="00730D83" w:rsidRDefault="00630D6B" w:rsidP="00925CAD">
      <w:pPr>
        <w:numPr>
          <w:ilvl w:val="0"/>
          <w:numId w:val="44"/>
        </w:numPr>
        <w:spacing w:after="0"/>
        <w:contextualSpacing/>
        <w:jc w:val="both"/>
        <w:rPr>
          <w:rFonts w:ascii="Cambria" w:hAnsi="Cambria" w:cstheme="minorHAnsi"/>
          <w:b/>
          <w:bCs/>
          <w:sz w:val="20"/>
          <w:szCs w:val="20"/>
        </w:rPr>
      </w:pPr>
      <w:r w:rsidRPr="00730D83">
        <w:rPr>
          <w:rFonts w:ascii="Cambria" w:hAnsi="Cambria" w:cstheme="minorHAnsi"/>
          <w:b/>
          <w:bCs/>
          <w:sz w:val="20"/>
          <w:szCs w:val="20"/>
        </w:rPr>
        <w:t>Strategic direction of the portfolio</w:t>
      </w:r>
    </w:p>
    <w:p w14:paraId="0350C9F8" w14:textId="77777777" w:rsidR="00630D6B" w:rsidRPr="00730D83" w:rsidRDefault="00630D6B" w:rsidP="00925CAD">
      <w:pPr>
        <w:numPr>
          <w:ilvl w:val="0"/>
          <w:numId w:val="56"/>
        </w:numPr>
        <w:spacing w:after="0"/>
        <w:contextualSpacing/>
        <w:jc w:val="both"/>
        <w:rPr>
          <w:rFonts w:ascii="Cambria" w:eastAsia="Times New Roman" w:hAnsi="Cambria" w:cstheme="minorHAnsi"/>
          <w:color w:val="222222"/>
          <w:sz w:val="20"/>
          <w:szCs w:val="20"/>
        </w:rPr>
      </w:pPr>
      <w:r w:rsidRPr="00730D83">
        <w:rPr>
          <w:rFonts w:ascii="Cambria" w:eastAsia="Times New Roman" w:hAnsi="Cambria" w:cstheme="minorHAnsi"/>
          <w:i/>
          <w:iCs/>
          <w:color w:val="222222"/>
          <w:sz w:val="20"/>
          <w:szCs w:val="20"/>
        </w:rPr>
        <w:t xml:space="preserve">Strategy aims to address governance deficits and strengthen effectiveness of institutions nationally and sub-nationally to deliver people-centered services; build space, capacity and trust for excluded and vulnerable groups to participate and inform policy and decision-making do needs and interests are met. </w:t>
      </w:r>
    </w:p>
    <w:p w14:paraId="4D60E005" w14:textId="77777777" w:rsidR="00630D6B" w:rsidRPr="00730D83" w:rsidRDefault="00630D6B" w:rsidP="00925CAD">
      <w:pPr>
        <w:numPr>
          <w:ilvl w:val="0"/>
          <w:numId w:val="56"/>
        </w:numPr>
        <w:spacing w:after="0"/>
        <w:contextualSpacing/>
        <w:jc w:val="both"/>
        <w:rPr>
          <w:rFonts w:ascii="Cambria" w:eastAsia="Times New Roman" w:hAnsi="Cambria" w:cstheme="minorHAnsi"/>
          <w:i/>
          <w:iCs/>
          <w:color w:val="222222"/>
          <w:sz w:val="20"/>
          <w:szCs w:val="20"/>
        </w:rPr>
      </w:pPr>
      <w:r w:rsidRPr="00730D83">
        <w:rPr>
          <w:rFonts w:ascii="Cambria" w:eastAsia="Times New Roman" w:hAnsi="Cambria" w:cstheme="minorHAnsi"/>
          <w:i/>
          <w:iCs/>
          <w:color w:val="222222"/>
          <w:sz w:val="20"/>
          <w:szCs w:val="20"/>
        </w:rPr>
        <w:t xml:space="preserve">Strategy intends to </w:t>
      </w:r>
      <w:r w:rsidRPr="00730D83">
        <w:rPr>
          <w:rFonts w:ascii="Cambria" w:hAnsi="Cambria" w:cstheme="minorHAnsi"/>
          <w:i/>
          <w:iCs/>
          <w:sz w:val="20"/>
          <w:szCs w:val="20"/>
        </w:rPr>
        <w:t>support key institutions to be more people-centered, responsive, inclusive, transparent and conflict-sensitive, in order to strengthen the social contract between the state and all its citizens, to address conflict drivers, and to prevent future conflict, and in doing so, contribute to achieving sustainable peace and development in Sri Lanka.</w:t>
      </w:r>
    </w:p>
    <w:p w14:paraId="187F111D" w14:textId="77777777" w:rsidR="00630D6B" w:rsidRPr="00730D83" w:rsidRDefault="00630D6B" w:rsidP="00630D6B">
      <w:pPr>
        <w:jc w:val="both"/>
        <w:rPr>
          <w:rFonts w:ascii="Cambria" w:hAnsi="Cambria" w:cstheme="minorHAnsi"/>
          <w:b/>
          <w:bCs/>
          <w:sz w:val="20"/>
          <w:szCs w:val="20"/>
        </w:rPr>
      </w:pPr>
    </w:p>
    <w:p w14:paraId="5DC0423A" w14:textId="77777777" w:rsidR="00630D6B" w:rsidRPr="00730D83" w:rsidRDefault="00630D6B" w:rsidP="00925CAD">
      <w:pPr>
        <w:numPr>
          <w:ilvl w:val="0"/>
          <w:numId w:val="55"/>
        </w:numPr>
        <w:spacing w:after="0"/>
        <w:contextualSpacing/>
        <w:jc w:val="both"/>
        <w:rPr>
          <w:rFonts w:ascii="Cambria" w:eastAsia="Times New Roman" w:hAnsi="Cambria" w:cstheme="minorHAnsi"/>
          <w:color w:val="222222"/>
          <w:sz w:val="20"/>
          <w:szCs w:val="20"/>
        </w:rPr>
      </w:pPr>
      <w:r w:rsidRPr="00730D83">
        <w:rPr>
          <w:rFonts w:ascii="Cambria" w:eastAsia="Times New Roman" w:hAnsi="Cambria" w:cstheme="minorHAnsi"/>
          <w:color w:val="222222"/>
          <w:sz w:val="20"/>
          <w:szCs w:val="20"/>
        </w:rPr>
        <w:t xml:space="preserve">Can you reflect on the the conceptualisation of the portfolio and its validity in the current context? </w:t>
      </w:r>
    </w:p>
    <w:p w14:paraId="33B989DB" w14:textId="77777777" w:rsidR="00630D6B" w:rsidRPr="00730D83" w:rsidRDefault="00630D6B" w:rsidP="00925CAD">
      <w:pPr>
        <w:numPr>
          <w:ilvl w:val="0"/>
          <w:numId w:val="55"/>
        </w:numPr>
        <w:spacing w:after="0"/>
        <w:contextualSpacing/>
        <w:jc w:val="both"/>
        <w:rPr>
          <w:rFonts w:ascii="Cambria" w:eastAsia="Times New Roman" w:hAnsi="Cambria" w:cstheme="minorHAnsi"/>
          <w:color w:val="222222"/>
          <w:sz w:val="20"/>
          <w:szCs w:val="20"/>
        </w:rPr>
      </w:pPr>
      <w:r w:rsidRPr="00730D83">
        <w:rPr>
          <w:rFonts w:ascii="Cambria" w:eastAsia="Times New Roman" w:hAnsi="Cambria" w:cstheme="minorHAnsi"/>
          <w:color w:val="222222"/>
          <w:sz w:val="20"/>
          <w:szCs w:val="20"/>
        </w:rPr>
        <w:t xml:space="preserve">What are your views on the applicability within its current scope of conceptualisation, does it need to be refined? How? </w:t>
      </w:r>
    </w:p>
    <w:p w14:paraId="6FEA67C7" w14:textId="77777777" w:rsidR="00630D6B" w:rsidRPr="00730D83" w:rsidRDefault="00630D6B" w:rsidP="00925CAD">
      <w:pPr>
        <w:numPr>
          <w:ilvl w:val="0"/>
          <w:numId w:val="55"/>
        </w:numPr>
        <w:spacing w:after="0"/>
        <w:contextualSpacing/>
        <w:jc w:val="both"/>
        <w:rPr>
          <w:rFonts w:ascii="Cambria" w:eastAsia="Times New Roman" w:hAnsi="Cambria" w:cstheme="minorHAnsi"/>
          <w:color w:val="222222"/>
          <w:sz w:val="20"/>
          <w:szCs w:val="20"/>
        </w:rPr>
      </w:pPr>
      <w:r w:rsidRPr="00730D83">
        <w:rPr>
          <w:rFonts w:ascii="Cambria" w:eastAsia="Times New Roman" w:hAnsi="Cambria" w:cstheme="minorHAnsi"/>
          <w:color w:val="222222"/>
          <w:sz w:val="20"/>
          <w:szCs w:val="20"/>
        </w:rPr>
        <w:t xml:space="preserve">Has its implementation been effective in achieving the desired strategic direction? How has the approach brought together the </w:t>
      </w:r>
      <w:r w:rsidRPr="00730D83">
        <w:rPr>
          <w:rFonts w:ascii="Cambria" w:hAnsi="Cambria" w:cstheme="minorHAnsi"/>
          <w:sz w:val="20"/>
          <w:szCs w:val="20"/>
        </w:rPr>
        <w:t>interfaces between governance, development and peace in Sri Lanka, considered critical by UNDP?</w:t>
      </w:r>
    </w:p>
    <w:p w14:paraId="0E9C399A" w14:textId="77777777" w:rsidR="00630D6B" w:rsidRPr="00730D83" w:rsidRDefault="00630D6B" w:rsidP="00925CAD">
      <w:pPr>
        <w:numPr>
          <w:ilvl w:val="0"/>
          <w:numId w:val="55"/>
        </w:numPr>
        <w:spacing w:after="0"/>
        <w:contextualSpacing/>
        <w:jc w:val="both"/>
        <w:rPr>
          <w:rFonts w:ascii="Cambria" w:eastAsia="Times New Roman" w:hAnsi="Cambria" w:cstheme="minorHAnsi"/>
          <w:color w:val="222222"/>
          <w:sz w:val="20"/>
          <w:szCs w:val="20"/>
        </w:rPr>
      </w:pPr>
      <w:r w:rsidRPr="00730D83">
        <w:rPr>
          <w:rFonts w:ascii="Cambria" w:eastAsia="Times New Roman" w:hAnsi="Cambria" w:cstheme="minorHAnsi"/>
          <w:color w:val="222222"/>
          <w:sz w:val="20"/>
          <w:szCs w:val="20"/>
        </w:rPr>
        <w:t>What has been the learning of implementing the portfolio thus far? Is it helping contribute to achieving SDG 16 as it was intended to?</w:t>
      </w:r>
    </w:p>
    <w:p w14:paraId="1A5A899C" w14:textId="77777777" w:rsidR="00630D6B" w:rsidRPr="00730D83" w:rsidRDefault="00630D6B" w:rsidP="00925CAD">
      <w:pPr>
        <w:numPr>
          <w:ilvl w:val="0"/>
          <w:numId w:val="55"/>
        </w:numPr>
        <w:spacing w:after="0"/>
        <w:contextualSpacing/>
        <w:jc w:val="both"/>
        <w:rPr>
          <w:rFonts w:ascii="Cambria" w:eastAsia="Times New Roman" w:hAnsi="Cambria" w:cstheme="minorHAnsi"/>
          <w:color w:val="222222"/>
          <w:sz w:val="20"/>
          <w:szCs w:val="20"/>
        </w:rPr>
      </w:pPr>
      <w:r w:rsidRPr="00730D83">
        <w:rPr>
          <w:rFonts w:ascii="Cambria" w:eastAsia="Times New Roman" w:hAnsi="Cambria" w:cstheme="minorHAnsi"/>
          <w:color w:val="222222"/>
          <w:sz w:val="20"/>
          <w:szCs w:val="20"/>
        </w:rPr>
        <w:t>Does anything need to change to improve successful implementation of the portfolio? What? Why? </w:t>
      </w:r>
    </w:p>
    <w:p w14:paraId="1E5DF626" w14:textId="77777777" w:rsidR="00630D6B" w:rsidRPr="00730D83" w:rsidRDefault="00630D6B" w:rsidP="00925CAD">
      <w:pPr>
        <w:numPr>
          <w:ilvl w:val="0"/>
          <w:numId w:val="55"/>
        </w:numPr>
        <w:spacing w:after="0"/>
        <w:contextualSpacing/>
        <w:jc w:val="both"/>
        <w:rPr>
          <w:rFonts w:ascii="Cambria" w:eastAsia="Times New Roman" w:hAnsi="Cambria" w:cstheme="minorHAnsi"/>
          <w:color w:val="222222"/>
          <w:sz w:val="20"/>
          <w:szCs w:val="20"/>
        </w:rPr>
      </w:pPr>
      <w:r w:rsidRPr="00730D83">
        <w:rPr>
          <w:rFonts w:ascii="Cambria" w:eastAsia="Times New Roman" w:hAnsi="Cambria" w:cstheme="minorHAnsi"/>
          <w:color w:val="222222"/>
          <w:sz w:val="20"/>
          <w:szCs w:val="20"/>
        </w:rPr>
        <w:t>Has it been effective in reaching those who need to be reached (people centered, built citizen trust etc.)? Why? How should it be improved?</w:t>
      </w:r>
    </w:p>
    <w:p w14:paraId="15B8C66E" w14:textId="77777777" w:rsidR="00630D6B" w:rsidRPr="00730D83" w:rsidRDefault="00630D6B" w:rsidP="00925CAD">
      <w:pPr>
        <w:numPr>
          <w:ilvl w:val="0"/>
          <w:numId w:val="55"/>
        </w:numPr>
        <w:spacing w:after="0"/>
        <w:contextualSpacing/>
        <w:jc w:val="both"/>
        <w:rPr>
          <w:rFonts w:ascii="Cambria" w:eastAsia="Times New Roman" w:hAnsi="Cambria" w:cstheme="minorHAnsi"/>
          <w:color w:val="222222"/>
          <w:sz w:val="20"/>
          <w:szCs w:val="20"/>
        </w:rPr>
      </w:pPr>
      <w:r w:rsidRPr="00730D83">
        <w:rPr>
          <w:rFonts w:ascii="Cambria" w:eastAsia="Times New Roman" w:hAnsi="Cambria" w:cstheme="minorHAnsi"/>
          <w:color w:val="222222"/>
          <w:sz w:val="20"/>
          <w:szCs w:val="20"/>
        </w:rPr>
        <w:t>Has it enabled UNPD to work more effectively in  a changing context? How?</w:t>
      </w:r>
    </w:p>
    <w:p w14:paraId="6CA12D65" w14:textId="77777777" w:rsidR="00630D6B" w:rsidRPr="00730D83" w:rsidRDefault="00630D6B" w:rsidP="00630D6B">
      <w:pPr>
        <w:jc w:val="both"/>
        <w:rPr>
          <w:rFonts w:ascii="Cambria" w:hAnsi="Cambria" w:cstheme="minorHAnsi"/>
          <w:sz w:val="20"/>
          <w:szCs w:val="20"/>
        </w:rPr>
      </w:pPr>
    </w:p>
    <w:p w14:paraId="7E5767CF" w14:textId="77777777" w:rsidR="00630D6B" w:rsidRPr="00730D83" w:rsidRDefault="00630D6B" w:rsidP="00925CAD">
      <w:pPr>
        <w:numPr>
          <w:ilvl w:val="0"/>
          <w:numId w:val="44"/>
        </w:numPr>
        <w:spacing w:after="0"/>
        <w:contextualSpacing/>
        <w:jc w:val="both"/>
        <w:rPr>
          <w:rFonts w:ascii="Cambria" w:hAnsi="Cambria" w:cstheme="minorHAnsi"/>
          <w:b/>
          <w:bCs/>
          <w:sz w:val="20"/>
          <w:szCs w:val="20"/>
        </w:rPr>
      </w:pPr>
      <w:r w:rsidRPr="00730D83">
        <w:rPr>
          <w:rFonts w:ascii="Cambria" w:hAnsi="Cambria" w:cstheme="minorHAnsi"/>
          <w:b/>
          <w:bCs/>
          <w:sz w:val="20"/>
          <w:szCs w:val="20"/>
        </w:rPr>
        <w:t>Relevance of the intervention:</w:t>
      </w:r>
    </w:p>
    <w:p w14:paraId="7A367498" w14:textId="77777777" w:rsidR="00630D6B" w:rsidRPr="00730D83" w:rsidRDefault="00630D6B" w:rsidP="00925CAD">
      <w:pPr>
        <w:numPr>
          <w:ilvl w:val="0"/>
          <w:numId w:val="47"/>
        </w:numPr>
        <w:shd w:val="clear" w:color="auto" w:fill="FFFFFF"/>
        <w:spacing w:after="0"/>
        <w:contextualSpacing/>
        <w:jc w:val="both"/>
        <w:rPr>
          <w:rFonts w:ascii="Cambria" w:hAnsi="Cambria" w:cstheme="minorHAnsi"/>
          <w:sz w:val="20"/>
          <w:szCs w:val="20"/>
        </w:rPr>
      </w:pPr>
      <w:r w:rsidRPr="00730D83">
        <w:rPr>
          <w:rFonts w:ascii="Cambria" w:hAnsi="Cambria" w:cstheme="minorHAnsi"/>
          <w:sz w:val="20"/>
          <w:szCs w:val="20"/>
        </w:rPr>
        <w:t>Please describe the intervention and activities you and your organization has been undertaking within the UNDP portfolio</w:t>
      </w:r>
    </w:p>
    <w:p w14:paraId="1623E9ED" w14:textId="77777777" w:rsidR="00630D6B" w:rsidRPr="00730D83" w:rsidRDefault="00630D6B" w:rsidP="00925CAD">
      <w:pPr>
        <w:numPr>
          <w:ilvl w:val="0"/>
          <w:numId w:val="47"/>
        </w:numPr>
        <w:shd w:val="clear" w:color="auto" w:fill="FFFFFF"/>
        <w:spacing w:after="0"/>
        <w:contextualSpacing/>
        <w:jc w:val="both"/>
        <w:rPr>
          <w:rFonts w:ascii="Cambria" w:hAnsi="Cambria" w:cstheme="minorHAnsi"/>
          <w:sz w:val="20"/>
          <w:szCs w:val="20"/>
        </w:rPr>
      </w:pPr>
      <w:r w:rsidRPr="00730D83">
        <w:rPr>
          <w:rFonts w:ascii="Cambria" w:hAnsi="Cambria" w:cstheme="minorHAnsi"/>
          <w:sz w:val="20"/>
          <w:szCs w:val="20"/>
        </w:rPr>
        <w:t>In your view, were these activities the most appropriate given the overall objectives of the UNDP portfolio? Was it appropriate in terms of your organization’s mandate? Was it appropriate in the country context? Please elaborate your answers.</w:t>
      </w:r>
    </w:p>
    <w:p w14:paraId="7AD1E290" w14:textId="77777777" w:rsidR="00630D6B" w:rsidRPr="00730D83" w:rsidRDefault="00630D6B" w:rsidP="00925CAD">
      <w:pPr>
        <w:numPr>
          <w:ilvl w:val="0"/>
          <w:numId w:val="47"/>
        </w:numPr>
        <w:shd w:val="clear" w:color="auto" w:fill="FFFFFF"/>
        <w:spacing w:after="0"/>
        <w:contextualSpacing/>
        <w:jc w:val="both"/>
        <w:rPr>
          <w:rFonts w:ascii="Cambria" w:hAnsi="Cambria" w:cstheme="minorHAnsi"/>
          <w:sz w:val="20"/>
          <w:szCs w:val="20"/>
        </w:rPr>
      </w:pPr>
      <w:r w:rsidRPr="00730D83">
        <w:rPr>
          <w:rFonts w:ascii="Cambria" w:hAnsi="Cambria" w:cstheme="minorHAnsi"/>
          <w:sz w:val="20"/>
          <w:szCs w:val="20"/>
        </w:rPr>
        <w:t>What more needs to be done to improve the relevance of the intervention in order to meet the objectives of the UNDP portfolio?</w:t>
      </w:r>
    </w:p>
    <w:p w14:paraId="60EDBABA" w14:textId="77777777" w:rsidR="00630D6B" w:rsidRPr="00730D83" w:rsidRDefault="00630D6B" w:rsidP="00925CAD">
      <w:pPr>
        <w:numPr>
          <w:ilvl w:val="0"/>
          <w:numId w:val="47"/>
        </w:numPr>
        <w:shd w:val="clear" w:color="auto" w:fill="FFFFFF"/>
        <w:spacing w:after="0"/>
        <w:contextualSpacing/>
        <w:jc w:val="both"/>
        <w:rPr>
          <w:rFonts w:ascii="Cambria" w:hAnsi="Cambria" w:cstheme="minorHAnsi"/>
          <w:sz w:val="20"/>
          <w:szCs w:val="20"/>
        </w:rPr>
      </w:pPr>
      <w:r w:rsidRPr="00730D83">
        <w:rPr>
          <w:rFonts w:ascii="Cambria" w:hAnsi="Cambria" w:cstheme="minorHAnsi"/>
          <w:sz w:val="20"/>
          <w:szCs w:val="20"/>
        </w:rPr>
        <w:t xml:space="preserve">How is gender factored into the objectives? Is it sufficient to ensure realization of gender related objectives? </w:t>
      </w:r>
    </w:p>
    <w:p w14:paraId="1B215AB3" w14:textId="77777777" w:rsidR="00630D6B" w:rsidRPr="00730D83" w:rsidRDefault="00630D6B" w:rsidP="00925CAD">
      <w:pPr>
        <w:numPr>
          <w:ilvl w:val="0"/>
          <w:numId w:val="47"/>
        </w:numPr>
        <w:shd w:val="clear" w:color="auto" w:fill="FFFFFF"/>
        <w:spacing w:after="0"/>
        <w:contextualSpacing/>
        <w:jc w:val="both"/>
        <w:rPr>
          <w:rFonts w:ascii="Cambria" w:hAnsi="Cambria" w:cstheme="minorHAnsi"/>
          <w:sz w:val="20"/>
          <w:szCs w:val="20"/>
        </w:rPr>
      </w:pPr>
      <w:r w:rsidRPr="00730D83">
        <w:rPr>
          <w:rFonts w:ascii="Cambria" w:hAnsi="Cambria" w:cstheme="minorHAnsi"/>
          <w:sz w:val="20"/>
          <w:szCs w:val="20"/>
        </w:rPr>
        <w:t>How does the integration of other cross cutting themes such as HRBA, youth and innovation apply in relation to strategic interventions identified and implemented?</w:t>
      </w:r>
    </w:p>
    <w:p w14:paraId="69A1326F" w14:textId="77777777" w:rsidR="00630D6B" w:rsidRPr="00730D83" w:rsidRDefault="00630D6B" w:rsidP="00925CAD">
      <w:pPr>
        <w:numPr>
          <w:ilvl w:val="0"/>
          <w:numId w:val="47"/>
        </w:numPr>
        <w:shd w:val="clear" w:color="auto" w:fill="FFFFFF"/>
        <w:spacing w:after="0"/>
        <w:contextualSpacing/>
        <w:jc w:val="both"/>
        <w:rPr>
          <w:rFonts w:ascii="Cambria" w:hAnsi="Cambria" w:cstheme="minorHAnsi"/>
          <w:sz w:val="20"/>
          <w:szCs w:val="20"/>
        </w:rPr>
      </w:pPr>
      <w:r w:rsidRPr="00730D83">
        <w:rPr>
          <w:rFonts w:ascii="Cambria" w:hAnsi="Cambria" w:cstheme="minorHAnsi"/>
          <w:sz w:val="20"/>
          <w:szCs w:val="20"/>
        </w:rPr>
        <w:t xml:space="preserve">How does the current context and dynamism within it (political, economic, Covid-19, etc.) affect how your intervention has been implemented and how it can be implemented? What are the challenges you have faced and could face? </w:t>
      </w:r>
    </w:p>
    <w:p w14:paraId="6818A902" w14:textId="77777777" w:rsidR="00630D6B" w:rsidRPr="00730D83" w:rsidRDefault="00630D6B" w:rsidP="00630D6B">
      <w:pPr>
        <w:jc w:val="both"/>
        <w:rPr>
          <w:rFonts w:ascii="Cambria" w:hAnsi="Cambria" w:cstheme="minorHAnsi"/>
          <w:sz w:val="20"/>
          <w:szCs w:val="20"/>
        </w:rPr>
      </w:pPr>
    </w:p>
    <w:p w14:paraId="1518A605" w14:textId="77777777" w:rsidR="00630D6B" w:rsidRPr="00730D83" w:rsidRDefault="00630D6B" w:rsidP="00925CAD">
      <w:pPr>
        <w:numPr>
          <w:ilvl w:val="0"/>
          <w:numId w:val="44"/>
        </w:numPr>
        <w:spacing w:after="0"/>
        <w:contextualSpacing/>
        <w:jc w:val="both"/>
        <w:rPr>
          <w:rFonts w:ascii="Cambria" w:hAnsi="Cambria" w:cstheme="minorHAnsi"/>
          <w:b/>
          <w:bCs/>
          <w:sz w:val="20"/>
          <w:szCs w:val="20"/>
        </w:rPr>
      </w:pPr>
      <w:r w:rsidRPr="00730D83">
        <w:rPr>
          <w:rFonts w:ascii="Cambria" w:hAnsi="Cambria" w:cstheme="minorHAnsi"/>
          <w:b/>
          <w:bCs/>
          <w:sz w:val="20"/>
          <w:szCs w:val="20"/>
        </w:rPr>
        <w:t>Effectiveness of the intervention:</w:t>
      </w:r>
    </w:p>
    <w:p w14:paraId="6DA5BDB1" w14:textId="77777777" w:rsidR="00630D6B" w:rsidRPr="00730D83" w:rsidRDefault="00630D6B" w:rsidP="00925CAD">
      <w:pPr>
        <w:numPr>
          <w:ilvl w:val="0"/>
          <w:numId w:val="48"/>
        </w:numPr>
        <w:shd w:val="clear" w:color="auto" w:fill="FFFFFF"/>
        <w:spacing w:after="0"/>
        <w:contextualSpacing/>
        <w:jc w:val="both"/>
        <w:rPr>
          <w:rFonts w:ascii="Cambria" w:hAnsi="Cambria" w:cstheme="minorHAnsi"/>
          <w:sz w:val="20"/>
          <w:szCs w:val="20"/>
        </w:rPr>
      </w:pPr>
      <w:r w:rsidRPr="00730D83">
        <w:rPr>
          <w:rFonts w:ascii="Cambria" w:hAnsi="Cambria" w:cstheme="minorHAnsi"/>
          <w:sz w:val="20"/>
          <w:szCs w:val="20"/>
        </w:rPr>
        <w:t xml:space="preserve">In your view, how does your activities link to the UNDP portfolio? To what extent has what was done/methods used ensure the objectives and results of the portfolio have been achieved so far? </w:t>
      </w:r>
    </w:p>
    <w:p w14:paraId="0A6B3221" w14:textId="77777777" w:rsidR="00630D6B" w:rsidRPr="00730D83" w:rsidRDefault="00630D6B" w:rsidP="00925CAD">
      <w:pPr>
        <w:numPr>
          <w:ilvl w:val="0"/>
          <w:numId w:val="48"/>
        </w:numPr>
        <w:shd w:val="clear" w:color="auto" w:fill="FFFFFF"/>
        <w:spacing w:after="0"/>
        <w:contextualSpacing/>
        <w:jc w:val="both"/>
        <w:rPr>
          <w:rFonts w:ascii="Cambria" w:hAnsi="Cambria" w:cstheme="minorHAnsi"/>
          <w:sz w:val="20"/>
          <w:szCs w:val="20"/>
        </w:rPr>
      </w:pPr>
      <w:r w:rsidRPr="00730D83">
        <w:rPr>
          <w:rFonts w:ascii="Cambria" w:hAnsi="Cambria" w:cstheme="minorHAnsi"/>
          <w:sz w:val="20"/>
          <w:szCs w:val="20"/>
        </w:rPr>
        <w:t>Can your activities continue to be implemented unchanged as it moves towards completion? If not, how does it need to change? Why does this change need to happen?</w:t>
      </w:r>
    </w:p>
    <w:p w14:paraId="4D6ED528" w14:textId="77777777" w:rsidR="00630D6B" w:rsidRPr="00730D83" w:rsidRDefault="00630D6B" w:rsidP="00925CAD">
      <w:pPr>
        <w:numPr>
          <w:ilvl w:val="0"/>
          <w:numId w:val="48"/>
        </w:numPr>
        <w:shd w:val="clear" w:color="auto" w:fill="FFFFFF"/>
        <w:spacing w:after="0"/>
        <w:contextualSpacing/>
        <w:jc w:val="both"/>
        <w:rPr>
          <w:rFonts w:ascii="Cambria" w:hAnsi="Cambria" w:cstheme="minorHAnsi"/>
          <w:sz w:val="20"/>
          <w:szCs w:val="20"/>
        </w:rPr>
      </w:pPr>
      <w:r w:rsidRPr="00730D83">
        <w:rPr>
          <w:rFonts w:ascii="Cambria" w:hAnsi="Cambria" w:cstheme="minorHAnsi"/>
          <w:sz w:val="20"/>
          <w:szCs w:val="20"/>
        </w:rPr>
        <w:t xml:space="preserve">Who were the beneficiaries? Should these beneficiaries have been targeted? Was any beneficiary category missed? How has your intervention helped beneficiaries? How can beneficiary reach and support be improved? Were there any challenges? </w:t>
      </w:r>
    </w:p>
    <w:p w14:paraId="2FF45013" w14:textId="77777777" w:rsidR="00630D6B" w:rsidRPr="00730D83" w:rsidRDefault="00630D6B" w:rsidP="00925CAD">
      <w:pPr>
        <w:numPr>
          <w:ilvl w:val="0"/>
          <w:numId w:val="48"/>
        </w:numPr>
        <w:shd w:val="clear" w:color="auto" w:fill="FFFFFF"/>
        <w:spacing w:after="0"/>
        <w:contextualSpacing/>
        <w:jc w:val="both"/>
        <w:rPr>
          <w:rFonts w:ascii="Cambria" w:hAnsi="Cambria" w:cstheme="minorHAnsi"/>
          <w:sz w:val="20"/>
          <w:szCs w:val="20"/>
        </w:rPr>
      </w:pPr>
      <w:r w:rsidRPr="00730D83">
        <w:rPr>
          <w:rFonts w:ascii="Cambria" w:hAnsi="Cambria" w:cstheme="minorHAnsi"/>
          <w:sz w:val="20"/>
          <w:szCs w:val="20"/>
        </w:rPr>
        <w:lastRenderedPageBreak/>
        <w:t>Has implementation been more effective for some groups of beneficiaries as opposed to others? How do? Why? Did the implementation context affect this?</w:t>
      </w:r>
    </w:p>
    <w:p w14:paraId="4AB0BBFF" w14:textId="77777777" w:rsidR="00630D6B" w:rsidRPr="00730D83" w:rsidRDefault="00630D6B" w:rsidP="00925CAD">
      <w:pPr>
        <w:numPr>
          <w:ilvl w:val="0"/>
          <w:numId w:val="48"/>
        </w:numPr>
        <w:shd w:val="clear" w:color="auto" w:fill="FFFFFF"/>
        <w:spacing w:after="0"/>
        <w:contextualSpacing/>
        <w:jc w:val="both"/>
        <w:rPr>
          <w:rFonts w:ascii="Cambria" w:hAnsi="Cambria" w:cstheme="minorHAnsi"/>
          <w:sz w:val="20"/>
          <w:szCs w:val="20"/>
        </w:rPr>
      </w:pPr>
      <w:r w:rsidRPr="00730D83">
        <w:rPr>
          <w:rFonts w:ascii="Cambria" w:hAnsi="Cambria" w:cstheme="minorHAnsi"/>
          <w:sz w:val="20"/>
          <w:szCs w:val="20"/>
        </w:rPr>
        <w:t xml:space="preserve">What have been some of the learnings of implementing your activities that you want to share? </w:t>
      </w:r>
    </w:p>
    <w:p w14:paraId="79291055" w14:textId="77777777" w:rsidR="00630D6B" w:rsidRPr="00730D83" w:rsidRDefault="00630D6B" w:rsidP="00925CAD">
      <w:pPr>
        <w:numPr>
          <w:ilvl w:val="0"/>
          <w:numId w:val="48"/>
        </w:numPr>
        <w:spacing w:after="160" w:line="259" w:lineRule="auto"/>
        <w:contextualSpacing/>
        <w:jc w:val="both"/>
        <w:rPr>
          <w:rFonts w:ascii="Cambria" w:hAnsi="Cambria" w:cstheme="minorHAnsi"/>
          <w:sz w:val="20"/>
          <w:szCs w:val="20"/>
        </w:rPr>
      </w:pPr>
      <w:r w:rsidRPr="00730D83">
        <w:rPr>
          <w:rFonts w:ascii="Cambria" w:hAnsi="Cambria" w:cstheme="minorHAnsi"/>
          <w:sz w:val="20"/>
          <w:szCs w:val="20"/>
        </w:rPr>
        <w:t>What could have been done differently to ensure more effective implementation?</w:t>
      </w:r>
    </w:p>
    <w:p w14:paraId="37647FE5" w14:textId="77777777" w:rsidR="00630D6B" w:rsidRPr="00730D83" w:rsidRDefault="00630D6B" w:rsidP="00630D6B">
      <w:pPr>
        <w:jc w:val="both"/>
        <w:rPr>
          <w:rFonts w:ascii="Cambria" w:hAnsi="Cambria" w:cstheme="minorHAnsi"/>
          <w:sz w:val="20"/>
          <w:szCs w:val="20"/>
        </w:rPr>
      </w:pPr>
    </w:p>
    <w:p w14:paraId="258B4724" w14:textId="77777777" w:rsidR="00630D6B" w:rsidRPr="00730D83" w:rsidRDefault="00630D6B" w:rsidP="00925CAD">
      <w:pPr>
        <w:numPr>
          <w:ilvl w:val="0"/>
          <w:numId w:val="44"/>
        </w:numPr>
        <w:spacing w:after="0"/>
        <w:contextualSpacing/>
        <w:jc w:val="both"/>
        <w:rPr>
          <w:rFonts w:ascii="Cambria" w:hAnsi="Cambria" w:cstheme="minorHAnsi"/>
          <w:b/>
          <w:bCs/>
          <w:sz w:val="20"/>
          <w:szCs w:val="20"/>
        </w:rPr>
      </w:pPr>
      <w:r w:rsidRPr="00730D83">
        <w:rPr>
          <w:rFonts w:ascii="Cambria" w:hAnsi="Cambria" w:cstheme="minorHAnsi"/>
          <w:b/>
          <w:bCs/>
          <w:sz w:val="20"/>
          <w:szCs w:val="20"/>
        </w:rPr>
        <w:t>Efficiency of the intervention:</w:t>
      </w:r>
    </w:p>
    <w:p w14:paraId="6B34E679" w14:textId="77777777" w:rsidR="00630D6B" w:rsidRPr="00730D83" w:rsidRDefault="00630D6B" w:rsidP="00925CAD">
      <w:pPr>
        <w:numPr>
          <w:ilvl w:val="0"/>
          <w:numId w:val="49"/>
        </w:numPr>
        <w:spacing w:after="160" w:line="259" w:lineRule="auto"/>
        <w:contextualSpacing/>
        <w:jc w:val="both"/>
        <w:rPr>
          <w:rFonts w:ascii="Cambria" w:hAnsi="Cambria" w:cstheme="minorHAnsi"/>
          <w:sz w:val="20"/>
          <w:szCs w:val="20"/>
        </w:rPr>
      </w:pPr>
      <w:r w:rsidRPr="00730D83">
        <w:rPr>
          <w:rFonts w:ascii="Cambria" w:hAnsi="Cambria" w:cstheme="minorHAnsi"/>
          <w:sz w:val="20"/>
          <w:szCs w:val="20"/>
        </w:rPr>
        <w:t>Have there been challenges in rolling out the portfolio and related activities? What? To what extent have these been internally and externally driven?</w:t>
      </w:r>
    </w:p>
    <w:p w14:paraId="677AAB36" w14:textId="77777777" w:rsidR="00630D6B" w:rsidRPr="00730D83" w:rsidRDefault="00630D6B" w:rsidP="00925CAD">
      <w:pPr>
        <w:numPr>
          <w:ilvl w:val="0"/>
          <w:numId w:val="49"/>
        </w:numPr>
        <w:spacing w:after="160" w:line="259" w:lineRule="auto"/>
        <w:contextualSpacing/>
        <w:jc w:val="both"/>
        <w:rPr>
          <w:rFonts w:ascii="Cambria" w:hAnsi="Cambria" w:cstheme="minorHAnsi"/>
          <w:sz w:val="20"/>
          <w:szCs w:val="20"/>
        </w:rPr>
      </w:pPr>
      <w:r w:rsidRPr="00730D83">
        <w:rPr>
          <w:rFonts w:ascii="Cambria" w:hAnsi="Cambria" w:cstheme="minorHAnsi"/>
          <w:sz w:val="20"/>
          <w:szCs w:val="20"/>
        </w:rPr>
        <w:t xml:space="preserve">Going forward, what needs to be considered to improve implementation of the overall portfolio and related activities? </w:t>
      </w:r>
    </w:p>
    <w:p w14:paraId="68072F2D" w14:textId="77777777" w:rsidR="00630D6B" w:rsidRPr="00730D83" w:rsidRDefault="00630D6B" w:rsidP="00925CAD">
      <w:pPr>
        <w:numPr>
          <w:ilvl w:val="0"/>
          <w:numId w:val="49"/>
        </w:numPr>
        <w:spacing w:after="160" w:line="259" w:lineRule="auto"/>
        <w:contextualSpacing/>
        <w:jc w:val="both"/>
        <w:rPr>
          <w:rFonts w:ascii="Cambria" w:hAnsi="Cambria" w:cstheme="minorHAnsi"/>
          <w:sz w:val="20"/>
          <w:szCs w:val="20"/>
        </w:rPr>
      </w:pPr>
      <w:r w:rsidRPr="00730D83">
        <w:rPr>
          <w:rFonts w:ascii="Cambria" w:hAnsi="Cambria" w:cstheme="minorHAnsi"/>
          <w:sz w:val="20"/>
          <w:szCs w:val="20"/>
        </w:rPr>
        <w:t>What are the best practices in cost efficiency, and what improvements are needed?</w:t>
      </w:r>
    </w:p>
    <w:p w14:paraId="76A9B526" w14:textId="77777777" w:rsidR="00630D6B" w:rsidRPr="00730D83" w:rsidRDefault="00630D6B" w:rsidP="00630D6B">
      <w:pPr>
        <w:jc w:val="both"/>
        <w:rPr>
          <w:rFonts w:ascii="Cambria" w:hAnsi="Cambria" w:cstheme="minorHAnsi"/>
          <w:sz w:val="20"/>
          <w:szCs w:val="20"/>
        </w:rPr>
      </w:pPr>
    </w:p>
    <w:p w14:paraId="679770E8" w14:textId="77777777" w:rsidR="00630D6B" w:rsidRPr="00730D83" w:rsidRDefault="00630D6B" w:rsidP="00925CAD">
      <w:pPr>
        <w:numPr>
          <w:ilvl w:val="0"/>
          <w:numId w:val="44"/>
        </w:numPr>
        <w:spacing w:after="0"/>
        <w:contextualSpacing/>
        <w:jc w:val="both"/>
        <w:rPr>
          <w:rFonts w:ascii="Cambria" w:hAnsi="Cambria" w:cstheme="minorHAnsi"/>
          <w:b/>
          <w:bCs/>
          <w:sz w:val="20"/>
          <w:szCs w:val="20"/>
        </w:rPr>
      </w:pPr>
      <w:r w:rsidRPr="00730D83">
        <w:rPr>
          <w:rFonts w:ascii="Cambria" w:hAnsi="Cambria" w:cstheme="minorHAnsi"/>
          <w:b/>
          <w:bCs/>
          <w:sz w:val="20"/>
          <w:szCs w:val="20"/>
        </w:rPr>
        <w:t>Impact of the intervention:</w:t>
      </w:r>
    </w:p>
    <w:p w14:paraId="37D36918" w14:textId="77777777" w:rsidR="00630D6B" w:rsidRPr="00730D83" w:rsidRDefault="00630D6B" w:rsidP="00925CAD">
      <w:pPr>
        <w:numPr>
          <w:ilvl w:val="0"/>
          <w:numId w:val="50"/>
        </w:numPr>
        <w:spacing w:after="160" w:line="259" w:lineRule="auto"/>
        <w:contextualSpacing/>
        <w:jc w:val="both"/>
        <w:rPr>
          <w:rFonts w:ascii="Cambria" w:hAnsi="Cambria" w:cstheme="minorHAnsi"/>
          <w:sz w:val="20"/>
          <w:szCs w:val="20"/>
        </w:rPr>
      </w:pPr>
      <w:r w:rsidRPr="00730D83">
        <w:rPr>
          <w:rFonts w:ascii="Cambria" w:hAnsi="Cambria" w:cstheme="minorHAnsi"/>
          <w:sz w:val="20"/>
          <w:szCs w:val="20"/>
        </w:rPr>
        <w:t>What have been some of the changes (positive and negative) that the intervention has achieved? Focus on the Short-term, medium term and longer term?</w:t>
      </w:r>
    </w:p>
    <w:p w14:paraId="44739E60" w14:textId="77777777" w:rsidR="00630D6B" w:rsidRPr="00730D83" w:rsidRDefault="00630D6B" w:rsidP="00925CAD">
      <w:pPr>
        <w:numPr>
          <w:ilvl w:val="0"/>
          <w:numId w:val="50"/>
        </w:numPr>
        <w:spacing w:after="160" w:line="259" w:lineRule="auto"/>
        <w:contextualSpacing/>
        <w:jc w:val="both"/>
        <w:rPr>
          <w:rFonts w:ascii="Cambria" w:hAnsi="Cambria" w:cstheme="minorHAnsi"/>
          <w:sz w:val="20"/>
          <w:szCs w:val="20"/>
        </w:rPr>
      </w:pPr>
      <w:r w:rsidRPr="00730D83">
        <w:rPr>
          <w:rFonts w:ascii="Cambria" w:hAnsi="Cambria" w:cstheme="minorHAnsi"/>
          <w:sz w:val="20"/>
          <w:szCs w:val="20"/>
        </w:rPr>
        <w:t>To what extent can this be attributed to the intervention?</w:t>
      </w:r>
    </w:p>
    <w:p w14:paraId="228FAEDB" w14:textId="77777777" w:rsidR="00630D6B" w:rsidRPr="00730D83" w:rsidRDefault="00630D6B" w:rsidP="00925CAD">
      <w:pPr>
        <w:numPr>
          <w:ilvl w:val="0"/>
          <w:numId w:val="50"/>
        </w:numPr>
        <w:spacing w:after="160" w:line="259" w:lineRule="auto"/>
        <w:contextualSpacing/>
        <w:jc w:val="both"/>
        <w:rPr>
          <w:rFonts w:ascii="Cambria" w:hAnsi="Cambria" w:cstheme="minorHAnsi"/>
          <w:sz w:val="20"/>
          <w:szCs w:val="20"/>
        </w:rPr>
      </w:pPr>
      <w:r w:rsidRPr="00730D83">
        <w:rPr>
          <w:rFonts w:ascii="Cambria" w:hAnsi="Cambria" w:cstheme="minorHAnsi"/>
          <w:sz w:val="20"/>
          <w:szCs w:val="20"/>
        </w:rPr>
        <w:t>What else has affected the changes achieved?</w:t>
      </w:r>
    </w:p>
    <w:p w14:paraId="7D33C333" w14:textId="77777777" w:rsidR="00630D6B" w:rsidRPr="00730D83" w:rsidRDefault="00630D6B" w:rsidP="00925CAD">
      <w:pPr>
        <w:numPr>
          <w:ilvl w:val="0"/>
          <w:numId w:val="50"/>
        </w:numPr>
        <w:spacing w:after="160" w:line="259" w:lineRule="auto"/>
        <w:contextualSpacing/>
        <w:jc w:val="both"/>
        <w:rPr>
          <w:rFonts w:ascii="Cambria" w:hAnsi="Cambria" w:cstheme="minorHAnsi"/>
          <w:sz w:val="20"/>
          <w:szCs w:val="20"/>
        </w:rPr>
      </w:pPr>
      <w:r w:rsidRPr="00730D83">
        <w:rPr>
          <w:rFonts w:ascii="Cambria" w:hAnsi="Cambria" w:cstheme="minorHAnsi"/>
          <w:sz w:val="20"/>
          <w:szCs w:val="20"/>
        </w:rPr>
        <w:t>How have beneficiaries experienced these changes? Was this as expected?</w:t>
      </w:r>
    </w:p>
    <w:p w14:paraId="45D46BD8" w14:textId="77777777" w:rsidR="00630D6B" w:rsidRPr="00730D83" w:rsidRDefault="00630D6B" w:rsidP="00925CAD">
      <w:pPr>
        <w:numPr>
          <w:ilvl w:val="0"/>
          <w:numId w:val="50"/>
        </w:numPr>
        <w:spacing w:after="0"/>
        <w:contextualSpacing/>
        <w:jc w:val="both"/>
        <w:rPr>
          <w:rFonts w:ascii="Cambria" w:hAnsi="Cambria" w:cstheme="minorHAnsi"/>
          <w:sz w:val="20"/>
          <w:szCs w:val="20"/>
        </w:rPr>
      </w:pPr>
      <w:r w:rsidRPr="00730D83">
        <w:rPr>
          <w:rFonts w:ascii="Cambria" w:hAnsi="Cambria" w:cstheme="minorHAnsi"/>
          <w:sz w:val="20"/>
          <w:szCs w:val="20"/>
        </w:rPr>
        <w:t>What new partnerships needs to be explored?</w:t>
      </w:r>
    </w:p>
    <w:p w14:paraId="013A221A" w14:textId="77777777" w:rsidR="00630D6B" w:rsidRPr="00730D83" w:rsidRDefault="00630D6B" w:rsidP="00925CAD">
      <w:pPr>
        <w:numPr>
          <w:ilvl w:val="0"/>
          <w:numId w:val="50"/>
        </w:numPr>
        <w:spacing w:after="160" w:line="259" w:lineRule="auto"/>
        <w:contextualSpacing/>
        <w:jc w:val="both"/>
        <w:rPr>
          <w:rFonts w:ascii="Cambria" w:hAnsi="Cambria" w:cstheme="minorHAnsi"/>
          <w:sz w:val="20"/>
          <w:szCs w:val="20"/>
        </w:rPr>
      </w:pPr>
      <w:r w:rsidRPr="00730D83">
        <w:rPr>
          <w:rFonts w:ascii="Cambria" w:hAnsi="Cambria" w:cstheme="minorHAnsi"/>
          <w:sz w:val="20"/>
          <w:szCs w:val="20"/>
        </w:rPr>
        <w:t xml:space="preserve">How can impacts achieved been sustained/continued? What is your organization doing to ensure sustainability? What support do you need to ensure sustainability of the intervention and changes that have been achieved? </w:t>
      </w:r>
    </w:p>
    <w:p w14:paraId="2E3AF0C0" w14:textId="77777777" w:rsidR="00630D6B" w:rsidRPr="00730D83" w:rsidRDefault="00630D6B" w:rsidP="00630D6B">
      <w:pPr>
        <w:jc w:val="both"/>
        <w:rPr>
          <w:rFonts w:ascii="Cambria" w:hAnsi="Cambria" w:cstheme="minorHAnsi"/>
          <w:sz w:val="20"/>
          <w:szCs w:val="20"/>
        </w:rPr>
      </w:pPr>
    </w:p>
    <w:p w14:paraId="2632BD29" w14:textId="77777777" w:rsidR="00630D6B" w:rsidRPr="00730D83" w:rsidRDefault="00630D6B" w:rsidP="00925CAD">
      <w:pPr>
        <w:numPr>
          <w:ilvl w:val="0"/>
          <w:numId w:val="44"/>
        </w:numPr>
        <w:spacing w:after="0"/>
        <w:contextualSpacing/>
        <w:jc w:val="both"/>
        <w:rPr>
          <w:rFonts w:ascii="Cambria" w:hAnsi="Cambria" w:cstheme="minorHAnsi"/>
          <w:b/>
          <w:bCs/>
          <w:sz w:val="20"/>
          <w:szCs w:val="20"/>
        </w:rPr>
      </w:pPr>
      <w:r w:rsidRPr="00730D83">
        <w:rPr>
          <w:rFonts w:ascii="Cambria" w:hAnsi="Cambria" w:cstheme="minorHAnsi"/>
          <w:b/>
          <w:bCs/>
          <w:sz w:val="20"/>
          <w:szCs w:val="20"/>
        </w:rPr>
        <w:t>Sustainability and Ownership of the intervention:</w:t>
      </w:r>
    </w:p>
    <w:p w14:paraId="038F90D9" w14:textId="77777777" w:rsidR="00630D6B" w:rsidRPr="00730D83" w:rsidRDefault="00630D6B" w:rsidP="00925CAD">
      <w:pPr>
        <w:numPr>
          <w:ilvl w:val="0"/>
          <w:numId w:val="51"/>
        </w:numPr>
        <w:spacing w:after="160" w:line="259" w:lineRule="auto"/>
        <w:contextualSpacing/>
        <w:jc w:val="both"/>
        <w:rPr>
          <w:rFonts w:ascii="Cambria" w:hAnsi="Cambria" w:cstheme="minorHAnsi"/>
          <w:sz w:val="20"/>
          <w:szCs w:val="20"/>
        </w:rPr>
      </w:pPr>
      <w:r w:rsidRPr="00730D83">
        <w:rPr>
          <w:rFonts w:ascii="Cambria" w:hAnsi="Cambria" w:cstheme="minorHAnsi"/>
          <w:sz w:val="20"/>
          <w:szCs w:val="20"/>
        </w:rPr>
        <w:t>What have been some of the benefits of intervention you were involved in?</w:t>
      </w:r>
    </w:p>
    <w:p w14:paraId="35B4807B" w14:textId="77777777" w:rsidR="00630D6B" w:rsidRPr="00730D83" w:rsidRDefault="00630D6B" w:rsidP="00925CAD">
      <w:pPr>
        <w:numPr>
          <w:ilvl w:val="0"/>
          <w:numId w:val="51"/>
        </w:numPr>
        <w:spacing w:after="160" w:line="259" w:lineRule="auto"/>
        <w:contextualSpacing/>
        <w:jc w:val="both"/>
        <w:rPr>
          <w:rFonts w:ascii="Cambria" w:hAnsi="Cambria" w:cstheme="minorHAnsi"/>
          <w:sz w:val="20"/>
          <w:szCs w:val="20"/>
        </w:rPr>
      </w:pPr>
      <w:r w:rsidRPr="00730D83">
        <w:rPr>
          <w:rFonts w:ascii="Cambria" w:hAnsi="Cambria" w:cstheme="minorHAnsi"/>
          <w:sz w:val="20"/>
          <w:szCs w:val="20"/>
        </w:rPr>
        <w:t>What can be improved to ensure benefits of the intervention are felt more widely?</w:t>
      </w:r>
    </w:p>
    <w:p w14:paraId="68B1ADE2" w14:textId="77777777" w:rsidR="00630D6B" w:rsidRPr="00730D83" w:rsidRDefault="00630D6B" w:rsidP="00925CAD">
      <w:pPr>
        <w:numPr>
          <w:ilvl w:val="0"/>
          <w:numId w:val="51"/>
        </w:numPr>
        <w:spacing w:after="160" w:line="259" w:lineRule="auto"/>
        <w:contextualSpacing/>
        <w:jc w:val="both"/>
        <w:rPr>
          <w:rFonts w:ascii="Cambria" w:hAnsi="Cambria" w:cstheme="minorHAnsi"/>
          <w:sz w:val="20"/>
          <w:szCs w:val="20"/>
        </w:rPr>
      </w:pPr>
      <w:r w:rsidRPr="00730D83">
        <w:rPr>
          <w:rFonts w:ascii="Cambria" w:hAnsi="Cambria" w:cstheme="minorHAnsi"/>
          <w:sz w:val="20"/>
          <w:szCs w:val="20"/>
        </w:rPr>
        <w:t>How can the benefits last and continue during the life of the intervention and beyond?</w:t>
      </w:r>
    </w:p>
    <w:p w14:paraId="0368AC4B" w14:textId="77777777" w:rsidR="00630D6B" w:rsidRPr="00730D83" w:rsidRDefault="00630D6B" w:rsidP="00925CAD">
      <w:pPr>
        <w:numPr>
          <w:ilvl w:val="0"/>
          <w:numId w:val="51"/>
        </w:numPr>
        <w:spacing w:after="160" w:line="259" w:lineRule="auto"/>
        <w:contextualSpacing/>
        <w:jc w:val="both"/>
        <w:rPr>
          <w:rFonts w:ascii="Cambria" w:hAnsi="Cambria" w:cstheme="minorHAnsi"/>
          <w:sz w:val="20"/>
          <w:szCs w:val="20"/>
        </w:rPr>
      </w:pPr>
      <w:r w:rsidRPr="00730D83">
        <w:rPr>
          <w:rFonts w:ascii="Cambria" w:hAnsi="Cambria" w:cstheme="minorHAnsi"/>
          <w:sz w:val="20"/>
          <w:szCs w:val="20"/>
        </w:rPr>
        <w:t>Are the risks identified still relevant? Why? How have risks been managed? How can these be managed to ensure effective implementation during the rest of the intervention period and after to ensure sustainability in the medium and long-term?</w:t>
      </w:r>
    </w:p>
    <w:p w14:paraId="61A67004" w14:textId="77777777" w:rsidR="00630D6B" w:rsidRPr="00730D83" w:rsidRDefault="00630D6B" w:rsidP="00925CAD">
      <w:pPr>
        <w:numPr>
          <w:ilvl w:val="0"/>
          <w:numId w:val="51"/>
        </w:numPr>
        <w:spacing w:after="160" w:line="259" w:lineRule="auto"/>
        <w:contextualSpacing/>
        <w:jc w:val="both"/>
        <w:rPr>
          <w:rFonts w:ascii="Cambria" w:hAnsi="Cambria" w:cstheme="minorHAnsi"/>
          <w:sz w:val="20"/>
          <w:szCs w:val="20"/>
        </w:rPr>
      </w:pPr>
      <w:r w:rsidRPr="00730D83">
        <w:rPr>
          <w:rFonts w:ascii="Cambria" w:hAnsi="Cambria" w:cstheme="minorHAnsi"/>
          <w:sz w:val="20"/>
          <w:szCs w:val="20"/>
        </w:rPr>
        <w:t>Are there other risks that we need to consider? How can these be managed to ensure effective implementation during the rest of the intervention period and after to ensure sustainability in the medium and long-term?</w:t>
      </w:r>
    </w:p>
    <w:p w14:paraId="49244130" w14:textId="77777777" w:rsidR="00630D6B" w:rsidRPr="00730D83" w:rsidRDefault="00630D6B" w:rsidP="00925CAD">
      <w:pPr>
        <w:numPr>
          <w:ilvl w:val="0"/>
          <w:numId w:val="51"/>
        </w:numPr>
        <w:spacing w:after="160" w:line="259" w:lineRule="auto"/>
        <w:contextualSpacing/>
        <w:jc w:val="both"/>
        <w:rPr>
          <w:rFonts w:ascii="Cambria" w:hAnsi="Cambria" w:cstheme="minorHAnsi"/>
          <w:sz w:val="20"/>
          <w:szCs w:val="20"/>
        </w:rPr>
      </w:pPr>
      <w:r w:rsidRPr="00730D83">
        <w:rPr>
          <w:rFonts w:ascii="Cambria" w:hAnsi="Cambria" w:cstheme="minorHAnsi"/>
          <w:sz w:val="20"/>
          <w:szCs w:val="20"/>
        </w:rPr>
        <w:t xml:space="preserve">What contextual factors will affect sustainability? How can this be managed? </w:t>
      </w:r>
    </w:p>
    <w:p w14:paraId="0EE5B252" w14:textId="77777777" w:rsidR="00630D6B" w:rsidRPr="00730D83" w:rsidRDefault="00630D6B" w:rsidP="00630D6B">
      <w:pPr>
        <w:jc w:val="both"/>
        <w:rPr>
          <w:rFonts w:ascii="Cambria" w:hAnsi="Cambria" w:cstheme="minorHAnsi"/>
          <w:sz w:val="20"/>
          <w:szCs w:val="20"/>
        </w:rPr>
      </w:pPr>
    </w:p>
    <w:p w14:paraId="1CF6AC23" w14:textId="77777777" w:rsidR="00630D6B" w:rsidRPr="00730D83" w:rsidRDefault="00630D6B" w:rsidP="00630D6B">
      <w:pPr>
        <w:jc w:val="both"/>
        <w:rPr>
          <w:rFonts w:ascii="Cambria" w:hAnsi="Cambria" w:cstheme="minorHAnsi"/>
          <w:sz w:val="20"/>
          <w:szCs w:val="20"/>
        </w:rPr>
      </w:pPr>
    </w:p>
    <w:p w14:paraId="7B994B94" w14:textId="77777777" w:rsidR="00630D6B" w:rsidRPr="00BD657A" w:rsidRDefault="00630D6B" w:rsidP="00BD657A">
      <w:pPr>
        <w:spacing w:line="360" w:lineRule="auto"/>
        <w:rPr>
          <w:rFonts w:ascii="Cambria" w:hAnsi="Cambria" w:cs="Times New Roman"/>
          <w:color w:val="000000" w:themeColor="text1"/>
          <w:sz w:val="20"/>
          <w:szCs w:val="20"/>
        </w:rPr>
      </w:pPr>
    </w:p>
    <w:p w14:paraId="16A4E431" w14:textId="4259BAFC" w:rsidR="00630D6B" w:rsidRDefault="00630D6B" w:rsidP="00630D6B">
      <w:pPr>
        <w:spacing w:line="360" w:lineRule="auto"/>
        <w:jc w:val="both"/>
        <w:rPr>
          <w:rFonts w:ascii="Cambria" w:hAnsi="Cambria" w:cs="Times New Roman"/>
          <w:color w:val="000000" w:themeColor="text1"/>
          <w:sz w:val="20"/>
          <w:szCs w:val="20"/>
        </w:rPr>
      </w:pPr>
    </w:p>
    <w:p w14:paraId="076727E6" w14:textId="1B724792" w:rsidR="00630D6B" w:rsidRDefault="00630D6B" w:rsidP="00630D6B">
      <w:pPr>
        <w:spacing w:line="360" w:lineRule="auto"/>
        <w:jc w:val="both"/>
        <w:rPr>
          <w:rFonts w:ascii="Cambria" w:hAnsi="Cambria" w:cs="Times New Roman"/>
          <w:color w:val="000000" w:themeColor="text1"/>
          <w:sz w:val="20"/>
          <w:szCs w:val="20"/>
        </w:rPr>
      </w:pPr>
    </w:p>
    <w:p w14:paraId="0A307B8B" w14:textId="01002C43" w:rsidR="00630D6B" w:rsidRDefault="00630D6B" w:rsidP="00630D6B">
      <w:pPr>
        <w:spacing w:line="360" w:lineRule="auto"/>
        <w:jc w:val="both"/>
        <w:rPr>
          <w:rFonts w:ascii="Cambria" w:hAnsi="Cambria" w:cs="Times New Roman"/>
          <w:color w:val="000000" w:themeColor="text1"/>
          <w:sz w:val="20"/>
          <w:szCs w:val="20"/>
        </w:rPr>
      </w:pPr>
    </w:p>
    <w:p w14:paraId="7EAEB29E" w14:textId="77777777" w:rsidR="00630D6B" w:rsidRDefault="00630D6B" w:rsidP="00630D6B">
      <w:pPr>
        <w:spacing w:line="360" w:lineRule="auto"/>
        <w:jc w:val="both"/>
        <w:rPr>
          <w:rFonts w:ascii="Times New Roman" w:hAnsi="Times New Roman" w:cs="Times New Roman"/>
          <w:color w:val="000000" w:themeColor="text1"/>
          <w:sz w:val="20"/>
          <w:szCs w:val="20"/>
        </w:rPr>
      </w:pPr>
    </w:p>
    <w:p w14:paraId="0AE6574E" w14:textId="77777777" w:rsidR="00630D6B" w:rsidRDefault="00630D6B" w:rsidP="00630D6B">
      <w:pPr>
        <w:spacing w:line="360" w:lineRule="auto"/>
        <w:jc w:val="both"/>
        <w:rPr>
          <w:rFonts w:ascii="Times New Roman" w:hAnsi="Times New Roman" w:cs="Times New Roman"/>
          <w:color w:val="000000" w:themeColor="text1"/>
          <w:sz w:val="20"/>
          <w:szCs w:val="20"/>
        </w:rPr>
      </w:pPr>
    </w:p>
    <w:p w14:paraId="17EEE1D1" w14:textId="77777777" w:rsidR="00630D6B" w:rsidRDefault="00630D6B" w:rsidP="00630D6B">
      <w:pPr>
        <w:spacing w:line="360" w:lineRule="auto"/>
        <w:jc w:val="both"/>
        <w:rPr>
          <w:rFonts w:ascii="Times New Roman" w:hAnsi="Times New Roman" w:cs="Times New Roman"/>
          <w:color w:val="000000" w:themeColor="text1"/>
          <w:sz w:val="20"/>
          <w:szCs w:val="20"/>
        </w:rPr>
      </w:pPr>
    </w:p>
    <w:p w14:paraId="6C6B7DA7" w14:textId="77777777" w:rsidR="00630D6B" w:rsidRPr="005611DA" w:rsidRDefault="00630D6B" w:rsidP="00630D6B">
      <w:pPr>
        <w:spacing w:line="360" w:lineRule="auto"/>
        <w:jc w:val="both"/>
        <w:rPr>
          <w:rFonts w:ascii="Times New Roman" w:hAnsi="Times New Roman" w:cs="Times New Roman"/>
          <w:b/>
          <w:bCs/>
          <w:color w:val="000000" w:themeColor="text1"/>
          <w:sz w:val="28"/>
          <w:szCs w:val="28"/>
        </w:rPr>
      </w:pPr>
      <w:r w:rsidRPr="005611DA">
        <w:rPr>
          <w:rFonts w:ascii="Times New Roman" w:hAnsi="Times New Roman" w:cs="Times New Roman"/>
          <w:b/>
          <w:bCs/>
          <w:color w:val="000000" w:themeColor="text1"/>
          <w:sz w:val="28"/>
          <w:szCs w:val="28"/>
        </w:rPr>
        <w:lastRenderedPageBreak/>
        <w:t>Annex Two</w:t>
      </w:r>
    </w:p>
    <w:p w14:paraId="0CD269EE" w14:textId="72C05186" w:rsidR="00630D6B" w:rsidRPr="00630D6B" w:rsidRDefault="00630D6B" w:rsidP="00630D6B">
      <w:pPr>
        <w:spacing w:line="360" w:lineRule="auto"/>
        <w:jc w:val="center"/>
        <w:rPr>
          <w:rFonts w:ascii="Times New Roman" w:hAnsi="Times New Roman" w:cs="Times New Roman"/>
          <w:b/>
          <w:bCs/>
          <w:color w:val="000000" w:themeColor="text1"/>
          <w:sz w:val="20"/>
          <w:szCs w:val="20"/>
        </w:rPr>
      </w:pPr>
      <w:r w:rsidRPr="00630D6B">
        <w:rPr>
          <w:rFonts w:ascii="Times New Roman" w:hAnsi="Times New Roman" w:cs="Times New Roman"/>
          <w:b/>
          <w:bCs/>
          <w:color w:val="000000" w:themeColor="text1"/>
          <w:sz w:val="20"/>
          <w:szCs w:val="20"/>
        </w:rPr>
        <w:t>List of Documents Reviewed</w:t>
      </w:r>
    </w:p>
    <w:p w14:paraId="7F368422" w14:textId="77777777" w:rsidR="00630D6B" w:rsidRPr="002D1E93" w:rsidRDefault="00630D6B" w:rsidP="00630D6B">
      <w:pPr>
        <w:spacing w:line="360" w:lineRule="auto"/>
        <w:jc w:val="both"/>
        <w:rPr>
          <w:rFonts w:ascii="Times New Roman" w:hAnsi="Times New Roman" w:cs="Times New Roman"/>
          <w:color w:val="000000" w:themeColor="text1"/>
          <w:sz w:val="20"/>
          <w:szCs w:val="20"/>
        </w:rPr>
      </w:pPr>
    </w:p>
    <w:p w14:paraId="697800CA" w14:textId="77777777" w:rsidR="00630D6B" w:rsidRPr="002D1E93" w:rsidRDefault="00630D6B" w:rsidP="00630D6B">
      <w:pPr>
        <w:spacing w:line="360" w:lineRule="auto"/>
        <w:jc w:val="both"/>
        <w:rPr>
          <w:rFonts w:ascii="Times New Roman" w:hAnsi="Times New Roman" w:cs="Times New Roman"/>
          <w:color w:val="000000" w:themeColor="text1"/>
          <w:sz w:val="20"/>
          <w:szCs w:val="20"/>
        </w:rPr>
      </w:pPr>
      <w:r w:rsidRPr="002D1E93">
        <w:rPr>
          <w:rFonts w:ascii="Times New Roman" w:hAnsi="Times New Roman" w:cs="Times New Roman"/>
          <w:color w:val="000000" w:themeColor="text1"/>
          <w:sz w:val="20"/>
          <w:szCs w:val="20"/>
        </w:rPr>
        <w:t>Abandoned Promises? Preserving Human Rights and Pursuing Accountability in Gota’s Sri Lanka (Sri Lanka Campaign for Peace and Justice) (February 2020)</w:t>
      </w:r>
    </w:p>
    <w:p w14:paraId="3BC329B6" w14:textId="77777777" w:rsidR="00630D6B" w:rsidRPr="002D1E93" w:rsidRDefault="00630D6B" w:rsidP="00630D6B">
      <w:pPr>
        <w:spacing w:line="360" w:lineRule="auto"/>
        <w:jc w:val="both"/>
        <w:rPr>
          <w:rFonts w:ascii="Times New Roman" w:hAnsi="Times New Roman" w:cs="Times New Roman"/>
          <w:color w:val="000000" w:themeColor="text1"/>
          <w:sz w:val="20"/>
          <w:szCs w:val="20"/>
          <w:lang w:val="en-CA"/>
        </w:rPr>
      </w:pPr>
      <w:r w:rsidRPr="002D1E93">
        <w:rPr>
          <w:rFonts w:ascii="Times New Roman" w:hAnsi="Times New Roman" w:cs="Times New Roman"/>
          <w:color w:val="000000" w:themeColor="text1"/>
          <w:sz w:val="20"/>
          <w:szCs w:val="20"/>
          <w:lang w:val="en-CA"/>
        </w:rPr>
        <w:t>Achieving Gender Equality in the Sri Lanka Police: An analysis of Women Officers: UNDP and Centre for Women’s Research (2020)</w:t>
      </w:r>
    </w:p>
    <w:p w14:paraId="49240D46" w14:textId="77777777" w:rsidR="00630D6B" w:rsidRPr="002D1E93" w:rsidRDefault="00630D6B" w:rsidP="00630D6B">
      <w:pPr>
        <w:spacing w:line="0" w:lineRule="auto"/>
        <w:jc w:val="both"/>
        <w:rPr>
          <w:rFonts w:ascii="Times New Roman" w:eastAsia="Times New Roman" w:hAnsi="Times New Roman" w:cs="Times New Roman"/>
          <w:color w:val="000000" w:themeColor="text1"/>
          <w:spacing w:val="-2"/>
          <w:sz w:val="20"/>
          <w:szCs w:val="20"/>
          <w:lang w:eastAsia="en-GB"/>
        </w:rPr>
      </w:pPr>
      <w:r w:rsidRPr="002D1E93">
        <w:rPr>
          <w:rFonts w:ascii="Times New Roman" w:eastAsia="Times New Roman" w:hAnsi="Times New Roman" w:cs="Times New Roman"/>
          <w:color w:val="000000" w:themeColor="text1"/>
          <w:spacing w:val="-2"/>
          <w:sz w:val="20"/>
          <w:szCs w:val="20"/>
          <w:lang w:eastAsia="en-GB"/>
        </w:rPr>
        <w:t xml:space="preserve">and </w:t>
      </w:r>
      <w:r w:rsidRPr="002D1E93">
        <w:rPr>
          <w:rFonts w:ascii="Times New Roman" w:eastAsia="Times New Roman" w:hAnsi="Times New Roman" w:cs="Times New Roman"/>
          <w:color w:val="000000" w:themeColor="text1"/>
          <w:sz w:val="20"/>
          <w:szCs w:val="20"/>
          <w:lang w:eastAsia="en-GB"/>
        </w:rPr>
        <w:t>T</w:t>
      </w:r>
      <w:r w:rsidRPr="002D1E93">
        <w:rPr>
          <w:rFonts w:ascii="Times New Roman" w:eastAsia="Times New Roman" w:hAnsi="Times New Roman" w:cs="Times New Roman"/>
          <w:color w:val="000000" w:themeColor="text1"/>
          <w:spacing w:val="-2"/>
          <w:sz w:val="20"/>
          <w:szCs w:val="20"/>
          <w:lang w:eastAsia="en-GB"/>
        </w:rPr>
        <w:t>argets for the</w:t>
      </w:r>
      <w:r w:rsidRPr="002D1E93">
        <w:rPr>
          <w:rFonts w:ascii="Times New Roman" w:eastAsia="Times New Roman" w:hAnsi="Times New Roman" w:cs="Times New Roman"/>
          <w:color w:val="000000" w:themeColor="text1"/>
          <w:sz w:val="20"/>
          <w:szCs w:val="20"/>
          <w:lang w:eastAsia="en-GB"/>
        </w:rPr>
        <w:t xml:space="preserve"> </w:t>
      </w:r>
      <w:r w:rsidRPr="002D1E93">
        <w:rPr>
          <w:rFonts w:ascii="Times New Roman" w:eastAsia="Times New Roman" w:hAnsi="Times New Roman" w:cs="Times New Roman"/>
          <w:color w:val="000000" w:themeColor="text1"/>
          <w:spacing w:val="-3"/>
          <w:sz w:val="20"/>
          <w:szCs w:val="20"/>
          <w:lang w:eastAsia="en-GB"/>
        </w:rPr>
        <w:t>Results Framework</w:t>
      </w:r>
      <w:r w:rsidRPr="002D1E93">
        <w:rPr>
          <w:rFonts w:ascii="Times New Roman" w:eastAsia="Times New Roman" w:hAnsi="Times New Roman" w:cs="Times New Roman"/>
          <w:color w:val="000000" w:themeColor="text1"/>
          <w:sz w:val="20"/>
          <w:szCs w:val="20"/>
          <w:lang w:eastAsia="en-GB"/>
        </w:rPr>
        <w:t xml:space="preserve"> </w:t>
      </w:r>
    </w:p>
    <w:p w14:paraId="071E0E53" w14:textId="77777777" w:rsidR="00630D6B" w:rsidRPr="002D1E93" w:rsidRDefault="00630D6B" w:rsidP="00630D6B">
      <w:pPr>
        <w:spacing w:line="360" w:lineRule="auto"/>
        <w:jc w:val="both"/>
        <w:rPr>
          <w:rFonts w:ascii="Times New Roman" w:hAnsi="Times New Roman" w:cs="Times New Roman"/>
          <w:color w:val="000000" w:themeColor="text1"/>
          <w:sz w:val="20"/>
          <w:szCs w:val="20"/>
        </w:rPr>
      </w:pPr>
      <w:r w:rsidRPr="002D1E93">
        <w:rPr>
          <w:rFonts w:ascii="Times New Roman" w:hAnsi="Times New Roman" w:cs="Times New Roman"/>
          <w:color w:val="000000" w:themeColor="text1"/>
          <w:sz w:val="20"/>
          <w:szCs w:val="20"/>
        </w:rPr>
        <w:t>Baseline Report: Study on Perceptions of Reconciliation and Sexual Bribery among Female Heads of Household in Kurunegala, Anuradhapura and Kilinochchi Officers (Centre for Women’s Research) (2019)</w:t>
      </w:r>
    </w:p>
    <w:p w14:paraId="27183C1A" w14:textId="77777777" w:rsidR="00630D6B" w:rsidRPr="002D1E93" w:rsidRDefault="00630D6B" w:rsidP="00630D6B">
      <w:pPr>
        <w:spacing w:line="360" w:lineRule="auto"/>
        <w:jc w:val="both"/>
        <w:rPr>
          <w:rFonts w:ascii="Times New Roman" w:hAnsi="Times New Roman" w:cs="Times New Roman"/>
          <w:color w:val="000000" w:themeColor="text1"/>
          <w:sz w:val="20"/>
          <w:szCs w:val="20"/>
        </w:rPr>
      </w:pPr>
      <w:r w:rsidRPr="002D1E93">
        <w:rPr>
          <w:rFonts w:ascii="Times New Roman" w:hAnsi="Times New Roman" w:cs="Times New Roman"/>
          <w:color w:val="000000" w:themeColor="text1"/>
          <w:sz w:val="20"/>
          <w:szCs w:val="20"/>
        </w:rPr>
        <w:t>Better Criteria for Better Evaluation: Revised Evaluation Criteria Definitions and Principles for Use (2018-2019)</w:t>
      </w:r>
    </w:p>
    <w:p w14:paraId="67C682E4" w14:textId="77777777" w:rsidR="00630D6B" w:rsidRPr="002D1E93" w:rsidRDefault="00630D6B" w:rsidP="00630D6B">
      <w:pPr>
        <w:spacing w:line="360" w:lineRule="auto"/>
        <w:jc w:val="both"/>
        <w:rPr>
          <w:rFonts w:ascii="Times New Roman" w:hAnsi="Times New Roman" w:cs="Times New Roman"/>
          <w:color w:val="000000" w:themeColor="text1"/>
          <w:sz w:val="20"/>
          <w:szCs w:val="20"/>
        </w:rPr>
      </w:pPr>
      <w:r w:rsidRPr="002D1E93">
        <w:rPr>
          <w:rFonts w:ascii="Times New Roman" w:hAnsi="Times New Roman" w:cs="Times New Roman"/>
          <w:color w:val="000000" w:themeColor="text1"/>
          <w:sz w:val="20"/>
          <w:szCs w:val="20"/>
        </w:rPr>
        <w:t>Circular Issued by the Ministry of Finance No. ERD/AE/GEN/16 dated 2</w:t>
      </w:r>
      <w:r w:rsidRPr="002D1E93">
        <w:rPr>
          <w:rFonts w:ascii="Times New Roman" w:hAnsi="Times New Roman" w:cs="Times New Roman"/>
          <w:color w:val="000000" w:themeColor="text1"/>
          <w:sz w:val="20"/>
          <w:szCs w:val="20"/>
          <w:vertAlign w:val="superscript"/>
        </w:rPr>
        <w:t>nd</w:t>
      </w:r>
      <w:r w:rsidRPr="002D1E93">
        <w:rPr>
          <w:rFonts w:ascii="Times New Roman" w:hAnsi="Times New Roman" w:cs="Times New Roman"/>
          <w:color w:val="000000" w:themeColor="text1"/>
          <w:sz w:val="20"/>
          <w:szCs w:val="20"/>
        </w:rPr>
        <w:t xml:space="preserve"> October 2020, </w:t>
      </w:r>
      <w:r w:rsidRPr="002D1E93">
        <w:rPr>
          <w:rFonts w:ascii="Times New Roman" w:hAnsi="Times New Roman" w:cs="Times New Roman"/>
          <w:i/>
          <w:iCs/>
          <w:color w:val="000000" w:themeColor="text1"/>
          <w:sz w:val="20"/>
          <w:szCs w:val="20"/>
        </w:rPr>
        <w:t>Streamlining the Fund Channeling Mechanism and Implementation of Modalities of Grand Funded Projects</w:t>
      </w:r>
    </w:p>
    <w:p w14:paraId="45984FAD" w14:textId="77777777" w:rsidR="00630D6B" w:rsidRPr="002D1E93" w:rsidRDefault="00630D6B" w:rsidP="00630D6B">
      <w:pPr>
        <w:spacing w:line="360" w:lineRule="auto"/>
        <w:jc w:val="both"/>
        <w:rPr>
          <w:rFonts w:ascii="Times New Roman" w:hAnsi="Times New Roman" w:cs="Times New Roman"/>
          <w:color w:val="000000" w:themeColor="text1"/>
          <w:sz w:val="20"/>
          <w:szCs w:val="20"/>
        </w:rPr>
      </w:pPr>
      <w:r w:rsidRPr="002D1E93">
        <w:rPr>
          <w:rFonts w:ascii="Times New Roman" w:hAnsi="Times New Roman" w:cs="Times New Roman"/>
          <w:color w:val="000000" w:themeColor="text1"/>
          <w:sz w:val="20"/>
          <w:szCs w:val="20"/>
        </w:rPr>
        <w:t>Circular Issued by the Presidential Secretariat No: PS/SP/SB/ Circular/ 06/2019 dated 19</w:t>
      </w:r>
      <w:r w:rsidRPr="002D1E93">
        <w:rPr>
          <w:rFonts w:ascii="Times New Roman" w:hAnsi="Times New Roman" w:cs="Times New Roman"/>
          <w:color w:val="000000" w:themeColor="text1"/>
          <w:sz w:val="20"/>
          <w:szCs w:val="20"/>
          <w:vertAlign w:val="superscript"/>
        </w:rPr>
        <w:t>th</w:t>
      </w:r>
      <w:r w:rsidRPr="002D1E93">
        <w:rPr>
          <w:rFonts w:ascii="Times New Roman" w:hAnsi="Times New Roman" w:cs="Times New Roman"/>
          <w:color w:val="000000" w:themeColor="text1"/>
          <w:sz w:val="20"/>
          <w:szCs w:val="20"/>
        </w:rPr>
        <w:t xml:space="preserve"> December 2019, </w:t>
      </w:r>
      <w:r w:rsidRPr="002D1E93">
        <w:rPr>
          <w:rFonts w:ascii="Times New Roman" w:hAnsi="Times New Roman" w:cs="Times New Roman"/>
          <w:i/>
          <w:iCs/>
          <w:color w:val="000000" w:themeColor="text1"/>
          <w:sz w:val="20"/>
          <w:szCs w:val="20"/>
        </w:rPr>
        <w:t>Rationalization of the Prevailing Mechanism on Engaging with Investors, Lending Agencies, Foreign Organizations and Missions</w:t>
      </w:r>
    </w:p>
    <w:p w14:paraId="7F357A6F" w14:textId="77777777" w:rsidR="00630D6B" w:rsidRPr="002D1E93" w:rsidRDefault="00630D6B" w:rsidP="00630D6B">
      <w:pPr>
        <w:spacing w:line="360" w:lineRule="auto"/>
        <w:jc w:val="both"/>
        <w:rPr>
          <w:rFonts w:ascii="Times New Roman" w:hAnsi="Times New Roman" w:cs="Times New Roman"/>
          <w:color w:val="000000" w:themeColor="text1"/>
          <w:sz w:val="20"/>
          <w:szCs w:val="20"/>
          <w:lang w:val="en-GB"/>
        </w:rPr>
      </w:pPr>
      <w:r w:rsidRPr="002D1E93">
        <w:rPr>
          <w:rFonts w:ascii="Times New Roman" w:hAnsi="Times New Roman" w:cs="Times New Roman"/>
          <w:color w:val="000000" w:themeColor="text1"/>
          <w:sz w:val="20"/>
          <w:szCs w:val="20"/>
          <w:lang w:val="en-GB"/>
        </w:rPr>
        <w:t>Civil Society Consultation on Responsible Business and Human Rights (UNDP Sri Lanka in partnership with Law and Society Trust) (10</w:t>
      </w:r>
      <w:r w:rsidRPr="002D1E93">
        <w:rPr>
          <w:rFonts w:ascii="Times New Roman" w:hAnsi="Times New Roman" w:cs="Times New Roman"/>
          <w:color w:val="000000" w:themeColor="text1"/>
          <w:sz w:val="20"/>
          <w:szCs w:val="20"/>
          <w:vertAlign w:val="superscript"/>
          <w:lang w:val="en-GB"/>
        </w:rPr>
        <w:t>th</w:t>
      </w:r>
      <w:r w:rsidRPr="002D1E93">
        <w:rPr>
          <w:rFonts w:ascii="Times New Roman" w:hAnsi="Times New Roman" w:cs="Times New Roman"/>
          <w:color w:val="000000" w:themeColor="text1"/>
          <w:sz w:val="20"/>
          <w:szCs w:val="20"/>
          <w:lang w:val="en-GB"/>
        </w:rPr>
        <w:t xml:space="preserve"> February 2020)</w:t>
      </w:r>
    </w:p>
    <w:p w14:paraId="41A6E551" w14:textId="77777777" w:rsidR="00630D6B" w:rsidRPr="002D1E93" w:rsidRDefault="00630D6B" w:rsidP="00630D6B">
      <w:pPr>
        <w:spacing w:line="360" w:lineRule="auto"/>
        <w:jc w:val="both"/>
        <w:rPr>
          <w:rFonts w:ascii="Times New Roman" w:hAnsi="Times New Roman" w:cs="Times New Roman"/>
          <w:color w:val="000000" w:themeColor="text1"/>
          <w:sz w:val="20"/>
          <w:szCs w:val="20"/>
        </w:rPr>
      </w:pPr>
      <w:r w:rsidRPr="002D1E93">
        <w:rPr>
          <w:rFonts w:ascii="Times New Roman" w:hAnsi="Times New Roman" w:cs="Times New Roman"/>
          <w:color w:val="000000" w:themeColor="text1"/>
          <w:sz w:val="20"/>
          <w:szCs w:val="20"/>
        </w:rPr>
        <w:t>Civil Society Engagement Strategy for the UN Country Team Sri Lanka: Inclusive Engagement of Civil Society in SDG implementation and Monitoring Process (December 2019)</w:t>
      </w:r>
    </w:p>
    <w:p w14:paraId="3AB82AF8" w14:textId="77777777" w:rsidR="00630D6B" w:rsidRPr="002D1E93" w:rsidRDefault="00630D6B" w:rsidP="00630D6B">
      <w:pPr>
        <w:spacing w:line="360" w:lineRule="auto"/>
        <w:jc w:val="both"/>
        <w:rPr>
          <w:rFonts w:ascii="Times New Roman" w:hAnsi="Times New Roman" w:cs="Times New Roman"/>
          <w:color w:val="000000" w:themeColor="text1"/>
          <w:sz w:val="20"/>
          <w:szCs w:val="20"/>
        </w:rPr>
      </w:pPr>
      <w:r w:rsidRPr="002D1E93">
        <w:rPr>
          <w:rFonts w:ascii="Times New Roman" w:hAnsi="Times New Roman" w:cs="Times New Roman"/>
          <w:color w:val="000000" w:themeColor="text1"/>
          <w:sz w:val="20"/>
          <w:szCs w:val="20"/>
        </w:rPr>
        <w:t>Communications Strategy for Parliament of Sri Lanka and Recommendations (February 2020)</w:t>
      </w:r>
    </w:p>
    <w:p w14:paraId="46553E11" w14:textId="77777777" w:rsidR="00630D6B" w:rsidRPr="002D1E93" w:rsidRDefault="00630D6B" w:rsidP="00630D6B">
      <w:pPr>
        <w:spacing w:line="360" w:lineRule="auto"/>
        <w:jc w:val="both"/>
        <w:rPr>
          <w:rFonts w:ascii="Times New Roman" w:hAnsi="Times New Roman" w:cs="Times New Roman"/>
          <w:color w:val="000000" w:themeColor="text1"/>
          <w:sz w:val="20"/>
          <w:szCs w:val="20"/>
        </w:rPr>
      </w:pPr>
      <w:r w:rsidRPr="002D1E93">
        <w:rPr>
          <w:rFonts w:ascii="Times New Roman" w:hAnsi="Times New Roman" w:cs="Times New Roman"/>
          <w:color w:val="000000" w:themeColor="text1"/>
          <w:sz w:val="20"/>
          <w:szCs w:val="20"/>
        </w:rPr>
        <w:t xml:space="preserve">Divisional Bureaus for the Prevention of Abuse of Children and Women: An Assessment </w:t>
      </w:r>
    </w:p>
    <w:p w14:paraId="4F3AE113" w14:textId="77777777" w:rsidR="00630D6B" w:rsidRPr="002D1E93" w:rsidRDefault="00630D6B" w:rsidP="00630D6B">
      <w:pPr>
        <w:spacing w:line="360" w:lineRule="auto"/>
        <w:jc w:val="both"/>
        <w:rPr>
          <w:rFonts w:ascii="Times New Roman" w:hAnsi="Times New Roman" w:cs="Times New Roman"/>
          <w:color w:val="000000" w:themeColor="text1"/>
          <w:sz w:val="20"/>
          <w:szCs w:val="20"/>
          <w:lang w:val="en-CA"/>
        </w:rPr>
      </w:pPr>
      <w:r w:rsidRPr="002D1E93">
        <w:rPr>
          <w:rFonts w:ascii="Times New Roman" w:hAnsi="Times New Roman" w:cs="Times New Roman"/>
          <w:color w:val="000000" w:themeColor="text1"/>
          <w:sz w:val="20"/>
          <w:szCs w:val="20"/>
          <w:lang w:val="en-CA"/>
        </w:rPr>
        <w:t>Divisional Bureaus for the Prevention of Abuse of Children and Women: An Assessment: UNDP and Centre for Women’s Research</w:t>
      </w:r>
    </w:p>
    <w:p w14:paraId="20D97A02" w14:textId="77777777" w:rsidR="00630D6B" w:rsidRPr="002D1E93" w:rsidRDefault="00630D6B" w:rsidP="00630D6B">
      <w:pPr>
        <w:spacing w:line="360" w:lineRule="auto"/>
        <w:jc w:val="both"/>
        <w:rPr>
          <w:rFonts w:ascii="Times New Roman" w:hAnsi="Times New Roman" w:cs="Times New Roman"/>
          <w:color w:val="000000" w:themeColor="text1"/>
          <w:sz w:val="20"/>
          <w:szCs w:val="20"/>
        </w:rPr>
      </w:pPr>
      <w:r w:rsidRPr="002D1E93">
        <w:rPr>
          <w:rFonts w:ascii="Times New Roman" w:hAnsi="Times New Roman" w:cs="Times New Roman"/>
          <w:color w:val="000000" w:themeColor="text1"/>
          <w:sz w:val="20"/>
          <w:szCs w:val="20"/>
        </w:rPr>
        <w:t xml:space="preserve">Establishment/ verification of Baselines and Targets for the Results framework of UNDP </w:t>
      </w:r>
    </w:p>
    <w:p w14:paraId="522A6BFA" w14:textId="77777777" w:rsidR="00630D6B" w:rsidRPr="002D1E93" w:rsidRDefault="00630D6B" w:rsidP="00630D6B">
      <w:pPr>
        <w:spacing w:line="360" w:lineRule="auto"/>
        <w:jc w:val="both"/>
        <w:rPr>
          <w:rFonts w:ascii="Times New Roman" w:eastAsia="Times New Roman" w:hAnsi="Times New Roman" w:cs="Times New Roman"/>
          <w:color w:val="000000" w:themeColor="text1"/>
          <w:sz w:val="20"/>
          <w:szCs w:val="20"/>
        </w:rPr>
      </w:pPr>
      <w:r w:rsidRPr="002D1E93">
        <w:rPr>
          <w:rFonts w:ascii="Times New Roman" w:eastAsia="Times New Roman" w:hAnsi="Times New Roman" w:cs="Times New Roman"/>
          <w:color w:val="000000" w:themeColor="text1"/>
          <w:sz w:val="20"/>
          <w:szCs w:val="20"/>
        </w:rPr>
        <w:t>Gender Equality Strategy (UNDP Sri Lanka Country Office) (2019-2022)</w:t>
      </w:r>
    </w:p>
    <w:p w14:paraId="407D3A13" w14:textId="77777777" w:rsidR="00630D6B" w:rsidRPr="002D1E93" w:rsidRDefault="00630D6B" w:rsidP="00630D6B">
      <w:pPr>
        <w:spacing w:line="360" w:lineRule="auto"/>
        <w:jc w:val="both"/>
        <w:rPr>
          <w:rFonts w:ascii="Times New Roman" w:eastAsia="Times New Roman" w:hAnsi="Times New Roman" w:cs="Times New Roman"/>
          <w:color w:val="000000" w:themeColor="text1"/>
          <w:sz w:val="20"/>
          <w:szCs w:val="20"/>
        </w:rPr>
      </w:pPr>
      <w:r w:rsidRPr="002D1E93">
        <w:rPr>
          <w:rFonts w:ascii="Times New Roman" w:eastAsia="Times New Roman" w:hAnsi="Times New Roman" w:cs="Times New Roman"/>
          <w:color w:val="000000" w:themeColor="text1"/>
          <w:sz w:val="20"/>
          <w:szCs w:val="20"/>
        </w:rPr>
        <w:t>Global Pilot: The Role of Parliaments as Partners in Advancing the Women, Peace and Security Agenda, Final Report (UNDP) (30</w:t>
      </w:r>
      <w:r w:rsidRPr="002D1E93">
        <w:rPr>
          <w:rFonts w:ascii="Times New Roman" w:eastAsia="Times New Roman" w:hAnsi="Times New Roman" w:cs="Times New Roman"/>
          <w:color w:val="000000" w:themeColor="text1"/>
          <w:sz w:val="20"/>
          <w:szCs w:val="20"/>
          <w:vertAlign w:val="superscript"/>
        </w:rPr>
        <w:t xml:space="preserve">th </w:t>
      </w:r>
      <w:r w:rsidRPr="002D1E93">
        <w:rPr>
          <w:rFonts w:ascii="Times New Roman" w:eastAsia="Times New Roman" w:hAnsi="Times New Roman" w:cs="Times New Roman"/>
          <w:color w:val="000000" w:themeColor="text1"/>
          <w:sz w:val="20"/>
          <w:szCs w:val="20"/>
        </w:rPr>
        <w:t>June 2019)</w:t>
      </w:r>
    </w:p>
    <w:p w14:paraId="1F29C618" w14:textId="77777777" w:rsidR="00630D6B" w:rsidRPr="002D1E93" w:rsidRDefault="00630D6B" w:rsidP="00630D6B">
      <w:pPr>
        <w:spacing w:line="360" w:lineRule="auto"/>
        <w:jc w:val="both"/>
        <w:rPr>
          <w:rFonts w:ascii="Times New Roman" w:hAnsi="Times New Roman" w:cs="Times New Roman"/>
          <w:color w:val="000000" w:themeColor="text1"/>
          <w:sz w:val="20"/>
          <w:szCs w:val="20"/>
        </w:rPr>
      </w:pPr>
      <w:r w:rsidRPr="002D1E93">
        <w:rPr>
          <w:rFonts w:ascii="Times New Roman" w:hAnsi="Times New Roman" w:cs="Times New Roman"/>
          <w:color w:val="000000" w:themeColor="text1"/>
          <w:sz w:val="20"/>
          <w:szCs w:val="20"/>
        </w:rPr>
        <w:t>Guidance note of the Secretary General: UN Approach to Transitional Justice (March 2010)</w:t>
      </w:r>
    </w:p>
    <w:p w14:paraId="20A13C5F" w14:textId="77777777" w:rsidR="00630D6B" w:rsidRPr="002D1E93" w:rsidRDefault="00630D6B" w:rsidP="00630D6B">
      <w:pPr>
        <w:spacing w:line="360" w:lineRule="auto"/>
        <w:jc w:val="both"/>
        <w:rPr>
          <w:rFonts w:ascii="Times New Roman" w:hAnsi="Times New Roman" w:cs="Times New Roman"/>
          <w:color w:val="000000" w:themeColor="text1"/>
          <w:sz w:val="20"/>
          <w:szCs w:val="20"/>
        </w:rPr>
      </w:pPr>
      <w:r w:rsidRPr="002D1E93">
        <w:rPr>
          <w:rFonts w:ascii="Times New Roman" w:hAnsi="Times New Roman" w:cs="Times New Roman"/>
          <w:color w:val="000000" w:themeColor="text1"/>
          <w:sz w:val="20"/>
          <w:szCs w:val="20"/>
        </w:rPr>
        <w:t>Human Rights Integration Across business operations of the top 50 companies in Sri Lanka: A Preliminary Scan (2012)</w:t>
      </w:r>
    </w:p>
    <w:p w14:paraId="6495BE15" w14:textId="77777777" w:rsidR="00630D6B" w:rsidRPr="002D1E93" w:rsidRDefault="00630D6B" w:rsidP="00630D6B">
      <w:pPr>
        <w:spacing w:line="360" w:lineRule="auto"/>
        <w:jc w:val="both"/>
        <w:rPr>
          <w:rFonts w:ascii="Times New Roman" w:hAnsi="Times New Roman" w:cs="Times New Roman"/>
          <w:color w:val="000000" w:themeColor="text1"/>
          <w:sz w:val="20"/>
          <w:szCs w:val="20"/>
        </w:rPr>
      </w:pPr>
      <w:r w:rsidRPr="002D1E93">
        <w:rPr>
          <w:rFonts w:ascii="Times New Roman" w:hAnsi="Times New Roman" w:cs="Times New Roman"/>
          <w:color w:val="000000" w:themeColor="text1"/>
          <w:sz w:val="20"/>
          <w:szCs w:val="20"/>
        </w:rPr>
        <w:lastRenderedPageBreak/>
        <w:t>Lessons learned Exercise on UN/UNDP Peacebuilding Efforts in Sri Lanka, Final Report (October 2018)</w:t>
      </w:r>
    </w:p>
    <w:p w14:paraId="5FAA26F6" w14:textId="77777777" w:rsidR="00630D6B" w:rsidRPr="002D1E93" w:rsidRDefault="00630D6B" w:rsidP="00630D6B">
      <w:pPr>
        <w:spacing w:line="360" w:lineRule="auto"/>
        <w:jc w:val="both"/>
        <w:rPr>
          <w:rFonts w:ascii="Cambria" w:hAnsi="Cambria"/>
          <w:color w:val="000000" w:themeColor="text1"/>
          <w:sz w:val="20"/>
          <w:szCs w:val="20"/>
        </w:rPr>
      </w:pPr>
      <w:bookmarkStart w:id="66" w:name="_Hlk59055627"/>
      <w:r w:rsidRPr="002D1E93">
        <w:rPr>
          <w:rFonts w:ascii="Cambria" w:hAnsi="Cambria"/>
          <w:color w:val="000000" w:themeColor="text1"/>
          <w:sz w:val="20"/>
          <w:szCs w:val="20"/>
        </w:rPr>
        <w:t xml:space="preserve">Mid Term Review, United Nations Development Programme, Country Programme Document 2016, Verite Research </w:t>
      </w:r>
    </w:p>
    <w:bookmarkEnd w:id="66"/>
    <w:p w14:paraId="1DA58476" w14:textId="77777777" w:rsidR="00630D6B" w:rsidRPr="002D1E93" w:rsidRDefault="00630D6B" w:rsidP="00630D6B">
      <w:pPr>
        <w:spacing w:line="360" w:lineRule="auto"/>
        <w:jc w:val="both"/>
        <w:rPr>
          <w:rFonts w:ascii="Times New Roman" w:hAnsi="Times New Roman" w:cs="Times New Roman"/>
          <w:color w:val="000000" w:themeColor="text1"/>
          <w:sz w:val="20"/>
          <w:szCs w:val="20"/>
        </w:rPr>
      </w:pPr>
      <w:r w:rsidRPr="002D1E93">
        <w:rPr>
          <w:rFonts w:ascii="Times New Roman" w:hAnsi="Times New Roman" w:cs="Times New Roman"/>
          <w:color w:val="000000" w:themeColor="text1"/>
          <w:sz w:val="20"/>
          <w:szCs w:val="20"/>
        </w:rPr>
        <w:t>National Policy Framework, Vistas of Prosperity and Splendour 2019</w:t>
      </w:r>
    </w:p>
    <w:p w14:paraId="71D75537" w14:textId="77777777" w:rsidR="00630D6B" w:rsidRPr="002D1E93" w:rsidRDefault="00630D6B" w:rsidP="00630D6B">
      <w:pPr>
        <w:spacing w:line="0" w:lineRule="auto"/>
        <w:jc w:val="both"/>
        <w:rPr>
          <w:rFonts w:ascii="Times New Roman" w:eastAsia="Times New Roman" w:hAnsi="Times New Roman" w:cs="Times New Roman"/>
          <w:color w:val="000000" w:themeColor="text1"/>
          <w:sz w:val="20"/>
          <w:szCs w:val="20"/>
          <w:lang w:eastAsia="en-GB"/>
        </w:rPr>
      </w:pPr>
      <w:r w:rsidRPr="002D1E93">
        <w:rPr>
          <w:rFonts w:ascii="Times New Roman" w:eastAsia="Times New Roman" w:hAnsi="Times New Roman" w:cs="Times New Roman"/>
          <w:color w:val="000000" w:themeColor="text1"/>
          <w:sz w:val="20"/>
          <w:szCs w:val="20"/>
          <w:lang w:eastAsia="en-GB"/>
        </w:rPr>
        <w:t xml:space="preserve"> Oct 2020</w:t>
      </w:r>
    </w:p>
    <w:p w14:paraId="6CED2194" w14:textId="77777777" w:rsidR="00630D6B" w:rsidRPr="002D1E93" w:rsidRDefault="00630D6B" w:rsidP="00630D6B">
      <w:pPr>
        <w:spacing w:line="0" w:lineRule="auto"/>
        <w:jc w:val="both"/>
        <w:rPr>
          <w:rFonts w:ascii="Times New Roman" w:eastAsia="Times New Roman" w:hAnsi="Times New Roman" w:cs="Times New Roman"/>
          <w:color w:val="000000" w:themeColor="text1"/>
          <w:sz w:val="20"/>
          <w:szCs w:val="20"/>
          <w:lang w:eastAsia="en-GB"/>
        </w:rPr>
      </w:pPr>
      <w:r w:rsidRPr="002D1E93">
        <w:rPr>
          <w:rFonts w:ascii="Times New Roman" w:eastAsia="Times New Roman" w:hAnsi="Times New Roman" w:cs="Times New Roman"/>
          <w:color w:val="000000" w:themeColor="text1"/>
          <w:sz w:val="20"/>
          <w:szCs w:val="20"/>
          <w:lang w:eastAsia="en-GB"/>
        </w:rPr>
        <w:t xml:space="preserve">Of </w:t>
      </w:r>
    </w:p>
    <w:p w14:paraId="602E1BAE" w14:textId="77777777" w:rsidR="00630D6B" w:rsidRPr="002D1E93" w:rsidRDefault="00630D6B" w:rsidP="00630D6B">
      <w:pPr>
        <w:spacing w:line="360" w:lineRule="auto"/>
        <w:jc w:val="both"/>
        <w:rPr>
          <w:rFonts w:ascii="Times New Roman" w:hAnsi="Times New Roman" w:cs="Times New Roman"/>
          <w:color w:val="000000" w:themeColor="text1"/>
          <w:sz w:val="20"/>
          <w:szCs w:val="20"/>
        </w:rPr>
      </w:pPr>
      <w:r w:rsidRPr="002D1E93">
        <w:rPr>
          <w:rFonts w:ascii="Times New Roman" w:hAnsi="Times New Roman" w:cs="Times New Roman"/>
          <w:color w:val="000000" w:themeColor="text1"/>
          <w:sz w:val="20"/>
          <w:szCs w:val="20"/>
        </w:rPr>
        <w:t xml:space="preserve">Nineteenth Amendment to the Constitution </w:t>
      </w:r>
    </w:p>
    <w:p w14:paraId="63E8D839" w14:textId="77777777" w:rsidR="00630D6B" w:rsidRPr="002D1E93" w:rsidRDefault="00630D6B" w:rsidP="00630D6B">
      <w:pPr>
        <w:spacing w:line="360" w:lineRule="auto"/>
        <w:jc w:val="both"/>
        <w:rPr>
          <w:rFonts w:ascii="Times New Roman" w:hAnsi="Times New Roman" w:cs="Times New Roman"/>
          <w:color w:val="000000" w:themeColor="text1"/>
          <w:sz w:val="20"/>
          <w:szCs w:val="20"/>
        </w:rPr>
      </w:pPr>
      <w:r w:rsidRPr="002D1E93">
        <w:rPr>
          <w:rFonts w:ascii="Times New Roman" w:hAnsi="Times New Roman" w:cs="Times New Roman"/>
          <w:color w:val="000000" w:themeColor="text1"/>
          <w:sz w:val="20"/>
          <w:szCs w:val="20"/>
        </w:rPr>
        <w:t>Parliamentary Development Support Project (UNDP) (2016-2019)</w:t>
      </w:r>
    </w:p>
    <w:p w14:paraId="76BBDFC4" w14:textId="77777777" w:rsidR="00630D6B" w:rsidRPr="002D1E93" w:rsidRDefault="00630D6B" w:rsidP="00630D6B">
      <w:pPr>
        <w:spacing w:line="360" w:lineRule="auto"/>
        <w:jc w:val="both"/>
        <w:rPr>
          <w:rFonts w:ascii="Times New Roman" w:hAnsi="Times New Roman" w:cs="Times New Roman"/>
          <w:color w:val="000000" w:themeColor="text1"/>
          <w:sz w:val="20"/>
          <w:szCs w:val="20"/>
        </w:rPr>
      </w:pPr>
      <w:r w:rsidRPr="002D1E93">
        <w:rPr>
          <w:rFonts w:ascii="Times New Roman" w:hAnsi="Times New Roman" w:cs="Times New Roman"/>
          <w:color w:val="000000" w:themeColor="text1"/>
          <w:sz w:val="20"/>
          <w:szCs w:val="20"/>
        </w:rPr>
        <w:t>Programming Standards and Principles Evaluation (2017)</w:t>
      </w:r>
    </w:p>
    <w:p w14:paraId="208452F9" w14:textId="77777777" w:rsidR="00630D6B" w:rsidRPr="002D1E93" w:rsidRDefault="00630D6B" w:rsidP="00630D6B">
      <w:pPr>
        <w:spacing w:line="0" w:lineRule="auto"/>
        <w:jc w:val="both"/>
        <w:rPr>
          <w:rFonts w:ascii="Times New Roman" w:eastAsia="Times New Roman" w:hAnsi="Times New Roman" w:cs="Times New Roman"/>
          <w:color w:val="000000" w:themeColor="text1"/>
          <w:sz w:val="20"/>
          <w:szCs w:val="20"/>
          <w:lang w:eastAsia="en-GB"/>
        </w:rPr>
      </w:pPr>
      <w:r w:rsidRPr="002D1E93">
        <w:rPr>
          <w:rFonts w:ascii="Times New Roman" w:eastAsia="Times New Roman" w:hAnsi="Times New Roman" w:cs="Times New Roman"/>
          <w:color w:val="000000" w:themeColor="text1"/>
          <w:sz w:val="20"/>
          <w:szCs w:val="20"/>
          <w:lang w:eastAsia="en-GB"/>
        </w:rPr>
        <w:t>Progress Template LOA MWCD &amp; UNDP following Sec meeng on 5</w:t>
      </w:r>
    </w:p>
    <w:p w14:paraId="0F6FDC2C" w14:textId="77777777" w:rsidR="00630D6B" w:rsidRPr="002D1E93" w:rsidRDefault="00630D6B" w:rsidP="00630D6B">
      <w:pPr>
        <w:spacing w:line="360" w:lineRule="auto"/>
        <w:jc w:val="both"/>
        <w:rPr>
          <w:rFonts w:ascii="Times New Roman" w:eastAsia="Times New Roman" w:hAnsi="Times New Roman" w:cs="Times New Roman"/>
          <w:color w:val="000000" w:themeColor="text1"/>
          <w:sz w:val="20"/>
          <w:szCs w:val="20"/>
        </w:rPr>
      </w:pPr>
      <w:r w:rsidRPr="002D1E93">
        <w:rPr>
          <w:rFonts w:ascii="Times New Roman" w:eastAsia="Times New Roman" w:hAnsi="Times New Roman" w:cs="Times New Roman"/>
          <w:color w:val="000000" w:themeColor="text1"/>
          <w:sz w:val="20"/>
          <w:szCs w:val="20"/>
        </w:rPr>
        <w:t>Progress Template LOA MWCD and UNDP following Sec meeting on 5</w:t>
      </w:r>
      <w:r w:rsidRPr="002D1E93">
        <w:rPr>
          <w:rFonts w:ascii="Times New Roman" w:eastAsia="Times New Roman" w:hAnsi="Times New Roman" w:cs="Times New Roman"/>
          <w:color w:val="000000" w:themeColor="text1"/>
          <w:sz w:val="20"/>
          <w:szCs w:val="20"/>
          <w:vertAlign w:val="superscript"/>
        </w:rPr>
        <w:t>th</w:t>
      </w:r>
      <w:r w:rsidRPr="002D1E93">
        <w:rPr>
          <w:rFonts w:ascii="Times New Roman" w:eastAsia="Times New Roman" w:hAnsi="Times New Roman" w:cs="Times New Roman"/>
          <w:color w:val="000000" w:themeColor="text1"/>
          <w:sz w:val="20"/>
          <w:szCs w:val="20"/>
        </w:rPr>
        <w:t xml:space="preserve"> October 2020</w:t>
      </w:r>
    </w:p>
    <w:p w14:paraId="515E42EC" w14:textId="77777777" w:rsidR="00630D6B" w:rsidRPr="002D1E93" w:rsidRDefault="00630D6B" w:rsidP="00630D6B">
      <w:pPr>
        <w:spacing w:line="360" w:lineRule="auto"/>
        <w:jc w:val="both"/>
        <w:rPr>
          <w:rFonts w:ascii="Times New Roman" w:hAnsi="Times New Roman" w:cs="Times New Roman"/>
          <w:color w:val="000000" w:themeColor="text1"/>
          <w:sz w:val="20"/>
          <w:szCs w:val="20"/>
        </w:rPr>
      </w:pPr>
      <w:r w:rsidRPr="002D1E93">
        <w:rPr>
          <w:rFonts w:ascii="Times New Roman" w:hAnsi="Times New Roman" w:cs="Times New Roman"/>
          <w:color w:val="000000" w:themeColor="text1"/>
          <w:sz w:val="20"/>
          <w:szCs w:val="20"/>
        </w:rPr>
        <w:t>Quarterly Progress Reviews</w:t>
      </w:r>
    </w:p>
    <w:p w14:paraId="283A47C1" w14:textId="77777777" w:rsidR="00630D6B" w:rsidRPr="002D1E93" w:rsidRDefault="00630D6B" w:rsidP="00630D6B">
      <w:pPr>
        <w:spacing w:line="360" w:lineRule="auto"/>
        <w:ind w:firstLine="720"/>
        <w:jc w:val="both"/>
        <w:rPr>
          <w:rFonts w:ascii="Times New Roman" w:hAnsi="Times New Roman" w:cs="Times New Roman"/>
          <w:color w:val="000000" w:themeColor="text1"/>
          <w:sz w:val="20"/>
          <w:szCs w:val="20"/>
        </w:rPr>
      </w:pPr>
      <w:r w:rsidRPr="002D1E93">
        <w:rPr>
          <w:rFonts w:ascii="Times New Roman" w:hAnsi="Times New Roman" w:cs="Times New Roman"/>
          <w:color w:val="000000" w:themeColor="text1"/>
          <w:sz w:val="20"/>
          <w:szCs w:val="20"/>
        </w:rPr>
        <w:t>Accountable and Effective Service Delivery 2020 Q1</w:t>
      </w:r>
    </w:p>
    <w:p w14:paraId="5EDF7FCB" w14:textId="77777777" w:rsidR="00630D6B" w:rsidRPr="002D1E93" w:rsidRDefault="00630D6B" w:rsidP="00630D6B">
      <w:pPr>
        <w:spacing w:line="360" w:lineRule="auto"/>
        <w:ind w:firstLine="720"/>
        <w:jc w:val="both"/>
        <w:rPr>
          <w:rFonts w:ascii="Times New Roman" w:hAnsi="Times New Roman" w:cs="Times New Roman"/>
          <w:color w:val="000000" w:themeColor="text1"/>
          <w:sz w:val="20"/>
          <w:szCs w:val="20"/>
        </w:rPr>
      </w:pPr>
      <w:r w:rsidRPr="002D1E93">
        <w:rPr>
          <w:rFonts w:ascii="Times New Roman" w:hAnsi="Times New Roman" w:cs="Times New Roman"/>
          <w:color w:val="000000" w:themeColor="text1"/>
          <w:sz w:val="20"/>
          <w:szCs w:val="20"/>
        </w:rPr>
        <w:t xml:space="preserve">Efficient Local Governance </w:t>
      </w:r>
    </w:p>
    <w:p w14:paraId="3F366FEE" w14:textId="77777777" w:rsidR="00630D6B" w:rsidRPr="002D1E93" w:rsidRDefault="00630D6B" w:rsidP="00630D6B">
      <w:pPr>
        <w:spacing w:line="360" w:lineRule="auto"/>
        <w:jc w:val="both"/>
        <w:rPr>
          <w:rFonts w:ascii="Times New Roman" w:hAnsi="Times New Roman" w:cs="Times New Roman"/>
          <w:color w:val="000000" w:themeColor="text1"/>
          <w:sz w:val="20"/>
          <w:szCs w:val="20"/>
        </w:rPr>
      </w:pPr>
      <w:r w:rsidRPr="002D1E93">
        <w:rPr>
          <w:rFonts w:ascii="Times New Roman" w:hAnsi="Times New Roman" w:cs="Times New Roman"/>
          <w:color w:val="000000" w:themeColor="text1"/>
          <w:sz w:val="20"/>
          <w:szCs w:val="20"/>
        </w:rPr>
        <w:tab/>
        <w:t>Parliament and Independent Commissions 2020 Q1</w:t>
      </w:r>
    </w:p>
    <w:p w14:paraId="2670C77E" w14:textId="77777777" w:rsidR="00630D6B" w:rsidRPr="002D1E93" w:rsidRDefault="00630D6B" w:rsidP="00630D6B">
      <w:pPr>
        <w:spacing w:line="360" w:lineRule="auto"/>
        <w:ind w:firstLine="720"/>
        <w:jc w:val="both"/>
        <w:rPr>
          <w:rFonts w:ascii="Times New Roman" w:hAnsi="Times New Roman" w:cs="Times New Roman"/>
          <w:color w:val="000000" w:themeColor="text1"/>
          <w:sz w:val="20"/>
          <w:szCs w:val="20"/>
        </w:rPr>
      </w:pPr>
      <w:r w:rsidRPr="002D1E93">
        <w:rPr>
          <w:rFonts w:ascii="Times New Roman" w:hAnsi="Times New Roman" w:cs="Times New Roman"/>
          <w:color w:val="000000" w:themeColor="text1"/>
          <w:sz w:val="20"/>
          <w:szCs w:val="20"/>
        </w:rPr>
        <w:t>Parliament and Independent Commissions 2020 Q2 Mid-Term</w:t>
      </w:r>
    </w:p>
    <w:p w14:paraId="4FA1F1EE" w14:textId="77777777" w:rsidR="00630D6B" w:rsidRPr="002D1E93" w:rsidRDefault="00630D6B" w:rsidP="00630D6B">
      <w:pPr>
        <w:spacing w:line="360" w:lineRule="auto"/>
        <w:ind w:firstLine="720"/>
        <w:jc w:val="both"/>
        <w:rPr>
          <w:rFonts w:ascii="Times New Roman" w:hAnsi="Times New Roman" w:cs="Times New Roman"/>
          <w:color w:val="000000" w:themeColor="text1"/>
          <w:sz w:val="20"/>
          <w:szCs w:val="20"/>
        </w:rPr>
      </w:pPr>
      <w:r w:rsidRPr="002D1E93">
        <w:rPr>
          <w:rFonts w:ascii="Times New Roman" w:hAnsi="Times New Roman" w:cs="Times New Roman"/>
          <w:color w:val="000000" w:themeColor="text1"/>
          <w:sz w:val="20"/>
          <w:szCs w:val="20"/>
        </w:rPr>
        <w:t>Rule of Law and Access to Justice 2020 Q1</w:t>
      </w:r>
    </w:p>
    <w:p w14:paraId="12CB2A67" w14:textId="77777777" w:rsidR="00630D6B" w:rsidRPr="002D1E93" w:rsidRDefault="00630D6B" w:rsidP="00630D6B">
      <w:pPr>
        <w:spacing w:line="360" w:lineRule="auto"/>
        <w:ind w:firstLine="720"/>
        <w:jc w:val="both"/>
        <w:rPr>
          <w:rFonts w:ascii="Times New Roman" w:hAnsi="Times New Roman" w:cs="Times New Roman"/>
          <w:color w:val="000000" w:themeColor="text1"/>
          <w:sz w:val="20"/>
          <w:szCs w:val="20"/>
        </w:rPr>
      </w:pPr>
      <w:r w:rsidRPr="002D1E93">
        <w:rPr>
          <w:rFonts w:ascii="Times New Roman" w:hAnsi="Times New Roman" w:cs="Times New Roman"/>
          <w:color w:val="000000" w:themeColor="text1"/>
          <w:sz w:val="20"/>
          <w:szCs w:val="20"/>
        </w:rPr>
        <w:t>Rule of Law and Access to Justice 2020 Q2</w:t>
      </w:r>
    </w:p>
    <w:p w14:paraId="17267D53" w14:textId="77777777" w:rsidR="00630D6B" w:rsidRPr="002D1E93" w:rsidRDefault="00630D6B" w:rsidP="00630D6B">
      <w:pPr>
        <w:spacing w:line="360" w:lineRule="auto"/>
        <w:jc w:val="both"/>
        <w:rPr>
          <w:rFonts w:ascii="Times New Roman" w:eastAsia="Times New Roman" w:hAnsi="Times New Roman" w:cs="Times New Roman"/>
          <w:color w:val="000000" w:themeColor="text1"/>
          <w:sz w:val="20"/>
          <w:szCs w:val="20"/>
        </w:rPr>
      </w:pPr>
      <w:r w:rsidRPr="002D1E93">
        <w:rPr>
          <w:rFonts w:ascii="Times New Roman" w:eastAsia="Times New Roman" w:hAnsi="Times New Roman" w:cs="Times New Roman"/>
          <w:color w:val="000000" w:themeColor="text1"/>
          <w:sz w:val="20"/>
          <w:szCs w:val="20"/>
        </w:rPr>
        <w:t xml:space="preserve">Referral Pathway for Survivors of SGBV: Model developed by the MWCA </w:t>
      </w:r>
    </w:p>
    <w:p w14:paraId="3AA28CB4" w14:textId="77777777" w:rsidR="00630D6B" w:rsidRPr="002D1E93" w:rsidRDefault="00630D6B" w:rsidP="00630D6B">
      <w:pPr>
        <w:spacing w:line="360" w:lineRule="auto"/>
        <w:jc w:val="both"/>
        <w:rPr>
          <w:rFonts w:ascii="Times New Roman" w:hAnsi="Times New Roman" w:cs="Times New Roman"/>
          <w:color w:val="000000" w:themeColor="text1"/>
          <w:sz w:val="20"/>
          <w:szCs w:val="20"/>
        </w:rPr>
      </w:pPr>
      <w:r w:rsidRPr="002D1E93">
        <w:rPr>
          <w:rFonts w:ascii="Times New Roman" w:hAnsi="Times New Roman" w:cs="Times New Roman"/>
          <w:color w:val="000000" w:themeColor="text1"/>
          <w:sz w:val="20"/>
          <w:szCs w:val="20"/>
        </w:rPr>
        <w:t>Report of the Secretary General’s Internal Review Panel on United Nations Action in Sri Lanka</w:t>
      </w:r>
    </w:p>
    <w:p w14:paraId="08FCAE09" w14:textId="77777777" w:rsidR="00630D6B" w:rsidRPr="002D1E93" w:rsidRDefault="00630D6B" w:rsidP="00630D6B">
      <w:pPr>
        <w:spacing w:line="360" w:lineRule="auto"/>
        <w:jc w:val="both"/>
        <w:rPr>
          <w:rFonts w:ascii="Times New Roman" w:hAnsi="Times New Roman" w:cs="Times New Roman"/>
          <w:color w:val="000000" w:themeColor="text1"/>
          <w:sz w:val="20"/>
          <w:szCs w:val="20"/>
          <w:lang w:val="en-GB"/>
        </w:rPr>
      </w:pPr>
      <w:r w:rsidRPr="002D1E93">
        <w:rPr>
          <w:rFonts w:ascii="Times New Roman" w:hAnsi="Times New Roman" w:cs="Times New Roman"/>
          <w:color w:val="000000" w:themeColor="text1"/>
          <w:sz w:val="20"/>
          <w:szCs w:val="20"/>
          <w:lang w:val="en-GB"/>
        </w:rPr>
        <w:t>Report on the Sri Lanka National Dialog on Responsible Business and Human Rights (October 2019)</w:t>
      </w:r>
    </w:p>
    <w:p w14:paraId="60AD3E2C" w14:textId="77777777" w:rsidR="00630D6B" w:rsidRPr="002D1E93" w:rsidRDefault="00630D6B" w:rsidP="00630D6B">
      <w:pPr>
        <w:spacing w:line="360" w:lineRule="auto"/>
        <w:jc w:val="both"/>
        <w:rPr>
          <w:rFonts w:ascii="Times New Roman" w:hAnsi="Times New Roman" w:cs="Times New Roman"/>
          <w:color w:val="000000" w:themeColor="text1"/>
          <w:sz w:val="20"/>
          <w:szCs w:val="20"/>
        </w:rPr>
      </w:pPr>
      <w:r w:rsidRPr="002D1E93">
        <w:rPr>
          <w:rFonts w:ascii="Times New Roman" w:hAnsi="Times New Roman" w:cs="Times New Roman"/>
          <w:color w:val="000000" w:themeColor="text1"/>
          <w:sz w:val="20"/>
          <w:szCs w:val="20"/>
        </w:rPr>
        <w:t>SGBV Referral Mechanisms and Follow up Meeting (Presentation)</w:t>
      </w:r>
    </w:p>
    <w:p w14:paraId="713712F2" w14:textId="77777777" w:rsidR="00630D6B" w:rsidRPr="002D1E93" w:rsidRDefault="00630D6B" w:rsidP="00630D6B">
      <w:pPr>
        <w:spacing w:line="360" w:lineRule="auto"/>
        <w:jc w:val="both"/>
        <w:rPr>
          <w:rFonts w:ascii="Times New Roman" w:hAnsi="Times New Roman" w:cs="Times New Roman"/>
          <w:color w:val="000000" w:themeColor="text1"/>
          <w:sz w:val="20"/>
          <w:szCs w:val="20"/>
        </w:rPr>
      </w:pPr>
      <w:r w:rsidRPr="002D1E93">
        <w:rPr>
          <w:rFonts w:ascii="Times New Roman" w:hAnsi="Times New Roman" w:cs="Times New Roman"/>
          <w:color w:val="000000" w:themeColor="text1"/>
          <w:sz w:val="20"/>
          <w:szCs w:val="20"/>
        </w:rPr>
        <w:t>Sri Lanka’s flagship Portfolio on SDG 16: Final Report (November 2012)</w:t>
      </w:r>
    </w:p>
    <w:p w14:paraId="68DEBC82" w14:textId="77777777" w:rsidR="00630D6B" w:rsidRPr="002D1E93" w:rsidRDefault="00630D6B" w:rsidP="00630D6B">
      <w:pPr>
        <w:spacing w:line="0" w:lineRule="auto"/>
        <w:jc w:val="both"/>
        <w:rPr>
          <w:rFonts w:ascii="Times New Roman" w:eastAsia="Times New Roman" w:hAnsi="Times New Roman" w:cs="Times New Roman"/>
          <w:color w:val="000000" w:themeColor="text1"/>
          <w:spacing w:val="-2"/>
          <w:sz w:val="20"/>
          <w:szCs w:val="20"/>
          <w:lang w:eastAsia="en-GB"/>
        </w:rPr>
      </w:pPr>
      <w:r w:rsidRPr="002D1E93">
        <w:rPr>
          <w:rFonts w:ascii="Times New Roman" w:eastAsia="Times New Roman" w:hAnsi="Times New Roman" w:cs="Times New Roman"/>
          <w:color w:val="000000" w:themeColor="text1"/>
          <w:spacing w:val="-2"/>
          <w:sz w:val="20"/>
          <w:szCs w:val="20"/>
          <w:lang w:eastAsia="en-GB"/>
        </w:rPr>
        <w:t>stablishment/</w:t>
      </w:r>
      <w:r w:rsidRPr="002D1E93">
        <w:rPr>
          <w:rFonts w:ascii="Times New Roman" w:eastAsia="Times New Roman" w:hAnsi="Times New Roman" w:cs="Times New Roman"/>
          <w:color w:val="000000" w:themeColor="text1"/>
          <w:sz w:val="20"/>
          <w:szCs w:val="20"/>
          <w:lang w:eastAsia="en-GB"/>
        </w:rPr>
        <w:t>v</w:t>
      </w:r>
      <w:r w:rsidRPr="002D1E93">
        <w:rPr>
          <w:rFonts w:ascii="Times New Roman" w:eastAsia="Times New Roman" w:hAnsi="Times New Roman" w:cs="Times New Roman"/>
          <w:color w:val="000000" w:themeColor="text1"/>
          <w:spacing w:val="-3"/>
          <w:sz w:val="20"/>
          <w:szCs w:val="20"/>
          <w:lang w:eastAsia="en-GB"/>
        </w:rPr>
        <w:t>erification</w:t>
      </w:r>
      <w:r w:rsidRPr="002D1E93">
        <w:rPr>
          <w:rFonts w:ascii="Times New Roman" w:eastAsia="Times New Roman" w:hAnsi="Times New Roman" w:cs="Times New Roman"/>
          <w:color w:val="000000" w:themeColor="text1"/>
          <w:sz w:val="20"/>
          <w:szCs w:val="20"/>
          <w:lang w:eastAsia="en-GB"/>
        </w:rPr>
        <w:t xml:space="preserve"> </w:t>
      </w:r>
      <w:r w:rsidRPr="002D1E93">
        <w:rPr>
          <w:rFonts w:ascii="Times New Roman" w:eastAsia="Times New Roman" w:hAnsi="Times New Roman" w:cs="Times New Roman"/>
          <w:color w:val="000000" w:themeColor="text1"/>
          <w:spacing w:val="-2"/>
          <w:sz w:val="20"/>
          <w:szCs w:val="20"/>
          <w:lang w:eastAsia="en-GB"/>
        </w:rPr>
        <w:t xml:space="preserve">of </w:t>
      </w:r>
      <w:r w:rsidRPr="002D1E93">
        <w:rPr>
          <w:rFonts w:ascii="Times New Roman" w:eastAsia="Times New Roman" w:hAnsi="Times New Roman" w:cs="Times New Roman"/>
          <w:color w:val="000000" w:themeColor="text1"/>
          <w:sz w:val="20"/>
          <w:szCs w:val="20"/>
          <w:lang w:eastAsia="en-GB"/>
        </w:rPr>
        <w:t>B</w:t>
      </w:r>
      <w:r w:rsidRPr="002D1E93">
        <w:rPr>
          <w:rFonts w:ascii="Times New Roman" w:eastAsia="Times New Roman" w:hAnsi="Times New Roman" w:cs="Times New Roman"/>
          <w:color w:val="000000" w:themeColor="text1"/>
          <w:spacing w:val="-2"/>
          <w:sz w:val="20"/>
          <w:szCs w:val="20"/>
          <w:lang w:eastAsia="en-GB"/>
        </w:rPr>
        <w:t xml:space="preserve">aselines </w:t>
      </w:r>
    </w:p>
    <w:p w14:paraId="43F2A4F6" w14:textId="77777777" w:rsidR="00630D6B" w:rsidRPr="002D1E93" w:rsidRDefault="00630D6B" w:rsidP="00630D6B">
      <w:pPr>
        <w:spacing w:line="360" w:lineRule="auto"/>
        <w:jc w:val="both"/>
        <w:rPr>
          <w:rFonts w:ascii="Times New Roman" w:hAnsi="Times New Roman" w:cs="Times New Roman"/>
          <w:color w:val="000000" w:themeColor="text1"/>
          <w:sz w:val="20"/>
          <w:szCs w:val="20"/>
        </w:rPr>
      </w:pPr>
      <w:r w:rsidRPr="002D1E93">
        <w:rPr>
          <w:rFonts w:ascii="Times New Roman" w:hAnsi="Times New Roman" w:cs="Times New Roman"/>
          <w:color w:val="000000" w:themeColor="text1"/>
          <w:sz w:val="20"/>
          <w:szCs w:val="20"/>
        </w:rPr>
        <w:t>Standing Orders of the Parliament of the Democratic Socialist Republic of Sri Lanka (April 2018)</w:t>
      </w:r>
    </w:p>
    <w:p w14:paraId="4EAF541F" w14:textId="77777777" w:rsidR="00630D6B" w:rsidRPr="002D1E93" w:rsidRDefault="00630D6B" w:rsidP="00630D6B">
      <w:pPr>
        <w:spacing w:line="360" w:lineRule="auto"/>
        <w:jc w:val="both"/>
        <w:rPr>
          <w:rFonts w:ascii="Times New Roman" w:hAnsi="Times New Roman" w:cs="Times New Roman"/>
          <w:color w:val="000000" w:themeColor="text1"/>
          <w:sz w:val="20"/>
          <w:szCs w:val="20"/>
        </w:rPr>
      </w:pPr>
      <w:r w:rsidRPr="002D1E93">
        <w:rPr>
          <w:rFonts w:ascii="Times New Roman" w:hAnsi="Times New Roman" w:cs="Times New Roman"/>
          <w:color w:val="000000" w:themeColor="text1"/>
          <w:sz w:val="20"/>
          <w:szCs w:val="20"/>
        </w:rPr>
        <w:t>Status of Sustainable Development Goal Indicators of Sri Lanka (Department of Census and Statistics and Ministry of national Policies and Economics) (December 2017)</w:t>
      </w:r>
    </w:p>
    <w:p w14:paraId="373B1289" w14:textId="77777777" w:rsidR="00630D6B" w:rsidRPr="002D1E93" w:rsidRDefault="00630D6B" w:rsidP="00630D6B">
      <w:pPr>
        <w:spacing w:line="360" w:lineRule="auto"/>
        <w:jc w:val="both"/>
        <w:rPr>
          <w:rFonts w:ascii="Times New Roman" w:hAnsi="Times New Roman" w:cs="Times New Roman"/>
          <w:color w:val="000000" w:themeColor="text1"/>
          <w:sz w:val="20"/>
          <w:szCs w:val="20"/>
          <w:lang w:val="en-GB"/>
        </w:rPr>
      </w:pPr>
      <w:r w:rsidRPr="002D1E93">
        <w:rPr>
          <w:rFonts w:ascii="Times New Roman" w:hAnsi="Times New Roman" w:cs="Times New Roman"/>
          <w:color w:val="000000" w:themeColor="text1"/>
          <w:sz w:val="20"/>
          <w:szCs w:val="20"/>
          <w:lang w:val="en-GB"/>
        </w:rPr>
        <w:t>Summary of Changes under the Proposed 20</w:t>
      </w:r>
      <w:r w:rsidRPr="002D1E93">
        <w:rPr>
          <w:rFonts w:ascii="Times New Roman" w:hAnsi="Times New Roman" w:cs="Times New Roman"/>
          <w:color w:val="000000" w:themeColor="text1"/>
          <w:sz w:val="20"/>
          <w:szCs w:val="20"/>
          <w:vertAlign w:val="superscript"/>
          <w:lang w:val="en-GB"/>
        </w:rPr>
        <w:t>th</w:t>
      </w:r>
      <w:r w:rsidRPr="002D1E93">
        <w:rPr>
          <w:rFonts w:ascii="Times New Roman" w:hAnsi="Times New Roman" w:cs="Times New Roman"/>
          <w:color w:val="000000" w:themeColor="text1"/>
          <w:sz w:val="20"/>
          <w:szCs w:val="20"/>
          <w:lang w:val="en-GB"/>
        </w:rPr>
        <w:t xml:space="preserve"> Amendment, Centre for Policy Alternatives 2020</w:t>
      </w:r>
    </w:p>
    <w:p w14:paraId="7042F379" w14:textId="77777777" w:rsidR="00630D6B" w:rsidRPr="002D1E93" w:rsidRDefault="00630D6B" w:rsidP="00630D6B">
      <w:pPr>
        <w:spacing w:line="360" w:lineRule="auto"/>
        <w:jc w:val="both"/>
        <w:rPr>
          <w:rFonts w:ascii="Times New Roman" w:hAnsi="Times New Roman" w:cs="Times New Roman"/>
          <w:color w:val="000000" w:themeColor="text1"/>
          <w:sz w:val="20"/>
          <w:szCs w:val="20"/>
          <w:lang w:val="en-GB"/>
        </w:rPr>
      </w:pPr>
      <w:r w:rsidRPr="002D1E93">
        <w:rPr>
          <w:rFonts w:ascii="Times New Roman" w:hAnsi="Times New Roman" w:cs="Times New Roman"/>
          <w:color w:val="000000" w:themeColor="text1"/>
          <w:sz w:val="20"/>
          <w:szCs w:val="20"/>
          <w:lang w:val="en-GB"/>
        </w:rPr>
        <w:t>Supreme Court Determination of the Draft Twentieth Amendment to the Constitution of Sri Lanka 2020</w:t>
      </w:r>
    </w:p>
    <w:p w14:paraId="538363C3" w14:textId="77777777" w:rsidR="00630D6B" w:rsidRPr="002D1E93" w:rsidRDefault="00630D6B" w:rsidP="00630D6B">
      <w:pPr>
        <w:spacing w:line="360" w:lineRule="auto"/>
        <w:jc w:val="both"/>
        <w:rPr>
          <w:rFonts w:ascii="Times New Roman" w:hAnsi="Times New Roman" w:cs="Times New Roman"/>
          <w:color w:val="000000" w:themeColor="text1"/>
          <w:sz w:val="20"/>
          <w:szCs w:val="20"/>
          <w:lang w:val="en-GB"/>
        </w:rPr>
      </w:pPr>
      <w:r w:rsidRPr="002D1E93">
        <w:rPr>
          <w:rFonts w:ascii="Times New Roman" w:hAnsi="Times New Roman" w:cs="Times New Roman"/>
          <w:color w:val="000000" w:themeColor="text1"/>
          <w:sz w:val="20"/>
          <w:szCs w:val="20"/>
          <w:lang w:val="en-GB"/>
        </w:rPr>
        <w:t>Terminal Evaluation: Catalytic Support to Peace building in Sri Lanka (Outcome 4 - UN catalytic engagement with resettlement and durable solutions has supported wider political transition, Peacebuilding and reconciliation efforts in Sri Lanka) (October 2019)</w:t>
      </w:r>
    </w:p>
    <w:p w14:paraId="729724F3" w14:textId="77777777" w:rsidR="00630D6B" w:rsidRPr="002D1E93" w:rsidRDefault="00630D6B" w:rsidP="00630D6B">
      <w:pPr>
        <w:spacing w:line="0" w:lineRule="auto"/>
        <w:jc w:val="both"/>
        <w:rPr>
          <w:rFonts w:ascii="Times New Roman" w:eastAsia="Times New Roman" w:hAnsi="Times New Roman" w:cs="Times New Roman"/>
          <w:color w:val="000000" w:themeColor="text1"/>
          <w:sz w:val="20"/>
          <w:szCs w:val="20"/>
          <w:lang w:eastAsia="en-GB"/>
        </w:rPr>
      </w:pPr>
      <w:r w:rsidRPr="002D1E93">
        <w:rPr>
          <w:rFonts w:ascii="Times New Roman" w:eastAsia="Times New Roman" w:hAnsi="Times New Roman" w:cs="Times New Roman"/>
          <w:color w:val="000000" w:themeColor="text1"/>
          <w:sz w:val="20"/>
          <w:szCs w:val="20"/>
          <w:lang w:eastAsia="en-GB"/>
        </w:rPr>
        <w:t>th</w:t>
      </w:r>
    </w:p>
    <w:p w14:paraId="2B717ACF" w14:textId="77777777" w:rsidR="00630D6B" w:rsidRPr="002D1E93" w:rsidRDefault="00630D6B" w:rsidP="00630D6B">
      <w:pPr>
        <w:spacing w:line="360" w:lineRule="auto"/>
        <w:jc w:val="both"/>
        <w:rPr>
          <w:rFonts w:ascii="Times New Roman" w:hAnsi="Times New Roman" w:cs="Times New Roman"/>
          <w:color w:val="000000" w:themeColor="text1"/>
          <w:sz w:val="20"/>
          <w:szCs w:val="20"/>
        </w:rPr>
      </w:pPr>
      <w:r w:rsidRPr="002D1E93">
        <w:rPr>
          <w:rFonts w:ascii="Times New Roman" w:hAnsi="Times New Roman" w:cs="Times New Roman"/>
          <w:color w:val="000000" w:themeColor="text1"/>
          <w:sz w:val="20"/>
          <w:szCs w:val="20"/>
        </w:rPr>
        <w:lastRenderedPageBreak/>
        <w:t>The 2030 Agenda for Sustainable Development</w:t>
      </w:r>
    </w:p>
    <w:p w14:paraId="3B812CD8" w14:textId="77777777" w:rsidR="00630D6B" w:rsidRPr="002D1E93" w:rsidRDefault="00630D6B" w:rsidP="00630D6B">
      <w:pPr>
        <w:spacing w:line="360" w:lineRule="auto"/>
        <w:jc w:val="both"/>
        <w:rPr>
          <w:rFonts w:ascii="Times New Roman" w:hAnsi="Times New Roman" w:cs="Times New Roman"/>
          <w:color w:val="000000" w:themeColor="text1"/>
          <w:sz w:val="20"/>
          <w:szCs w:val="20"/>
        </w:rPr>
      </w:pPr>
      <w:r w:rsidRPr="002D1E93">
        <w:rPr>
          <w:rFonts w:ascii="Times New Roman" w:hAnsi="Times New Roman" w:cs="Times New Roman"/>
          <w:color w:val="000000" w:themeColor="text1"/>
          <w:sz w:val="20"/>
          <w:szCs w:val="20"/>
        </w:rPr>
        <w:t xml:space="preserve">The Consultative Assessment on Strengthening the Core Functions of Parliament and the formulation of a draft Parliamentary Development Action Plan (2020-2022) </w:t>
      </w:r>
    </w:p>
    <w:p w14:paraId="65A2258C" w14:textId="77777777" w:rsidR="00630D6B" w:rsidRPr="002D1E93" w:rsidRDefault="00630D6B" w:rsidP="00630D6B">
      <w:pPr>
        <w:spacing w:line="360" w:lineRule="auto"/>
        <w:jc w:val="both"/>
        <w:rPr>
          <w:rFonts w:ascii="Times New Roman" w:hAnsi="Times New Roman" w:cs="Times New Roman"/>
          <w:color w:val="000000" w:themeColor="text1"/>
          <w:sz w:val="20"/>
          <w:szCs w:val="20"/>
        </w:rPr>
      </w:pPr>
      <w:r w:rsidRPr="002D1E93">
        <w:rPr>
          <w:rFonts w:ascii="Times New Roman" w:hAnsi="Times New Roman" w:cs="Times New Roman"/>
          <w:color w:val="000000" w:themeColor="text1"/>
          <w:sz w:val="20"/>
          <w:szCs w:val="20"/>
        </w:rPr>
        <w:t>The Twentieth Amendment Bill to amend the Constitution of Sri Lanka (August 2020)</w:t>
      </w:r>
    </w:p>
    <w:p w14:paraId="188745DA" w14:textId="77777777" w:rsidR="00630D6B" w:rsidRPr="002D1E93" w:rsidRDefault="00630D6B" w:rsidP="00630D6B">
      <w:pPr>
        <w:spacing w:line="360" w:lineRule="auto"/>
        <w:jc w:val="both"/>
        <w:rPr>
          <w:rFonts w:ascii="Times New Roman" w:hAnsi="Times New Roman" w:cs="Times New Roman"/>
          <w:color w:val="000000" w:themeColor="text1"/>
          <w:sz w:val="20"/>
          <w:szCs w:val="20"/>
        </w:rPr>
      </w:pPr>
      <w:r w:rsidRPr="002D1E93">
        <w:rPr>
          <w:rFonts w:ascii="Times New Roman" w:hAnsi="Times New Roman" w:cs="Times New Roman"/>
          <w:color w:val="000000" w:themeColor="text1"/>
          <w:sz w:val="20"/>
          <w:szCs w:val="20"/>
        </w:rPr>
        <w:t>Training needs Assessment of the National Police Commission (SLIDA) (December 2018)</w:t>
      </w:r>
    </w:p>
    <w:p w14:paraId="188F7571" w14:textId="77777777" w:rsidR="00630D6B" w:rsidRPr="002D1E93" w:rsidRDefault="00630D6B" w:rsidP="00630D6B">
      <w:pPr>
        <w:spacing w:line="360" w:lineRule="auto"/>
        <w:jc w:val="both"/>
        <w:rPr>
          <w:rFonts w:ascii="Times New Roman" w:hAnsi="Times New Roman" w:cs="Times New Roman"/>
          <w:color w:val="000000" w:themeColor="text1"/>
          <w:sz w:val="20"/>
          <w:szCs w:val="20"/>
        </w:rPr>
      </w:pPr>
      <w:r w:rsidRPr="002D1E93">
        <w:rPr>
          <w:rFonts w:ascii="Times New Roman" w:hAnsi="Times New Roman" w:cs="Times New Roman"/>
          <w:color w:val="000000" w:themeColor="text1"/>
          <w:sz w:val="20"/>
          <w:szCs w:val="20"/>
        </w:rPr>
        <w:t xml:space="preserve">Twentieth Amendment to the Constitution </w:t>
      </w:r>
    </w:p>
    <w:p w14:paraId="52994133" w14:textId="77777777" w:rsidR="00630D6B" w:rsidRPr="002D1E93" w:rsidRDefault="00630D6B" w:rsidP="00630D6B">
      <w:pPr>
        <w:spacing w:line="360" w:lineRule="auto"/>
        <w:jc w:val="both"/>
        <w:rPr>
          <w:rFonts w:ascii="Times New Roman" w:hAnsi="Times New Roman" w:cs="Times New Roman"/>
          <w:color w:val="000000" w:themeColor="text1"/>
          <w:sz w:val="20"/>
          <w:szCs w:val="20"/>
        </w:rPr>
      </w:pPr>
      <w:r w:rsidRPr="002D1E93">
        <w:rPr>
          <w:rFonts w:ascii="Times New Roman" w:hAnsi="Times New Roman" w:cs="Times New Roman"/>
          <w:color w:val="000000" w:themeColor="text1"/>
          <w:sz w:val="20"/>
          <w:szCs w:val="20"/>
        </w:rPr>
        <w:t>UN Advisory Paper: Immediate Socio-Economic Response to Covid-19 in Sri Lanka (UN Sri Lanka) (June 2020)</w:t>
      </w:r>
    </w:p>
    <w:p w14:paraId="5C671080" w14:textId="77777777" w:rsidR="00630D6B" w:rsidRPr="002D1E93" w:rsidRDefault="00630D6B" w:rsidP="00630D6B">
      <w:pPr>
        <w:spacing w:line="360" w:lineRule="auto"/>
        <w:jc w:val="both"/>
        <w:rPr>
          <w:rFonts w:ascii="Times New Roman" w:hAnsi="Times New Roman" w:cs="Times New Roman"/>
          <w:bCs/>
          <w:color w:val="000000" w:themeColor="text1"/>
          <w:sz w:val="20"/>
          <w:szCs w:val="20"/>
          <w:lang w:val="en-GB"/>
        </w:rPr>
      </w:pPr>
      <w:r w:rsidRPr="002D1E93">
        <w:rPr>
          <w:rFonts w:ascii="Times New Roman" w:hAnsi="Times New Roman" w:cs="Times New Roman"/>
          <w:bCs/>
          <w:color w:val="000000" w:themeColor="text1"/>
          <w:sz w:val="20"/>
          <w:szCs w:val="20"/>
          <w:lang w:val="en-GB"/>
        </w:rPr>
        <w:t>UN Draft country programme document for Sri Lanka (Executive Board of the UNDP, UNPF and the UNOPS) (2018-2022)</w:t>
      </w:r>
    </w:p>
    <w:p w14:paraId="78F0E992" w14:textId="77777777" w:rsidR="00630D6B" w:rsidRPr="002D1E93" w:rsidRDefault="00630D6B" w:rsidP="00630D6B">
      <w:pPr>
        <w:spacing w:line="360" w:lineRule="auto"/>
        <w:jc w:val="both"/>
        <w:rPr>
          <w:rFonts w:ascii="Times New Roman" w:hAnsi="Times New Roman" w:cs="Times New Roman"/>
          <w:color w:val="000000" w:themeColor="text1"/>
          <w:sz w:val="20"/>
          <w:szCs w:val="20"/>
        </w:rPr>
      </w:pPr>
      <w:r w:rsidRPr="002D1E93">
        <w:rPr>
          <w:rFonts w:ascii="Times New Roman" w:hAnsi="Times New Roman" w:cs="Times New Roman"/>
          <w:color w:val="000000" w:themeColor="text1"/>
          <w:sz w:val="20"/>
          <w:szCs w:val="20"/>
        </w:rPr>
        <w:t>UN General Assembly Resolution 30/1 adopted on 1</w:t>
      </w:r>
      <w:r w:rsidRPr="002D1E93">
        <w:rPr>
          <w:rFonts w:ascii="Times New Roman" w:hAnsi="Times New Roman" w:cs="Times New Roman"/>
          <w:color w:val="000000" w:themeColor="text1"/>
          <w:sz w:val="20"/>
          <w:szCs w:val="20"/>
          <w:vertAlign w:val="superscript"/>
        </w:rPr>
        <w:t>st</w:t>
      </w:r>
      <w:r w:rsidRPr="002D1E93">
        <w:rPr>
          <w:rFonts w:ascii="Times New Roman" w:hAnsi="Times New Roman" w:cs="Times New Roman"/>
          <w:color w:val="000000" w:themeColor="text1"/>
          <w:sz w:val="20"/>
          <w:szCs w:val="20"/>
        </w:rPr>
        <w:t xml:space="preserve"> October 2015</w:t>
      </w:r>
    </w:p>
    <w:p w14:paraId="4D3D7588" w14:textId="77777777" w:rsidR="00630D6B" w:rsidRPr="002D1E93" w:rsidRDefault="00630D6B" w:rsidP="00630D6B">
      <w:pPr>
        <w:spacing w:line="360" w:lineRule="auto"/>
        <w:jc w:val="both"/>
        <w:rPr>
          <w:rFonts w:ascii="Times New Roman" w:hAnsi="Times New Roman" w:cs="Times New Roman"/>
          <w:color w:val="000000" w:themeColor="text1"/>
          <w:sz w:val="20"/>
          <w:szCs w:val="20"/>
        </w:rPr>
      </w:pPr>
      <w:r w:rsidRPr="002D1E93">
        <w:rPr>
          <w:rFonts w:ascii="Times New Roman" w:hAnsi="Times New Roman" w:cs="Times New Roman"/>
          <w:color w:val="000000" w:themeColor="text1"/>
          <w:sz w:val="20"/>
          <w:szCs w:val="20"/>
        </w:rPr>
        <w:t>UNDP Country Programme Document 2013-2017</w:t>
      </w:r>
    </w:p>
    <w:p w14:paraId="49D2C709" w14:textId="77777777" w:rsidR="00630D6B" w:rsidRPr="002D1E93" w:rsidRDefault="00630D6B" w:rsidP="00630D6B">
      <w:pPr>
        <w:spacing w:line="360" w:lineRule="auto"/>
        <w:jc w:val="both"/>
        <w:rPr>
          <w:rFonts w:ascii="Times New Roman" w:hAnsi="Times New Roman" w:cs="Times New Roman"/>
          <w:color w:val="000000" w:themeColor="text1"/>
          <w:sz w:val="20"/>
          <w:szCs w:val="20"/>
        </w:rPr>
      </w:pPr>
      <w:r w:rsidRPr="002D1E93">
        <w:rPr>
          <w:rFonts w:ascii="Times New Roman" w:hAnsi="Times New Roman" w:cs="Times New Roman"/>
          <w:color w:val="000000" w:themeColor="text1"/>
          <w:sz w:val="20"/>
          <w:szCs w:val="20"/>
        </w:rPr>
        <w:t>UNDP Evaluation Guidelines (January 2019)</w:t>
      </w:r>
    </w:p>
    <w:p w14:paraId="362A7BF0" w14:textId="77777777" w:rsidR="00630D6B" w:rsidRPr="002D1E93" w:rsidRDefault="00630D6B" w:rsidP="00630D6B">
      <w:pPr>
        <w:spacing w:line="360" w:lineRule="auto"/>
        <w:jc w:val="both"/>
        <w:rPr>
          <w:rFonts w:ascii="Times New Roman" w:hAnsi="Times New Roman" w:cs="Times New Roman"/>
          <w:color w:val="000000" w:themeColor="text1"/>
          <w:sz w:val="20"/>
          <w:szCs w:val="20"/>
        </w:rPr>
      </w:pPr>
      <w:r w:rsidRPr="002D1E93">
        <w:rPr>
          <w:rFonts w:ascii="Times New Roman" w:hAnsi="Times New Roman" w:cs="Times New Roman"/>
          <w:color w:val="000000" w:themeColor="text1"/>
          <w:sz w:val="20"/>
          <w:szCs w:val="20"/>
        </w:rPr>
        <w:t>UNDP Project Document on Access to Justice (Phase II) Sri Lanka</w:t>
      </w:r>
    </w:p>
    <w:p w14:paraId="16E16D99" w14:textId="77777777" w:rsidR="00630D6B" w:rsidRPr="002D1E93" w:rsidRDefault="00630D6B" w:rsidP="00630D6B">
      <w:pPr>
        <w:spacing w:line="360" w:lineRule="auto"/>
        <w:jc w:val="both"/>
        <w:rPr>
          <w:rFonts w:ascii="Times New Roman" w:hAnsi="Times New Roman" w:cs="Times New Roman"/>
          <w:color w:val="000000" w:themeColor="text1"/>
          <w:sz w:val="20"/>
          <w:szCs w:val="20"/>
        </w:rPr>
      </w:pPr>
      <w:bookmarkStart w:id="67" w:name="_Hlk59055493"/>
      <w:r w:rsidRPr="002D1E93">
        <w:rPr>
          <w:rFonts w:ascii="Times New Roman" w:hAnsi="Times New Roman" w:cs="Times New Roman"/>
          <w:color w:val="000000" w:themeColor="text1"/>
          <w:sz w:val="20"/>
          <w:szCs w:val="20"/>
        </w:rPr>
        <w:t>UNDP Sri Lanka Flagship Portfolio on SDG 16 on Peace, Justice and Strong Institutions: Progress Report (December 2018-October 2019)</w:t>
      </w:r>
    </w:p>
    <w:bookmarkEnd w:id="67"/>
    <w:p w14:paraId="61363E07" w14:textId="77777777" w:rsidR="00630D6B" w:rsidRPr="002D1E93" w:rsidRDefault="00630D6B" w:rsidP="00630D6B">
      <w:pPr>
        <w:spacing w:line="360" w:lineRule="auto"/>
        <w:jc w:val="both"/>
        <w:rPr>
          <w:rFonts w:ascii="Times New Roman" w:hAnsi="Times New Roman" w:cs="Times New Roman"/>
          <w:color w:val="000000" w:themeColor="text1"/>
          <w:sz w:val="20"/>
          <w:szCs w:val="20"/>
        </w:rPr>
      </w:pPr>
      <w:r w:rsidRPr="002D1E93">
        <w:rPr>
          <w:rFonts w:ascii="Times New Roman" w:hAnsi="Times New Roman" w:cs="Times New Roman"/>
          <w:color w:val="000000" w:themeColor="text1"/>
          <w:sz w:val="20"/>
          <w:szCs w:val="20"/>
        </w:rPr>
        <w:t>UNDP Sri Lanka:</w:t>
      </w:r>
    </w:p>
    <w:p w14:paraId="78F67C43" w14:textId="77777777" w:rsidR="00630D6B" w:rsidRPr="002D1E93" w:rsidRDefault="00630D6B" w:rsidP="00630D6B">
      <w:pPr>
        <w:spacing w:line="360" w:lineRule="auto"/>
        <w:ind w:left="720"/>
        <w:jc w:val="both"/>
        <w:rPr>
          <w:rFonts w:ascii="Times New Roman" w:eastAsia="Times New Roman" w:hAnsi="Times New Roman" w:cs="Times New Roman"/>
          <w:color w:val="000000" w:themeColor="text1"/>
          <w:sz w:val="20"/>
          <w:szCs w:val="20"/>
        </w:rPr>
      </w:pPr>
      <w:r w:rsidRPr="002D1E93">
        <w:rPr>
          <w:rFonts w:ascii="Times New Roman" w:eastAsia="Times New Roman" w:hAnsi="Times New Roman" w:cs="Times New Roman"/>
          <w:color w:val="000000" w:themeColor="text1"/>
          <w:spacing w:val="-5"/>
          <w:sz w:val="20"/>
          <w:szCs w:val="20"/>
        </w:rPr>
        <w:t xml:space="preserve">Action Plan to Prevent Sexual Harassment in the Workplace and </w:t>
      </w:r>
      <w:r w:rsidRPr="002D1E93">
        <w:rPr>
          <w:rFonts w:ascii="Times New Roman" w:eastAsia="Times New Roman" w:hAnsi="Times New Roman" w:cs="Times New Roman"/>
          <w:color w:val="000000" w:themeColor="text1"/>
          <w:sz w:val="20"/>
          <w:szCs w:val="20"/>
        </w:rPr>
        <w:t>Sexual Exploitation and Abuse 2020</w:t>
      </w:r>
    </w:p>
    <w:p w14:paraId="230A21DC" w14:textId="77777777" w:rsidR="00630D6B" w:rsidRPr="002D1E93" w:rsidRDefault="00630D6B" w:rsidP="00630D6B">
      <w:pPr>
        <w:spacing w:line="360" w:lineRule="auto"/>
        <w:jc w:val="both"/>
        <w:rPr>
          <w:rFonts w:ascii="Times New Roman" w:hAnsi="Times New Roman" w:cs="Times New Roman"/>
          <w:color w:val="000000" w:themeColor="text1"/>
          <w:sz w:val="20"/>
          <w:szCs w:val="20"/>
        </w:rPr>
      </w:pPr>
      <w:r w:rsidRPr="002D1E93">
        <w:rPr>
          <w:rFonts w:ascii="Times New Roman" w:hAnsi="Times New Roman" w:cs="Times New Roman"/>
          <w:color w:val="000000" w:themeColor="text1"/>
          <w:sz w:val="20"/>
          <w:szCs w:val="20"/>
        </w:rPr>
        <w:t xml:space="preserve">             Gender Equality Action Plan 2020</w:t>
      </w:r>
    </w:p>
    <w:p w14:paraId="56C1B0CA" w14:textId="77777777" w:rsidR="00630D6B" w:rsidRPr="002D1E93" w:rsidRDefault="00630D6B" w:rsidP="00630D6B">
      <w:pPr>
        <w:spacing w:line="360" w:lineRule="auto"/>
        <w:ind w:firstLine="720"/>
        <w:jc w:val="both"/>
        <w:rPr>
          <w:rFonts w:ascii="Times New Roman" w:hAnsi="Times New Roman" w:cs="Times New Roman"/>
          <w:color w:val="000000" w:themeColor="text1"/>
          <w:sz w:val="20"/>
          <w:szCs w:val="20"/>
        </w:rPr>
      </w:pPr>
      <w:r w:rsidRPr="002D1E93">
        <w:rPr>
          <w:rFonts w:ascii="Times New Roman" w:hAnsi="Times New Roman" w:cs="Times New Roman"/>
          <w:color w:val="000000" w:themeColor="text1"/>
          <w:sz w:val="20"/>
          <w:szCs w:val="20"/>
        </w:rPr>
        <w:t xml:space="preserve"> Gender Equality Seal 2018-2019: Country Office Action Plan</w:t>
      </w:r>
    </w:p>
    <w:p w14:paraId="5FA8143E" w14:textId="77777777" w:rsidR="00630D6B" w:rsidRPr="002D1E93" w:rsidRDefault="00630D6B" w:rsidP="00630D6B">
      <w:pPr>
        <w:spacing w:line="360" w:lineRule="auto"/>
        <w:ind w:left="720"/>
        <w:jc w:val="both"/>
        <w:rPr>
          <w:rFonts w:ascii="Times New Roman" w:eastAsia="Times New Roman" w:hAnsi="Times New Roman" w:cs="Times New Roman"/>
          <w:color w:val="000000" w:themeColor="text1"/>
          <w:sz w:val="20"/>
          <w:szCs w:val="20"/>
        </w:rPr>
      </w:pPr>
      <w:r w:rsidRPr="002D1E93">
        <w:rPr>
          <w:rFonts w:ascii="Times New Roman" w:eastAsia="Times New Roman" w:hAnsi="Times New Roman" w:cs="Times New Roman"/>
          <w:color w:val="000000" w:themeColor="text1"/>
          <w:sz w:val="20"/>
          <w:szCs w:val="20"/>
        </w:rPr>
        <w:t>Responding to critical needs of survivors of SGBV and strengthening shelters for women and girl victims of SGBV - COVID-19 response and recovery</w:t>
      </w:r>
    </w:p>
    <w:p w14:paraId="4E1D66B7" w14:textId="77777777" w:rsidR="00630D6B" w:rsidRPr="002D1E93" w:rsidRDefault="00630D6B" w:rsidP="00630D6B">
      <w:pPr>
        <w:spacing w:line="360" w:lineRule="auto"/>
        <w:jc w:val="both"/>
        <w:rPr>
          <w:rFonts w:ascii="Times New Roman" w:hAnsi="Times New Roman" w:cs="Times New Roman"/>
          <w:bCs/>
          <w:color w:val="000000" w:themeColor="text1"/>
          <w:sz w:val="20"/>
          <w:szCs w:val="20"/>
          <w:lang w:val="en-GB"/>
        </w:rPr>
      </w:pPr>
      <w:r w:rsidRPr="002D1E93">
        <w:rPr>
          <w:rFonts w:ascii="Times New Roman" w:hAnsi="Times New Roman" w:cs="Times New Roman"/>
          <w:bCs/>
          <w:color w:val="000000" w:themeColor="text1"/>
          <w:sz w:val="20"/>
          <w:szCs w:val="20"/>
          <w:lang w:val="en-GB"/>
        </w:rPr>
        <w:t>UNDP Sri Lanka, Annual Work Plans (2019 and 2020)</w:t>
      </w:r>
    </w:p>
    <w:p w14:paraId="58FA4C4D" w14:textId="77777777" w:rsidR="00630D6B" w:rsidRPr="002D1E93" w:rsidRDefault="00630D6B" w:rsidP="00630D6B">
      <w:pPr>
        <w:spacing w:line="360" w:lineRule="auto"/>
        <w:jc w:val="both"/>
        <w:rPr>
          <w:rFonts w:ascii="Times New Roman" w:hAnsi="Times New Roman" w:cs="Times New Roman"/>
          <w:color w:val="000000" w:themeColor="text1"/>
          <w:sz w:val="20"/>
          <w:szCs w:val="20"/>
        </w:rPr>
      </w:pPr>
      <w:r w:rsidRPr="002D1E93">
        <w:rPr>
          <w:rFonts w:ascii="Times New Roman" w:hAnsi="Times New Roman" w:cs="Times New Roman"/>
          <w:color w:val="000000" w:themeColor="text1"/>
          <w:sz w:val="20"/>
          <w:szCs w:val="20"/>
        </w:rPr>
        <w:t xml:space="preserve">UNDP Sri Lanka Flagship Portfolio on SDG 16 on Peace, Justice and Strong Institutions: </w:t>
      </w:r>
    </w:p>
    <w:p w14:paraId="154E0D4D" w14:textId="77777777" w:rsidR="00630D6B" w:rsidRPr="002D1E93" w:rsidRDefault="00630D6B" w:rsidP="00630D6B">
      <w:pPr>
        <w:spacing w:line="360" w:lineRule="auto"/>
        <w:ind w:firstLine="720"/>
        <w:jc w:val="both"/>
        <w:rPr>
          <w:rFonts w:ascii="Times New Roman" w:hAnsi="Times New Roman" w:cs="Times New Roman"/>
          <w:color w:val="000000" w:themeColor="text1"/>
          <w:sz w:val="20"/>
          <w:szCs w:val="20"/>
        </w:rPr>
      </w:pPr>
      <w:r w:rsidRPr="002D1E93">
        <w:rPr>
          <w:rFonts w:ascii="Times New Roman" w:hAnsi="Times New Roman" w:cs="Times New Roman"/>
          <w:color w:val="000000" w:themeColor="text1"/>
          <w:sz w:val="20"/>
          <w:szCs w:val="20"/>
        </w:rPr>
        <w:t>Indicator Tracking Sheet: Pillar 1 and 2</w:t>
      </w:r>
    </w:p>
    <w:p w14:paraId="6E6108F4" w14:textId="77777777" w:rsidR="00630D6B" w:rsidRPr="002D1E93" w:rsidRDefault="00630D6B" w:rsidP="00630D6B">
      <w:pPr>
        <w:spacing w:line="360" w:lineRule="auto"/>
        <w:ind w:firstLine="720"/>
        <w:jc w:val="both"/>
        <w:rPr>
          <w:rFonts w:ascii="Times New Roman" w:hAnsi="Times New Roman" w:cs="Times New Roman"/>
          <w:color w:val="000000" w:themeColor="text1"/>
          <w:sz w:val="20"/>
          <w:szCs w:val="20"/>
        </w:rPr>
      </w:pPr>
      <w:r w:rsidRPr="002D1E93">
        <w:rPr>
          <w:rFonts w:ascii="Times New Roman" w:hAnsi="Times New Roman" w:cs="Times New Roman"/>
          <w:color w:val="000000" w:themeColor="text1"/>
          <w:sz w:val="20"/>
          <w:szCs w:val="20"/>
        </w:rPr>
        <w:t>Minutes of the Project Board Meeting dated 17th July 2020</w:t>
      </w:r>
    </w:p>
    <w:p w14:paraId="1BA16B82" w14:textId="77777777" w:rsidR="00630D6B" w:rsidRPr="002D1E93" w:rsidRDefault="00630D6B" w:rsidP="00630D6B">
      <w:pPr>
        <w:spacing w:line="360" w:lineRule="auto"/>
        <w:ind w:firstLine="720"/>
        <w:jc w:val="both"/>
        <w:rPr>
          <w:rFonts w:ascii="Times New Roman" w:hAnsi="Times New Roman" w:cs="Times New Roman"/>
          <w:color w:val="000000" w:themeColor="text1"/>
          <w:sz w:val="20"/>
          <w:szCs w:val="20"/>
        </w:rPr>
      </w:pPr>
      <w:r w:rsidRPr="002D1E93">
        <w:rPr>
          <w:rFonts w:ascii="Times New Roman" w:hAnsi="Times New Roman" w:cs="Times New Roman"/>
          <w:color w:val="000000" w:themeColor="text1"/>
          <w:sz w:val="20"/>
          <w:szCs w:val="20"/>
        </w:rPr>
        <w:t>Portfolio Document</w:t>
      </w:r>
    </w:p>
    <w:p w14:paraId="1AA61F3D" w14:textId="77777777" w:rsidR="00630D6B" w:rsidRPr="002D1E93" w:rsidRDefault="00630D6B" w:rsidP="00630D6B">
      <w:pPr>
        <w:spacing w:line="360" w:lineRule="auto"/>
        <w:ind w:firstLine="720"/>
        <w:jc w:val="both"/>
        <w:rPr>
          <w:rFonts w:ascii="Times New Roman" w:hAnsi="Times New Roman" w:cs="Times New Roman"/>
          <w:color w:val="000000" w:themeColor="text1"/>
          <w:sz w:val="20"/>
          <w:szCs w:val="20"/>
        </w:rPr>
      </w:pPr>
      <w:r w:rsidRPr="002D1E93">
        <w:rPr>
          <w:rFonts w:ascii="Times New Roman" w:hAnsi="Times New Roman" w:cs="Times New Roman"/>
          <w:color w:val="000000" w:themeColor="text1"/>
          <w:sz w:val="20"/>
          <w:szCs w:val="20"/>
        </w:rPr>
        <w:t>Programme Diagram</w:t>
      </w:r>
    </w:p>
    <w:p w14:paraId="720925CC" w14:textId="77777777" w:rsidR="00630D6B" w:rsidRPr="002D1E93" w:rsidRDefault="00630D6B" w:rsidP="00630D6B">
      <w:pPr>
        <w:spacing w:line="360" w:lineRule="auto"/>
        <w:ind w:firstLine="720"/>
        <w:jc w:val="both"/>
        <w:rPr>
          <w:rFonts w:ascii="Times New Roman" w:hAnsi="Times New Roman" w:cs="Times New Roman"/>
          <w:color w:val="000000" w:themeColor="text1"/>
          <w:sz w:val="20"/>
          <w:szCs w:val="20"/>
        </w:rPr>
      </w:pPr>
      <w:r w:rsidRPr="002D1E93">
        <w:rPr>
          <w:rFonts w:ascii="Times New Roman" w:hAnsi="Times New Roman" w:cs="Times New Roman"/>
          <w:color w:val="000000" w:themeColor="text1"/>
          <w:sz w:val="20"/>
          <w:szCs w:val="20"/>
        </w:rPr>
        <w:t>Results Framework</w:t>
      </w:r>
    </w:p>
    <w:p w14:paraId="63FBFD9E" w14:textId="77777777" w:rsidR="00630D6B" w:rsidRPr="002D1E93" w:rsidRDefault="00630D6B" w:rsidP="00630D6B">
      <w:pPr>
        <w:spacing w:line="360" w:lineRule="auto"/>
        <w:ind w:firstLine="720"/>
        <w:jc w:val="both"/>
        <w:rPr>
          <w:rFonts w:ascii="Times New Roman" w:hAnsi="Times New Roman" w:cs="Times New Roman"/>
          <w:color w:val="000000" w:themeColor="text1"/>
          <w:sz w:val="20"/>
          <w:szCs w:val="20"/>
        </w:rPr>
      </w:pPr>
      <w:r w:rsidRPr="002D1E93">
        <w:rPr>
          <w:rFonts w:ascii="Times New Roman" w:hAnsi="Times New Roman" w:cs="Times New Roman"/>
          <w:color w:val="000000" w:themeColor="text1"/>
          <w:sz w:val="20"/>
          <w:szCs w:val="20"/>
        </w:rPr>
        <w:t>Risk Log</w:t>
      </w:r>
    </w:p>
    <w:p w14:paraId="1EB80305" w14:textId="77777777" w:rsidR="00630D6B" w:rsidRDefault="00630D6B" w:rsidP="00630D6B">
      <w:pPr>
        <w:spacing w:line="0" w:lineRule="auto"/>
        <w:jc w:val="both"/>
        <w:rPr>
          <w:rFonts w:ascii="Times New Roman" w:eastAsia="Times New Roman" w:hAnsi="Times New Roman" w:cs="Times New Roman"/>
          <w:color w:val="000000" w:themeColor="text1"/>
          <w:spacing w:val="-4"/>
          <w:sz w:val="20"/>
          <w:szCs w:val="20"/>
          <w:lang w:eastAsia="en-GB"/>
        </w:rPr>
      </w:pPr>
      <w:r w:rsidRPr="002D1E93">
        <w:rPr>
          <w:rFonts w:ascii="Times New Roman" w:eastAsia="Times New Roman" w:hAnsi="Times New Roman" w:cs="Times New Roman"/>
          <w:color w:val="000000" w:themeColor="text1"/>
          <w:spacing w:val="-4"/>
          <w:sz w:val="20"/>
          <w:szCs w:val="20"/>
          <w:lang w:eastAsia="en-GB"/>
        </w:rPr>
        <w:t>UNDP Sri Lanka’s Flagship Portfolio on SDG</w:t>
      </w:r>
    </w:p>
    <w:p w14:paraId="30F0A6DE" w14:textId="0878D60A" w:rsidR="00630D6B" w:rsidRPr="00630D6B" w:rsidRDefault="00630D6B" w:rsidP="00630D6B">
      <w:pPr>
        <w:spacing w:line="0" w:lineRule="auto"/>
        <w:jc w:val="both"/>
        <w:rPr>
          <w:rFonts w:ascii="Times New Roman" w:eastAsia="Times New Roman" w:hAnsi="Times New Roman" w:cs="Times New Roman"/>
          <w:color w:val="000000" w:themeColor="text1"/>
          <w:spacing w:val="-4"/>
          <w:sz w:val="20"/>
          <w:szCs w:val="20"/>
          <w:lang w:eastAsia="en-GB"/>
        </w:rPr>
      </w:pPr>
      <w:r w:rsidRPr="002D1E93">
        <w:rPr>
          <w:rFonts w:ascii="Times New Roman" w:hAnsi="Times New Roman" w:cs="Times New Roman"/>
          <w:color w:val="000000" w:themeColor="text1"/>
          <w:sz w:val="20"/>
          <w:szCs w:val="20"/>
        </w:rPr>
        <w:t xml:space="preserve">UNDP Strategic Plan </w:t>
      </w:r>
      <w:r w:rsidRPr="002D1E93">
        <w:rPr>
          <w:rFonts w:ascii="Times New Roman" w:hAnsi="Times New Roman" w:cs="Times New Roman"/>
          <w:bCs/>
          <w:color w:val="000000" w:themeColor="text1"/>
          <w:sz w:val="20"/>
          <w:szCs w:val="20"/>
          <w:lang w:val="en-GB"/>
        </w:rPr>
        <w:t>(Executive Board of the UNDP, UNPF and the UNOPS) (2018-2022)</w:t>
      </w:r>
    </w:p>
    <w:p w14:paraId="1B3E66A5" w14:textId="77777777" w:rsidR="00630D6B" w:rsidRPr="002D1E93" w:rsidRDefault="00630D6B" w:rsidP="00630D6B">
      <w:pPr>
        <w:spacing w:line="360" w:lineRule="auto"/>
        <w:jc w:val="both"/>
        <w:rPr>
          <w:rFonts w:ascii="Times New Roman" w:hAnsi="Times New Roman" w:cs="Times New Roman"/>
          <w:color w:val="000000" w:themeColor="text1"/>
          <w:sz w:val="20"/>
          <w:szCs w:val="20"/>
        </w:rPr>
      </w:pPr>
      <w:r w:rsidRPr="002D1E93">
        <w:rPr>
          <w:rFonts w:ascii="Times New Roman" w:hAnsi="Times New Roman" w:cs="Times New Roman"/>
          <w:color w:val="000000" w:themeColor="text1"/>
          <w:sz w:val="20"/>
          <w:szCs w:val="20"/>
        </w:rPr>
        <w:lastRenderedPageBreak/>
        <w:t>UNEG Norms and Standard for Evaluation (2016, 2017)</w:t>
      </w:r>
    </w:p>
    <w:p w14:paraId="43F4932B" w14:textId="77777777" w:rsidR="00630D6B" w:rsidRPr="002D1E93" w:rsidRDefault="00630D6B" w:rsidP="00630D6B">
      <w:pPr>
        <w:spacing w:line="360" w:lineRule="auto"/>
        <w:jc w:val="both"/>
        <w:rPr>
          <w:rFonts w:ascii="Times New Roman" w:hAnsi="Times New Roman" w:cs="Times New Roman"/>
          <w:color w:val="000000" w:themeColor="text1"/>
          <w:sz w:val="20"/>
          <w:szCs w:val="20"/>
        </w:rPr>
      </w:pPr>
      <w:r w:rsidRPr="002D1E93">
        <w:rPr>
          <w:rFonts w:ascii="Times New Roman" w:hAnsi="Times New Roman" w:cs="Times New Roman"/>
          <w:color w:val="000000" w:themeColor="text1"/>
          <w:sz w:val="20"/>
          <w:szCs w:val="20"/>
        </w:rPr>
        <w:t xml:space="preserve">United Nations Sustainable Development Framework (UN Sri Lanka) (2018 – 2022) </w:t>
      </w:r>
    </w:p>
    <w:p w14:paraId="18BEC08D" w14:textId="77777777" w:rsidR="00630D6B" w:rsidRPr="002D1E93" w:rsidRDefault="00630D6B" w:rsidP="00630D6B">
      <w:pPr>
        <w:spacing w:line="360" w:lineRule="auto"/>
        <w:jc w:val="both"/>
        <w:rPr>
          <w:rFonts w:ascii="Times New Roman" w:hAnsi="Times New Roman" w:cs="Times New Roman"/>
          <w:color w:val="000000" w:themeColor="text1"/>
          <w:sz w:val="20"/>
          <w:szCs w:val="20"/>
        </w:rPr>
      </w:pPr>
      <w:r w:rsidRPr="002D1E93">
        <w:rPr>
          <w:rFonts w:ascii="Times New Roman" w:hAnsi="Times New Roman" w:cs="Times New Roman"/>
          <w:color w:val="000000" w:themeColor="text1"/>
          <w:sz w:val="20"/>
          <w:szCs w:val="20"/>
        </w:rPr>
        <w:t>Voluntary National Review on the Status of Implementing the Sustainable Development Goals, 2018</w:t>
      </w:r>
    </w:p>
    <w:p w14:paraId="68ED9239" w14:textId="77777777" w:rsidR="00630D6B" w:rsidRPr="002D1E93" w:rsidRDefault="00630D6B" w:rsidP="00630D6B">
      <w:pPr>
        <w:rPr>
          <w:rFonts w:ascii="Times New Roman" w:hAnsi="Times New Roman" w:cs="Times New Roman"/>
          <w:color w:val="000000" w:themeColor="text1"/>
          <w:sz w:val="20"/>
          <w:szCs w:val="20"/>
        </w:rPr>
      </w:pPr>
    </w:p>
    <w:p w14:paraId="5E96F51F" w14:textId="2008BC43" w:rsidR="00630D6B" w:rsidRDefault="00630D6B" w:rsidP="00BD657A">
      <w:pPr>
        <w:spacing w:line="360" w:lineRule="auto"/>
        <w:rPr>
          <w:rFonts w:ascii="Times New Roman" w:hAnsi="Times New Roman" w:cs="Times New Roman"/>
          <w:color w:val="000000" w:themeColor="text1"/>
          <w:sz w:val="20"/>
          <w:szCs w:val="20"/>
        </w:rPr>
      </w:pPr>
    </w:p>
    <w:p w14:paraId="0A2B21F2" w14:textId="33C1FEF5" w:rsidR="00630D6B" w:rsidRDefault="00630D6B" w:rsidP="00BD657A">
      <w:pPr>
        <w:spacing w:line="360" w:lineRule="auto"/>
        <w:rPr>
          <w:rFonts w:ascii="Times New Roman" w:hAnsi="Times New Roman" w:cs="Times New Roman"/>
          <w:color w:val="000000" w:themeColor="text1"/>
          <w:sz w:val="20"/>
          <w:szCs w:val="20"/>
        </w:rPr>
      </w:pPr>
    </w:p>
    <w:p w14:paraId="345EBFC4" w14:textId="31EF95F9" w:rsidR="00630D6B" w:rsidRDefault="00630D6B" w:rsidP="00BD657A">
      <w:pPr>
        <w:spacing w:line="360" w:lineRule="auto"/>
        <w:rPr>
          <w:rFonts w:ascii="Times New Roman" w:hAnsi="Times New Roman" w:cs="Times New Roman"/>
          <w:color w:val="000000" w:themeColor="text1"/>
          <w:sz w:val="20"/>
          <w:szCs w:val="20"/>
        </w:rPr>
      </w:pPr>
    </w:p>
    <w:p w14:paraId="4F594E25" w14:textId="3017AF5E" w:rsidR="00630D6B" w:rsidRDefault="00630D6B" w:rsidP="00BD657A">
      <w:pPr>
        <w:spacing w:line="360" w:lineRule="auto"/>
        <w:rPr>
          <w:rFonts w:ascii="Times New Roman" w:hAnsi="Times New Roman" w:cs="Times New Roman"/>
          <w:color w:val="000000" w:themeColor="text1"/>
          <w:sz w:val="20"/>
          <w:szCs w:val="20"/>
        </w:rPr>
      </w:pPr>
    </w:p>
    <w:p w14:paraId="17AF7F65" w14:textId="42B6FBCA" w:rsidR="00630D6B" w:rsidRDefault="00630D6B" w:rsidP="00BD657A">
      <w:pPr>
        <w:spacing w:line="360" w:lineRule="auto"/>
        <w:rPr>
          <w:rFonts w:ascii="Times New Roman" w:hAnsi="Times New Roman" w:cs="Times New Roman"/>
          <w:color w:val="000000" w:themeColor="text1"/>
          <w:sz w:val="20"/>
          <w:szCs w:val="20"/>
        </w:rPr>
      </w:pPr>
    </w:p>
    <w:p w14:paraId="00E653C5" w14:textId="1F2868D0" w:rsidR="00630D6B" w:rsidRDefault="00630D6B" w:rsidP="00BD657A">
      <w:pPr>
        <w:spacing w:line="360" w:lineRule="auto"/>
        <w:rPr>
          <w:rFonts w:ascii="Times New Roman" w:hAnsi="Times New Roman" w:cs="Times New Roman"/>
          <w:color w:val="000000" w:themeColor="text1"/>
          <w:sz w:val="20"/>
          <w:szCs w:val="20"/>
        </w:rPr>
      </w:pPr>
    </w:p>
    <w:p w14:paraId="6C49A889" w14:textId="60D38538" w:rsidR="00630D6B" w:rsidRDefault="00630D6B" w:rsidP="00BD657A">
      <w:pPr>
        <w:spacing w:line="360" w:lineRule="auto"/>
        <w:rPr>
          <w:rFonts w:ascii="Times New Roman" w:hAnsi="Times New Roman" w:cs="Times New Roman"/>
          <w:color w:val="000000" w:themeColor="text1"/>
          <w:sz w:val="20"/>
          <w:szCs w:val="20"/>
        </w:rPr>
      </w:pPr>
    </w:p>
    <w:p w14:paraId="2DAA97BA" w14:textId="048B8102" w:rsidR="00630D6B" w:rsidRDefault="00630D6B" w:rsidP="00BD657A">
      <w:pPr>
        <w:spacing w:line="360" w:lineRule="auto"/>
        <w:rPr>
          <w:rFonts w:ascii="Times New Roman" w:hAnsi="Times New Roman" w:cs="Times New Roman"/>
          <w:color w:val="000000" w:themeColor="text1"/>
          <w:sz w:val="20"/>
          <w:szCs w:val="20"/>
        </w:rPr>
      </w:pPr>
    </w:p>
    <w:p w14:paraId="76E0D34F" w14:textId="2A1776A3" w:rsidR="00630D6B" w:rsidRDefault="00630D6B" w:rsidP="00BD657A">
      <w:pPr>
        <w:spacing w:line="360" w:lineRule="auto"/>
        <w:rPr>
          <w:rFonts w:ascii="Times New Roman" w:hAnsi="Times New Roman" w:cs="Times New Roman"/>
          <w:color w:val="000000" w:themeColor="text1"/>
          <w:sz w:val="20"/>
          <w:szCs w:val="20"/>
        </w:rPr>
      </w:pPr>
    </w:p>
    <w:p w14:paraId="612F0548" w14:textId="63EA9297" w:rsidR="00630D6B" w:rsidRDefault="00630D6B" w:rsidP="00BD657A">
      <w:pPr>
        <w:spacing w:line="360" w:lineRule="auto"/>
        <w:rPr>
          <w:rFonts w:ascii="Times New Roman" w:hAnsi="Times New Roman" w:cs="Times New Roman"/>
          <w:color w:val="000000" w:themeColor="text1"/>
          <w:sz w:val="20"/>
          <w:szCs w:val="20"/>
        </w:rPr>
      </w:pPr>
    </w:p>
    <w:p w14:paraId="3906993A" w14:textId="4D310EE6" w:rsidR="00630D6B" w:rsidRDefault="00630D6B" w:rsidP="00BD657A">
      <w:pPr>
        <w:spacing w:line="360" w:lineRule="auto"/>
        <w:rPr>
          <w:rFonts w:ascii="Times New Roman" w:hAnsi="Times New Roman" w:cs="Times New Roman"/>
          <w:color w:val="000000" w:themeColor="text1"/>
          <w:sz w:val="20"/>
          <w:szCs w:val="20"/>
        </w:rPr>
      </w:pPr>
    </w:p>
    <w:p w14:paraId="6E157CAC" w14:textId="495CBAA2" w:rsidR="00630D6B" w:rsidRDefault="00630D6B" w:rsidP="00BD657A">
      <w:pPr>
        <w:spacing w:line="360" w:lineRule="auto"/>
        <w:rPr>
          <w:rFonts w:ascii="Times New Roman" w:hAnsi="Times New Roman" w:cs="Times New Roman"/>
          <w:color w:val="000000" w:themeColor="text1"/>
          <w:sz w:val="20"/>
          <w:szCs w:val="20"/>
        </w:rPr>
      </w:pPr>
    </w:p>
    <w:p w14:paraId="0570C547" w14:textId="524CE1E6" w:rsidR="00630D6B" w:rsidRDefault="00630D6B" w:rsidP="00BD657A">
      <w:pPr>
        <w:spacing w:line="360" w:lineRule="auto"/>
        <w:rPr>
          <w:rFonts w:ascii="Times New Roman" w:hAnsi="Times New Roman" w:cs="Times New Roman"/>
          <w:color w:val="000000" w:themeColor="text1"/>
          <w:sz w:val="20"/>
          <w:szCs w:val="20"/>
        </w:rPr>
      </w:pPr>
    </w:p>
    <w:p w14:paraId="6A831BBB" w14:textId="42CBB358" w:rsidR="00630D6B" w:rsidRDefault="00630D6B" w:rsidP="00BD657A">
      <w:pPr>
        <w:spacing w:line="360" w:lineRule="auto"/>
        <w:rPr>
          <w:rFonts w:ascii="Times New Roman" w:hAnsi="Times New Roman" w:cs="Times New Roman"/>
          <w:color w:val="000000" w:themeColor="text1"/>
          <w:sz w:val="20"/>
          <w:szCs w:val="20"/>
        </w:rPr>
      </w:pPr>
    </w:p>
    <w:p w14:paraId="1BAC0BB7" w14:textId="324A2FAB" w:rsidR="00630D6B" w:rsidRDefault="00630D6B" w:rsidP="00BD657A">
      <w:pPr>
        <w:spacing w:line="360" w:lineRule="auto"/>
        <w:rPr>
          <w:rFonts w:ascii="Times New Roman" w:hAnsi="Times New Roman" w:cs="Times New Roman"/>
          <w:color w:val="000000" w:themeColor="text1"/>
          <w:sz w:val="20"/>
          <w:szCs w:val="20"/>
        </w:rPr>
      </w:pPr>
    </w:p>
    <w:p w14:paraId="631371D6" w14:textId="7C02F9DA" w:rsidR="00630D6B" w:rsidRDefault="00630D6B" w:rsidP="00BD657A">
      <w:pPr>
        <w:spacing w:line="360" w:lineRule="auto"/>
        <w:rPr>
          <w:rFonts w:ascii="Times New Roman" w:hAnsi="Times New Roman" w:cs="Times New Roman"/>
          <w:color w:val="000000" w:themeColor="text1"/>
          <w:sz w:val="20"/>
          <w:szCs w:val="20"/>
        </w:rPr>
      </w:pPr>
    </w:p>
    <w:p w14:paraId="19381B9B" w14:textId="1887C315" w:rsidR="00630D6B" w:rsidRDefault="00630D6B" w:rsidP="00BD657A">
      <w:pPr>
        <w:spacing w:line="360" w:lineRule="auto"/>
        <w:rPr>
          <w:rFonts w:ascii="Times New Roman" w:hAnsi="Times New Roman" w:cs="Times New Roman"/>
          <w:color w:val="000000" w:themeColor="text1"/>
          <w:sz w:val="20"/>
          <w:szCs w:val="20"/>
        </w:rPr>
      </w:pPr>
    </w:p>
    <w:p w14:paraId="2B53B1D4" w14:textId="44D9EA82" w:rsidR="00630D6B" w:rsidRDefault="00630D6B" w:rsidP="00BD657A">
      <w:pPr>
        <w:spacing w:line="360" w:lineRule="auto"/>
        <w:rPr>
          <w:rFonts w:ascii="Times New Roman" w:hAnsi="Times New Roman" w:cs="Times New Roman"/>
          <w:color w:val="000000" w:themeColor="text1"/>
          <w:sz w:val="20"/>
          <w:szCs w:val="20"/>
        </w:rPr>
      </w:pPr>
    </w:p>
    <w:p w14:paraId="7706448E" w14:textId="77777777" w:rsidR="00630D6B" w:rsidRPr="00BD657A" w:rsidRDefault="00630D6B" w:rsidP="00BD657A">
      <w:pPr>
        <w:spacing w:line="360" w:lineRule="auto"/>
        <w:rPr>
          <w:rFonts w:ascii="Cambria" w:hAnsi="Cambria" w:cs="Times New Roman"/>
          <w:color w:val="000000" w:themeColor="text1"/>
          <w:sz w:val="20"/>
          <w:szCs w:val="20"/>
        </w:rPr>
      </w:pPr>
    </w:p>
    <w:p w14:paraId="24E363BB" w14:textId="77777777" w:rsidR="00630D6B" w:rsidRDefault="00630D6B" w:rsidP="00BD657A">
      <w:pPr>
        <w:spacing w:line="360" w:lineRule="auto"/>
        <w:rPr>
          <w:rFonts w:ascii="Cambria" w:hAnsi="Cambria" w:cs="Times New Roman"/>
          <w:color w:val="000000" w:themeColor="text1"/>
          <w:sz w:val="20"/>
          <w:szCs w:val="20"/>
        </w:rPr>
      </w:pPr>
    </w:p>
    <w:p w14:paraId="5E85400F" w14:textId="77777777" w:rsidR="00630D6B" w:rsidRDefault="00630D6B" w:rsidP="00BD657A">
      <w:pPr>
        <w:spacing w:line="360" w:lineRule="auto"/>
        <w:rPr>
          <w:rFonts w:ascii="Cambria" w:hAnsi="Cambria" w:cs="Times New Roman"/>
          <w:color w:val="000000" w:themeColor="text1"/>
          <w:sz w:val="20"/>
          <w:szCs w:val="20"/>
        </w:rPr>
      </w:pPr>
    </w:p>
    <w:p w14:paraId="083CAE9D" w14:textId="77777777" w:rsidR="00630D6B" w:rsidRDefault="00630D6B" w:rsidP="00BD657A">
      <w:pPr>
        <w:spacing w:line="360" w:lineRule="auto"/>
        <w:rPr>
          <w:rFonts w:ascii="Cambria" w:hAnsi="Cambria" w:cs="Times New Roman"/>
          <w:color w:val="000000" w:themeColor="text1"/>
          <w:sz w:val="20"/>
          <w:szCs w:val="20"/>
        </w:rPr>
      </w:pPr>
    </w:p>
    <w:p w14:paraId="6DF783A6" w14:textId="77777777" w:rsidR="00630D6B" w:rsidRDefault="00630D6B" w:rsidP="00BD657A">
      <w:pPr>
        <w:spacing w:line="360" w:lineRule="auto"/>
        <w:rPr>
          <w:rFonts w:ascii="Cambria" w:hAnsi="Cambria" w:cs="Times New Roman"/>
          <w:color w:val="000000" w:themeColor="text1"/>
          <w:sz w:val="20"/>
          <w:szCs w:val="20"/>
        </w:rPr>
      </w:pPr>
    </w:p>
    <w:p w14:paraId="6338D5B3" w14:textId="77777777" w:rsidR="00630D6B" w:rsidRDefault="00630D6B" w:rsidP="00BD657A">
      <w:pPr>
        <w:spacing w:line="360" w:lineRule="auto"/>
        <w:rPr>
          <w:rFonts w:ascii="Cambria" w:hAnsi="Cambria" w:cs="Times New Roman"/>
          <w:color w:val="000000" w:themeColor="text1"/>
          <w:sz w:val="20"/>
          <w:szCs w:val="20"/>
        </w:rPr>
      </w:pPr>
    </w:p>
    <w:p w14:paraId="258F5D59" w14:textId="77777777" w:rsidR="00630D6B" w:rsidRDefault="00630D6B" w:rsidP="00BD657A">
      <w:pPr>
        <w:spacing w:line="360" w:lineRule="auto"/>
        <w:rPr>
          <w:rFonts w:ascii="Cambria" w:hAnsi="Cambria" w:cs="Times New Roman"/>
          <w:color w:val="000000" w:themeColor="text1"/>
          <w:sz w:val="20"/>
          <w:szCs w:val="20"/>
        </w:rPr>
      </w:pPr>
    </w:p>
    <w:p w14:paraId="6A5E74B4" w14:textId="07FCD4FC" w:rsidR="00BD657A" w:rsidRPr="005611DA" w:rsidRDefault="00BD657A" w:rsidP="00BD657A">
      <w:pPr>
        <w:spacing w:line="360" w:lineRule="auto"/>
        <w:rPr>
          <w:rFonts w:ascii="Cambria" w:hAnsi="Cambria" w:cs="Times New Roman"/>
          <w:b/>
          <w:bCs/>
          <w:color w:val="000000" w:themeColor="text1"/>
          <w:sz w:val="28"/>
          <w:szCs w:val="28"/>
        </w:rPr>
      </w:pPr>
      <w:r w:rsidRPr="005611DA">
        <w:rPr>
          <w:rFonts w:ascii="Cambria" w:hAnsi="Cambria" w:cs="Times New Roman"/>
          <w:b/>
          <w:bCs/>
          <w:color w:val="000000" w:themeColor="text1"/>
          <w:sz w:val="28"/>
          <w:szCs w:val="28"/>
        </w:rPr>
        <w:lastRenderedPageBreak/>
        <w:t>Annex Three</w:t>
      </w:r>
    </w:p>
    <w:p w14:paraId="7F66F9EF" w14:textId="77777777" w:rsidR="00491D38" w:rsidRPr="00395C26" w:rsidRDefault="00491D38" w:rsidP="00491D38">
      <w:pPr>
        <w:spacing w:line="276" w:lineRule="auto"/>
        <w:jc w:val="center"/>
        <w:rPr>
          <w:rFonts w:ascii="Cambria" w:hAnsi="Cambria"/>
          <w:b/>
          <w:bCs/>
          <w:sz w:val="20"/>
          <w:szCs w:val="20"/>
        </w:rPr>
      </w:pPr>
      <w:r w:rsidRPr="00395C26">
        <w:rPr>
          <w:rFonts w:ascii="Cambria" w:hAnsi="Cambria"/>
          <w:b/>
          <w:bCs/>
          <w:sz w:val="20"/>
          <w:szCs w:val="20"/>
        </w:rPr>
        <w:t>Key Persons Interviews</w:t>
      </w:r>
    </w:p>
    <w:p w14:paraId="2C8F48E0" w14:textId="77777777" w:rsidR="00491D38" w:rsidRPr="00395C26" w:rsidRDefault="00491D38" w:rsidP="00491D38">
      <w:pPr>
        <w:spacing w:line="276" w:lineRule="auto"/>
        <w:jc w:val="center"/>
        <w:rPr>
          <w:rFonts w:ascii="Cambria" w:hAnsi="Cambria"/>
          <w:b/>
          <w:bCs/>
          <w:sz w:val="20"/>
          <w:szCs w:val="20"/>
        </w:rPr>
      </w:pPr>
    </w:p>
    <w:tbl>
      <w:tblPr>
        <w:tblStyle w:val="TableGrid"/>
        <w:tblW w:w="10350" w:type="dxa"/>
        <w:tblInd w:w="-635" w:type="dxa"/>
        <w:tblLook w:val="04A0" w:firstRow="1" w:lastRow="0" w:firstColumn="1" w:lastColumn="0" w:noHBand="0" w:noVBand="1"/>
      </w:tblPr>
      <w:tblGrid>
        <w:gridCol w:w="2610"/>
        <w:gridCol w:w="3240"/>
        <w:gridCol w:w="2430"/>
        <w:gridCol w:w="2070"/>
      </w:tblGrid>
      <w:tr w:rsidR="00491D38" w:rsidRPr="00395C26" w14:paraId="0334CDE8" w14:textId="77777777" w:rsidTr="00491D38">
        <w:tc>
          <w:tcPr>
            <w:tcW w:w="2610" w:type="dxa"/>
            <w:vMerge w:val="restart"/>
            <w:shd w:val="clear" w:color="auto" w:fill="85B2F6" w:themeFill="background2" w:themeFillShade="E6"/>
          </w:tcPr>
          <w:p w14:paraId="0FEB8761" w14:textId="77777777" w:rsidR="00491D38" w:rsidRPr="00395C26" w:rsidRDefault="00491D38" w:rsidP="00491D38">
            <w:pPr>
              <w:rPr>
                <w:rFonts w:ascii="Cambria" w:hAnsi="Cambria"/>
                <w:b/>
                <w:bCs/>
                <w:sz w:val="20"/>
                <w:szCs w:val="20"/>
              </w:rPr>
            </w:pPr>
            <w:r w:rsidRPr="00395C26">
              <w:rPr>
                <w:rFonts w:ascii="Cambria" w:hAnsi="Cambria"/>
                <w:b/>
                <w:bCs/>
                <w:sz w:val="20"/>
                <w:szCs w:val="20"/>
              </w:rPr>
              <w:t>Implementing Partners</w:t>
            </w:r>
          </w:p>
          <w:p w14:paraId="59B54B16" w14:textId="77777777" w:rsidR="00491D38" w:rsidRPr="00395C26" w:rsidRDefault="00491D38" w:rsidP="00491D38">
            <w:pPr>
              <w:rPr>
                <w:rFonts w:ascii="Cambria" w:hAnsi="Cambria"/>
                <w:sz w:val="20"/>
                <w:szCs w:val="20"/>
              </w:rPr>
            </w:pPr>
          </w:p>
          <w:p w14:paraId="1B0E6356" w14:textId="77777777" w:rsidR="00491D38" w:rsidRPr="00395C26" w:rsidRDefault="00491D38" w:rsidP="00491D38">
            <w:pPr>
              <w:rPr>
                <w:rFonts w:ascii="Cambria" w:hAnsi="Cambria"/>
                <w:sz w:val="20"/>
                <w:szCs w:val="20"/>
              </w:rPr>
            </w:pPr>
          </w:p>
          <w:p w14:paraId="120593A4" w14:textId="77777777" w:rsidR="00491D38" w:rsidRPr="00395C26" w:rsidRDefault="00491D38" w:rsidP="00491D38">
            <w:pPr>
              <w:rPr>
                <w:rFonts w:ascii="Cambria" w:hAnsi="Cambria"/>
                <w:b/>
                <w:bCs/>
                <w:sz w:val="20"/>
                <w:szCs w:val="20"/>
              </w:rPr>
            </w:pPr>
            <w:r w:rsidRPr="00395C26">
              <w:rPr>
                <w:rFonts w:ascii="Cambria" w:hAnsi="Cambria"/>
                <w:sz w:val="20"/>
                <w:szCs w:val="20"/>
              </w:rPr>
              <w:t>Parliament</w:t>
            </w:r>
          </w:p>
        </w:tc>
        <w:tc>
          <w:tcPr>
            <w:tcW w:w="3240" w:type="dxa"/>
            <w:shd w:val="clear" w:color="auto" w:fill="90A1CF" w:themeFill="accent1" w:themeFillTint="99"/>
          </w:tcPr>
          <w:p w14:paraId="7AFDB34C" w14:textId="77777777" w:rsidR="00491D38" w:rsidRPr="00395C26" w:rsidRDefault="00491D38" w:rsidP="00491D38">
            <w:pPr>
              <w:rPr>
                <w:rFonts w:ascii="Cambria" w:hAnsi="Cambria"/>
                <w:b/>
                <w:bCs/>
                <w:sz w:val="20"/>
                <w:szCs w:val="20"/>
              </w:rPr>
            </w:pPr>
            <w:r w:rsidRPr="00395C26">
              <w:rPr>
                <w:rFonts w:ascii="Cambria" w:hAnsi="Cambria"/>
                <w:b/>
                <w:bCs/>
                <w:sz w:val="20"/>
                <w:szCs w:val="20"/>
              </w:rPr>
              <w:t xml:space="preserve">Name and Designation </w:t>
            </w:r>
          </w:p>
        </w:tc>
        <w:tc>
          <w:tcPr>
            <w:tcW w:w="2430" w:type="dxa"/>
            <w:shd w:val="clear" w:color="auto" w:fill="A0C3E3" w:themeFill="accent2" w:themeFillTint="99"/>
          </w:tcPr>
          <w:p w14:paraId="71D457B4" w14:textId="77777777" w:rsidR="00491D38" w:rsidRPr="00395C26" w:rsidRDefault="00491D38" w:rsidP="00491D38">
            <w:pPr>
              <w:rPr>
                <w:rFonts w:ascii="Cambria" w:hAnsi="Cambria"/>
                <w:b/>
                <w:bCs/>
                <w:sz w:val="20"/>
                <w:szCs w:val="20"/>
              </w:rPr>
            </w:pPr>
            <w:r w:rsidRPr="00395C26">
              <w:rPr>
                <w:rFonts w:ascii="Cambria" w:hAnsi="Cambria"/>
                <w:b/>
                <w:bCs/>
                <w:sz w:val="20"/>
                <w:szCs w:val="20"/>
              </w:rPr>
              <w:t xml:space="preserve">Institution / Organization </w:t>
            </w:r>
          </w:p>
        </w:tc>
        <w:tc>
          <w:tcPr>
            <w:tcW w:w="2070" w:type="dxa"/>
            <w:shd w:val="clear" w:color="auto" w:fill="C4BCC6" w:themeFill="accent6" w:themeFillTint="99"/>
          </w:tcPr>
          <w:p w14:paraId="7A358036" w14:textId="77777777" w:rsidR="00491D38" w:rsidRPr="00395C26" w:rsidRDefault="00491D38" w:rsidP="00491D38">
            <w:pPr>
              <w:rPr>
                <w:rFonts w:ascii="Cambria" w:hAnsi="Cambria"/>
                <w:b/>
                <w:bCs/>
                <w:sz w:val="20"/>
                <w:szCs w:val="20"/>
              </w:rPr>
            </w:pPr>
            <w:r w:rsidRPr="00395C26">
              <w:rPr>
                <w:rFonts w:ascii="Cambria" w:hAnsi="Cambria"/>
                <w:b/>
                <w:bCs/>
                <w:sz w:val="20"/>
                <w:szCs w:val="20"/>
              </w:rPr>
              <w:t>Type of Organization</w:t>
            </w:r>
          </w:p>
          <w:p w14:paraId="71848024" w14:textId="77777777" w:rsidR="00491D38" w:rsidRPr="00395C26" w:rsidRDefault="00491D38" w:rsidP="00491D38">
            <w:pPr>
              <w:rPr>
                <w:rFonts w:ascii="Cambria" w:hAnsi="Cambria"/>
                <w:b/>
                <w:bCs/>
                <w:sz w:val="20"/>
                <w:szCs w:val="20"/>
              </w:rPr>
            </w:pPr>
          </w:p>
        </w:tc>
      </w:tr>
      <w:tr w:rsidR="00491D38" w:rsidRPr="00395C26" w14:paraId="7191DF2F" w14:textId="77777777" w:rsidTr="00491D38">
        <w:tc>
          <w:tcPr>
            <w:tcW w:w="2610" w:type="dxa"/>
            <w:vMerge/>
            <w:shd w:val="clear" w:color="auto" w:fill="85B2F6" w:themeFill="background2" w:themeFillShade="E6"/>
          </w:tcPr>
          <w:p w14:paraId="1BCBF541" w14:textId="77777777" w:rsidR="00491D38" w:rsidRPr="00395C26" w:rsidRDefault="00491D38" w:rsidP="00491D38">
            <w:pPr>
              <w:rPr>
                <w:rFonts w:ascii="Cambria" w:hAnsi="Cambria"/>
                <w:sz w:val="20"/>
                <w:szCs w:val="20"/>
              </w:rPr>
            </w:pPr>
          </w:p>
        </w:tc>
        <w:tc>
          <w:tcPr>
            <w:tcW w:w="3240" w:type="dxa"/>
            <w:shd w:val="clear" w:color="auto" w:fill="D9DFEF" w:themeFill="accent1" w:themeFillTint="33"/>
          </w:tcPr>
          <w:p w14:paraId="7A8C8C63"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Mr. Dhammika Dasanayake</w:t>
            </w:r>
          </w:p>
          <w:p w14:paraId="7CF2B7A2"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Secretary General of Parliament</w:t>
            </w:r>
          </w:p>
          <w:p w14:paraId="067BC3DB" w14:textId="77777777" w:rsidR="00491D38" w:rsidRPr="00395C26" w:rsidRDefault="00491D38" w:rsidP="00491D38">
            <w:pPr>
              <w:rPr>
                <w:rFonts w:ascii="Cambria" w:hAnsi="Cambria"/>
                <w:sz w:val="20"/>
                <w:szCs w:val="20"/>
              </w:rPr>
            </w:pPr>
          </w:p>
        </w:tc>
        <w:tc>
          <w:tcPr>
            <w:tcW w:w="2430" w:type="dxa"/>
            <w:shd w:val="clear" w:color="auto" w:fill="DFEBF5" w:themeFill="accent2" w:themeFillTint="33"/>
          </w:tcPr>
          <w:p w14:paraId="551561BA"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Parliamentary Secretariat</w:t>
            </w:r>
          </w:p>
          <w:p w14:paraId="30530D1D" w14:textId="77777777" w:rsidR="00491D38" w:rsidRPr="00395C26" w:rsidRDefault="00491D38" w:rsidP="00491D38">
            <w:pPr>
              <w:rPr>
                <w:rFonts w:ascii="Cambria" w:hAnsi="Cambria"/>
                <w:sz w:val="20"/>
                <w:szCs w:val="20"/>
              </w:rPr>
            </w:pPr>
          </w:p>
        </w:tc>
        <w:tc>
          <w:tcPr>
            <w:tcW w:w="2070" w:type="dxa"/>
            <w:shd w:val="clear" w:color="auto" w:fill="EBE8EC" w:themeFill="accent6" w:themeFillTint="33"/>
          </w:tcPr>
          <w:p w14:paraId="7D2AE4A1" w14:textId="77777777" w:rsidR="00491D38" w:rsidRPr="00395C26" w:rsidRDefault="00491D38" w:rsidP="00491D38">
            <w:pPr>
              <w:rPr>
                <w:rFonts w:ascii="Cambria" w:hAnsi="Cambria"/>
                <w:sz w:val="20"/>
                <w:szCs w:val="20"/>
              </w:rPr>
            </w:pPr>
            <w:r w:rsidRPr="00395C26">
              <w:rPr>
                <w:rFonts w:ascii="Cambria" w:hAnsi="Cambria"/>
                <w:sz w:val="20"/>
                <w:szCs w:val="20"/>
              </w:rPr>
              <w:t>Governmental</w:t>
            </w:r>
          </w:p>
        </w:tc>
      </w:tr>
      <w:tr w:rsidR="00491D38" w:rsidRPr="00395C26" w14:paraId="08BF44E8" w14:textId="77777777" w:rsidTr="00491D38">
        <w:tc>
          <w:tcPr>
            <w:tcW w:w="2610" w:type="dxa"/>
            <w:vMerge/>
            <w:shd w:val="clear" w:color="auto" w:fill="85B2F6" w:themeFill="background2" w:themeFillShade="E6"/>
          </w:tcPr>
          <w:p w14:paraId="042C0118" w14:textId="77777777" w:rsidR="00491D38" w:rsidRPr="00395C26" w:rsidRDefault="00491D38" w:rsidP="00491D38">
            <w:pPr>
              <w:rPr>
                <w:rFonts w:ascii="Cambria" w:hAnsi="Cambria"/>
                <w:sz w:val="20"/>
                <w:szCs w:val="20"/>
              </w:rPr>
            </w:pPr>
          </w:p>
        </w:tc>
        <w:tc>
          <w:tcPr>
            <w:tcW w:w="3240" w:type="dxa"/>
            <w:shd w:val="clear" w:color="auto" w:fill="D9DFEF" w:themeFill="accent1" w:themeFillTint="33"/>
          </w:tcPr>
          <w:p w14:paraId="2732A24E"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 xml:space="preserve">Mr. Shan Wijethunge </w:t>
            </w:r>
          </w:p>
          <w:p w14:paraId="5C8940BC"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 xml:space="preserve">Director Communications </w:t>
            </w:r>
          </w:p>
          <w:p w14:paraId="18854132" w14:textId="77777777" w:rsidR="00491D38" w:rsidRPr="00395C26" w:rsidRDefault="00491D38" w:rsidP="00491D38">
            <w:pPr>
              <w:spacing w:line="276" w:lineRule="auto"/>
              <w:rPr>
                <w:rFonts w:ascii="Cambria" w:hAnsi="Cambria"/>
                <w:sz w:val="20"/>
                <w:szCs w:val="20"/>
              </w:rPr>
            </w:pPr>
          </w:p>
        </w:tc>
        <w:tc>
          <w:tcPr>
            <w:tcW w:w="2430" w:type="dxa"/>
            <w:shd w:val="clear" w:color="auto" w:fill="DFEBF5" w:themeFill="accent2" w:themeFillTint="33"/>
          </w:tcPr>
          <w:p w14:paraId="4B22C6EC"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Communications Department of the Parliament</w:t>
            </w:r>
          </w:p>
        </w:tc>
        <w:tc>
          <w:tcPr>
            <w:tcW w:w="2070" w:type="dxa"/>
            <w:shd w:val="clear" w:color="auto" w:fill="EBE8EC" w:themeFill="accent6" w:themeFillTint="33"/>
          </w:tcPr>
          <w:p w14:paraId="10362893" w14:textId="77777777" w:rsidR="00491D38" w:rsidRPr="00395C26" w:rsidRDefault="00491D38" w:rsidP="00491D38">
            <w:pPr>
              <w:rPr>
                <w:rFonts w:ascii="Cambria" w:hAnsi="Cambria"/>
                <w:sz w:val="20"/>
                <w:szCs w:val="20"/>
              </w:rPr>
            </w:pPr>
            <w:r w:rsidRPr="00395C26">
              <w:rPr>
                <w:rFonts w:ascii="Cambria" w:hAnsi="Cambria"/>
                <w:sz w:val="20"/>
                <w:szCs w:val="20"/>
              </w:rPr>
              <w:t>Governmental</w:t>
            </w:r>
          </w:p>
        </w:tc>
      </w:tr>
      <w:tr w:rsidR="00491D38" w:rsidRPr="00395C26" w14:paraId="54AC5795" w14:textId="77777777" w:rsidTr="00491D38">
        <w:trPr>
          <w:trHeight w:val="116"/>
        </w:trPr>
        <w:tc>
          <w:tcPr>
            <w:tcW w:w="10350" w:type="dxa"/>
            <w:gridSpan w:val="4"/>
            <w:shd w:val="clear" w:color="auto" w:fill="7F7F7F" w:themeFill="text1" w:themeFillTint="80"/>
          </w:tcPr>
          <w:p w14:paraId="2CC31FEB" w14:textId="77777777" w:rsidR="00491D38" w:rsidRPr="00395C26" w:rsidRDefault="00491D38" w:rsidP="00491D38">
            <w:pPr>
              <w:rPr>
                <w:rFonts w:ascii="Cambria" w:hAnsi="Cambria"/>
                <w:sz w:val="20"/>
                <w:szCs w:val="20"/>
              </w:rPr>
            </w:pPr>
          </w:p>
        </w:tc>
      </w:tr>
      <w:tr w:rsidR="00491D38" w:rsidRPr="00395C26" w14:paraId="6C2E4505" w14:textId="77777777" w:rsidTr="00491D38">
        <w:tc>
          <w:tcPr>
            <w:tcW w:w="2610" w:type="dxa"/>
            <w:vMerge w:val="restart"/>
            <w:shd w:val="clear" w:color="auto" w:fill="85B2F6" w:themeFill="background2" w:themeFillShade="E6"/>
          </w:tcPr>
          <w:p w14:paraId="72A8C777" w14:textId="77777777" w:rsidR="00491D38" w:rsidRPr="00395C26" w:rsidRDefault="00491D38" w:rsidP="00491D38">
            <w:pPr>
              <w:rPr>
                <w:rFonts w:ascii="Cambria" w:hAnsi="Cambria"/>
                <w:sz w:val="20"/>
                <w:szCs w:val="20"/>
              </w:rPr>
            </w:pPr>
            <w:r w:rsidRPr="00395C26">
              <w:rPr>
                <w:rFonts w:ascii="Cambria" w:hAnsi="Cambria"/>
                <w:sz w:val="20"/>
                <w:szCs w:val="20"/>
              </w:rPr>
              <w:t xml:space="preserve">Independent Commissions </w:t>
            </w:r>
          </w:p>
          <w:p w14:paraId="4FF9265A" w14:textId="77777777" w:rsidR="00491D38" w:rsidRPr="00395C26" w:rsidRDefault="00491D38" w:rsidP="00491D38">
            <w:pPr>
              <w:pStyle w:val="NormalWeb"/>
              <w:rPr>
                <w:rFonts w:ascii="Cambria" w:hAnsi="Cambria"/>
                <w:sz w:val="20"/>
                <w:szCs w:val="20"/>
              </w:rPr>
            </w:pPr>
          </w:p>
        </w:tc>
        <w:tc>
          <w:tcPr>
            <w:tcW w:w="3240" w:type="dxa"/>
            <w:shd w:val="clear" w:color="auto" w:fill="D9DFEF" w:themeFill="accent1" w:themeFillTint="33"/>
          </w:tcPr>
          <w:p w14:paraId="244129EE"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Mr. D.G.M.V Hapuarachchi</w:t>
            </w:r>
          </w:p>
          <w:p w14:paraId="72F26421"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Director General</w:t>
            </w:r>
          </w:p>
          <w:p w14:paraId="57F82991" w14:textId="77777777" w:rsidR="00491D38" w:rsidRPr="00395C26" w:rsidRDefault="00491D38" w:rsidP="00491D38">
            <w:pPr>
              <w:spacing w:line="276" w:lineRule="auto"/>
              <w:rPr>
                <w:rFonts w:ascii="Cambria" w:hAnsi="Cambria"/>
                <w:sz w:val="20"/>
                <w:szCs w:val="20"/>
              </w:rPr>
            </w:pPr>
          </w:p>
        </w:tc>
        <w:tc>
          <w:tcPr>
            <w:tcW w:w="2430" w:type="dxa"/>
            <w:shd w:val="clear" w:color="auto" w:fill="DFEBF5" w:themeFill="accent2" w:themeFillTint="33"/>
          </w:tcPr>
          <w:p w14:paraId="665F88F3"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Right to Information Commission of Sri Lanka</w:t>
            </w:r>
          </w:p>
          <w:p w14:paraId="7A15B3FB" w14:textId="77777777" w:rsidR="00491D38" w:rsidRPr="00395C26" w:rsidRDefault="00491D38" w:rsidP="00491D38">
            <w:pPr>
              <w:spacing w:line="276" w:lineRule="auto"/>
              <w:rPr>
                <w:rFonts w:ascii="Cambria" w:hAnsi="Cambria"/>
                <w:sz w:val="20"/>
                <w:szCs w:val="20"/>
              </w:rPr>
            </w:pPr>
          </w:p>
        </w:tc>
        <w:tc>
          <w:tcPr>
            <w:tcW w:w="2070" w:type="dxa"/>
            <w:shd w:val="clear" w:color="auto" w:fill="EBE8EC" w:themeFill="accent6" w:themeFillTint="33"/>
          </w:tcPr>
          <w:p w14:paraId="2DA69EFE" w14:textId="77777777" w:rsidR="00491D38" w:rsidRPr="00395C26" w:rsidRDefault="00491D38" w:rsidP="00491D38">
            <w:pPr>
              <w:rPr>
                <w:rFonts w:ascii="Cambria" w:hAnsi="Cambria"/>
                <w:sz w:val="20"/>
                <w:szCs w:val="20"/>
              </w:rPr>
            </w:pPr>
            <w:r w:rsidRPr="00395C26">
              <w:rPr>
                <w:rFonts w:ascii="Cambria" w:hAnsi="Cambria"/>
                <w:sz w:val="20"/>
                <w:szCs w:val="20"/>
              </w:rPr>
              <w:t>Independent Commission</w:t>
            </w:r>
          </w:p>
        </w:tc>
      </w:tr>
      <w:tr w:rsidR="00491D38" w:rsidRPr="00395C26" w14:paraId="484D5BF8" w14:textId="77777777" w:rsidTr="00491D38">
        <w:trPr>
          <w:trHeight w:val="314"/>
        </w:trPr>
        <w:tc>
          <w:tcPr>
            <w:tcW w:w="2610" w:type="dxa"/>
            <w:vMerge/>
            <w:shd w:val="clear" w:color="auto" w:fill="85B2F6" w:themeFill="background2" w:themeFillShade="E6"/>
          </w:tcPr>
          <w:p w14:paraId="461ACD59" w14:textId="77777777" w:rsidR="00491D38" w:rsidRPr="00395C26" w:rsidRDefault="00491D38" w:rsidP="00491D38">
            <w:pPr>
              <w:rPr>
                <w:rFonts w:ascii="Cambria" w:hAnsi="Cambria"/>
                <w:sz w:val="20"/>
                <w:szCs w:val="20"/>
              </w:rPr>
            </w:pPr>
          </w:p>
        </w:tc>
        <w:tc>
          <w:tcPr>
            <w:tcW w:w="3240" w:type="dxa"/>
            <w:shd w:val="clear" w:color="auto" w:fill="D9DFEF" w:themeFill="accent1" w:themeFillTint="33"/>
          </w:tcPr>
          <w:p w14:paraId="0D44A4FA"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 xml:space="preserve">Mr. Mahinda Gammampila </w:t>
            </w:r>
          </w:p>
          <w:p w14:paraId="1D79D5E7"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Chairman</w:t>
            </w:r>
          </w:p>
          <w:p w14:paraId="660FB28B" w14:textId="77777777" w:rsidR="00491D38" w:rsidRPr="00395C26" w:rsidRDefault="00491D38" w:rsidP="00491D38">
            <w:pPr>
              <w:spacing w:line="276" w:lineRule="auto"/>
              <w:rPr>
                <w:rFonts w:ascii="Cambria" w:hAnsi="Cambria"/>
                <w:sz w:val="20"/>
                <w:szCs w:val="20"/>
              </w:rPr>
            </w:pPr>
          </w:p>
        </w:tc>
        <w:tc>
          <w:tcPr>
            <w:tcW w:w="2430" w:type="dxa"/>
            <w:shd w:val="clear" w:color="auto" w:fill="DFEBF5" w:themeFill="accent2" w:themeFillTint="33"/>
          </w:tcPr>
          <w:p w14:paraId="03415E1C"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Right to Information Commission of Sri Lanka</w:t>
            </w:r>
          </w:p>
          <w:p w14:paraId="7DC402F4" w14:textId="77777777" w:rsidR="00491D38" w:rsidRPr="00395C26" w:rsidRDefault="00491D38" w:rsidP="00491D38">
            <w:pPr>
              <w:spacing w:line="276" w:lineRule="auto"/>
              <w:rPr>
                <w:rFonts w:ascii="Cambria" w:hAnsi="Cambria"/>
                <w:sz w:val="20"/>
                <w:szCs w:val="20"/>
              </w:rPr>
            </w:pPr>
          </w:p>
        </w:tc>
        <w:tc>
          <w:tcPr>
            <w:tcW w:w="2070" w:type="dxa"/>
            <w:shd w:val="clear" w:color="auto" w:fill="EBE8EC" w:themeFill="accent6" w:themeFillTint="33"/>
          </w:tcPr>
          <w:p w14:paraId="63B23FFB" w14:textId="77777777" w:rsidR="00491D38" w:rsidRPr="00395C26" w:rsidRDefault="00491D38" w:rsidP="00491D38">
            <w:pPr>
              <w:rPr>
                <w:rFonts w:ascii="Cambria" w:hAnsi="Cambria"/>
                <w:sz w:val="20"/>
                <w:szCs w:val="20"/>
              </w:rPr>
            </w:pPr>
            <w:r w:rsidRPr="00395C26">
              <w:rPr>
                <w:rFonts w:ascii="Cambria" w:hAnsi="Cambria"/>
                <w:sz w:val="20"/>
                <w:szCs w:val="20"/>
              </w:rPr>
              <w:t>Independent Commission</w:t>
            </w:r>
          </w:p>
        </w:tc>
      </w:tr>
      <w:tr w:rsidR="00491D38" w:rsidRPr="00395C26" w14:paraId="2DEE63CA" w14:textId="77777777" w:rsidTr="00491D38">
        <w:trPr>
          <w:trHeight w:val="314"/>
        </w:trPr>
        <w:tc>
          <w:tcPr>
            <w:tcW w:w="2610" w:type="dxa"/>
            <w:vMerge/>
            <w:shd w:val="clear" w:color="auto" w:fill="85B2F6" w:themeFill="background2" w:themeFillShade="E6"/>
          </w:tcPr>
          <w:p w14:paraId="5ACE267D" w14:textId="77777777" w:rsidR="00491D38" w:rsidRPr="00395C26" w:rsidRDefault="00491D38" w:rsidP="00491D38">
            <w:pPr>
              <w:rPr>
                <w:rFonts w:ascii="Cambria" w:hAnsi="Cambria"/>
                <w:sz w:val="20"/>
                <w:szCs w:val="20"/>
              </w:rPr>
            </w:pPr>
          </w:p>
        </w:tc>
        <w:tc>
          <w:tcPr>
            <w:tcW w:w="3240" w:type="dxa"/>
            <w:shd w:val="clear" w:color="auto" w:fill="D9DFEF" w:themeFill="accent1" w:themeFillTint="33"/>
          </w:tcPr>
          <w:p w14:paraId="31A76ABE"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Mr. K W E Karaliyadda</w:t>
            </w:r>
          </w:p>
          <w:p w14:paraId="7EB6D2FC"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Chairman</w:t>
            </w:r>
          </w:p>
          <w:p w14:paraId="46C91731" w14:textId="77777777" w:rsidR="00491D38" w:rsidRPr="00395C26" w:rsidRDefault="00491D38" w:rsidP="00491D38">
            <w:pPr>
              <w:spacing w:line="276" w:lineRule="auto"/>
              <w:rPr>
                <w:rFonts w:ascii="Cambria" w:hAnsi="Cambria"/>
                <w:sz w:val="20"/>
                <w:szCs w:val="20"/>
              </w:rPr>
            </w:pPr>
          </w:p>
        </w:tc>
        <w:tc>
          <w:tcPr>
            <w:tcW w:w="2430" w:type="dxa"/>
            <w:shd w:val="clear" w:color="auto" w:fill="DFEBF5" w:themeFill="accent2" w:themeFillTint="33"/>
          </w:tcPr>
          <w:p w14:paraId="2B8B8034"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National Police Commission</w:t>
            </w:r>
          </w:p>
        </w:tc>
        <w:tc>
          <w:tcPr>
            <w:tcW w:w="2070" w:type="dxa"/>
            <w:shd w:val="clear" w:color="auto" w:fill="EBE8EC" w:themeFill="accent6" w:themeFillTint="33"/>
          </w:tcPr>
          <w:p w14:paraId="21C216B8" w14:textId="77777777" w:rsidR="00491D38" w:rsidRPr="00395C26" w:rsidRDefault="00491D38" w:rsidP="00491D38">
            <w:pPr>
              <w:rPr>
                <w:rFonts w:ascii="Cambria" w:hAnsi="Cambria"/>
                <w:sz w:val="20"/>
                <w:szCs w:val="20"/>
              </w:rPr>
            </w:pPr>
            <w:r w:rsidRPr="00395C26">
              <w:rPr>
                <w:rFonts w:ascii="Cambria" w:hAnsi="Cambria"/>
                <w:sz w:val="20"/>
                <w:szCs w:val="20"/>
              </w:rPr>
              <w:t>Independent Commission</w:t>
            </w:r>
          </w:p>
        </w:tc>
      </w:tr>
      <w:tr w:rsidR="00491D38" w:rsidRPr="00395C26" w14:paraId="048F33BB" w14:textId="77777777" w:rsidTr="00491D38">
        <w:trPr>
          <w:trHeight w:val="314"/>
        </w:trPr>
        <w:tc>
          <w:tcPr>
            <w:tcW w:w="2610" w:type="dxa"/>
            <w:vMerge/>
            <w:shd w:val="clear" w:color="auto" w:fill="85B2F6" w:themeFill="background2" w:themeFillShade="E6"/>
          </w:tcPr>
          <w:p w14:paraId="2D771925" w14:textId="77777777" w:rsidR="00491D38" w:rsidRPr="00395C26" w:rsidRDefault="00491D38" w:rsidP="00491D38">
            <w:pPr>
              <w:rPr>
                <w:rFonts w:ascii="Cambria" w:hAnsi="Cambria"/>
                <w:sz w:val="20"/>
                <w:szCs w:val="20"/>
              </w:rPr>
            </w:pPr>
          </w:p>
        </w:tc>
        <w:tc>
          <w:tcPr>
            <w:tcW w:w="3240" w:type="dxa"/>
            <w:shd w:val="clear" w:color="auto" w:fill="D9DFEF" w:themeFill="accent1" w:themeFillTint="33"/>
          </w:tcPr>
          <w:p w14:paraId="4D0C7556"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Ms. Savitri Wijesekera</w:t>
            </w:r>
          </w:p>
          <w:p w14:paraId="71FE365C"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 xml:space="preserve">Commissioner </w:t>
            </w:r>
          </w:p>
          <w:p w14:paraId="40786A9F" w14:textId="77777777" w:rsidR="00491D38" w:rsidRPr="00395C26" w:rsidRDefault="00491D38" w:rsidP="00491D38">
            <w:pPr>
              <w:spacing w:line="276" w:lineRule="auto"/>
              <w:rPr>
                <w:rFonts w:ascii="Cambria" w:hAnsi="Cambria"/>
                <w:sz w:val="20"/>
                <w:szCs w:val="20"/>
              </w:rPr>
            </w:pPr>
          </w:p>
        </w:tc>
        <w:tc>
          <w:tcPr>
            <w:tcW w:w="2430" w:type="dxa"/>
            <w:shd w:val="clear" w:color="auto" w:fill="DFEBF5" w:themeFill="accent2" w:themeFillTint="33"/>
          </w:tcPr>
          <w:p w14:paraId="669F31B2"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National Police Commission</w:t>
            </w:r>
          </w:p>
        </w:tc>
        <w:tc>
          <w:tcPr>
            <w:tcW w:w="2070" w:type="dxa"/>
            <w:shd w:val="clear" w:color="auto" w:fill="EBE8EC" w:themeFill="accent6" w:themeFillTint="33"/>
          </w:tcPr>
          <w:p w14:paraId="04427500" w14:textId="77777777" w:rsidR="00491D38" w:rsidRPr="00395C26" w:rsidRDefault="00491D38" w:rsidP="00491D38">
            <w:pPr>
              <w:rPr>
                <w:rFonts w:ascii="Cambria" w:hAnsi="Cambria"/>
                <w:sz w:val="20"/>
                <w:szCs w:val="20"/>
              </w:rPr>
            </w:pPr>
            <w:r w:rsidRPr="00395C26">
              <w:rPr>
                <w:rFonts w:ascii="Cambria" w:hAnsi="Cambria"/>
                <w:sz w:val="20"/>
                <w:szCs w:val="20"/>
              </w:rPr>
              <w:t>Independent Commission</w:t>
            </w:r>
          </w:p>
        </w:tc>
      </w:tr>
      <w:tr w:rsidR="00491D38" w:rsidRPr="00395C26" w14:paraId="4344602F" w14:textId="77777777" w:rsidTr="00491D38">
        <w:trPr>
          <w:trHeight w:val="314"/>
        </w:trPr>
        <w:tc>
          <w:tcPr>
            <w:tcW w:w="2610" w:type="dxa"/>
            <w:vMerge/>
            <w:shd w:val="clear" w:color="auto" w:fill="85B2F6" w:themeFill="background2" w:themeFillShade="E6"/>
          </w:tcPr>
          <w:p w14:paraId="04C03F4A" w14:textId="77777777" w:rsidR="00491D38" w:rsidRPr="00395C26" w:rsidRDefault="00491D38" w:rsidP="00491D38">
            <w:pPr>
              <w:rPr>
                <w:rFonts w:ascii="Cambria" w:hAnsi="Cambria"/>
                <w:sz w:val="20"/>
                <w:szCs w:val="20"/>
              </w:rPr>
            </w:pPr>
          </w:p>
        </w:tc>
        <w:tc>
          <w:tcPr>
            <w:tcW w:w="3240" w:type="dxa"/>
            <w:shd w:val="clear" w:color="auto" w:fill="D9DFEF" w:themeFill="accent1" w:themeFillTint="33"/>
          </w:tcPr>
          <w:p w14:paraId="5E48AFC1"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Mr. Y L M Zawahir</w:t>
            </w:r>
          </w:p>
          <w:p w14:paraId="258B6FF5"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 xml:space="preserve">Commissioner </w:t>
            </w:r>
          </w:p>
          <w:p w14:paraId="7152D29B" w14:textId="77777777" w:rsidR="00491D38" w:rsidRPr="00395C26" w:rsidRDefault="00491D38" w:rsidP="00491D38">
            <w:pPr>
              <w:spacing w:line="276" w:lineRule="auto"/>
              <w:rPr>
                <w:rFonts w:ascii="Cambria" w:hAnsi="Cambria"/>
                <w:sz w:val="20"/>
                <w:szCs w:val="20"/>
              </w:rPr>
            </w:pPr>
          </w:p>
        </w:tc>
        <w:tc>
          <w:tcPr>
            <w:tcW w:w="2430" w:type="dxa"/>
            <w:shd w:val="clear" w:color="auto" w:fill="DFEBF5" w:themeFill="accent2" w:themeFillTint="33"/>
          </w:tcPr>
          <w:p w14:paraId="116684E4"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National Police Commission</w:t>
            </w:r>
          </w:p>
        </w:tc>
        <w:tc>
          <w:tcPr>
            <w:tcW w:w="2070" w:type="dxa"/>
            <w:shd w:val="clear" w:color="auto" w:fill="EBE8EC" w:themeFill="accent6" w:themeFillTint="33"/>
          </w:tcPr>
          <w:p w14:paraId="2504C69E" w14:textId="77777777" w:rsidR="00491D38" w:rsidRPr="00395C26" w:rsidRDefault="00491D38" w:rsidP="00491D38">
            <w:pPr>
              <w:rPr>
                <w:rFonts w:ascii="Cambria" w:hAnsi="Cambria"/>
                <w:sz w:val="20"/>
                <w:szCs w:val="20"/>
              </w:rPr>
            </w:pPr>
            <w:r w:rsidRPr="00395C26">
              <w:rPr>
                <w:rFonts w:ascii="Cambria" w:hAnsi="Cambria"/>
                <w:sz w:val="20"/>
                <w:szCs w:val="20"/>
              </w:rPr>
              <w:t>Independent Commission</w:t>
            </w:r>
          </w:p>
        </w:tc>
      </w:tr>
      <w:tr w:rsidR="00491D38" w:rsidRPr="00395C26" w14:paraId="7FBE9B3A" w14:textId="77777777" w:rsidTr="00491D38">
        <w:trPr>
          <w:trHeight w:val="314"/>
        </w:trPr>
        <w:tc>
          <w:tcPr>
            <w:tcW w:w="2610" w:type="dxa"/>
            <w:vMerge/>
            <w:shd w:val="clear" w:color="auto" w:fill="85B2F6" w:themeFill="background2" w:themeFillShade="E6"/>
          </w:tcPr>
          <w:p w14:paraId="312ABB2C" w14:textId="77777777" w:rsidR="00491D38" w:rsidRPr="00395C26" w:rsidRDefault="00491D38" w:rsidP="00491D38">
            <w:pPr>
              <w:rPr>
                <w:rFonts w:ascii="Cambria" w:hAnsi="Cambria"/>
                <w:sz w:val="20"/>
                <w:szCs w:val="20"/>
              </w:rPr>
            </w:pPr>
          </w:p>
        </w:tc>
        <w:tc>
          <w:tcPr>
            <w:tcW w:w="3240" w:type="dxa"/>
            <w:shd w:val="clear" w:color="auto" w:fill="D9DFEF" w:themeFill="accent1" w:themeFillTint="33"/>
          </w:tcPr>
          <w:p w14:paraId="4F5B677E"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Mr. Tilak Collure</w:t>
            </w:r>
          </w:p>
          <w:p w14:paraId="009E24D2"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 xml:space="preserve">Commissioner </w:t>
            </w:r>
          </w:p>
          <w:p w14:paraId="4DF729CF" w14:textId="77777777" w:rsidR="00491D38" w:rsidRPr="00395C26" w:rsidRDefault="00491D38" w:rsidP="00491D38">
            <w:pPr>
              <w:spacing w:line="276" w:lineRule="auto"/>
              <w:rPr>
                <w:rFonts w:ascii="Cambria" w:hAnsi="Cambria"/>
                <w:sz w:val="20"/>
                <w:szCs w:val="20"/>
              </w:rPr>
            </w:pPr>
          </w:p>
        </w:tc>
        <w:tc>
          <w:tcPr>
            <w:tcW w:w="2430" w:type="dxa"/>
            <w:shd w:val="clear" w:color="auto" w:fill="DFEBF5" w:themeFill="accent2" w:themeFillTint="33"/>
          </w:tcPr>
          <w:p w14:paraId="1E0BD9C5"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National Police Commission</w:t>
            </w:r>
          </w:p>
        </w:tc>
        <w:tc>
          <w:tcPr>
            <w:tcW w:w="2070" w:type="dxa"/>
            <w:shd w:val="clear" w:color="auto" w:fill="EBE8EC" w:themeFill="accent6" w:themeFillTint="33"/>
          </w:tcPr>
          <w:p w14:paraId="47AE2B44" w14:textId="77777777" w:rsidR="00491D38" w:rsidRPr="00395C26" w:rsidRDefault="00491D38" w:rsidP="00491D38">
            <w:pPr>
              <w:rPr>
                <w:rFonts w:ascii="Cambria" w:hAnsi="Cambria"/>
                <w:sz w:val="20"/>
                <w:szCs w:val="20"/>
              </w:rPr>
            </w:pPr>
            <w:r w:rsidRPr="00395C26">
              <w:rPr>
                <w:rFonts w:ascii="Cambria" w:hAnsi="Cambria"/>
                <w:sz w:val="20"/>
                <w:szCs w:val="20"/>
              </w:rPr>
              <w:t>Independent Commission</w:t>
            </w:r>
          </w:p>
        </w:tc>
      </w:tr>
      <w:tr w:rsidR="00491D38" w:rsidRPr="00395C26" w14:paraId="7B1A3966" w14:textId="77777777" w:rsidTr="00491D38">
        <w:trPr>
          <w:trHeight w:val="314"/>
        </w:trPr>
        <w:tc>
          <w:tcPr>
            <w:tcW w:w="2610" w:type="dxa"/>
            <w:vMerge/>
            <w:shd w:val="clear" w:color="auto" w:fill="85B2F6" w:themeFill="background2" w:themeFillShade="E6"/>
          </w:tcPr>
          <w:p w14:paraId="4E5603DE" w14:textId="77777777" w:rsidR="00491D38" w:rsidRPr="00395C26" w:rsidRDefault="00491D38" w:rsidP="00491D38">
            <w:pPr>
              <w:rPr>
                <w:rFonts w:ascii="Cambria" w:hAnsi="Cambria"/>
                <w:sz w:val="20"/>
                <w:szCs w:val="20"/>
              </w:rPr>
            </w:pPr>
          </w:p>
        </w:tc>
        <w:tc>
          <w:tcPr>
            <w:tcW w:w="3240" w:type="dxa"/>
            <w:shd w:val="clear" w:color="auto" w:fill="D9DFEF" w:themeFill="accent1" w:themeFillTint="33"/>
          </w:tcPr>
          <w:p w14:paraId="54DF48F8"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Mr. Gamini Navaratne</w:t>
            </w:r>
          </w:p>
          <w:p w14:paraId="14FF2C76"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 xml:space="preserve">Commissioner </w:t>
            </w:r>
          </w:p>
          <w:p w14:paraId="1C596098" w14:textId="77777777" w:rsidR="00491D38" w:rsidRPr="00395C26" w:rsidRDefault="00491D38" w:rsidP="00491D38">
            <w:pPr>
              <w:spacing w:line="276" w:lineRule="auto"/>
              <w:rPr>
                <w:rFonts w:ascii="Cambria" w:hAnsi="Cambria"/>
                <w:sz w:val="20"/>
                <w:szCs w:val="20"/>
              </w:rPr>
            </w:pPr>
          </w:p>
        </w:tc>
        <w:tc>
          <w:tcPr>
            <w:tcW w:w="2430" w:type="dxa"/>
            <w:shd w:val="clear" w:color="auto" w:fill="DFEBF5" w:themeFill="accent2" w:themeFillTint="33"/>
          </w:tcPr>
          <w:p w14:paraId="2BDB63C3"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National Police Commission</w:t>
            </w:r>
          </w:p>
        </w:tc>
        <w:tc>
          <w:tcPr>
            <w:tcW w:w="2070" w:type="dxa"/>
            <w:shd w:val="clear" w:color="auto" w:fill="EBE8EC" w:themeFill="accent6" w:themeFillTint="33"/>
          </w:tcPr>
          <w:p w14:paraId="1A8F00B1" w14:textId="77777777" w:rsidR="00491D38" w:rsidRPr="00395C26" w:rsidRDefault="00491D38" w:rsidP="00491D38">
            <w:pPr>
              <w:rPr>
                <w:rFonts w:ascii="Cambria" w:hAnsi="Cambria"/>
                <w:sz w:val="20"/>
                <w:szCs w:val="20"/>
              </w:rPr>
            </w:pPr>
            <w:r w:rsidRPr="00395C26">
              <w:rPr>
                <w:rFonts w:ascii="Cambria" w:hAnsi="Cambria"/>
                <w:sz w:val="20"/>
                <w:szCs w:val="20"/>
              </w:rPr>
              <w:t>Independent Commission</w:t>
            </w:r>
          </w:p>
        </w:tc>
      </w:tr>
      <w:tr w:rsidR="00491D38" w:rsidRPr="00395C26" w14:paraId="1E833619" w14:textId="77777777" w:rsidTr="00491D38">
        <w:trPr>
          <w:trHeight w:val="314"/>
        </w:trPr>
        <w:tc>
          <w:tcPr>
            <w:tcW w:w="2610" w:type="dxa"/>
            <w:vMerge/>
            <w:shd w:val="clear" w:color="auto" w:fill="85B2F6" w:themeFill="background2" w:themeFillShade="E6"/>
          </w:tcPr>
          <w:p w14:paraId="3818F99D" w14:textId="77777777" w:rsidR="00491D38" w:rsidRPr="00395C26" w:rsidRDefault="00491D38" w:rsidP="00491D38">
            <w:pPr>
              <w:rPr>
                <w:rFonts w:ascii="Cambria" w:hAnsi="Cambria"/>
                <w:sz w:val="20"/>
                <w:szCs w:val="20"/>
              </w:rPr>
            </w:pPr>
          </w:p>
        </w:tc>
        <w:tc>
          <w:tcPr>
            <w:tcW w:w="3240" w:type="dxa"/>
            <w:shd w:val="clear" w:color="auto" w:fill="D9DFEF" w:themeFill="accent1" w:themeFillTint="33"/>
          </w:tcPr>
          <w:p w14:paraId="312CC3BE"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Mr. Ashoka Wijetilleke</w:t>
            </w:r>
          </w:p>
          <w:p w14:paraId="1D5E2359"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 xml:space="preserve">Commissioner </w:t>
            </w:r>
          </w:p>
          <w:p w14:paraId="3F7EC035" w14:textId="77777777" w:rsidR="00491D38" w:rsidRPr="00395C26" w:rsidRDefault="00491D38" w:rsidP="00491D38">
            <w:pPr>
              <w:spacing w:line="276" w:lineRule="auto"/>
              <w:rPr>
                <w:rFonts w:ascii="Cambria" w:hAnsi="Cambria"/>
                <w:sz w:val="20"/>
                <w:szCs w:val="20"/>
              </w:rPr>
            </w:pPr>
          </w:p>
        </w:tc>
        <w:tc>
          <w:tcPr>
            <w:tcW w:w="2430" w:type="dxa"/>
            <w:shd w:val="clear" w:color="auto" w:fill="DFEBF5" w:themeFill="accent2" w:themeFillTint="33"/>
          </w:tcPr>
          <w:p w14:paraId="7CA097E7"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National Police Commission</w:t>
            </w:r>
          </w:p>
        </w:tc>
        <w:tc>
          <w:tcPr>
            <w:tcW w:w="2070" w:type="dxa"/>
            <w:shd w:val="clear" w:color="auto" w:fill="EBE8EC" w:themeFill="accent6" w:themeFillTint="33"/>
          </w:tcPr>
          <w:p w14:paraId="37F07347" w14:textId="77777777" w:rsidR="00491D38" w:rsidRPr="00395C26" w:rsidRDefault="00491D38" w:rsidP="00491D38">
            <w:pPr>
              <w:rPr>
                <w:rFonts w:ascii="Cambria" w:hAnsi="Cambria"/>
                <w:sz w:val="20"/>
                <w:szCs w:val="20"/>
              </w:rPr>
            </w:pPr>
            <w:r w:rsidRPr="00395C26">
              <w:rPr>
                <w:rFonts w:ascii="Cambria" w:hAnsi="Cambria"/>
                <w:sz w:val="20"/>
                <w:szCs w:val="20"/>
              </w:rPr>
              <w:t>Independent Commission</w:t>
            </w:r>
          </w:p>
        </w:tc>
      </w:tr>
      <w:tr w:rsidR="00491D38" w:rsidRPr="00395C26" w14:paraId="7C72BE31" w14:textId="77777777" w:rsidTr="00491D38">
        <w:trPr>
          <w:trHeight w:val="314"/>
        </w:trPr>
        <w:tc>
          <w:tcPr>
            <w:tcW w:w="2610" w:type="dxa"/>
            <w:vMerge/>
            <w:shd w:val="clear" w:color="auto" w:fill="85B2F6" w:themeFill="background2" w:themeFillShade="E6"/>
          </w:tcPr>
          <w:p w14:paraId="2ABF259D" w14:textId="77777777" w:rsidR="00491D38" w:rsidRPr="00395C26" w:rsidRDefault="00491D38" w:rsidP="00491D38">
            <w:pPr>
              <w:rPr>
                <w:rFonts w:ascii="Cambria" w:hAnsi="Cambria"/>
                <w:sz w:val="20"/>
                <w:szCs w:val="20"/>
              </w:rPr>
            </w:pPr>
          </w:p>
        </w:tc>
        <w:tc>
          <w:tcPr>
            <w:tcW w:w="3240" w:type="dxa"/>
            <w:shd w:val="clear" w:color="auto" w:fill="D9DFEF" w:themeFill="accent1" w:themeFillTint="33"/>
          </w:tcPr>
          <w:p w14:paraId="0212CB49"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Mr. Nishantha Weerasinghe</w:t>
            </w:r>
          </w:p>
          <w:p w14:paraId="260D5B6E"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Secretary</w:t>
            </w:r>
          </w:p>
          <w:p w14:paraId="69794F5F" w14:textId="77777777" w:rsidR="00491D38" w:rsidRPr="00395C26" w:rsidRDefault="00491D38" w:rsidP="00491D38">
            <w:pPr>
              <w:spacing w:line="276" w:lineRule="auto"/>
              <w:rPr>
                <w:rFonts w:ascii="Cambria" w:hAnsi="Cambria"/>
                <w:sz w:val="20"/>
                <w:szCs w:val="20"/>
              </w:rPr>
            </w:pPr>
          </w:p>
        </w:tc>
        <w:tc>
          <w:tcPr>
            <w:tcW w:w="2430" w:type="dxa"/>
            <w:shd w:val="clear" w:color="auto" w:fill="DFEBF5" w:themeFill="accent2" w:themeFillTint="33"/>
          </w:tcPr>
          <w:p w14:paraId="6DE6DA22"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National Police Commission</w:t>
            </w:r>
          </w:p>
        </w:tc>
        <w:tc>
          <w:tcPr>
            <w:tcW w:w="2070" w:type="dxa"/>
            <w:shd w:val="clear" w:color="auto" w:fill="EBE8EC" w:themeFill="accent6" w:themeFillTint="33"/>
          </w:tcPr>
          <w:p w14:paraId="4C4B3666" w14:textId="77777777" w:rsidR="00491D38" w:rsidRPr="00395C26" w:rsidRDefault="00491D38" w:rsidP="00491D38">
            <w:pPr>
              <w:rPr>
                <w:rFonts w:ascii="Cambria" w:hAnsi="Cambria"/>
                <w:sz w:val="20"/>
                <w:szCs w:val="20"/>
              </w:rPr>
            </w:pPr>
            <w:r w:rsidRPr="00395C26">
              <w:rPr>
                <w:rFonts w:ascii="Cambria" w:hAnsi="Cambria"/>
                <w:sz w:val="20"/>
                <w:szCs w:val="20"/>
              </w:rPr>
              <w:t>Independent Commission</w:t>
            </w:r>
          </w:p>
        </w:tc>
      </w:tr>
      <w:tr w:rsidR="00491D38" w:rsidRPr="00395C26" w14:paraId="011197CA" w14:textId="77777777" w:rsidTr="00491D38">
        <w:trPr>
          <w:trHeight w:val="793"/>
        </w:trPr>
        <w:tc>
          <w:tcPr>
            <w:tcW w:w="2610" w:type="dxa"/>
            <w:vMerge/>
            <w:shd w:val="clear" w:color="auto" w:fill="85B2F6" w:themeFill="background2" w:themeFillShade="E6"/>
          </w:tcPr>
          <w:p w14:paraId="58F76785" w14:textId="77777777" w:rsidR="00491D38" w:rsidRPr="00395C26" w:rsidRDefault="00491D38" w:rsidP="00491D38">
            <w:pPr>
              <w:rPr>
                <w:rFonts w:ascii="Cambria" w:hAnsi="Cambria"/>
                <w:sz w:val="20"/>
                <w:szCs w:val="20"/>
              </w:rPr>
            </w:pPr>
          </w:p>
        </w:tc>
        <w:tc>
          <w:tcPr>
            <w:tcW w:w="3240" w:type="dxa"/>
            <w:shd w:val="clear" w:color="auto" w:fill="D9DFEF" w:themeFill="accent1" w:themeFillTint="33"/>
          </w:tcPr>
          <w:p w14:paraId="264B2DC3"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Ms. Deepika Subasinghe</w:t>
            </w:r>
          </w:p>
          <w:p w14:paraId="2D276084"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Commissioner</w:t>
            </w:r>
          </w:p>
        </w:tc>
        <w:tc>
          <w:tcPr>
            <w:tcW w:w="2430" w:type="dxa"/>
            <w:shd w:val="clear" w:color="auto" w:fill="DFEBF5" w:themeFill="accent2" w:themeFillTint="33"/>
          </w:tcPr>
          <w:p w14:paraId="5AAE7727"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Human Rights Commission</w:t>
            </w:r>
          </w:p>
        </w:tc>
        <w:tc>
          <w:tcPr>
            <w:tcW w:w="2070" w:type="dxa"/>
            <w:shd w:val="clear" w:color="auto" w:fill="EBE8EC" w:themeFill="accent6" w:themeFillTint="33"/>
          </w:tcPr>
          <w:p w14:paraId="721DECC8" w14:textId="77777777" w:rsidR="00491D38" w:rsidRPr="00395C26" w:rsidRDefault="00491D38" w:rsidP="00491D38">
            <w:pPr>
              <w:rPr>
                <w:rFonts w:ascii="Cambria" w:hAnsi="Cambria"/>
                <w:sz w:val="20"/>
                <w:szCs w:val="20"/>
              </w:rPr>
            </w:pPr>
            <w:r w:rsidRPr="00395C26">
              <w:rPr>
                <w:rFonts w:ascii="Cambria" w:hAnsi="Cambria"/>
                <w:sz w:val="20"/>
                <w:szCs w:val="20"/>
              </w:rPr>
              <w:t>Independent Commission</w:t>
            </w:r>
          </w:p>
        </w:tc>
      </w:tr>
      <w:tr w:rsidR="00491D38" w:rsidRPr="00395C26" w14:paraId="58B05BE7" w14:textId="77777777" w:rsidTr="00491D38">
        <w:trPr>
          <w:trHeight w:val="314"/>
        </w:trPr>
        <w:tc>
          <w:tcPr>
            <w:tcW w:w="10350" w:type="dxa"/>
            <w:gridSpan w:val="4"/>
            <w:shd w:val="clear" w:color="auto" w:fill="0E57C4" w:themeFill="background2" w:themeFillShade="80"/>
          </w:tcPr>
          <w:p w14:paraId="1AF8DFDA" w14:textId="77777777" w:rsidR="00491D38" w:rsidRPr="00395C26" w:rsidRDefault="00491D38" w:rsidP="00491D38">
            <w:pPr>
              <w:rPr>
                <w:rFonts w:ascii="Cambria" w:hAnsi="Cambria"/>
                <w:sz w:val="20"/>
                <w:szCs w:val="20"/>
              </w:rPr>
            </w:pPr>
          </w:p>
        </w:tc>
      </w:tr>
      <w:tr w:rsidR="00491D38" w:rsidRPr="00395C26" w14:paraId="71CD7A64" w14:textId="77777777" w:rsidTr="00491D38">
        <w:trPr>
          <w:trHeight w:val="314"/>
        </w:trPr>
        <w:tc>
          <w:tcPr>
            <w:tcW w:w="2610" w:type="dxa"/>
            <w:vMerge w:val="restart"/>
            <w:shd w:val="clear" w:color="auto" w:fill="85B2F6" w:themeFill="background2" w:themeFillShade="E6"/>
          </w:tcPr>
          <w:p w14:paraId="00C28A9F" w14:textId="77777777" w:rsidR="00491D38" w:rsidRPr="00395C26" w:rsidRDefault="00491D38" w:rsidP="00491D38">
            <w:pPr>
              <w:rPr>
                <w:rFonts w:ascii="Cambria" w:hAnsi="Cambria"/>
                <w:sz w:val="20"/>
                <w:szCs w:val="20"/>
              </w:rPr>
            </w:pPr>
            <w:r w:rsidRPr="00395C26">
              <w:rPr>
                <w:rFonts w:ascii="Cambria" w:hAnsi="Cambria"/>
                <w:sz w:val="20"/>
                <w:szCs w:val="20"/>
              </w:rPr>
              <w:t>Ministry of Justice and Prison Reforms</w:t>
            </w:r>
          </w:p>
          <w:p w14:paraId="424C9B87" w14:textId="77777777" w:rsidR="00491D38" w:rsidRPr="00395C26" w:rsidRDefault="00491D38" w:rsidP="00491D38">
            <w:pPr>
              <w:rPr>
                <w:rFonts w:ascii="Cambria" w:hAnsi="Cambria"/>
                <w:sz w:val="20"/>
                <w:szCs w:val="20"/>
              </w:rPr>
            </w:pPr>
          </w:p>
        </w:tc>
        <w:tc>
          <w:tcPr>
            <w:tcW w:w="3240" w:type="dxa"/>
            <w:shd w:val="clear" w:color="auto" w:fill="D9DFEF" w:themeFill="accent1" w:themeFillTint="33"/>
          </w:tcPr>
          <w:p w14:paraId="0FF75281"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Mr. M.M.P.K. Mayadunne</w:t>
            </w:r>
          </w:p>
          <w:p w14:paraId="1E24D03E"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Secretary</w:t>
            </w:r>
          </w:p>
          <w:p w14:paraId="0555A8E7" w14:textId="77777777" w:rsidR="00491D38" w:rsidRPr="00395C26" w:rsidRDefault="00491D38" w:rsidP="00491D38">
            <w:pPr>
              <w:spacing w:line="276" w:lineRule="auto"/>
              <w:rPr>
                <w:rFonts w:ascii="Cambria" w:hAnsi="Cambria"/>
                <w:sz w:val="20"/>
                <w:szCs w:val="20"/>
              </w:rPr>
            </w:pPr>
          </w:p>
        </w:tc>
        <w:tc>
          <w:tcPr>
            <w:tcW w:w="2430" w:type="dxa"/>
            <w:shd w:val="clear" w:color="auto" w:fill="DFEBF5" w:themeFill="accent2" w:themeFillTint="33"/>
          </w:tcPr>
          <w:p w14:paraId="423D593E"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MOJ</w:t>
            </w:r>
          </w:p>
        </w:tc>
        <w:tc>
          <w:tcPr>
            <w:tcW w:w="2070" w:type="dxa"/>
            <w:shd w:val="clear" w:color="auto" w:fill="EBE8EC" w:themeFill="accent6" w:themeFillTint="33"/>
          </w:tcPr>
          <w:p w14:paraId="4695899F" w14:textId="77777777" w:rsidR="00491D38" w:rsidRPr="00395C26" w:rsidRDefault="00491D38" w:rsidP="00491D38">
            <w:pPr>
              <w:rPr>
                <w:rFonts w:ascii="Cambria" w:hAnsi="Cambria"/>
                <w:sz w:val="20"/>
                <w:szCs w:val="20"/>
              </w:rPr>
            </w:pPr>
            <w:r w:rsidRPr="00395C26">
              <w:rPr>
                <w:rFonts w:ascii="Cambria" w:hAnsi="Cambria"/>
                <w:sz w:val="20"/>
                <w:szCs w:val="20"/>
              </w:rPr>
              <w:t>Governmental</w:t>
            </w:r>
          </w:p>
        </w:tc>
      </w:tr>
      <w:tr w:rsidR="00491D38" w:rsidRPr="00395C26" w14:paraId="22F3B73A" w14:textId="77777777" w:rsidTr="00491D38">
        <w:trPr>
          <w:trHeight w:val="314"/>
        </w:trPr>
        <w:tc>
          <w:tcPr>
            <w:tcW w:w="2610" w:type="dxa"/>
            <w:vMerge/>
            <w:shd w:val="clear" w:color="auto" w:fill="85B2F6" w:themeFill="background2" w:themeFillShade="E6"/>
          </w:tcPr>
          <w:p w14:paraId="72DD422A" w14:textId="77777777" w:rsidR="00491D38" w:rsidRPr="00395C26" w:rsidRDefault="00491D38" w:rsidP="00491D38">
            <w:pPr>
              <w:rPr>
                <w:rFonts w:ascii="Cambria" w:hAnsi="Cambria"/>
                <w:sz w:val="20"/>
                <w:szCs w:val="20"/>
              </w:rPr>
            </w:pPr>
          </w:p>
        </w:tc>
        <w:tc>
          <w:tcPr>
            <w:tcW w:w="3240" w:type="dxa"/>
            <w:shd w:val="clear" w:color="auto" w:fill="D9DFEF" w:themeFill="accent1" w:themeFillTint="33"/>
          </w:tcPr>
          <w:p w14:paraId="2D403E91" w14:textId="77777777" w:rsidR="00491D38" w:rsidRDefault="00491D38" w:rsidP="00491D38">
            <w:pPr>
              <w:spacing w:line="276" w:lineRule="auto"/>
              <w:rPr>
                <w:rFonts w:ascii="Cambria" w:hAnsi="Cambria"/>
                <w:sz w:val="20"/>
                <w:szCs w:val="20"/>
              </w:rPr>
            </w:pPr>
            <w:r w:rsidRPr="00395C26">
              <w:rPr>
                <w:rFonts w:ascii="Cambria" w:hAnsi="Cambria"/>
                <w:sz w:val="20"/>
                <w:szCs w:val="20"/>
              </w:rPr>
              <w:t>Ms. Priyumanthi Peiris</w:t>
            </w:r>
          </w:p>
          <w:p w14:paraId="14AD1D84" w14:textId="77777777" w:rsidR="00491D38" w:rsidRDefault="00491D38" w:rsidP="00491D38">
            <w:pPr>
              <w:spacing w:line="276" w:lineRule="auto"/>
              <w:rPr>
                <w:rFonts w:ascii="Cambria" w:hAnsi="Cambria"/>
                <w:sz w:val="20"/>
                <w:szCs w:val="20"/>
              </w:rPr>
            </w:pPr>
            <w:r>
              <w:rPr>
                <w:rFonts w:ascii="Cambria" w:hAnsi="Cambria"/>
                <w:sz w:val="20"/>
                <w:szCs w:val="20"/>
              </w:rPr>
              <w:t>Additional Secretary Legal Division</w:t>
            </w:r>
          </w:p>
          <w:p w14:paraId="50520674" w14:textId="77777777" w:rsidR="00491D38" w:rsidRPr="00395C26" w:rsidRDefault="00491D38" w:rsidP="00491D38">
            <w:pPr>
              <w:spacing w:line="276" w:lineRule="auto"/>
              <w:rPr>
                <w:rFonts w:ascii="Cambria" w:hAnsi="Cambria"/>
                <w:sz w:val="20"/>
                <w:szCs w:val="20"/>
              </w:rPr>
            </w:pPr>
          </w:p>
        </w:tc>
        <w:tc>
          <w:tcPr>
            <w:tcW w:w="2430" w:type="dxa"/>
            <w:shd w:val="clear" w:color="auto" w:fill="DFEBF5" w:themeFill="accent2" w:themeFillTint="33"/>
          </w:tcPr>
          <w:p w14:paraId="75CE5E23"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Legal Division of the MOJ</w:t>
            </w:r>
          </w:p>
        </w:tc>
        <w:tc>
          <w:tcPr>
            <w:tcW w:w="2070" w:type="dxa"/>
            <w:shd w:val="clear" w:color="auto" w:fill="EBE8EC" w:themeFill="accent6" w:themeFillTint="33"/>
          </w:tcPr>
          <w:p w14:paraId="08FE684B" w14:textId="77777777" w:rsidR="00491D38" w:rsidRPr="00395C26" w:rsidRDefault="00491D38" w:rsidP="00491D38">
            <w:pPr>
              <w:rPr>
                <w:rFonts w:ascii="Cambria" w:hAnsi="Cambria"/>
                <w:sz w:val="20"/>
                <w:szCs w:val="20"/>
              </w:rPr>
            </w:pPr>
            <w:r w:rsidRPr="00395C26">
              <w:rPr>
                <w:rFonts w:ascii="Cambria" w:hAnsi="Cambria"/>
                <w:sz w:val="20"/>
                <w:szCs w:val="20"/>
              </w:rPr>
              <w:t>Governmental</w:t>
            </w:r>
          </w:p>
        </w:tc>
      </w:tr>
      <w:tr w:rsidR="00491D38" w:rsidRPr="00395C26" w14:paraId="14D9A05D" w14:textId="77777777" w:rsidTr="00491D38">
        <w:trPr>
          <w:trHeight w:val="314"/>
        </w:trPr>
        <w:tc>
          <w:tcPr>
            <w:tcW w:w="2610" w:type="dxa"/>
            <w:vMerge/>
            <w:shd w:val="clear" w:color="auto" w:fill="85B2F6" w:themeFill="background2" w:themeFillShade="E6"/>
          </w:tcPr>
          <w:p w14:paraId="7AC8E576" w14:textId="77777777" w:rsidR="00491D38" w:rsidRPr="00395C26" w:rsidRDefault="00491D38" w:rsidP="00491D38">
            <w:pPr>
              <w:rPr>
                <w:rFonts w:ascii="Cambria" w:hAnsi="Cambria"/>
                <w:sz w:val="20"/>
                <w:szCs w:val="20"/>
              </w:rPr>
            </w:pPr>
          </w:p>
        </w:tc>
        <w:tc>
          <w:tcPr>
            <w:tcW w:w="3240" w:type="dxa"/>
            <w:shd w:val="clear" w:color="auto" w:fill="D9DFEF" w:themeFill="accent1" w:themeFillTint="33"/>
          </w:tcPr>
          <w:p w14:paraId="0817E551" w14:textId="77777777" w:rsidR="00491D38" w:rsidRDefault="00491D38" w:rsidP="00491D38">
            <w:pPr>
              <w:spacing w:line="276" w:lineRule="auto"/>
              <w:rPr>
                <w:rFonts w:ascii="Cambria" w:hAnsi="Cambria"/>
                <w:sz w:val="20"/>
                <w:szCs w:val="20"/>
              </w:rPr>
            </w:pPr>
            <w:r w:rsidRPr="00395C26">
              <w:rPr>
                <w:rFonts w:ascii="Cambria" w:hAnsi="Cambria"/>
                <w:sz w:val="20"/>
                <w:szCs w:val="20"/>
              </w:rPr>
              <w:t>Ms. Dilhara Amerasinghe</w:t>
            </w:r>
          </w:p>
          <w:p w14:paraId="17C51B3C" w14:textId="77777777" w:rsidR="00491D38" w:rsidRDefault="00491D38" w:rsidP="00491D38">
            <w:pPr>
              <w:spacing w:line="276" w:lineRule="auto"/>
              <w:rPr>
                <w:rFonts w:ascii="Cambria" w:hAnsi="Cambria" w:cs="Arial"/>
                <w:color w:val="222222"/>
                <w:sz w:val="20"/>
                <w:szCs w:val="20"/>
                <w:shd w:val="clear" w:color="auto" w:fill="FFFFFF"/>
              </w:rPr>
            </w:pPr>
            <w:r>
              <w:rPr>
                <w:rFonts w:ascii="Cambria" w:hAnsi="Cambria"/>
                <w:sz w:val="20"/>
                <w:szCs w:val="20"/>
              </w:rPr>
              <w:t>Legal Consultant to the Cabinet Sub Committee on Legislation</w:t>
            </w:r>
          </w:p>
          <w:p w14:paraId="7FB29938" w14:textId="77777777" w:rsidR="00491D38" w:rsidRPr="00395C26" w:rsidRDefault="00491D38" w:rsidP="00491D38">
            <w:pPr>
              <w:spacing w:line="276" w:lineRule="auto"/>
              <w:rPr>
                <w:rFonts w:ascii="Cambria" w:hAnsi="Cambria"/>
                <w:sz w:val="20"/>
                <w:szCs w:val="20"/>
              </w:rPr>
            </w:pPr>
          </w:p>
        </w:tc>
        <w:tc>
          <w:tcPr>
            <w:tcW w:w="2430" w:type="dxa"/>
            <w:shd w:val="clear" w:color="auto" w:fill="DFEBF5" w:themeFill="accent2" w:themeFillTint="33"/>
          </w:tcPr>
          <w:p w14:paraId="01AD040A"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MOJ</w:t>
            </w:r>
          </w:p>
        </w:tc>
        <w:tc>
          <w:tcPr>
            <w:tcW w:w="2070" w:type="dxa"/>
            <w:shd w:val="clear" w:color="auto" w:fill="EBE8EC" w:themeFill="accent6" w:themeFillTint="33"/>
          </w:tcPr>
          <w:p w14:paraId="6580AF80" w14:textId="77777777" w:rsidR="00491D38" w:rsidRPr="00395C26" w:rsidRDefault="00491D38" w:rsidP="00491D38">
            <w:pPr>
              <w:rPr>
                <w:rFonts w:ascii="Cambria" w:hAnsi="Cambria"/>
                <w:sz w:val="20"/>
                <w:szCs w:val="20"/>
              </w:rPr>
            </w:pPr>
            <w:r w:rsidRPr="00395C26">
              <w:rPr>
                <w:rFonts w:ascii="Cambria" w:hAnsi="Cambria"/>
                <w:sz w:val="20"/>
                <w:szCs w:val="20"/>
              </w:rPr>
              <w:t>Governmental</w:t>
            </w:r>
          </w:p>
        </w:tc>
      </w:tr>
      <w:tr w:rsidR="00491D38" w:rsidRPr="00395C26" w14:paraId="5527EE27" w14:textId="77777777" w:rsidTr="00491D38">
        <w:trPr>
          <w:trHeight w:val="314"/>
        </w:trPr>
        <w:tc>
          <w:tcPr>
            <w:tcW w:w="10350" w:type="dxa"/>
            <w:gridSpan w:val="4"/>
            <w:shd w:val="clear" w:color="auto" w:fill="7F7F7F" w:themeFill="text1" w:themeFillTint="80"/>
          </w:tcPr>
          <w:p w14:paraId="7BE9D89D" w14:textId="77777777" w:rsidR="00491D38" w:rsidRPr="00395C26" w:rsidRDefault="00491D38" w:rsidP="00491D38">
            <w:pPr>
              <w:rPr>
                <w:rFonts w:ascii="Cambria" w:hAnsi="Cambria"/>
                <w:sz w:val="20"/>
                <w:szCs w:val="20"/>
              </w:rPr>
            </w:pPr>
          </w:p>
        </w:tc>
      </w:tr>
      <w:tr w:rsidR="00491D38" w:rsidRPr="00395C26" w14:paraId="0A80AAC5" w14:textId="77777777" w:rsidTr="00491D38">
        <w:trPr>
          <w:trHeight w:val="314"/>
        </w:trPr>
        <w:tc>
          <w:tcPr>
            <w:tcW w:w="2610" w:type="dxa"/>
            <w:vMerge w:val="restart"/>
            <w:shd w:val="clear" w:color="auto" w:fill="85B2F6" w:themeFill="background2" w:themeFillShade="E6"/>
          </w:tcPr>
          <w:p w14:paraId="77E83664"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State Ministry of Women and Child Development, Pre-Schools &amp; Primary Education, School Infrastructure &amp; Education Services</w:t>
            </w:r>
          </w:p>
          <w:p w14:paraId="227B8D92" w14:textId="77777777" w:rsidR="00491D38" w:rsidRPr="00395C26" w:rsidRDefault="00491D38" w:rsidP="00491D38">
            <w:pPr>
              <w:rPr>
                <w:rFonts w:ascii="Cambria" w:hAnsi="Cambria"/>
                <w:sz w:val="20"/>
                <w:szCs w:val="20"/>
              </w:rPr>
            </w:pPr>
          </w:p>
        </w:tc>
        <w:tc>
          <w:tcPr>
            <w:tcW w:w="3240" w:type="dxa"/>
            <w:shd w:val="clear" w:color="auto" w:fill="D9DFEF" w:themeFill="accent1" w:themeFillTint="33"/>
          </w:tcPr>
          <w:p w14:paraId="78F2DB99"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 xml:space="preserve">Ms. Kumari Jayasekara </w:t>
            </w:r>
          </w:p>
          <w:p w14:paraId="17DF7A51"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Secretary</w:t>
            </w:r>
          </w:p>
          <w:p w14:paraId="7364211B" w14:textId="77777777" w:rsidR="00491D38" w:rsidRPr="00395C26" w:rsidRDefault="00491D38" w:rsidP="00491D38">
            <w:pPr>
              <w:spacing w:line="276" w:lineRule="auto"/>
              <w:rPr>
                <w:rFonts w:ascii="Cambria" w:hAnsi="Cambria"/>
                <w:sz w:val="20"/>
                <w:szCs w:val="20"/>
              </w:rPr>
            </w:pPr>
          </w:p>
        </w:tc>
        <w:tc>
          <w:tcPr>
            <w:tcW w:w="2430" w:type="dxa"/>
            <w:shd w:val="clear" w:color="auto" w:fill="DFEBF5" w:themeFill="accent2" w:themeFillTint="33"/>
          </w:tcPr>
          <w:p w14:paraId="6357050A"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MWCA</w:t>
            </w:r>
          </w:p>
        </w:tc>
        <w:tc>
          <w:tcPr>
            <w:tcW w:w="2070" w:type="dxa"/>
            <w:shd w:val="clear" w:color="auto" w:fill="EBE8EC" w:themeFill="accent6" w:themeFillTint="33"/>
          </w:tcPr>
          <w:p w14:paraId="1C6930C5" w14:textId="77777777" w:rsidR="00491D38" w:rsidRPr="00395C26" w:rsidRDefault="00491D38" w:rsidP="00491D38">
            <w:pPr>
              <w:rPr>
                <w:rFonts w:ascii="Cambria" w:hAnsi="Cambria"/>
                <w:sz w:val="20"/>
                <w:szCs w:val="20"/>
              </w:rPr>
            </w:pPr>
            <w:r w:rsidRPr="00395C26">
              <w:rPr>
                <w:rFonts w:ascii="Cambria" w:hAnsi="Cambria"/>
                <w:sz w:val="20"/>
                <w:szCs w:val="20"/>
              </w:rPr>
              <w:t>Governmental</w:t>
            </w:r>
          </w:p>
        </w:tc>
      </w:tr>
      <w:tr w:rsidR="00491D38" w:rsidRPr="00395C26" w14:paraId="7190F989" w14:textId="77777777" w:rsidTr="00491D38">
        <w:trPr>
          <w:trHeight w:val="314"/>
        </w:trPr>
        <w:tc>
          <w:tcPr>
            <w:tcW w:w="2610" w:type="dxa"/>
            <w:vMerge/>
            <w:shd w:val="clear" w:color="auto" w:fill="85B2F6" w:themeFill="background2" w:themeFillShade="E6"/>
          </w:tcPr>
          <w:p w14:paraId="0523F9B3" w14:textId="77777777" w:rsidR="00491D38" w:rsidRPr="00395C26" w:rsidRDefault="00491D38" w:rsidP="00491D38">
            <w:pPr>
              <w:spacing w:line="276" w:lineRule="auto"/>
              <w:rPr>
                <w:rFonts w:ascii="Cambria" w:hAnsi="Cambria"/>
                <w:sz w:val="20"/>
                <w:szCs w:val="20"/>
              </w:rPr>
            </w:pPr>
          </w:p>
        </w:tc>
        <w:tc>
          <w:tcPr>
            <w:tcW w:w="3240" w:type="dxa"/>
            <w:shd w:val="clear" w:color="auto" w:fill="D9DFEF" w:themeFill="accent1" w:themeFillTint="33"/>
          </w:tcPr>
          <w:p w14:paraId="502EE8FF"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Ms. Nilmini Herath</w:t>
            </w:r>
          </w:p>
          <w:p w14:paraId="32AD557B"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Additional Secretary</w:t>
            </w:r>
          </w:p>
          <w:p w14:paraId="3EB5172A" w14:textId="77777777" w:rsidR="00491D38" w:rsidRPr="00395C26" w:rsidRDefault="00491D38" w:rsidP="00491D38">
            <w:pPr>
              <w:spacing w:line="276" w:lineRule="auto"/>
              <w:rPr>
                <w:rFonts w:ascii="Cambria" w:hAnsi="Cambria"/>
                <w:sz w:val="20"/>
                <w:szCs w:val="20"/>
              </w:rPr>
            </w:pPr>
          </w:p>
        </w:tc>
        <w:tc>
          <w:tcPr>
            <w:tcW w:w="2430" w:type="dxa"/>
            <w:shd w:val="clear" w:color="auto" w:fill="DFEBF5" w:themeFill="accent2" w:themeFillTint="33"/>
          </w:tcPr>
          <w:p w14:paraId="44468B09"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MWCA</w:t>
            </w:r>
          </w:p>
        </w:tc>
        <w:tc>
          <w:tcPr>
            <w:tcW w:w="2070" w:type="dxa"/>
            <w:shd w:val="clear" w:color="auto" w:fill="EBE8EC" w:themeFill="accent6" w:themeFillTint="33"/>
          </w:tcPr>
          <w:p w14:paraId="6150BDDF" w14:textId="77777777" w:rsidR="00491D38" w:rsidRPr="00395C26" w:rsidRDefault="00491D38" w:rsidP="00491D38">
            <w:pPr>
              <w:rPr>
                <w:rFonts w:ascii="Cambria" w:hAnsi="Cambria"/>
                <w:sz w:val="20"/>
                <w:szCs w:val="20"/>
              </w:rPr>
            </w:pPr>
            <w:r w:rsidRPr="00395C26">
              <w:rPr>
                <w:rFonts w:ascii="Cambria" w:hAnsi="Cambria"/>
                <w:sz w:val="20"/>
                <w:szCs w:val="20"/>
              </w:rPr>
              <w:t>Governmental</w:t>
            </w:r>
          </w:p>
        </w:tc>
      </w:tr>
      <w:tr w:rsidR="00491D38" w:rsidRPr="00395C26" w14:paraId="102C7C84" w14:textId="77777777" w:rsidTr="00491D38">
        <w:trPr>
          <w:trHeight w:val="314"/>
        </w:trPr>
        <w:tc>
          <w:tcPr>
            <w:tcW w:w="2610" w:type="dxa"/>
            <w:vMerge/>
            <w:shd w:val="clear" w:color="auto" w:fill="85B2F6" w:themeFill="background2" w:themeFillShade="E6"/>
          </w:tcPr>
          <w:p w14:paraId="61C201B1" w14:textId="77777777" w:rsidR="00491D38" w:rsidRPr="00395C26" w:rsidRDefault="00491D38" w:rsidP="00491D38">
            <w:pPr>
              <w:spacing w:line="276" w:lineRule="auto"/>
              <w:rPr>
                <w:rFonts w:ascii="Cambria" w:hAnsi="Cambria"/>
                <w:sz w:val="20"/>
                <w:szCs w:val="20"/>
              </w:rPr>
            </w:pPr>
          </w:p>
        </w:tc>
        <w:tc>
          <w:tcPr>
            <w:tcW w:w="3240" w:type="dxa"/>
            <w:shd w:val="clear" w:color="auto" w:fill="D9DFEF" w:themeFill="accent1" w:themeFillTint="33"/>
          </w:tcPr>
          <w:p w14:paraId="6AC7C621"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Ms. Manel Jayamanna</w:t>
            </w:r>
          </w:p>
          <w:p w14:paraId="0D08D03C"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 xml:space="preserve">Executive Director </w:t>
            </w:r>
          </w:p>
          <w:p w14:paraId="2629452C" w14:textId="77777777" w:rsidR="00491D38" w:rsidRPr="00395C26" w:rsidRDefault="00491D38" w:rsidP="00491D38">
            <w:pPr>
              <w:spacing w:line="276" w:lineRule="auto"/>
              <w:rPr>
                <w:rFonts w:ascii="Cambria" w:hAnsi="Cambria"/>
                <w:sz w:val="20"/>
                <w:szCs w:val="20"/>
              </w:rPr>
            </w:pPr>
          </w:p>
        </w:tc>
        <w:tc>
          <w:tcPr>
            <w:tcW w:w="2430" w:type="dxa"/>
            <w:shd w:val="clear" w:color="auto" w:fill="DFEBF5" w:themeFill="accent2" w:themeFillTint="33"/>
          </w:tcPr>
          <w:p w14:paraId="184F6561"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MWCA</w:t>
            </w:r>
          </w:p>
        </w:tc>
        <w:tc>
          <w:tcPr>
            <w:tcW w:w="2070" w:type="dxa"/>
            <w:shd w:val="clear" w:color="auto" w:fill="EBE8EC" w:themeFill="accent6" w:themeFillTint="33"/>
          </w:tcPr>
          <w:p w14:paraId="38F0FD26" w14:textId="77777777" w:rsidR="00491D38" w:rsidRPr="00395C26" w:rsidRDefault="00491D38" w:rsidP="00491D38">
            <w:pPr>
              <w:rPr>
                <w:rFonts w:ascii="Cambria" w:hAnsi="Cambria"/>
                <w:sz w:val="20"/>
                <w:szCs w:val="20"/>
              </w:rPr>
            </w:pPr>
            <w:r w:rsidRPr="00395C26">
              <w:rPr>
                <w:rFonts w:ascii="Cambria" w:hAnsi="Cambria"/>
                <w:sz w:val="20"/>
                <w:szCs w:val="20"/>
              </w:rPr>
              <w:t>Governmental</w:t>
            </w:r>
          </w:p>
        </w:tc>
      </w:tr>
      <w:tr w:rsidR="00491D38" w:rsidRPr="00395C26" w14:paraId="6E8296DD" w14:textId="77777777" w:rsidTr="00491D38">
        <w:trPr>
          <w:trHeight w:val="314"/>
        </w:trPr>
        <w:tc>
          <w:tcPr>
            <w:tcW w:w="2610" w:type="dxa"/>
            <w:vMerge/>
            <w:shd w:val="clear" w:color="auto" w:fill="85B2F6" w:themeFill="background2" w:themeFillShade="E6"/>
          </w:tcPr>
          <w:p w14:paraId="15B18209" w14:textId="77777777" w:rsidR="00491D38" w:rsidRPr="00395C26" w:rsidRDefault="00491D38" w:rsidP="00491D38">
            <w:pPr>
              <w:spacing w:line="276" w:lineRule="auto"/>
              <w:rPr>
                <w:rFonts w:ascii="Cambria" w:hAnsi="Cambria"/>
                <w:sz w:val="20"/>
                <w:szCs w:val="20"/>
              </w:rPr>
            </w:pPr>
          </w:p>
        </w:tc>
        <w:tc>
          <w:tcPr>
            <w:tcW w:w="3240" w:type="dxa"/>
            <w:shd w:val="clear" w:color="auto" w:fill="D9DFEF" w:themeFill="accent1" w:themeFillTint="33"/>
          </w:tcPr>
          <w:p w14:paraId="55D661F1"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 xml:space="preserve">Ms. Sujeewa Palliyaguru </w:t>
            </w:r>
          </w:p>
          <w:p w14:paraId="1C78501E"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Director Development</w:t>
            </w:r>
          </w:p>
          <w:p w14:paraId="4EA64226" w14:textId="77777777" w:rsidR="00491D38" w:rsidRPr="00395C26" w:rsidRDefault="00491D38" w:rsidP="00491D38">
            <w:pPr>
              <w:spacing w:line="276" w:lineRule="auto"/>
              <w:rPr>
                <w:rFonts w:ascii="Cambria" w:hAnsi="Cambria"/>
                <w:sz w:val="20"/>
                <w:szCs w:val="20"/>
              </w:rPr>
            </w:pPr>
          </w:p>
        </w:tc>
        <w:tc>
          <w:tcPr>
            <w:tcW w:w="2430" w:type="dxa"/>
            <w:shd w:val="clear" w:color="auto" w:fill="DFEBF5" w:themeFill="accent2" w:themeFillTint="33"/>
          </w:tcPr>
          <w:p w14:paraId="5B448EEF"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MWCA</w:t>
            </w:r>
          </w:p>
        </w:tc>
        <w:tc>
          <w:tcPr>
            <w:tcW w:w="2070" w:type="dxa"/>
            <w:shd w:val="clear" w:color="auto" w:fill="EBE8EC" w:themeFill="accent6" w:themeFillTint="33"/>
          </w:tcPr>
          <w:p w14:paraId="702C4C93" w14:textId="77777777" w:rsidR="00491D38" w:rsidRPr="00395C26" w:rsidRDefault="00491D38" w:rsidP="00491D38">
            <w:pPr>
              <w:rPr>
                <w:rFonts w:ascii="Cambria" w:hAnsi="Cambria"/>
                <w:sz w:val="20"/>
                <w:szCs w:val="20"/>
              </w:rPr>
            </w:pPr>
            <w:r w:rsidRPr="00395C26">
              <w:rPr>
                <w:rFonts w:ascii="Cambria" w:hAnsi="Cambria"/>
                <w:sz w:val="20"/>
                <w:szCs w:val="20"/>
              </w:rPr>
              <w:t>Governmental</w:t>
            </w:r>
          </w:p>
        </w:tc>
      </w:tr>
      <w:tr w:rsidR="00491D38" w:rsidRPr="00395C26" w14:paraId="46B69C41" w14:textId="77777777" w:rsidTr="00491D38">
        <w:trPr>
          <w:trHeight w:val="314"/>
        </w:trPr>
        <w:tc>
          <w:tcPr>
            <w:tcW w:w="2610" w:type="dxa"/>
            <w:vMerge/>
            <w:shd w:val="clear" w:color="auto" w:fill="85B2F6" w:themeFill="background2" w:themeFillShade="E6"/>
          </w:tcPr>
          <w:p w14:paraId="22E2990B" w14:textId="77777777" w:rsidR="00491D38" w:rsidRPr="00395C26" w:rsidRDefault="00491D38" w:rsidP="00491D38">
            <w:pPr>
              <w:spacing w:line="276" w:lineRule="auto"/>
              <w:rPr>
                <w:rFonts w:ascii="Cambria" w:hAnsi="Cambria"/>
                <w:sz w:val="20"/>
                <w:szCs w:val="20"/>
              </w:rPr>
            </w:pPr>
          </w:p>
        </w:tc>
        <w:tc>
          <w:tcPr>
            <w:tcW w:w="3240" w:type="dxa"/>
            <w:shd w:val="clear" w:color="auto" w:fill="D9DFEF" w:themeFill="accent1" w:themeFillTint="33"/>
          </w:tcPr>
          <w:p w14:paraId="6A15FF1B"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 xml:space="preserve">Ms. Sanduni Rajapakse </w:t>
            </w:r>
          </w:p>
          <w:p w14:paraId="68E88CEB"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 xml:space="preserve">Ass. Director Development </w:t>
            </w:r>
          </w:p>
          <w:p w14:paraId="3C72F29B" w14:textId="77777777" w:rsidR="00491D38" w:rsidRPr="00395C26" w:rsidRDefault="00491D38" w:rsidP="00491D38">
            <w:pPr>
              <w:spacing w:line="276" w:lineRule="auto"/>
              <w:rPr>
                <w:rFonts w:ascii="Cambria" w:hAnsi="Cambria"/>
                <w:sz w:val="20"/>
                <w:szCs w:val="20"/>
              </w:rPr>
            </w:pPr>
          </w:p>
        </w:tc>
        <w:tc>
          <w:tcPr>
            <w:tcW w:w="2430" w:type="dxa"/>
            <w:shd w:val="clear" w:color="auto" w:fill="DFEBF5" w:themeFill="accent2" w:themeFillTint="33"/>
          </w:tcPr>
          <w:p w14:paraId="20D1F8FB"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lastRenderedPageBreak/>
              <w:t>MWCA</w:t>
            </w:r>
          </w:p>
        </w:tc>
        <w:tc>
          <w:tcPr>
            <w:tcW w:w="2070" w:type="dxa"/>
            <w:shd w:val="clear" w:color="auto" w:fill="EBE8EC" w:themeFill="accent6" w:themeFillTint="33"/>
          </w:tcPr>
          <w:p w14:paraId="32497267" w14:textId="77777777" w:rsidR="00491D38" w:rsidRPr="00395C26" w:rsidRDefault="00491D38" w:rsidP="00491D38">
            <w:pPr>
              <w:rPr>
                <w:rFonts w:ascii="Cambria" w:hAnsi="Cambria"/>
                <w:sz w:val="20"/>
                <w:szCs w:val="20"/>
              </w:rPr>
            </w:pPr>
            <w:r w:rsidRPr="00395C26">
              <w:rPr>
                <w:rFonts w:ascii="Cambria" w:hAnsi="Cambria"/>
                <w:sz w:val="20"/>
                <w:szCs w:val="20"/>
              </w:rPr>
              <w:t>Governmental</w:t>
            </w:r>
          </w:p>
        </w:tc>
      </w:tr>
      <w:tr w:rsidR="00491D38" w:rsidRPr="00395C26" w14:paraId="3771E06E" w14:textId="77777777" w:rsidTr="00491D38">
        <w:trPr>
          <w:trHeight w:val="314"/>
        </w:trPr>
        <w:tc>
          <w:tcPr>
            <w:tcW w:w="2610" w:type="dxa"/>
            <w:vMerge/>
            <w:shd w:val="clear" w:color="auto" w:fill="85B2F6" w:themeFill="background2" w:themeFillShade="E6"/>
          </w:tcPr>
          <w:p w14:paraId="66954459" w14:textId="77777777" w:rsidR="00491D38" w:rsidRPr="00395C26" w:rsidRDefault="00491D38" w:rsidP="00491D38">
            <w:pPr>
              <w:spacing w:line="276" w:lineRule="auto"/>
              <w:rPr>
                <w:rFonts w:ascii="Cambria" w:hAnsi="Cambria"/>
                <w:sz w:val="20"/>
                <w:szCs w:val="20"/>
              </w:rPr>
            </w:pPr>
          </w:p>
        </w:tc>
        <w:tc>
          <w:tcPr>
            <w:tcW w:w="3240" w:type="dxa"/>
            <w:shd w:val="clear" w:color="auto" w:fill="D9DFEF" w:themeFill="accent1" w:themeFillTint="33"/>
          </w:tcPr>
          <w:p w14:paraId="076C0944"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 xml:space="preserve">J. P. S Jayasinghe </w:t>
            </w:r>
          </w:p>
          <w:p w14:paraId="56AC1DA4"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 xml:space="preserve">Director Planning </w:t>
            </w:r>
          </w:p>
          <w:p w14:paraId="23F9EF4D" w14:textId="77777777" w:rsidR="00491D38" w:rsidRPr="00395C26" w:rsidRDefault="00491D38" w:rsidP="00491D38">
            <w:pPr>
              <w:spacing w:line="276" w:lineRule="auto"/>
              <w:rPr>
                <w:rFonts w:ascii="Cambria" w:hAnsi="Cambria"/>
                <w:sz w:val="20"/>
                <w:szCs w:val="20"/>
              </w:rPr>
            </w:pPr>
          </w:p>
        </w:tc>
        <w:tc>
          <w:tcPr>
            <w:tcW w:w="2430" w:type="dxa"/>
            <w:shd w:val="clear" w:color="auto" w:fill="DFEBF5" w:themeFill="accent2" w:themeFillTint="33"/>
          </w:tcPr>
          <w:p w14:paraId="465E24D4"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MWCA</w:t>
            </w:r>
          </w:p>
        </w:tc>
        <w:tc>
          <w:tcPr>
            <w:tcW w:w="2070" w:type="dxa"/>
            <w:shd w:val="clear" w:color="auto" w:fill="EBE8EC" w:themeFill="accent6" w:themeFillTint="33"/>
          </w:tcPr>
          <w:p w14:paraId="24B7BA46" w14:textId="77777777" w:rsidR="00491D38" w:rsidRPr="00395C26" w:rsidRDefault="00491D38" w:rsidP="00491D38">
            <w:pPr>
              <w:rPr>
                <w:rFonts w:ascii="Cambria" w:hAnsi="Cambria"/>
                <w:sz w:val="20"/>
                <w:szCs w:val="20"/>
              </w:rPr>
            </w:pPr>
            <w:r w:rsidRPr="00395C26">
              <w:rPr>
                <w:rFonts w:ascii="Cambria" w:hAnsi="Cambria"/>
                <w:sz w:val="20"/>
                <w:szCs w:val="20"/>
              </w:rPr>
              <w:t>Governmental</w:t>
            </w:r>
          </w:p>
        </w:tc>
      </w:tr>
      <w:tr w:rsidR="00491D38" w:rsidRPr="00395C26" w14:paraId="238AE624" w14:textId="77777777" w:rsidTr="00491D38">
        <w:trPr>
          <w:trHeight w:val="314"/>
        </w:trPr>
        <w:tc>
          <w:tcPr>
            <w:tcW w:w="2610" w:type="dxa"/>
            <w:vMerge/>
            <w:shd w:val="clear" w:color="auto" w:fill="85B2F6" w:themeFill="background2" w:themeFillShade="E6"/>
          </w:tcPr>
          <w:p w14:paraId="26BB9D00" w14:textId="77777777" w:rsidR="00491D38" w:rsidRPr="00395C26" w:rsidRDefault="00491D38" w:rsidP="00491D38">
            <w:pPr>
              <w:spacing w:line="276" w:lineRule="auto"/>
              <w:rPr>
                <w:rFonts w:ascii="Cambria" w:hAnsi="Cambria"/>
                <w:sz w:val="20"/>
                <w:szCs w:val="20"/>
              </w:rPr>
            </w:pPr>
          </w:p>
        </w:tc>
        <w:tc>
          <w:tcPr>
            <w:tcW w:w="3240" w:type="dxa"/>
            <w:shd w:val="clear" w:color="auto" w:fill="D9DFEF" w:themeFill="accent1" w:themeFillTint="33"/>
          </w:tcPr>
          <w:p w14:paraId="0682D5F5"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 xml:space="preserve">Ms. Champa Upasena </w:t>
            </w:r>
          </w:p>
          <w:p w14:paraId="6456BA05"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 xml:space="preserve">Director </w:t>
            </w:r>
          </w:p>
          <w:p w14:paraId="6E2B3D7C" w14:textId="77777777" w:rsidR="00491D38" w:rsidRPr="00395C26" w:rsidRDefault="00491D38" w:rsidP="00491D38">
            <w:pPr>
              <w:spacing w:line="276" w:lineRule="auto"/>
              <w:rPr>
                <w:rFonts w:ascii="Cambria" w:hAnsi="Cambria"/>
                <w:sz w:val="20"/>
                <w:szCs w:val="20"/>
              </w:rPr>
            </w:pPr>
          </w:p>
        </w:tc>
        <w:tc>
          <w:tcPr>
            <w:tcW w:w="2430" w:type="dxa"/>
            <w:shd w:val="clear" w:color="auto" w:fill="DFEBF5" w:themeFill="accent2" w:themeFillTint="33"/>
          </w:tcPr>
          <w:p w14:paraId="0BE2BEED"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Women’s Bureau</w:t>
            </w:r>
          </w:p>
        </w:tc>
        <w:tc>
          <w:tcPr>
            <w:tcW w:w="2070" w:type="dxa"/>
            <w:shd w:val="clear" w:color="auto" w:fill="EBE8EC" w:themeFill="accent6" w:themeFillTint="33"/>
          </w:tcPr>
          <w:p w14:paraId="14C34DC3" w14:textId="77777777" w:rsidR="00491D38" w:rsidRPr="00395C26" w:rsidRDefault="00491D38" w:rsidP="00491D38">
            <w:pPr>
              <w:rPr>
                <w:rFonts w:ascii="Cambria" w:hAnsi="Cambria"/>
                <w:sz w:val="20"/>
                <w:szCs w:val="20"/>
              </w:rPr>
            </w:pPr>
            <w:r w:rsidRPr="00395C26">
              <w:rPr>
                <w:rFonts w:ascii="Cambria" w:hAnsi="Cambria"/>
                <w:sz w:val="20"/>
                <w:szCs w:val="20"/>
              </w:rPr>
              <w:t>Governmental</w:t>
            </w:r>
          </w:p>
        </w:tc>
      </w:tr>
      <w:tr w:rsidR="00491D38" w:rsidRPr="00395C26" w14:paraId="32A4F345" w14:textId="77777777" w:rsidTr="00491D38">
        <w:trPr>
          <w:trHeight w:val="314"/>
        </w:trPr>
        <w:tc>
          <w:tcPr>
            <w:tcW w:w="10350" w:type="dxa"/>
            <w:gridSpan w:val="4"/>
            <w:shd w:val="clear" w:color="auto" w:fill="0E57C4" w:themeFill="background2" w:themeFillShade="80"/>
          </w:tcPr>
          <w:p w14:paraId="22ABC4AD" w14:textId="77777777" w:rsidR="00491D38" w:rsidRPr="00395C26" w:rsidRDefault="00491D38" w:rsidP="00491D38">
            <w:pPr>
              <w:rPr>
                <w:rFonts w:ascii="Cambria" w:hAnsi="Cambria"/>
                <w:sz w:val="20"/>
                <w:szCs w:val="20"/>
              </w:rPr>
            </w:pPr>
          </w:p>
        </w:tc>
      </w:tr>
      <w:tr w:rsidR="00491D38" w:rsidRPr="00395C26" w14:paraId="7909BD10" w14:textId="77777777" w:rsidTr="00491D38">
        <w:trPr>
          <w:trHeight w:val="899"/>
        </w:trPr>
        <w:tc>
          <w:tcPr>
            <w:tcW w:w="2610" w:type="dxa"/>
            <w:vMerge w:val="restart"/>
            <w:shd w:val="clear" w:color="auto" w:fill="85B2F6" w:themeFill="background2" w:themeFillShade="E6"/>
          </w:tcPr>
          <w:p w14:paraId="7D157069"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 xml:space="preserve">Independent Institutions </w:t>
            </w:r>
          </w:p>
        </w:tc>
        <w:tc>
          <w:tcPr>
            <w:tcW w:w="3240" w:type="dxa"/>
            <w:shd w:val="clear" w:color="auto" w:fill="D9DFEF" w:themeFill="accent1" w:themeFillTint="33"/>
          </w:tcPr>
          <w:p w14:paraId="3A865DE3"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Mr. Mirak Raheem</w:t>
            </w:r>
          </w:p>
          <w:p w14:paraId="4FCC9D1D"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Commissioner</w:t>
            </w:r>
          </w:p>
          <w:p w14:paraId="77B43E98" w14:textId="77777777" w:rsidR="00491D38" w:rsidRPr="00395C26" w:rsidRDefault="00491D38" w:rsidP="00491D38">
            <w:pPr>
              <w:spacing w:line="276" w:lineRule="auto"/>
              <w:rPr>
                <w:rFonts w:ascii="Cambria" w:hAnsi="Cambria"/>
                <w:sz w:val="20"/>
                <w:szCs w:val="20"/>
              </w:rPr>
            </w:pPr>
          </w:p>
        </w:tc>
        <w:tc>
          <w:tcPr>
            <w:tcW w:w="2430" w:type="dxa"/>
            <w:shd w:val="clear" w:color="auto" w:fill="DFEBF5" w:themeFill="accent2" w:themeFillTint="33"/>
          </w:tcPr>
          <w:p w14:paraId="58D23DFC"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Office of Missing Persons</w:t>
            </w:r>
          </w:p>
        </w:tc>
        <w:tc>
          <w:tcPr>
            <w:tcW w:w="2070" w:type="dxa"/>
            <w:shd w:val="clear" w:color="auto" w:fill="EBE8EC" w:themeFill="accent6" w:themeFillTint="33"/>
          </w:tcPr>
          <w:p w14:paraId="14A0D4A0" w14:textId="77777777" w:rsidR="00491D38" w:rsidRPr="00395C26" w:rsidRDefault="00491D38" w:rsidP="00491D38">
            <w:pPr>
              <w:rPr>
                <w:rFonts w:ascii="Cambria" w:hAnsi="Cambria"/>
                <w:sz w:val="20"/>
                <w:szCs w:val="20"/>
              </w:rPr>
            </w:pPr>
            <w:r w:rsidRPr="00395C26">
              <w:rPr>
                <w:rFonts w:ascii="Cambria" w:hAnsi="Cambria"/>
                <w:sz w:val="20"/>
                <w:szCs w:val="20"/>
              </w:rPr>
              <w:t>Governmental</w:t>
            </w:r>
          </w:p>
        </w:tc>
      </w:tr>
      <w:tr w:rsidR="00491D38" w:rsidRPr="00395C26" w14:paraId="4DA90311" w14:textId="77777777" w:rsidTr="00491D38">
        <w:trPr>
          <w:trHeight w:val="899"/>
        </w:trPr>
        <w:tc>
          <w:tcPr>
            <w:tcW w:w="2610" w:type="dxa"/>
            <w:vMerge/>
            <w:shd w:val="clear" w:color="auto" w:fill="85B2F6" w:themeFill="background2" w:themeFillShade="E6"/>
          </w:tcPr>
          <w:p w14:paraId="05A6FED6" w14:textId="77777777" w:rsidR="00491D38" w:rsidRPr="00395C26" w:rsidRDefault="00491D38" w:rsidP="00491D38">
            <w:pPr>
              <w:spacing w:line="276" w:lineRule="auto"/>
              <w:rPr>
                <w:rFonts w:ascii="Cambria" w:hAnsi="Cambria"/>
                <w:sz w:val="20"/>
                <w:szCs w:val="20"/>
              </w:rPr>
            </w:pPr>
          </w:p>
        </w:tc>
        <w:tc>
          <w:tcPr>
            <w:tcW w:w="3240" w:type="dxa"/>
            <w:shd w:val="clear" w:color="auto" w:fill="D9DFEF" w:themeFill="accent1" w:themeFillTint="33"/>
          </w:tcPr>
          <w:p w14:paraId="728AFA22"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Mr. Rohan Sahabandu</w:t>
            </w:r>
          </w:p>
          <w:p w14:paraId="58AAD280"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Chairman</w:t>
            </w:r>
          </w:p>
        </w:tc>
        <w:tc>
          <w:tcPr>
            <w:tcW w:w="2430" w:type="dxa"/>
            <w:shd w:val="clear" w:color="auto" w:fill="DFEBF5" w:themeFill="accent2" w:themeFillTint="33"/>
          </w:tcPr>
          <w:p w14:paraId="2C5A64EC"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Legal Aid Commission</w:t>
            </w:r>
          </w:p>
        </w:tc>
        <w:tc>
          <w:tcPr>
            <w:tcW w:w="2070" w:type="dxa"/>
            <w:shd w:val="clear" w:color="auto" w:fill="EBE8EC" w:themeFill="accent6" w:themeFillTint="33"/>
          </w:tcPr>
          <w:p w14:paraId="22DE8535" w14:textId="77777777" w:rsidR="00491D38" w:rsidRPr="00395C26" w:rsidRDefault="00491D38" w:rsidP="00491D38">
            <w:pPr>
              <w:rPr>
                <w:rFonts w:ascii="Cambria" w:hAnsi="Cambria"/>
                <w:sz w:val="20"/>
                <w:szCs w:val="20"/>
              </w:rPr>
            </w:pPr>
            <w:r w:rsidRPr="00395C26">
              <w:rPr>
                <w:rFonts w:ascii="Cambria" w:hAnsi="Cambria"/>
                <w:sz w:val="20"/>
                <w:szCs w:val="20"/>
              </w:rPr>
              <w:t>Governmental</w:t>
            </w:r>
          </w:p>
        </w:tc>
      </w:tr>
      <w:tr w:rsidR="00491D38" w:rsidRPr="00395C26" w14:paraId="4C4DB0F3" w14:textId="77777777" w:rsidTr="00491D38">
        <w:trPr>
          <w:trHeight w:val="314"/>
        </w:trPr>
        <w:tc>
          <w:tcPr>
            <w:tcW w:w="2610" w:type="dxa"/>
            <w:vMerge/>
            <w:shd w:val="clear" w:color="auto" w:fill="85B2F6" w:themeFill="background2" w:themeFillShade="E6"/>
          </w:tcPr>
          <w:p w14:paraId="67E78195" w14:textId="77777777" w:rsidR="00491D38" w:rsidRPr="00395C26" w:rsidRDefault="00491D38" w:rsidP="00491D38">
            <w:pPr>
              <w:spacing w:line="276" w:lineRule="auto"/>
              <w:rPr>
                <w:rFonts w:ascii="Cambria" w:hAnsi="Cambria"/>
                <w:sz w:val="20"/>
                <w:szCs w:val="20"/>
              </w:rPr>
            </w:pPr>
          </w:p>
        </w:tc>
        <w:tc>
          <w:tcPr>
            <w:tcW w:w="3240" w:type="dxa"/>
            <w:shd w:val="clear" w:color="auto" w:fill="D9DFEF" w:themeFill="accent1" w:themeFillTint="33"/>
          </w:tcPr>
          <w:p w14:paraId="37632C3D"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 xml:space="preserve">Mr. Suhada Gamlath </w:t>
            </w:r>
          </w:p>
          <w:p w14:paraId="72A4E458"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Chairman</w:t>
            </w:r>
          </w:p>
        </w:tc>
        <w:tc>
          <w:tcPr>
            <w:tcW w:w="2430" w:type="dxa"/>
            <w:shd w:val="clear" w:color="auto" w:fill="DFEBF5" w:themeFill="accent2" w:themeFillTint="33"/>
          </w:tcPr>
          <w:p w14:paraId="3AD8E90C"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National Authority for the Protection of Victims and Witnesses of Crimes</w:t>
            </w:r>
          </w:p>
          <w:p w14:paraId="2E714C8C" w14:textId="77777777" w:rsidR="00491D38" w:rsidRPr="00395C26" w:rsidRDefault="00491D38" w:rsidP="00491D38">
            <w:pPr>
              <w:spacing w:line="276" w:lineRule="auto"/>
              <w:rPr>
                <w:rFonts w:ascii="Cambria" w:hAnsi="Cambria"/>
                <w:sz w:val="20"/>
                <w:szCs w:val="20"/>
              </w:rPr>
            </w:pPr>
          </w:p>
        </w:tc>
        <w:tc>
          <w:tcPr>
            <w:tcW w:w="2070" w:type="dxa"/>
            <w:shd w:val="clear" w:color="auto" w:fill="EBE8EC" w:themeFill="accent6" w:themeFillTint="33"/>
          </w:tcPr>
          <w:p w14:paraId="4B9272DF" w14:textId="77777777" w:rsidR="00491D38" w:rsidRPr="00395C26" w:rsidRDefault="00491D38" w:rsidP="00491D38">
            <w:pPr>
              <w:rPr>
                <w:rFonts w:ascii="Cambria" w:hAnsi="Cambria"/>
                <w:sz w:val="20"/>
                <w:szCs w:val="20"/>
              </w:rPr>
            </w:pPr>
            <w:r w:rsidRPr="00395C26">
              <w:rPr>
                <w:rFonts w:ascii="Cambria" w:hAnsi="Cambria"/>
                <w:sz w:val="20"/>
                <w:szCs w:val="20"/>
              </w:rPr>
              <w:t>Governmental</w:t>
            </w:r>
          </w:p>
        </w:tc>
      </w:tr>
      <w:tr w:rsidR="00491D38" w:rsidRPr="00395C26" w14:paraId="5F435CFA" w14:textId="77777777" w:rsidTr="00491D38">
        <w:trPr>
          <w:trHeight w:val="314"/>
        </w:trPr>
        <w:tc>
          <w:tcPr>
            <w:tcW w:w="10350" w:type="dxa"/>
            <w:gridSpan w:val="4"/>
            <w:shd w:val="clear" w:color="auto" w:fill="7F7F7F" w:themeFill="text1" w:themeFillTint="80"/>
          </w:tcPr>
          <w:p w14:paraId="5B8A2F3F" w14:textId="77777777" w:rsidR="00491D38" w:rsidRPr="00395C26" w:rsidRDefault="00491D38" w:rsidP="00491D38">
            <w:pPr>
              <w:rPr>
                <w:rFonts w:ascii="Cambria" w:hAnsi="Cambria"/>
                <w:sz w:val="20"/>
                <w:szCs w:val="20"/>
              </w:rPr>
            </w:pPr>
          </w:p>
        </w:tc>
      </w:tr>
      <w:tr w:rsidR="00491D38" w:rsidRPr="00395C26" w14:paraId="5686AC6C" w14:textId="77777777" w:rsidTr="00491D38">
        <w:trPr>
          <w:trHeight w:val="314"/>
        </w:trPr>
        <w:tc>
          <w:tcPr>
            <w:tcW w:w="2610" w:type="dxa"/>
            <w:vMerge w:val="restart"/>
            <w:shd w:val="clear" w:color="auto" w:fill="85B2F6" w:themeFill="background2" w:themeFillShade="E6"/>
          </w:tcPr>
          <w:p w14:paraId="3652BB89"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Civil Society Organizations</w:t>
            </w:r>
          </w:p>
        </w:tc>
        <w:tc>
          <w:tcPr>
            <w:tcW w:w="3240" w:type="dxa"/>
            <w:shd w:val="clear" w:color="auto" w:fill="D9DFEF" w:themeFill="accent1" w:themeFillTint="33"/>
          </w:tcPr>
          <w:p w14:paraId="1EF15302"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 xml:space="preserve">Ms. Sashi Stephen </w:t>
            </w:r>
          </w:p>
          <w:p w14:paraId="2B0A3E35"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Executive Director</w:t>
            </w:r>
          </w:p>
          <w:p w14:paraId="43013FDC" w14:textId="77777777" w:rsidR="00491D38" w:rsidRPr="00395C26" w:rsidRDefault="00491D38" w:rsidP="00491D38">
            <w:pPr>
              <w:spacing w:line="276" w:lineRule="auto"/>
              <w:rPr>
                <w:rFonts w:ascii="Cambria" w:hAnsi="Cambria"/>
                <w:sz w:val="20"/>
                <w:szCs w:val="20"/>
              </w:rPr>
            </w:pPr>
          </w:p>
        </w:tc>
        <w:tc>
          <w:tcPr>
            <w:tcW w:w="2430" w:type="dxa"/>
            <w:shd w:val="clear" w:color="auto" w:fill="DFEBF5" w:themeFill="accent2" w:themeFillTint="33"/>
          </w:tcPr>
          <w:p w14:paraId="21FBB523"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 xml:space="preserve">Women’s Development Centre </w:t>
            </w:r>
          </w:p>
          <w:p w14:paraId="5060CDDD" w14:textId="77777777" w:rsidR="00491D38" w:rsidRPr="00395C26" w:rsidRDefault="00491D38" w:rsidP="00491D38">
            <w:pPr>
              <w:rPr>
                <w:rFonts w:ascii="Cambria" w:hAnsi="Cambria"/>
                <w:sz w:val="20"/>
                <w:szCs w:val="20"/>
              </w:rPr>
            </w:pPr>
          </w:p>
        </w:tc>
        <w:tc>
          <w:tcPr>
            <w:tcW w:w="2070" w:type="dxa"/>
            <w:shd w:val="clear" w:color="auto" w:fill="EBE8EC" w:themeFill="accent6" w:themeFillTint="33"/>
          </w:tcPr>
          <w:p w14:paraId="2CC6826F" w14:textId="77777777" w:rsidR="00491D38" w:rsidRPr="00395C26" w:rsidRDefault="00491D38" w:rsidP="00491D38">
            <w:pPr>
              <w:rPr>
                <w:rFonts w:ascii="Cambria" w:hAnsi="Cambria"/>
                <w:sz w:val="20"/>
                <w:szCs w:val="20"/>
              </w:rPr>
            </w:pPr>
            <w:r w:rsidRPr="00395C26">
              <w:rPr>
                <w:rFonts w:ascii="Cambria" w:hAnsi="Cambria"/>
                <w:sz w:val="20"/>
                <w:szCs w:val="20"/>
              </w:rPr>
              <w:t>CSO</w:t>
            </w:r>
          </w:p>
        </w:tc>
      </w:tr>
      <w:tr w:rsidR="00491D38" w:rsidRPr="00395C26" w14:paraId="3CD6E541" w14:textId="77777777" w:rsidTr="00491D38">
        <w:trPr>
          <w:trHeight w:val="314"/>
        </w:trPr>
        <w:tc>
          <w:tcPr>
            <w:tcW w:w="2610" w:type="dxa"/>
            <w:vMerge/>
            <w:shd w:val="clear" w:color="auto" w:fill="85B2F6" w:themeFill="background2" w:themeFillShade="E6"/>
          </w:tcPr>
          <w:p w14:paraId="07918BBF" w14:textId="77777777" w:rsidR="00491D38" w:rsidRPr="00395C26" w:rsidRDefault="00491D38" w:rsidP="00491D38">
            <w:pPr>
              <w:spacing w:line="276" w:lineRule="auto"/>
              <w:rPr>
                <w:rFonts w:ascii="Cambria" w:hAnsi="Cambria"/>
                <w:sz w:val="20"/>
                <w:szCs w:val="20"/>
              </w:rPr>
            </w:pPr>
          </w:p>
        </w:tc>
        <w:tc>
          <w:tcPr>
            <w:tcW w:w="3240" w:type="dxa"/>
            <w:shd w:val="clear" w:color="auto" w:fill="D9DFEF" w:themeFill="accent1" w:themeFillTint="33"/>
          </w:tcPr>
          <w:p w14:paraId="75AAD010"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Ms. Chandi Delwala</w:t>
            </w:r>
          </w:p>
          <w:p w14:paraId="34FCE010"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Project Manager</w:t>
            </w:r>
          </w:p>
        </w:tc>
        <w:tc>
          <w:tcPr>
            <w:tcW w:w="2430" w:type="dxa"/>
            <w:shd w:val="clear" w:color="auto" w:fill="DFEBF5" w:themeFill="accent2" w:themeFillTint="33"/>
          </w:tcPr>
          <w:p w14:paraId="642C8F2A"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 xml:space="preserve">Women’s Development Centre </w:t>
            </w:r>
          </w:p>
          <w:p w14:paraId="1C7D37CB" w14:textId="77777777" w:rsidR="00491D38" w:rsidRPr="00395C26" w:rsidRDefault="00491D38" w:rsidP="00491D38">
            <w:pPr>
              <w:spacing w:line="276" w:lineRule="auto"/>
              <w:rPr>
                <w:rFonts w:ascii="Cambria" w:hAnsi="Cambria"/>
                <w:sz w:val="20"/>
                <w:szCs w:val="20"/>
              </w:rPr>
            </w:pPr>
          </w:p>
        </w:tc>
        <w:tc>
          <w:tcPr>
            <w:tcW w:w="2070" w:type="dxa"/>
            <w:shd w:val="clear" w:color="auto" w:fill="EBE8EC" w:themeFill="accent6" w:themeFillTint="33"/>
          </w:tcPr>
          <w:p w14:paraId="0AD2320D" w14:textId="77777777" w:rsidR="00491D38" w:rsidRPr="00395C26" w:rsidRDefault="00491D38" w:rsidP="00491D38">
            <w:pPr>
              <w:rPr>
                <w:rFonts w:ascii="Cambria" w:hAnsi="Cambria"/>
                <w:sz w:val="20"/>
                <w:szCs w:val="20"/>
              </w:rPr>
            </w:pPr>
            <w:r w:rsidRPr="00395C26">
              <w:rPr>
                <w:rFonts w:ascii="Cambria" w:hAnsi="Cambria"/>
                <w:sz w:val="20"/>
                <w:szCs w:val="20"/>
              </w:rPr>
              <w:t>CSO</w:t>
            </w:r>
          </w:p>
        </w:tc>
      </w:tr>
      <w:tr w:rsidR="00491D38" w:rsidRPr="00395C26" w14:paraId="4A83CDFB" w14:textId="77777777" w:rsidTr="00491D38">
        <w:trPr>
          <w:trHeight w:val="314"/>
        </w:trPr>
        <w:tc>
          <w:tcPr>
            <w:tcW w:w="2610" w:type="dxa"/>
            <w:vMerge/>
            <w:shd w:val="clear" w:color="auto" w:fill="85B2F6" w:themeFill="background2" w:themeFillShade="E6"/>
          </w:tcPr>
          <w:p w14:paraId="1B25C1DC" w14:textId="77777777" w:rsidR="00491D38" w:rsidRPr="00395C26" w:rsidRDefault="00491D38" w:rsidP="00491D38">
            <w:pPr>
              <w:spacing w:line="276" w:lineRule="auto"/>
              <w:rPr>
                <w:rFonts w:ascii="Cambria" w:hAnsi="Cambria"/>
                <w:sz w:val="20"/>
                <w:szCs w:val="20"/>
              </w:rPr>
            </w:pPr>
          </w:p>
        </w:tc>
        <w:tc>
          <w:tcPr>
            <w:tcW w:w="3240" w:type="dxa"/>
            <w:shd w:val="clear" w:color="auto" w:fill="D9DFEF" w:themeFill="accent1" w:themeFillTint="33"/>
          </w:tcPr>
          <w:p w14:paraId="128AE732"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Ms. Padmini Weerasooriya</w:t>
            </w:r>
          </w:p>
          <w:p w14:paraId="67E53405" w14:textId="10CC8B83" w:rsidR="00491D38" w:rsidRPr="00395C26" w:rsidRDefault="00491D38" w:rsidP="00491D38">
            <w:pPr>
              <w:spacing w:line="276" w:lineRule="auto"/>
              <w:rPr>
                <w:rFonts w:ascii="Cambria" w:hAnsi="Cambria"/>
                <w:sz w:val="20"/>
                <w:szCs w:val="20"/>
              </w:rPr>
            </w:pPr>
            <w:r w:rsidRPr="00395C26">
              <w:rPr>
                <w:rFonts w:ascii="Cambria" w:hAnsi="Cambria"/>
                <w:sz w:val="20"/>
                <w:szCs w:val="20"/>
              </w:rPr>
              <w:t>Treasurer</w:t>
            </w:r>
          </w:p>
        </w:tc>
        <w:tc>
          <w:tcPr>
            <w:tcW w:w="2430" w:type="dxa"/>
            <w:shd w:val="clear" w:color="auto" w:fill="DFEBF5" w:themeFill="accent2" w:themeFillTint="33"/>
          </w:tcPr>
          <w:p w14:paraId="5F0998EE"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Women’s Centre</w:t>
            </w:r>
          </w:p>
        </w:tc>
        <w:tc>
          <w:tcPr>
            <w:tcW w:w="2070" w:type="dxa"/>
            <w:shd w:val="clear" w:color="auto" w:fill="EBE8EC" w:themeFill="accent6" w:themeFillTint="33"/>
          </w:tcPr>
          <w:p w14:paraId="0E3CB8A2" w14:textId="77777777" w:rsidR="00491D38" w:rsidRPr="00395C26" w:rsidRDefault="00491D38" w:rsidP="00491D38">
            <w:pPr>
              <w:rPr>
                <w:rFonts w:ascii="Cambria" w:hAnsi="Cambria"/>
                <w:sz w:val="20"/>
                <w:szCs w:val="20"/>
              </w:rPr>
            </w:pPr>
            <w:r w:rsidRPr="00395C26">
              <w:rPr>
                <w:rFonts w:ascii="Cambria" w:hAnsi="Cambria"/>
                <w:sz w:val="20"/>
                <w:szCs w:val="20"/>
              </w:rPr>
              <w:t>CSO</w:t>
            </w:r>
          </w:p>
        </w:tc>
      </w:tr>
      <w:tr w:rsidR="00491D38" w:rsidRPr="00395C26" w14:paraId="411B2CC2" w14:textId="77777777" w:rsidTr="00491D38">
        <w:trPr>
          <w:trHeight w:val="314"/>
        </w:trPr>
        <w:tc>
          <w:tcPr>
            <w:tcW w:w="2610" w:type="dxa"/>
            <w:vMerge/>
            <w:shd w:val="clear" w:color="auto" w:fill="85B2F6" w:themeFill="background2" w:themeFillShade="E6"/>
          </w:tcPr>
          <w:p w14:paraId="3D81F9B0" w14:textId="77777777" w:rsidR="00491D38" w:rsidRPr="00395C26" w:rsidRDefault="00491D38" w:rsidP="00491D38">
            <w:pPr>
              <w:spacing w:line="276" w:lineRule="auto"/>
              <w:rPr>
                <w:rFonts w:ascii="Cambria" w:hAnsi="Cambria"/>
                <w:sz w:val="20"/>
                <w:szCs w:val="20"/>
              </w:rPr>
            </w:pPr>
          </w:p>
        </w:tc>
        <w:tc>
          <w:tcPr>
            <w:tcW w:w="3240" w:type="dxa"/>
            <w:shd w:val="clear" w:color="auto" w:fill="D9DFEF" w:themeFill="accent1" w:themeFillTint="33"/>
          </w:tcPr>
          <w:p w14:paraId="3E54B72B"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Ms. S.S. Sooriyakumary</w:t>
            </w:r>
          </w:p>
          <w:p w14:paraId="5303CB7B"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President</w:t>
            </w:r>
          </w:p>
          <w:p w14:paraId="53A205E0" w14:textId="77777777" w:rsidR="00491D38" w:rsidRPr="00395C26" w:rsidRDefault="00491D38" w:rsidP="00491D38">
            <w:pPr>
              <w:spacing w:line="276" w:lineRule="auto"/>
              <w:rPr>
                <w:rFonts w:ascii="Cambria" w:hAnsi="Cambria"/>
                <w:sz w:val="20"/>
                <w:szCs w:val="20"/>
              </w:rPr>
            </w:pPr>
          </w:p>
        </w:tc>
        <w:tc>
          <w:tcPr>
            <w:tcW w:w="2430" w:type="dxa"/>
            <w:shd w:val="clear" w:color="auto" w:fill="DFEBF5" w:themeFill="accent2" w:themeFillTint="33"/>
          </w:tcPr>
          <w:p w14:paraId="09C83433"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OfERR Ceylon</w:t>
            </w:r>
          </w:p>
        </w:tc>
        <w:tc>
          <w:tcPr>
            <w:tcW w:w="2070" w:type="dxa"/>
            <w:shd w:val="clear" w:color="auto" w:fill="EBE8EC" w:themeFill="accent6" w:themeFillTint="33"/>
          </w:tcPr>
          <w:p w14:paraId="6087497D" w14:textId="77777777" w:rsidR="00491D38" w:rsidRPr="00395C26" w:rsidRDefault="00491D38" w:rsidP="00491D38">
            <w:pPr>
              <w:rPr>
                <w:rFonts w:ascii="Cambria" w:hAnsi="Cambria"/>
                <w:sz w:val="20"/>
                <w:szCs w:val="20"/>
              </w:rPr>
            </w:pPr>
            <w:r w:rsidRPr="00395C26">
              <w:rPr>
                <w:rFonts w:ascii="Cambria" w:hAnsi="Cambria"/>
                <w:sz w:val="20"/>
                <w:szCs w:val="20"/>
              </w:rPr>
              <w:t>CSO</w:t>
            </w:r>
          </w:p>
        </w:tc>
      </w:tr>
      <w:tr w:rsidR="00491D38" w:rsidRPr="00395C26" w14:paraId="5A65CC9B" w14:textId="77777777" w:rsidTr="00491D38">
        <w:trPr>
          <w:trHeight w:val="314"/>
        </w:trPr>
        <w:tc>
          <w:tcPr>
            <w:tcW w:w="2610" w:type="dxa"/>
            <w:vMerge/>
            <w:shd w:val="clear" w:color="auto" w:fill="85B2F6" w:themeFill="background2" w:themeFillShade="E6"/>
          </w:tcPr>
          <w:p w14:paraId="4A90DAFA" w14:textId="77777777" w:rsidR="00491D38" w:rsidRPr="00395C26" w:rsidRDefault="00491D38" w:rsidP="00491D38">
            <w:pPr>
              <w:spacing w:line="276" w:lineRule="auto"/>
              <w:rPr>
                <w:rFonts w:ascii="Cambria" w:hAnsi="Cambria"/>
                <w:sz w:val="20"/>
                <w:szCs w:val="20"/>
              </w:rPr>
            </w:pPr>
          </w:p>
        </w:tc>
        <w:tc>
          <w:tcPr>
            <w:tcW w:w="3240" w:type="dxa"/>
            <w:shd w:val="clear" w:color="auto" w:fill="D9DFEF" w:themeFill="accent1" w:themeFillTint="33"/>
          </w:tcPr>
          <w:p w14:paraId="322D941E"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Mr. Sandun Thudugala</w:t>
            </w:r>
          </w:p>
          <w:p w14:paraId="199820F0"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 xml:space="preserve">Director </w:t>
            </w:r>
          </w:p>
          <w:p w14:paraId="7C344916" w14:textId="77777777" w:rsidR="00491D38" w:rsidRPr="00395C26" w:rsidRDefault="00491D38" w:rsidP="00491D38">
            <w:pPr>
              <w:spacing w:line="276" w:lineRule="auto"/>
              <w:rPr>
                <w:rFonts w:ascii="Cambria" w:hAnsi="Cambria"/>
                <w:sz w:val="20"/>
                <w:szCs w:val="20"/>
              </w:rPr>
            </w:pPr>
          </w:p>
        </w:tc>
        <w:tc>
          <w:tcPr>
            <w:tcW w:w="2430" w:type="dxa"/>
            <w:shd w:val="clear" w:color="auto" w:fill="DFEBF5" w:themeFill="accent2" w:themeFillTint="33"/>
          </w:tcPr>
          <w:p w14:paraId="7CE4D024"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Law and Society Trust</w:t>
            </w:r>
          </w:p>
        </w:tc>
        <w:tc>
          <w:tcPr>
            <w:tcW w:w="2070" w:type="dxa"/>
            <w:shd w:val="clear" w:color="auto" w:fill="EBE8EC" w:themeFill="accent6" w:themeFillTint="33"/>
          </w:tcPr>
          <w:p w14:paraId="7111FEB8" w14:textId="77777777" w:rsidR="00491D38" w:rsidRPr="00395C26" w:rsidRDefault="00491D38" w:rsidP="00491D38">
            <w:pPr>
              <w:rPr>
                <w:rFonts w:ascii="Cambria" w:hAnsi="Cambria"/>
                <w:sz w:val="20"/>
                <w:szCs w:val="20"/>
              </w:rPr>
            </w:pPr>
            <w:r w:rsidRPr="00395C26">
              <w:rPr>
                <w:rFonts w:ascii="Cambria" w:hAnsi="Cambria"/>
                <w:sz w:val="20"/>
                <w:szCs w:val="20"/>
              </w:rPr>
              <w:t>CSO</w:t>
            </w:r>
          </w:p>
        </w:tc>
      </w:tr>
      <w:tr w:rsidR="00491D38" w:rsidRPr="00395C26" w14:paraId="4FBD223D" w14:textId="77777777" w:rsidTr="00491D38">
        <w:trPr>
          <w:trHeight w:val="314"/>
        </w:trPr>
        <w:tc>
          <w:tcPr>
            <w:tcW w:w="2610" w:type="dxa"/>
            <w:vMerge/>
            <w:shd w:val="clear" w:color="auto" w:fill="85B2F6" w:themeFill="background2" w:themeFillShade="E6"/>
          </w:tcPr>
          <w:p w14:paraId="0E674894" w14:textId="77777777" w:rsidR="00491D38" w:rsidRPr="00395C26" w:rsidRDefault="00491D38" w:rsidP="00491D38">
            <w:pPr>
              <w:spacing w:line="276" w:lineRule="auto"/>
              <w:rPr>
                <w:rFonts w:ascii="Cambria" w:hAnsi="Cambria"/>
                <w:sz w:val="20"/>
                <w:szCs w:val="20"/>
              </w:rPr>
            </w:pPr>
          </w:p>
        </w:tc>
        <w:tc>
          <w:tcPr>
            <w:tcW w:w="3240" w:type="dxa"/>
            <w:shd w:val="clear" w:color="auto" w:fill="D9DFEF" w:themeFill="accent1" w:themeFillTint="33"/>
          </w:tcPr>
          <w:p w14:paraId="2B580951"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Mr. Hemantha Withanage</w:t>
            </w:r>
          </w:p>
          <w:p w14:paraId="6B6A4110"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Executive Director</w:t>
            </w:r>
          </w:p>
          <w:p w14:paraId="664EFE71" w14:textId="77777777" w:rsidR="00491D38" w:rsidRPr="00395C26" w:rsidRDefault="00491D38" w:rsidP="00491D38">
            <w:pPr>
              <w:spacing w:line="276" w:lineRule="auto"/>
              <w:rPr>
                <w:rFonts w:ascii="Cambria" w:hAnsi="Cambria"/>
                <w:sz w:val="20"/>
                <w:szCs w:val="20"/>
              </w:rPr>
            </w:pPr>
          </w:p>
        </w:tc>
        <w:tc>
          <w:tcPr>
            <w:tcW w:w="2430" w:type="dxa"/>
            <w:shd w:val="clear" w:color="auto" w:fill="DFEBF5" w:themeFill="accent2" w:themeFillTint="33"/>
          </w:tcPr>
          <w:p w14:paraId="7F842A29"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lastRenderedPageBreak/>
              <w:t>Centre for Environment Justice</w:t>
            </w:r>
          </w:p>
        </w:tc>
        <w:tc>
          <w:tcPr>
            <w:tcW w:w="2070" w:type="dxa"/>
            <w:shd w:val="clear" w:color="auto" w:fill="EBE8EC" w:themeFill="accent6" w:themeFillTint="33"/>
          </w:tcPr>
          <w:p w14:paraId="0C52636E" w14:textId="77777777" w:rsidR="00491D38" w:rsidRPr="00395C26" w:rsidRDefault="00491D38" w:rsidP="00491D38">
            <w:pPr>
              <w:rPr>
                <w:rFonts w:ascii="Cambria" w:hAnsi="Cambria"/>
                <w:sz w:val="20"/>
                <w:szCs w:val="20"/>
              </w:rPr>
            </w:pPr>
            <w:r w:rsidRPr="00395C26">
              <w:rPr>
                <w:rFonts w:ascii="Cambria" w:hAnsi="Cambria"/>
                <w:sz w:val="20"/>
                <w:szCs w:val="20"/>
              </w:rPr>
              <w:t>CSO</w:t>
            </w:r>
          </w:p>
        </w:tc>
      </w:tr>
      <w:tr w:rsidR="00491D38" w:rsidRPr="00395C26" w14:paraId="7FE310E5" w14:textId="77777777" w:rsidTr="00491D38">
        <w:trPr>
          <w:trHeight w:val="314"/>
        </w:trPr>
        <w:tc>
          <w:tcPr>
            <w:tcW w:w="2610" w:type="dxa"/>
            <w:vMerge/>
            <w:shd w:val="clear" w:color="auto" w:fill="85B2F6" w:themeFill="background2" w:themeFillShade="E6"/>
          </w:tcPr>
          <w:p w14:paraId="25D76F9A" w14:textId="77777777" w:rsidR="00491D38" w:rsidRPr="00395C26" w:rsidRDefault="00491D38" w:rsidP="00491D38">
            <w:pPr>
              <w:spacing w:line="276" w:lineRule="auto"/>
              <w:rPr>
                <w:rFonts w:ascii="Cambria" w:hAnsi="Cambria"/>
                <w:sz w:val="20"/>
                <w:szCs w:val="20"/>
              </w:rPr>
            </w:pPr>
          </w:p>
        </w:tc>
        <w:tc>
          <w:tcPr>
            <w:tcW w:w="3240" w:type="dxa"/>
            <w:shd w:val="clear" w:color="auto" w:fill="D9DFEF" w:themeFill="accent1" w:themeFillTint="33"/>
          </w:tcPr>
          <w:p w14:paraId="54E140EF" w14:textId="77777777" w:rsidR="00491D38" w:rsidRPr="00395C26" w:rsidRDefault="00491D38" w:rsidP="00491D38">
            <w:pPr>
              <w:spacing w:line="276" w:lineRule="auto"/>
              <w:jc w:val="both"/>
              <w:rPr>
                <w:rFonts w:ascii="Cambria" w:hAnsi="Cambria"/>
                <w:sz w:val="20"/>
                <w:szCs w:val="20"/>
              </w:rPr>
            </w:pPr>
            <w:r w:rsidRPr="00395C26">
              <w:rPr>
                <w:rFonts w:ascii="Cambria" w:hAnsi="Cambria"/>
                <w:sz w:val="20"/>
                <w:szCs w:val="20"/>
              </w:rPr>
              <w:t>Ms. Savithri Wijesekera</w:t>
            </w:r>
          </w:p>
          <w:p w14:paraId="6084F06E" w14:textId="77777777" w:rsidR="00491D38" w:rsidRPr="00395C26" w:rsidRDefault="00491D38" w:rsidP="00491D38">
            <w:pPr>
              <w:spacing w:line="276" w:lineRule="auto"/>
              <w:jc w:val="both"/>
              <w:rPr>
                <w:rFonts w:ascii="Cambria" w:hAnsi="Cambria"/>
                <w:sz w:val="20"/>
                <w:szCs w:val="20"/>
              </w:rPr>
            </w:pPr>
            <w:r w:rsidRPr="00395C26">
              <w:rPr>
                <w:rFonts w:ascii="Cambria" w:hAnsi="Cambria"/>
                <w:sz w:val="20"/>
                <w:szCs w:val="20"/>
              </w:rPr>
              <w:t xml:space="preserve">Executive Director </w:t>
            </w:r>
          </w:p>
          <w:p w14:paraId="6708A378" w14:textId="77777777" w:rsidR="00491D38" w:rsidRPr="00395C26" w:rsidRDefault="00491D38" w:rsidP="00491D38">
            <w:pPr>
              <w:spacing w:line="276" w:lineRule="auto"/>
              <w:rPr>
                <w:rFonts w:ascii="Cambria" w:hAnsi="Cambria"/>
                <w:sz w:val="20"/>
                <w:szCs w:val="20"/>
              </w:rPr>
            </w:pPr>
          </w:p>
        </w:tc>
        <w:tc>
          <w:tcPr>
            <w:tcW w:w="2430" w:type="dxa"/>
            <w:shd w:val="clear" w:color="auto" w:fill="DFEBF5" w:themeFill="accent2" w:themeFillTint="33"/>
          </w:tcPr>
          <w:p w14:paraId="517427EE"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Women in Need</w:t>
            </w:r>
          </w:p>
        </w:tc>
        <w:tc>
          <w:tcPr>
            <w:tcW w:w="2070" w:type="dxa"/>
            <w:shd w:val="clear" w:color="auto" w:fill="EBE8EC" w:themeFill="accent6" w:themeFillTint="33"/>
          </w:tcPr>
          <w:p w14:paraId="702CC088" w14:textId="77777777" w:rsidR="00491D38" w:rsidRPr="00395C26" w:rsidRDefault="00491D38" w:rsidP="00491D38">
            <w:pPr>
              <w:rPr>
                <w:rFonts w:ascii="Cambria" w:hAnsi="Cambria"/>
                <w:sz w:val="20"/>
                <w:szCs w:val="20"/>
              </w:rPr>
            </w:pPr>
            <w:r w:rsidRPr="00395C26">
              <w:rPr>
                <w:rFonts w:ascii="Cambria" w:hAnsi="Cambria"/>
                <w:sz w:val="20"/>
                <w:szCs w:val="20"/>
              </w:rPr>
              <w:t>CSO</w:t>
            </w:r>
          </w:p>
        </w:tc>
      </w:tr>
      <w:tr w:rsidR="00491D38" w:rsidRPr="00395C26" w14:paraId="6636D974" w14:textId="77777777" w:rsidTr="00491D38">
        <w:trPr>
          <w:trHeight w:val="314"/>
        </w:trPr>
        <w:tc>
          <w:tcPr>
            <w:tcW w:w="2610" w:type="dxa"/>
            <w:vMerge/>
            <w:shd w:val="clear" w:color="auto" w:fill="85B2F6" w:themeFill="background2" w:themeFillShade="E6"/>
          </w:tcPr>
          <w:p w14:paraId="450C2C2F" w14:textId="77777777" w:rsidR="00491D38" w:rsidRPr="00395C26" w:rsidRDefault="00491D38" w:rsidP="00491D38">
            <w:pPr>
              <w:spacing w:line="276" w:lineRule="auto"/>
              <w:rPr>
                <w:rFonts w:ascii="Cambria" w:hAnsi="Cambria"/>
                <w:sz w:val="20"/>
                <w:szCs w:val="20"/>
              </w:rPr>
            </w:pPr>
          </w:p>
        </w:tc>
        <w:tc>
          <w:tcPr>
            <w:tcW w:w="3240" w:type="dxa"/>
            <w:shd w:val="clear" w:color="auto" w:fill="D9DFEF" w:themeFill="accent1" w:themeFillTint="33"/>
          </w:tcPr>
          <w:p w14:paraId="7F07DED0" w14:textId="77777777" w:rsidR="00491D38" w:rsidRPr="00395C26" w:rsidRDefault="00491D38" w:rsidP="00491D38">
            <w:pPr>
              <w:spacing w:line="276" w:lineRule="auto"/>
              <w:jc w:val="both"/>
              <w:rPr>
                <w:rFonts w:ascii="Cambria" w:hAnsi="Cambria"/>
                <w:sz w:val="20"/>
                <w:szCs w:val="20"/>
              </w:rPr>
            </w:pPr>
            <w:r w:rsidRPr="00395C26">
              <w:rPr>
                <w:rFonts w:ascii="Cambria" w:hAnsi="Cambria"/>
                <w:sz w:val="20"/>
                <w:szCs w:val="20"/>
              </w:rPr>
              <w:t>Ms. H. Niroshika</w:t>
            </w:r>
          </w:p>
          <w:p w14:paraId="6BFBC64C" w14:textId="77777777" w:rsidR="00491D38" w:rsidRPr="00395C26" w:rsidRDefault="00491D38" w:rsidP="00491D38">
            <w:pPr>
              <w:spacing w:line="276" w:lineRule="auto"/>
              <w:jc w:val="both"/>
              <w:rPr>
                <w:rFonts w:ascii="Cambria" w:hAnsi="Cambria"/>
                <w:sz w:val="20"/>
                <w:szCs w:val="20"/>
              </w:rPr>
            </w:pPr>
            <w:r w:rsidRPr="00395C26">
              <w:rPr>
                <w:rFonts w:ascii="Cambria" w:hAnsi="Cambria"/>
                <w:sz w:val="20"/>
                <w:szCs w:val="20"/>
              </w:rPr>
              <w:t>Programme Manager</w:t>
            </w:r>
          </w:p>
          <w:p w14:paraId="34F351D0" w14:textId="77777777" w:rsidR="00491D38" w:rsidRPr="00395C26" w:rsidRDefault="00491D38" w:rsidP="00491D38">
            <w:pPr>
              <w:spacing w:line="276" w:lineRule="auto"/>
              <w:jc w:val="both"/>
              <w:rPr>
                <w:rFonts w:ascii="Cambria" w:hAnsi="Cambria"/>
                <w:sz w:val="20"/>
                <w:szCs w:val="20"/>
              </w:rPr>
            </w:pPr>
          </w:p>
        </w:tc>
        <w:tc>
          <w:tcPr>
            <w:tcW w:w="2430" w:type="dxa"/>
            <w:shd w:val="clear" w:color="auto" w:fill="DFEBF5" w:themeFill="accent2" w:themeFillTint="33"/>
          </w:tcPr>
          <w:p w14:paraId="75966A4E" w14:textId="77777777" w:rsidR="00491D38" w:rsidRPr="00395C26" w:rsidRDefault="00491D38" w:rsidP="00491D38">
            <w:pPr>
              <w:spacing w:line="276" w:lineRule="auto"/>
              <w:jc w:val="both"/>
              <w:rPr>
                <w:rFonts w:ascii="Cambria" w:hAnsi="Cambria"/>
                <w:sz w:val="20"/>
                <w:szCs w:val="20"/>
              </w:rPr>
            </w:pPr>
            <w:r w:rsidRPr="00395C26">
              <w:rPr>
                <w:rFonts w:ascii="Cambria" w:hAnsi="Cambria"/>
                <w:sz w:val="20"/>
                <w:szCs w:val="20"/>
              </w:rPr>
              <w:t xml:space="preserve">Women In Need </w:t>
            </w:r>
          </w:p>
          <w:p w14:paraId="2679390F" w14:textId="77777777" w:rsidR="00491D38" w:rsidRPr="00395C26" w:rsidRDefault="00491D38" w:rsidP="00491D38">
            <w:pPr>
              <w:spacing w:line="276" w:lineRule="auto"/>
              <w:rPr>
                <w:rFonts w:ascii="Cambria" w:hAnsi="Cambria"/>
                <w:sz w:val="20"/>
                <w:szCs w:val="20"/>
              </w:rPr>
            </w:pPr>
          </w:p>
        </w:tc>
        <w:tc>
          <w:tcPr>
            <w:tcW w:w="2070" w:type="dxa"/>
            <w:shd w:val="clear" w:color="auto" w:fill="EBE8EC" w:themeFill="accent6" w:themeFillTint="33"/>
          </w:tcPr>
          <w:p w14:paraId="138EBEB5" w14:textId="77777777" w:rsidR="00491D38" w:rsidRPr="00395C26" w:rsidRDefault="00491D38" w:rsidP="00491D38">
            <w:pPr>
              <w:rPr>
                <w:rFonts w:ascii="Cambria" w:hAnsi="Cambria"/>
                <w:sz w:val="20"/>
                <w:szCs w:val="20"/>
              </w:rPr>
            </w:pPr>
            <w:r w:rsidRPr="00395C26">
              <w:rPr>
                <w:rFonts w:ascii="Cambria" w:hAnsi="Cambria"/>
                <w:sz w:val="20"/>
                <w:szCs w:val="20"/>
              </w:rPr>
              <w:t>CSO</w:t>
            </w:r>
          </w:p>
        </w:tc>
      </w:tr>
      <w:tr w:rsidR="00491D38" w:rsidRPr="00395C26" w14:paraId="1A1DE8DF" w14:textId="77777777" w:rsidTr="00491D38">
        <w:trPr>
          <w:trHeight w:val="314"/>
        </w:trPr>
        <w:tc>
          <w:tcPr>
            <w:tcW w:w="10350" w:type="dxa"/>
            <w:gridSpan w:val="4"/>
            <w:shd w:val="clear" w:color="auto" w:fill="0E57C4" w:themeFill="background2" w:themeFillShade="80"/>
          </w:tcPr>
          <w:p w14:paraId="61411DB7" w14:textId="77777777" w:rsidR="00491D38" w:rsidRPr="00395C26" w:rsidRDefault="00491D38" w:rsidP="00491D38">
            <w:pPr>
              <w:rPr>
                <w:rFonts w:ascii="Cambria" w:hAnsi="Cambria"/>
                <w:sz w:val="20"/>
                <w:szCs w:val="20"/>
              </w:rPr>
            </w:pPr>
          </w:p>
        </w:tc>
      </w:tr>
      <w:tr w:rsidR="00491D38" w:rsidRPr="00395C26" w14:paraId="0D957DC7" w14:textId="77777777" w:rsidTr="00491D38">
        <w:trPr>
          <w:trHeight w:val="1164"/>
        </w:trPr>
        <w:tc>
          <w:tcPr>
            <w:tcW w:w="2610" w:type="dxa"/>
            <w:vMerge w:val="restart"/>
            <w:shd w:val="clear" w:color="auto" w:fill="85B2F6" w:themeFill="background2" w:themeFillShade="E6"/>
          </w:tcPr>
          <w:p w14:paraId="087B825D" w14:textId="77777777" w:rsidR="00491D38" w:rsidRPr="00395C26" w:rsidRDefault="00491D38" w:rsidP="00491D38">
            <w:pPr>
              <w:spacing w:line="276" w:lineRule="auto"/>
              <w:rPr>
                <w:rFonts w:ascii="Cambria" w:hAnsi="Cambria"/>
                <w:b/>
                <w:bCs/>
                <w:sz w:val="20"/>
                <w:szCs w:val="20"/>
              </w:rPr>
            </w:pPr>
            <w:r w:rsidRPr="00395C26">
              <w:rPr>
                <w:rFonts w:ascii="Cambria" w:hAnsi="Cambria"/>
                <w:b/>
                <w:bCs/>
                <w:sz w:val="20"/>
                <w:szCs w:val="20"/>
              </w:rPr>
              <w:t>Independent Partners</w:t>
            </w:r>
          </w:p>
        </w:tc>
        <w:tc>
          <w:tcPr>
            <w:tcW w:w="3240" w:type="dxa"/>
            <w:shd w:val="clear" w:color="auto" w:fill="D9DFEF" w:themeFill="accent1" w:themeFillTint="33"/>
          </w:tcPr>
          <w:p w14:paraId="0544EAFA"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Dr. Gehan Gunatilleke</w:t>
            </w:r>
          </w:p>
          <w:p w14:paraId="3FF72D58"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Dphil/Attorney-at-Law</w:t>
            </w:r>
          </w:p>
          <w:p w14:paraId="08936F79"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Founding Partner</w:t>
            </w:r>
          </w:p>
          <w:p w14:paraId="1B283B04" w14:textId="77777777" w:rsidR="00491D38" w:rsidRPr="00395C26" w:rsidRDefault="00491D38" w:rsidP="00491D38">
            <w:pPr>
              <w:spacing w:line="276" w:lineRule="auto"/>
              <w:rPr>
                <w:rFonts w:ascii="Cambria" w:hAnsi="Cambria"/>
                <w:sz w:val="20"/>
                <w:szCs w:val="20"/>
              </w:rPr>
            </w:pPr>
          </w:p>
          <w:p w14:paraId="716CDBEC" w14:textId="77777777" w:rsidR="00491D38" w:rsidRPr="00395C26" w:rsidRDefault="00491D38" w:rsidP="00491D38">
            <w:pPr>
              <w:spacing w:line="276" w:lineRule="auto"/>
              <w:rPr>
                <w:rFonts w:ascii="Cambria" w:hAnsi="Cambria"/>
                <w:sz w:val="20"/>
                <w:szCs w:val="20"/>
              </w:rPr>
            </w:pPr>
          </w:p>
        </w:tc>
        <w:tc>
          <w:tcPr>
            <w:tcW w:w="2430" w:type="dxa"/>
            <w:shd w:val="clear" w:color="auto" w:fill="DFEBF5" w:themeFill="accent2" w:themeFillTint="33"/>
          </w:tcPr>
          <w:p w14:paraId="783DD3E8"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 xml:space="preserve">LexAG Law Firm </w:t>
            </w:r>
          </w:p>
        </w:tc>
        <w:tc>
          <w:tcPr>
            <w:tcW w:w="2070" w:type="dxa"/>
            <w:shd w:val="clear" w:color="auto" w:fill="EBE8EC" w:themeFill="accent6" w:themeFillTint="33"/>
          </w:tcPr>
          <w:p w14:paraId="76F77020" w14:textId="77777777" w:rsidR="00491D38" w:rsidRPr="00395C26" w:rsidRDefault="00491D38" w:rsidP="00491D38">
            <w:pPr>
              <w:rPr>
                <w:rFonts w:ascii="Cambria" w:hAnsi="Cambria"/>
                <w:sz w:val="20"/>
                <w:szCs w:val="20"/>
              </w:rPr>
            </w:pPr>
            <w:r w:rsidRPr="00395C26">
              <w:rPr>
                <w:rFonts w:ascii="Cambria" w:hAnsi="Cambria"/>
                <w:sz w:val="20"/>
                <w:szCs w:val="20"/>
              </w:rPr>
              <w:t>Independent</w:t>
            </w:r>
          </w:p>
        </w:tc>
      </w:tr>
      <w:tr w:rsidR="00491D38" w:rsidRPr="00395C26" w14:paraId="111611F4" w14:textId="77777777" w:rsidTr="00491D38">
        <w:trPr>
          <w:trHeight w:val="314"/>
        </w:trPr>
        <w:tc>
          <w:tcPr>
            <w:tcW w:w="2610" w:type="dxa"/>
            <w:vMerge/>
            <w:shd w:val="clear" w:color="auto" w:fill="85B2F6" w:themeFill="background2" w:themeFillShade="E6"/>
          </w:tcPr>
          <w:p w14:paraId="3B070267" w14:textId="77777777" w:rsidR="00491D38" w:rsidRPr="00395C26" w:rsidRDefault="00491D38" w:rsidP="00491D38">
            <w:pPr>
              <w:spacing w:line="276" w:lineRule="auto"/>
              <w:rPr>
                <w:rFonts w:ascii="Cambria" w:hAnsi="Cambria"/>
                <w:sz w:val="20"/>
                <w:szCs w:val="20"/>
              </w:rPr>
            </w:pPr>
          </w:p>
        </w:tc>
        <w:tc>
          <w:tcPr>
            <w:tcW w:w="3240" w:type="dxa"/>
            <w:shd w:val="clear" w:color="auto" w:fill="D9DFEF" w:themeFill="accent1" w:themeFillTint="33"/>
          </w:tcPr>
          <w:p w14:paraId="16F3EB5C"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Ms. Bhavani Fonseka</w:t>
            </w:r>
          </w:p>
          <w:p w14:paraId="2698D5E8"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Senior Researcher and Attorney-at-Law</w:t>
            </w:r>
          </w:p>
          <w:p w14:paraId="5052E292" w14:textId="77777777" w:rsidR="00491D38" w:rsidRPr="00395C26" w:rsidRDefault="00491D38" w:rsidP="00491D38">
            <w:pPr>
              <w:spacing w:line="276" w:lineRule="auto"/>
              <w:rPr>
                <w:rFonts w:ascii="Cambria" w:hAnsi="Cambria"/>
                <w:sz w:val="20"/>
                <w:szCs w:val="20"/>
              </w:rPr>
            </w:pPr>
          </w:p>
        </w:tc>
        <w:tc>
          <w:tcPr>
            <w:tcW w:w="2430" w:type="dxa"/>
            <w:shd w:val="clear" w:color="auto" w:fill="DFEBF5" w:themeFill="accent2" w:themeFillTint="33"/>
          </w:tcPr>
          <w:p w14:paraId="16CAEB36"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 xml:space="preserve">Centre for Policy Alternatives </w:t>
            </w:r>
          </w:p>
        </w:tc>
        <w:tc>
          <w:tcPr>
            <w:tcW w:w="2070" w:type="dxa"/>
            <w:shd w:val="clear" w:color="auto" w:fill="EBE8EC" w:themeFill="accent6" w:themeFillTint="33"/>
          </w:tcPr>
          <w:p w14:paraId="01AE26E0" w14:textId="77777777" w:rsidR="00491D38" w:rsidRPr="00395C26" w:rsidRDefault="00491D38" w:rsidP="00491D38">
            <w:pPr>
              <w:rPr>
                <w:rFonts w:ascii="Cambria" w:hAnsi="Cambria"/>
                <w:sz w:val="20"/>
                <w:szCs w:val="20"/>
              </w:rPr>
            </w:pPr>
            <w:r w:rsidRPr="00395C26">
              <w:rPr>
                <w:rFonts w:ascii="Cambria" w:hAnsi="Cambria"/>
                <w:sz w:val="20"/>
                <w:szCs w:val="20"/>
              </w:rPr>
              <w:t>Independent</w:t>
            </w:r>
          </w:p>
        </w:tc>
      </w:tr>
      <w:tr w:rsidR="00491D38" w:rsidRPr="00395C26" w14:paraId="43FB4DE8" w14:textId="77777777" w:rsidTr="00491D38">
        <w:trPr>
          <w:trHeight w:val="314"/>
        </w:trPr>
        <w:tc>
          <w:tcPr>
            <w:tcW w:w="2610" w:type="dxa"/>
            <w:vMerge/>
            <w:shd w:val="clear" w:color="auto" w:fill="85B2F6" w:themeFill="background2" w:themeFillShade="E6"/>
          </w:tcPr>
          <w:p w14:paraId="16BB886D" w14:textId="77777777" w:rsidR="00491D38" w:rsidRPr="00395C26" w:rsidRDefault="00491D38" w:rsidP="00491D38">
            <w:pPr>
              <w:spacing w:line="276" w:lineRule="auto"/>
              <w:rPr>
                <w:rFonts w:ascii="Cambria" w:hAnsi="Cambria"/>
                <w:sz w:val="20"/>
                <w:szCs w:val="20"/>
              </w:rPr>
            </w:pPr>
          </w:p>
        </w:tc>
        <w:tc>
          <w:tcPr>
            <w:tcW w:w="3240" w:type="dxa"/>
            <w:shd w:val="clear" w:color="auto" w:fill="D9DFEF" w:themeFill="accent1" w:themeFillTint="33"/>
          </w:tcPr>
          <w:p w14:paraId="336D6C5B"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Mr. Rohan Edirisinghe</w:t>
            </w:r>
          </w:p>
          <w:p w14:paraId="07E29FBA"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Senior Constitutions and Political Advisor</w:t>
            </w:r>
          </w:p>
          <w:p w14:paraId="1C164CAF" w14:textId="77777777" w:rsidR="00491D38" w:rsidRPr="00395C26" w:rsidRDefault="00491D38" w:rsidP="00491D38">
            <w:pPr>
              <w:spacing w:line="276" w:lineRule="auto"/>
              <w:rPr>
                <w:rFonts w:ascii="Cambria" w:hAnsi="Cambria"/>
                <w:sz w:val="20"/>
                <w:szCs w:val="20"/>
              </w:rPr>
            </w:pPr>
          </w:p>
          <w:p w14:paraId="1E888C33" w14:textId="77777777" w:rsidR="00491D38" w:rsidRPr="00395C26" w:rsidRDefault="00491D38" w:rsidP="00491D38">
            <w:pPr>
              <w:spacing w:line="276" w:lineRule="auto"/>
              <w:rPr>
                <w:rFonts w:ascii="Cambria" w:hAnsi="Cambria"/>
                <w:sz w:val="20"/>
                <w:szCs w:val="20"/>
              </w:rPr>
            </w:pPr>
          </w:p>
          <w:p w14:paraId="777743F6"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Visiting Lecturer</w:t>
            </w:r>
          </w:p>
          <w:p w14:paraId="3577207D" w14:textId="77777777" w:rsidR="00491D38" w:rsidRPr="00395C26" w:rsidRDefault="00491D38" w:rsidP="00491D38">
            <w:pPr>
              <w:spacing w:line="276" w:lineRule="auto"/>
              <w:rPr>
                <w:rFonts w:ascii="Cambria" w:hAnsi="Cambria"/>
                <w:sz w:val="20"/>
                <w:szCs w:val="20"/>
              </w:rPr>
            </w:pPr>
          </w:p>
        </w:tc>
        <w:tc>
          <w:tcPr>
            <w:tcW w:w="2430" w:type="dxa"/>
            <w:shd w:val="clear" w:color="auto" w:fill="DFEBF5" w:themeFill="accent2" w:themeFillTint="33"/>
          </w:tcPr>
          <w:p w14:paraId="36263972"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Department of Political and Peacebuilding Affairs, United Nations</w:t>
            </w:r>
          </w:p>
          <w:p w14:paraId="7376A2AD" w14:textId="77777777" w:rsidR="00491D38" w:rsidRPr="00395C26" w:rsidRDefault="00491D38" w:rsidP="00491D38">
            <w:pPr>
              <w:spacing w:line="276" w:lineRule="auto"/>
              <w:rPr>
                <w:rFonts w:ascii="Cambria" w:hAnsi="Cambria"/>
                <w:sz w:val="20"/>
                <w:szCs w:val="20"/>
              </w:rPr>
            </w:pPr>
          </w:p>
          <w:p w14:paraId="294BC601"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University of Colombo, Sri Lanka</w:t>
            </w:r>
          </w:p>
          <w:p w14:paraId="5AF7D147" w14:textId="77777777" w:rsidR="00491D38" w:rsidRPr="00395C26" w:rsidRDefault="00491D38" w:rsidP="00491D38">
            <w:pPr>
              <w:spacing w:line="276" w:lineRule="auto"/>
              <w:rPr>
                <w:rFonts w:ascii="Cambria" w:hAnsi="Cambria"/>
                <w:sz w:val="20"/>
                <w:szCs w:val="20"/>
              </w:rPr>
            </w:pPr>
          </w:p>
        </w:tc>
        <w:tc>
          <w:tcPr>
            <w:tcW w:w="2070" w:type="dxa"/>
            <w:shd w:val="clear" w:color="auto" w:fill="EBE8EC" w:themeFill="accent6" w:themeFillTint="33"/>
          </w:tcPr>
          <w:p w14:paraId="7024847B" w14:textId="77777777" w:rsidR="00491D38" w:rsidRPr="00395C26" w:rsidRDefault="00491D38" w:rsidP="00491D38">
            <w:pPr>
              <w:rPr>
                <w:rFonts w:ascii="Cambria" w:hAnsi="Cambria"/>
                <w:sz w:val="20"/>
                <w:szCs w:val="20"/>
              </w:rPr>
            </w:pPr>
            <w:r w:rsidRPr="00395C26">
              <w:rPr>
                <w:rFonts w:ascii="Cambria" w:hAnsi="Cambria"/>
                <w:sz w:val="20"/>
                <w:szCs w:val="20"/>
              </w:rPr>
              <w:t>Independent</w:t>
            </w:r>
          </w:p>
        </w:tc>
      </w:tr>
      <w:tr w:rsidR="00491D38" w:rsidRPr="00395C26" w14:paraId="4DF2D2CB" w14:textId="77777777" w:rsidTr="00491D38">
        <w:trPr>
          <w:trHeight w:val="809"/>
        </w:trPr>
        <w:tc>
          <w:tcPr>
            <w:tcW w:w="2610" w:type="dxa"/>
            <w:vMerge/>
            <w:shd w:val="clear" w:color="auto" w:fill="85B2F6" w:themeFill="background2" w:themeFillShade="E6"/>
          </w:tcPr>
          <w:p w14:paraId="1AE8946D" w14:textId="77777777" w:rsidR="00491D38" w:rsidRPr="00395C26" w:rsidRDefault="00491D38" w:rsidP="00491D38">
            <w:pPr>
              <w:spacing w:line="276" w:lineRule="auto"/>
              <w:rPr>
                <w:rFonts w:ascii="Cambria" w:hAnsi="Cambria"/>
                <w:sz w:val="20"/>
                <w:szCs w:val="20"/>
              </w:rPr>
            </w:pPr>
          </w:p>
        </w:tc>
        <w:tc>
          <w:tcPr>
            <w:tcW w:w="3240" w:type="dxa"/>
            <w:shd w:val="clear" w:color="auto" w:fill="D9DFEF" w:themeFill="accent1" w:themeFillTint="33"/>
          </w:tcPr>
          <w:p w14:paraId="6792D696"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Ms. Ermiza Tegal</w:t>
            </w:r>
          </w:p>
          <w:p w14:paraId="073F3327"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Attorney-at-Law</w:t>
            </w:r>
          </w:p>
          <w:p w14:paraId="1E9A1FE9" w14:textId="77777777" w:rsidR="00491D38" w:rsidRPr="00395C26" w:rsidRDefault="00491D38" w:rsidP="00491D38">
            <w:pPr>
              <w:spacing w:line="276" w:lineRule="auto"/>
              <w:rPr>
                <w:rFonts w:ascii="Cambria" w:hAnsi="Cambria"/>
                <w:sz w:val="20"/>
                <w:szCs w:val="20"/>
              </w:rPr>
            </w:pPr>
          </w:p>
        </w:tc>
        <w:tc>
          <w:tcPr>
            <w:tcW w:w="2430" w:type="dxa"/>
            <w:shd w:val="clear" w:color="auto" w:fill="DFEBF5" w:themeFill="accent2" w:themeFillTint="33"/>
          </w:tcPr>
          <w:p w14:paraId="19C6DEBA"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Human Rights Lawyer</w:t>
            </w:r>
          </w:p>
          <w:p w14:paraId="7D5B3812" w14:textId="77777777" w:rsidR="00491D38" w:rsidRPr="00395C26" w:rsidRDefault="00491D38" w:rsidP="00491D38">
            <w:pPr>
              <w:spacing w:line="276" w:lineRule="auto"/>
              <w:rPr>
                <w:rFonts w:ascii="Cambria" w:hAnsi="Cambria"/>
                <w:sz w:val="20"/>
                <w:szCs w:val="20"/>
              </w:rPr>
            </w:pPr>
          </w:p>
        </w:tc>
        <w:tc>
          <w:tcPr>
            <w:tcW w:w="2070" w:type="dxa"/>
            <w:shd w:val="clear" w:color="auto" w:fill="EBE8EC" w:themeFill="accent6" w:themeFillTint="33"/>
          </w:tcPr>
          <w:p w14:paraId="2F82F4B7" w14:textId="77777777" w:rsidR="00491D38" w:rsidRPr="00395C26" w:rsidRDefault="00491D38" w:rsidP="00491D38">
            <w:pPr>
              <w:rPr>
                <w:rFonts w:ascii="Cambria" w:hAnsi="Cambria"/>
                <w:sz w:val="20"/>
                <w:szCs w:val="20"/>
              </w:rPr>
            </w:pPr>
            <w:r w:rsidRPr="00395C26">
              <w:rPr>
                <w:rFonts w:ascii="Cambria" w:hAnsi="Cambria"/>
                <w:sz w:val="20"/>
                <w:szCs w:val="20"/>
              </w:rPr>
              <w:t>Independent</w:t>
            </w:r>
          </w:p>
        </w:tc>
      </w:tr>
      <w:tr w:rsidR="00491D38" w:rsidRPr="00395C26" w14:paraId="476129F5" w14:textId="77777777" w:rsidTr="00491D38">
        <w:trPr>
          <w:trHeight w:val="314"/>
        </w:trPr>
        <w:tc>
          <w:tcPr>
            <w:tcW w:w="2610" w:type="dxa"/>
            <w:vMerge/>
            <w:shd w:val="clear" w:color="auto" w:fill="85B2F6" w:themeFill="background2" w:themeFillShade="E6"/>
          </w:tcPr>
          <w:p w14:paraId="778D8611" w14:textId="77777777" w:rsidR="00491D38" w:rsidRPr="00395C26" w:rsidRDefault="00491D38" w:rsidP="00491D38">
            <w:pPr>
              <w:spacing w:line="276" w:lineRule="auto"/>
              <w:rPr>
                <w:rFonts w:ascii="Cambria" w:hAnsi="Cambria"/>
                <w:sz w:val="20"/>
                <w:szCs w:val="20"/>
              </w:rPr>
            </w:pPr>
          </w:p>
        </w:tc>
        <w:tc>
          <w:tcPr>
            <w:tcW w:w="3240" w:type="dxa"/>
            <w:shd w:val="clear" w:color="auto" w:fill="D9DFEF" w:themeFill="accent1" w:themeFillTint="33"/>
          </w:tcPr>
          <w:p w14:paraId="0B5D2F98"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 xml:space="preserve">Dr. Ramani Jayasundera Director Gender &amp; Justice Programme </w:t>
            </w:r>
          </w:p>
          <w:p w14:paraId="10F77F9C" w14:textId="77777777" w:rsidR="00491D38" w:rsidRPr="00395C26" w:rsidRDefault="00491D38" w:rsidP="00491D38">
            <w:pPr>
              <w:spacing w:line="276" w:lineRule="auto"/>
              <w:rPr>
                <w:rFonts w:ascii="Cambria" w:hAnsi="Cambria"/>
                <w:sz w:val="20"/>
                <w:szCs w:val="20"/>
              </w:rPr>
            </w:pPr>
          </w:p>
        </w:tc>
        <w:tc>
          <w:tcPr>
            <w:tcW w:w="2430" w:type="dxa"/>
            <w:shd w:val="clear" w:color="auto" w:fill="DFEBF5" w:themeFill="accent2" w:themeFillTint="33"/>
          </w:tcPr>
          <w:p w14:paraId="01E74FA7"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The Asia Foundation</w:t>
            </w:r>
          </w:p>
        </w:tc>
        <w:tc>
          <w:tcPr>
            <w:tcW w:w="2070" w:type="dxa"/>
            <w:shd w:val="clear" w:color="auto" w:fill="EBE8EC" w:themeFill="accent6" w:themeFillTint="33"/>
          </w:tcPr>
          <w:p w14:paraId="21E77430" w14:textId="77777777" w:rsidR="00491D38" w:rsidRPr="00395C26" w:rsidRDefault="00491D38" w:rsidP="00491D38">
            <w:pPr>
              <w:rPr>
                <w:rFonts w:ascii="Cambria" w:hAnsi="Cambria"/>
                <w:sz w:val="20"/>
                <w:szCs w:val="20"/>
              </w:rPr>
            </w:pPr>
            <w:r w:rsidRPr="00395C26">
              <w:rPr>
                <w:rFonts w:ascii="Cambria" w:hAnsi="Cambria"/>
                <w:sz w:val="20"/>
                <w:szCs w:val="20"/>
              </w:rPr>
              <w:t>Independent</w:t>
            </w:r>
          </w:p>
        </w:tc>
      </w:tr>
      <w:tr w:rsidR="00491D38" w:rsidRPr="00395C26" w14:paraId="042A487B" w14:textId="77777777" w:rsidTr="00491D38">
        <w:trPr>
          <w:trHeight w:val="314"/>
        </w:trPr>
        <w:tc>
          <w:tcPr>
            <w:tcW w:w="2610" w:type="dxa"/>
            <w:vMerge/>
            <w:shd w:val="clear" w:color="auto" w:fill="85B2F6" w:themeFill="background2" w:themeFillShade="E6"/>
          </w:tcPr>
          <w:p w14:paraId="759388A6" w14:textId="77777777" w:rsidR="00491D38" w:rsidRPr="00395C26" w:rsidRDefault="00491D38" w:rsidP="00491D38">
            <w:pPr>
              <w:spacing w:line="276" w:lineRule="auto"/>
              <w:rPr>
                <w:rFonts w:ascii="Cambria" w:hAnsi="Cambria"/>
                <w:sz w:val="20"/>
                <w:szCs w:val="20"/>
              </w:rPr>
            </w:pPr>
          </w:p>
        </w:tc>
        <w:tc>
          <w:tcPr>
            <w:tcW w:w="3240" w:type="dxa"/>
            <w:shd w:val="clear" w:color="auto" w:fill="D9DFEF" w:themeFill="accent1" w:themeFillTint="33"/>
          </w:tcPr>
          <w:p w14:paraId="37EE30AE"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Mr. Rajeev Amarasuriya</w:t>
            </w:r>
          </w:p>
          <w:p w14:paraId="47CE5E19"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Secretary</w:t>
            </w:r>
          </w:p>
          <w:p w14:paraId="52FCCB95"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 xml:space="preserve"> </w:t>
            </w:r>
          </w:p>
        </w:tc>
        <w:tc>
          <w:tcPr>
            <w:tcW w:w="2430" w:type="dxa"/>
            <w:shd w:val="clear" w:color="auto" w:fill="DFEBF5" w:themeFill="accent2" w:themeFillTint="33"/>
          </w:tcPr>
          <w:p w14:paraId="471AFF8D"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 xml:space="preserve">Bar Association of Sri Lanka </w:t>
            </w:r>
          </w:p>
        </w:tc>
        <w:tc>
          <w:tcPr>
            <w:tcW w:w="2070" w:type="dxa"/>
            <w:shd w:val="clear" w:color="auto" w:fill="EBE8EC" w:themeFill="accent6" w:themeFillTint="33"/>
          </w:tcPr>
          <w:p w14:paraId="71CA97B1" w14:textId="77777777" w:rsidR="00491D38" w:rsidRPr="00395C26" w:rsidRDefault="00491D38" w:rsidP="00491D38">
            <w:pPr>
              <w:rPr>
                <w:rFonts w:ascii="Cambria" w:hAnsi="Cambria"/>
                <w:sz w:val="20"/>
                <w:szCs w:val="20"/>
              </w:rPr>
            </w:pPr>
            <w:r w:rsidRPr="00395C26">
              <w:rPr>
                <w:rFonts w:ascii="Cambria" w:hAnsi="Cambria"/>
                <w:sz w:val="20"/>
                <w:szCs w:val="20"/>
              </w:rPr>
              <w:t>Independent</w:t>
            </w:r>
          </w:p>
        </w:tc>
      </w:tr>
      <w:tr w:rsidR="00491D38" w:rsidRPr="00395C26" w14:paraId="3BA4FFC6" w14:textId="77777777" w:rsidTr="00491D38">
        <w:trPr>
          <w:trHeight w:val="314"/>
        </w:trPr>
        <w:tc>
          <w:tcPr>
            <w:tcW w:w="2610" w:type="dxa"/>
            <w:vMerge/>
            <w:shd w:val="clear" w:color="auto" w:fill="85B2F6" w:themeFill="background2" w:themeFillShade="E6"/>
          </w:tcPr>
          <w:p w14:paraId="652B4ECE" w14:textId="77777777" w:rsidR="00491D38" w:rsidRPr="00395C26" w:rsidRDefault="00491D38" w:rsidP="00491D38">
            <w:pPr>
              <w:spacing w:line="276" w:lineRule="auto"/>
              <w:rPr>
                <w:rFonts w:ascii="Cambria" w:hAnsi="Cambria"/>
                <w:sz w:val="20"/>
                <w:szCs w:val="20"/>
              </w:rPr>
            </w:pPr>
          </w:p>
        </w:tc>
        <w:tc>
          <w:tcPr>
            <w:tcW w:w="3240" w:type="dxa"/>
            <w:shd w:val="clear" w:color="auto" w:fill="D9DFEF" w:themeFill="accent1" w:themeFillTint="33"/>
          </w:tcPr>
          <w:p w14:paraId="497B108C"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Dr. Jehan Perera</w:t>
            </w:r>
          </w:p>
          <w:p w14:paraId="1136B14A"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 xml:space="preserve">Executive Director </w:t>
            </w:r>
          </w:p>
          <w:p w14:paraId="7A3C22F8" w14:textId="77777777" w:rsidR="00491D38" w:rsidRPr="00395C26" w:rsidRDefault="00491D38" w:rsidP="00491D38">
            <w:pPr>
              <w:spacing w:line="276" w:lineRule="auto"/>
              <w:rPr>
                <w:rFonts w:ascii="Cambria" w:hAnsi="Cambria"/>
                <w:sz w:val="20"/>
                <w:szCs w:val="20"/>
              </w:rPr>
            </w:pPr>
          </w:p>
        </w:tc>
        <w:tc>
          <w:tcPr>
            <w:tcW w:w="2430" w:type="dxa"/>
            <w:shd w:val="clear" w:color="auto" w:fill="DFEBF5" w:themeFill="accent2" w:themeFillTint="33"/>
          </w:tcPr>
          <w:p w14:paraId="7016820C"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lastRenderedPageBreak/>
              <w:t>National Peace Council of Sri Lanka</w:t>
            </w:r>
          </w:p>
        </w:tc>
        <w:tc>
          <w:tcPr>
            <w:tcW w:w="2070" w:type="dxa"/>
            <w:shd w:val="clear" w:color="auto" w:fill="EBE8EC" w:themeFill="accent6" w:themeFillTint="33"/>
          </w:tcPr>
          <w:p w14:paraId="2A87ED3D" w14:textId="77777777" w:rsidR="00491D38" w:rsidRPr="00395C26" w:rsidRDefault="00491D38" w:rsidP="00491D38">
            <w:pPr>
              <w:rPr>
                <w:rFonts w:ascii="Cambria" w:hAnsi="Cambria"/>
                <w:sz w:val="20"/>
                <w:szCs w:val="20"/>
              </w:rPr>
            </w:pPr>
            <w:r w:rsidRPr="00395C26">
              <w:rPr>
                <w:rFonts w:ascii="Cambria" w:hAnsi="Cambria"/>
                <w:sz w:val="20"/>
                <w:szCs w:val="20"/>
              </w:rPr>
              <w:t>Independent</w:t>
            </w:r>
          </w:p>
        </w:tc>
      </w:tr>
      <w:tr w:rsidR="00491D38" w:rsidRPr="00395C26" w14:paraId="3E14464D" w14:textId="77777777" w:rsidTr="00491D38">
        <w:trPr>
          <w:trHeight w:val="314"/>
        </w:trPr>
        <w:tc>
          <w:tcPr>
            <w:tcW w:w="2610" w:type="dxa"/>
            <w:vMerge/>
            <w:shd w:val="clear" w:color="auto" w:fill="85B2F6" w:themeFill="background2" w:themeFillShade="E6"/>
          </w:tcPr>
          <w:p w14:paraId="43F514C3" w14:textId="77777777" w:rsidR="00491D38" w:rsidRPr="00395C26" w:rsidRDefault="00491D38" w:rsidP="00491D38">
            <w:pPr>
              <w:spacing w:line="276" w:lineRule="auto"/>
              <w:rPr>
                <w:rFonts w:ascii="Cambria" w:hAnsi="Cambria"/>
                <w:sz w:val="20"/>
                <w:szCs w:val="20"/>
              </w:rPr>
            </w:pPr>
          </w:p>
        </w:tc>
        <w:tc>
          <w:tcPr>
            <w:tcW w:w="3240" w:type="dxa"/>
            <w:shd w:val="clear" w:color="auto" w:fill="D9DFEF" w:themeFill="accent1" w:themeFillTint="33"/>
          </w:tcPr>
          <w:p w14:paraId="2C2A61C5"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Ms. Selyna Peiris</w:t>
            </w:r>
          </w:p>
          <w:p w14:paraId="70F58FBD"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Director Business Development</w:t>
            </w:r>
          </w:p>
        </w:tc>
        <w:tc>
          <w:tcPr>
            <w:tcW w:w="2430" w:type="dxa"/>
            <w:shd w:val="clear" w:color="auto" w:fill="DFEBF5" w:themeFill="accent2" w:themeFillTint="33"/>
          </w:tcPr>
          <w:p w14:paraId="17984950"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Selyn Exporters Pvt. Ltd</w:t>
            </w:r>
          </w:p>
          <w:p w14:paraId="48413B15" w14:textId="77777777" w:rsidR="00491D38" w:rsidRPr="00395C26" w:rsidRDefault="00491D38" w:rsidP="00491D38">
            <w:pPr>
              <w:spacing w:line="276" w:lineRule="auto"/>
              <w:rPr>
                <w:rFonts w:ascii="Cambria" w:hAnsi="Cambria"/>
                <w:sz w:val="20"/>
                <w:szCs w:val="20"/>
              </w:rPr>
            </w:pPr>
          </w:p>
          <w:p w14:paraId="0984773D" w14:textId="77777777" w:rsidR="00491D38" w:rsidRPr="00395C26" w:rsidRDefault="00491D38" w:rsidP="00491D38">
            <w:pPr>
              <w:spacing w:line="276" w:lineRule="auto"/>
              <w:rPr>
                <w:rFonts w:ascii="Cambria" w:hAnsi="Cambria"/>
                <w:sz w:val="20"/>
                <w:szCs w:val="20"/>
              </w:rPr>
            </w:pPr>
          </w:p>
        </w:tc>
        <w:tc>
          <w:tcPr>
            <w:tcW w:w="2070" w:type="dxa"/>
            <w:shd w:val="clear" w:color="auto" w:fill="EBE8EC" w:themeFill="accent6" w:themeFillTint="33"/>
          </w:tcPr>
          <w:p w14:paraId="39DF1423" w14:textId="77777777" w:rsidR="00491D38" w:rsidRPr="00395C26" w:rsidRDefault="00491D38" w:rsidP="00491D38">
            <w:pPr>
              <w:rPr>
                <w:rFonts w:ascii="Cambria" w:hAnsi="Cambria"/>
                <w:sz w:val="20"/>
                <w:szCs w:val="20"/>
              </w:rPr>
            </w:pPr>
            <w:r w:rsidRPr="00395C26">
              <w:rPr>
                <w:rFonts w:ascii="Cambria" w:hAnsi="Cambria"/>
                <w:sz w:val="20"/>
                <w:szCs w:val="20"/>
              </w:rPr>
              <w:t>Private Sector</w:t>
            </w:r>
          </w:p>
        </w:tc>
      </w:tr>
      <w:tr w:rsidR="00491D38" w:rsidRPr="00395C26" w14:paraId="556A01DF" w14:textId="77777777" w:rsidTr="00491D38">
        <w:trPr>
          <w:trHeight w:val="314"/>
        </w:trPr>
        <w:tc>
          <w:tcPr>
            <w:tcW w:w="2610" w:type="dxa"/>
            <w:vMerge/>
            <w:shd w:val="clear" w:color="auto" w:fill="85B2F6" w:themeFill="background2" w:themeFillShade="E6"/>
          </w:tcPr>
          <w:p w14:paraId="2AD9CBAB" w14:textId="77777777" w:rsidR="00491D38" w:rsidRPr="00395C26" w:rsidRDefault="00491D38" w:rsidP="00491D38">
            <w:pPr>
              <w:spacing w:line="276" w:lineRule="auto"/>
              <w:rPr>
                <w:rFonts w:ascii="Cambria" w:hAnsi="Cambria"/>
                <w:sz w:val="20"/>
                <w:szCs w:val="20"/>
              </w:rPr>
            </w:pPr>
          </w:p>
        </w:tc>
        <w:tc>
          <w:tcPr>
            <w:tcW w:w="3240" w:type="dxa"/>
            <w:shd w:val="clear" w:color="auto" w:fill="D9DFEF" w:themeFill="accent1" w:themeFillTint="33"/>
          </w:tcPr>
          <w:p w14:paraId="006734D8"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Ms. Ambika Sathkunathan</w:t>
            </w:r>
          </w:p>
          <w:p w14:paraId="1262EE28"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Former Commissioner, HRC</w:t>
            </w:r>
          </w:p>
          <w:p w14:paraId="78572409"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Attorney-at-Law</w:t>
            </w:r>
          </w:p>
          <w:p w14:paraId="420E5B9F" w14:textId="77777777" w:rsidR="00491D38" w:rsidRPr="00395C26" w:rsidRDefault="00491D38" w:rsidP="00491D38">
            <w:pPr>
              <w:spacing w:line="276" w:lineRule="auto"/>
              <w:rPr>
                <w:rFonts w:ascii="Cambria" w:hAnsi="Cambria"/>
                <w:sz w:val="20"/>
                <w:szCs w:val="20"/>
              </w:rPr>
            </w:pPr>
          </w:p>
        </w:tc>
        <w:tc>
          <w:tcPr>
            <w:tcW w:w="2430" w:type="dxa"/>
            <w:shd w:val="clear" w:color="auto" w:fill="DFEBF5" w:themeFill="accent2" w:themeFillTint="33"/>
          </w:tcPr>
          <w:p w14:paraId="3BDDB376"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Human Rights Lawyer</w:t>
            </w:r>
          </w:p>
          <w:p w14:paraId="433A8165" w14:textId="77777777" w:rsidR="00491D38" w:rsidRPr="00395C26" w:rsidRDefault="00491D38" w:rsidP="00491D38">
            <w:pPr>
              <w:spacing w:line="276" w:lineRule="auto"/>
              <w:rPr>
                <w:rFonts w:ascii="Cambria" w:hAnsi="Cambria"/>
                <w:sz w:val="20"/>
                <w:szCs w:val="20"/>
              </w:rPr>
            </w:pPr>
          </w:p>
        </w:tc>
        <w:tc>
          <w:tcPr>
            <w:tcW w:w="2070" w:type="dxa"/>
            <w:shd w:val="clear" w:color="auto" w:fill="EBE8EC" w:themeFill="accent6" w:themeFillTint="33"/>
          </w:tcPr>
          <w:p w14:paraId="3682DD21" w14:textId="77777777" w:rsidR="00491D38" w:rsidRPr="00395C26" w:rsidRDefault="00491D38" w:rsidP="00491D38">
            <w:pPr>
              <w:rPr>
                <w:rFonts w:ascii="Cambria" w:hAnsi="Cambria"/>
                <w:sz w:val="20"/>
                <w:szCs w:val="20"/>
              </w:rPr>
            </w:pPr>
            <w:r w:rsidRPr="00395C26">
              <w:rPr>
                <w:rFonts w:ascii="Cambria" w:hAnsi="Cambria"/>
                <w:sz w:val="20"/>
                <w:szCs w:val="20"/>
              </w:rPr>
              <w:t>Independent</w:t>
            </w:r>
          </w:p>
        </w:tc>
      </w:tr>
      <w:tr w:rsidR="00491D38" w:rsidRPr="00395C26" w14:paraId="46E4CDF1" w14:textId="77777777" w:rsidTr="00491D38">
        <w:trPr>
          <w:trHeight w:val="314"/>
        </w:trPr>
        <w:tc>
          <w:tcPr>
            <w:tcW w:w="2610" w:type="dxa"/>
            <w:vMerge/>
            <w:shd w:val="clear" w:color="auto" w:fill="85B2F6" w:themeFill="background2" w:themeFillShade="E6"/>
          </w:tcPr>
          <w:p w14:paraId="5ED69B68" w14:textId="77777777" w:rsidR="00491D38" w:rsidRPr="00395C26" w:rsidRDefault="00491D38" w:rsidP="00491D38">
            <w:pPr>
              <w:spacing w:line="276" w:lineRule="auto"/>
              <w:rPr>
                <w:rFonts w:ascii="Cambria" w:hAnsi="Cambria"/>
                <w:sz w:val="20"/>
                <w:szCs w:val="20"/>
              </w:rPr>
            </w:pPr>
          </w:p>
        </w:tc>
        <w:tc>
          <w:tcPr>
            <w:tcW w:w="3240" w:type="dxa"/>
            <w:shd w:val="clear" w:color="auto" w:fill="D9DFEF" w:themeFill="accent1" w:themeFillTint="33"/>
          </w:tcPr>
          <w:p w14:paraId="6A14C4FD"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Prof. Sharya Scharenguivel Former Dean of the Faculty of Law.</w:t>
            </w:r>
            <w:r w:rsidRPr="00395C26">
              <w:rPr>
                <w:rFonts w:ascii="Cambria" w:hAnsi="Cambria"/>
                <w:sz w:val="20"/>
                <w:szCs w:val="20"/>
              </w:rPr>
              <w:br/>
              <w:t>Law Commissioner, Law Commission of Sri Lanka</w:t>
            </w:r>
            <w:r w:rsidRPr="00395C26">
              <w:rPr>
                <w:rFonts w:ascii="Cambria" w:hAnsi="Cambria"/>
                <w:sz w:val="20"/>
                <w:szCs w:val="20"/>
              </w:rPr>
              <w:br/>
              <w:t xml:space="preserve">Board Member National Child Protection Authority </w:t>
            </w:r>
            <w:r w:rsidRPr="00395C26">
              <w:rPr>
                <w:rFonts w:ascii="Cambria" w:hAnsi="Cambria"/>
                <w:sz w:val="20"/>
                <w:szCs w:val="20"/>
              </w:rPr>
              <w:br/>
            </w:r>
          </w:p>
        </w:tc>
        <w:tc>
          <w:tcPr>
            <w:tcW w:w="2430" w:type="dxa"/>
            <w:shd w:val="clear" w:color="auto" w:fill="DFEBF5" w:themeFill="accent2" w:themeFillTint="33"/>
          </w:tcPr>
          <w:p w14:paraId="39D60071"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University of Colombo</w:t>
            </w:r>
          </w:p>
        </w:tc>
        <w:tc>
          <w:tcPr>
            <w:tcW w:w="2070" w:type="dxa"/>
            <w:shd w:val="clear" w:color="auto" w:fill="EBE8EC" w:themeFill="accent6" w:themeFillTint="33"/>
          </w:tcPr>
          <w:p w14:paraId="61DBC36B" w14:textId="77777777" w:rsidR="00491D38" w:rsidRPr="00395C26" w:rsidRDefault="00491D38" w:rsidP="00491D38">
            <w:pPr>
              <w:rPr>
                <w:rFonts w:ascii="Cambria" w:hAnsi="Cambria"/>
                <w:sz w:val="20"/>
                <w:szCs w:val="20"/>
              </w:rPr>
            </w:pPr>
            <w:r w:rsidRPr="00395C26">
              <w:rPr>
                <w:rFonts w:ascii="Cambria" w:hAnsi="Cambria"/>
                <w:sz w:val="20"/>
                <w:szCs w:val="20"/>
              </w:rPr>
              <w:t>Independent</w:t>
            </w:r>
          </w:p>
        </w:tc>
      </w:tr>
      <w:tr w:rsidR="00491D38" w:rsidRPr="00395C26" w14:paraId="59D15E76" w14:textId="77777777" w:rsidTr="00491D38">
        <w:trPr>
          <w:trHeight w:val="314"/>
        </w:trPr>
        <w:tc>
          <w:tcPr>
            <w:tcW w:w="2610" w:type="dxa"/>
            <w:vMerge/>
            <w:shd w:val="clear" w:color="auto" w:fill="85B2F6" w:themeFill="background2" w:themeFillShade="E6"/>
          </w:tcPr>
          <w:p w14:paraId="52BD69DF" w14:textId="77777777" w:rsidR="00491D38" w:rsidRPr="00395C26" w:rsidRDefault="00491D38" w:rsidP="00491D38">
            <w:pPr>
              <w:spacing w:line="276" w:lineRule="auto"/>
              <w:rPr>
                <w:rFonts w:ascii="Cambria" w:hAnsi="Cambria"/>
                <w:sz w:val="20"/>
                <w:szCs w:val="20"/>
              </w:rPr>
            </w:pPr>
          </w:p>
        </w:tc>
        <w:tc>
          <w:tcPr>
            <w:tcW w:w="3240" w:type="dxa"/>
            <w:shd w:val="clear" w:color="auto" w:fill="D9DFEF" w:themeFill="accent1" w:themeFillTint="33"/>
          </w:tcPr>
          <w:p w14:paraId="47936940" w14:textId="77777777" w:rsidR="00491D38" w:rsidRPr="00395C26" w:rsidRDefault="00491D38" w:rsidP="00491D38">
            <w:pPr>
              <w:spacing w:line="276" w:lineRule="auto"/>
              <w:jc w:val="both"/>
              <w:rPr>
                <w:rFonts w:ascii="Cambria" w:hAnsi="Cambria"/>
                <w:sz w:val="20"/>
                <w:szCs w:val="20"/>
              </w:rPr>
            </w:pPr>
            <w:r w:rsidRPr="00395C26">
              <w:rPr>
                <w:rFonts w:ascii="Cambria" w:hAnsi="Cambria"/>
                <w:sz w:val="20"/>
                <w:szCs w:val="20"/>
              </w:rPr>
              <w:t>Ms. Udeni Thewarapperuma</w:t>
            </w:r>
          </w:p>
          <w:p w14:paraId="7D39A2E6" w14:textId="77777777" w:rsidR="00491D38" w:rsidRPr="00395C26" w:rsidRDefault="00491D38" w:rsidP="00491D38">
            <w:pPr>
              <w:spacing w:line="276" w:lineRule="auto"/>
              <w:jc w:val="both"/>
              <w:rPr>
                <w:rFonts w:ascii="Cambria" w:hAnsi="Cambria"/>
                <w:sz w:val="20"/>
                <w:szCs w:val="20"/>
              </w:rPr>
            </w:pPr>
            <w:r w:rsidRPr="00395C26">
              <w:rPr>
                <w:rFonts w:ascii="Cambria" w:hAnsi="Cambria"/>
                <w:sz w:val="20"/>
                <w:szCs w:val="20"/>
              </w:rPr>
              <w:t>UNDP Consultant, Women, Peace and Security Project </w:t>
            </w:r>
          </w:p>
          <w:p w14:paraId="272B4BEA" w14:textId="77777777" w:rsidR="00491D38" w:rsidRPr="00395C26" w:rsidRDefault="00491D38" w:rsidP="00491D38">
            <w:pPr>
              <w:spacing w:line="276" w:lineRule="auto"/>
              <w:rPr>
                <w:rFonts w:ascii="Cambria" w:hAnsi="Cambria"/>
                <w:sz w:val="20"/>
                <w:szCs w:val="20"/>
              </w:rPr>
            </w:pPr>
          </w:p>
        </w:tc>
        <w:tc>
          <w:tcPr>
            <w:tcW w:w="2430" w:type="dxa"/>
            <w:shd w:val="clear" w:color="auto" w:fill="DFEBF5" w:themeFill="accent2" w:themeFillTint="33"/>
          </w:tcPr>
          <w:p w14:paraId="430C1B50"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Human Rights Lawyer</w:t>
            </w:r>
          </w:p>
        </w:tc>
        <w:tc>
          <w:tcPr>
            <w:tcW w:w="2070" w:type="dxa"/>
            <w:shd w:val="clear" w:color="auto" w:fill="EBE8EC" w:themeFill="accent6" w:themeFillTint="33"/>
          </w:tcPr>
          <w:p w14:paraId="42809498" w14:textId="77777777" w:rsidR="00491D38" w:rsidRPr="00395C26" w:rsidRDefault="00491D38" w:rsidP="00491D38">
            <w:pPr>
              <w:rPr>
                <w:rFonts w:ascii="Cambria" w:hAnsi="Cambria"/>
                <w:sz w:val="20"/>
                <w:szCs w:val="20"/>
              </w:rPr>
            </w:pPr>
            <w:r w:rsidRPr="00395C26">
              <w:rPr>
                <w:rFonts w:ascii="Cambria" w:hAnsi="Cambria"/>
                <w:sz w:val="20"/>
                <w:szCs w:val="20"/>
              </w:rPr>
              <w:t xml:space="preserve">Independent </w:t>
            </w:r>
          </w:p>
        </w:tc>
      </w:tr>
      <w:tr w:rsidR="00491D38" w:rsidRPr="00395C26" w14:paraId="776F6724" w14:textId="77777777" w:rsidTr="00491D38">
        <w:trPr>
          <w:trHeight w:val="314"/>
        </w:trPr>
        <w:tc>
          <w:tcPr>
            <w:tcW w:w="2610" w:type="dxa"/>
            <w:vMerge/>
            <w:shd w:val="clear" w:color="auto" w:fill="85B2F6" w:themeFill="background2" w:themeFillShade="E6"/>
          </w:tcPr>
          <w:p w14:paraId="5021CD80" w14:textId="77777777" w:rsidR="00491D38" w:rsidRPr="00395C26" w:rsidRDefault="00491D38" w:rsidP="00491D38">
            <w:pPr>
              <w:spacing w:line="276" w:lineRule="auto"/>
              <w:rPr>
                <w:rFonts w:ascii="Cambria" w:hAnsi="Cambria"/>
                <w:sz w:val="20"/>
                <w:szCs w:val="20"/>
              </w:rPr>
            </w:pPr>
          </w:p>
        </w:tc>
        <w:tc>
          <w:tcPr>
            <w:tcW w:w="3240" w:type="dxa"/>
            <w:shd w:val="clear" w:color="auto" w:fill="D9DFEF" w:themeFill="accent1" w:themeFillTint="33"/>
          </w:tcPr>
          <w:p w14:paraId="3BD59246"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Mr. Priyanga Hettiarachchi</w:t>
            </w:r>
          </w:p>
          <w:p w14:paraId="0B595B0E"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Country representative for Sri Lanka and Maldives</w:t>
            </w:r>
          </w:p>
          <w:p w14:paraId="7E06D078" w14:textId="77777777" w:rsidR="00491D38" w:rsidRPr="00395C26" w:rsidRDefault="00491D38" w:rsidP="00491D38">
            <w:pPr>
              <w:spacing w:line="276" w:lineRule="auto"/>
              <w:jc w:val="both"/>
              <w:rPr>
                <w:rFonts w:ascii="Cambria" w:hAnsi="Cambria"/>
                <w:sz w:val="20"/>
                <w:szCs w:val="20"/>
              </w:rPr>
            </w:pPr>
          </w:p>
        </w:tc>
        <w:tc>
          <w:tcPr>
            <w:tcW w:w="2430" w:type="dxa"/>
            <w:shd w:val="clear" w:color="auto" w:fill="DFEBF5" w:themeFill="accent2" w:themeFillTint="33"/>
          </w:tcPr>
          <w:p w14:paraId="6678881F"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The Westminster Foundation for Democracy</w:t>
            </w:r>
          </w:p>
        </w:tc>
        <w:tc>
          <w:tcPr>
            <w:tcW w:w="2070" w:type="dxa"/>
            <w:shd w:val="clear" w:color="auto" w:fill="EBE8EC" w:themeFill="accent6" w:themeFillTint="33"/>
          </w:tcPr>
          <w:p w14:paraId="390B0945" w14:textId="77777777" w:rsidR="00491D38" w:rsidRPr="00395C26" w:rsidRDefault="00491D38" w:rsidP="00491D38">
            <w:pPr>
              <w:rPr>
                <w:rFonts w:ascii="Cambria" w:hAnsi="Cambria"/>
                <w:sz w:val="20"/>
                <w:szCs w:val="20"/>
              </w:rPr>
            </w:pPr>
            <w:r w:rsidRPr="00395C26">
              <w:rPr>
                <w:rFonts w:ascii="Cambria" w:hAnsi="Cambria"/>
                <w:sz w:val="20"/>
                <w:szCs w:val="20"/>
              </w:rPr>
              <w:t>Independent</w:t>
            </w:r>
          </w:p>
        </w:tc>
      </w:tr>
      <w:tr w:rsidR="00491D38" w:rsidRPr="00395C26" w14:paraId="0A4CEBA6" w14:textId="77777777" w:rsidTr="00491D38">
        <w:trPr>
          <w:trHeight w:val="314"/>
        </w:trPr>
        <w:tc>
          <w:tcPr>
            <w:tcW w:w="10350" w:type="dxa"/>
            <w:gridSpan w:val="4"/>
            <w:shd w:val="clear" w:color="auto" w:fill="7F7F7F" w:themeFill="text1" w:themeFillTint="80"/>
          </w:tcPr>
          <w:p w14:paraId="07D4D06F" w14:textId="77777777" w:rsidR="00491D38" w:rsidRPr="00395C26" w:rsidRDefault="00491D38" w:rsidP="00491D38">
            <w:pPr>
              <w:rPr>
                <w:rFonts w:ascii="Cambria" w:hAnsi="Cambria"/>
                <w:sz w:val="20"/>
                <w:szCs w:val="20"/>
              </w:rPr>
            </w:pPr>
          </w:p>
        </w:tc>
      </w:tr>
      <w:tr w:rsidR="00491D38" w:rsidRPr="00395C26" w14:paraId="076FFA3A" w14:textId="77777777" w:rsidTr="00491D38">
        <w:trPr>
          <w:trHeight w:val="314"/>
        </w:trPr>
        <w:tc>
          <w:tcPr>
            <w:tcW w:w="2610" w:type="dxa"/>
            <w:vMerge w:val="restart"/>
            <w:shd w:val="clear" w:color="auto" w:fill="85B2F6" w:themeFill="background2" w:themeFillShade="E6"/>
          </w:tcPr>
          <w:p w14:paraId="43F8F10F" w14:textId="77777777" w:rsidR="00491D38" w:rsidRPr="00395C26" w:rsidRDefault="00491D38" w:rsidP="00491D38">
            <w:pPr>
              <w:spacing w:line="276" w:lineRule="auto"/>
              <w:rPr>
                <w:rFonts w:ascii="Cambria" w:hAnsi="Cambria"/>
                <w:b/>
                <w:bCs/>
                <w:sz w:val="20"/>
                <w:szCs w:val="20"/>
              </w:rPr>
            </w:pPr>
            <w:r w:rsidRPr="00395C26">
              <w:rPr>
                <w:rFonts w:ascii="Cambria" w:hAnsi="Cambria"/>
                <w:b/>
                <w:bCs/>
                <w:sz w:val="20"/>
                <w:szCs w:val="20"/>
              </w:rPr>
              <w:t xml:space="preserve">United Nations Development Programme </w:t>
            </w:r>
          </w:p>
        </w:tc>
        <w:tc>
          <w:tcPr>
            <w:tcW w:w="3240" w:type="dxa"/>
            <w:shd w:val="clear" w:color="auto" w:fill="D9DFEF" w:themeFill="accent1" w:themeFillTint="33"/>
          </w:tcPr>
          <w:p w14:paraId="4044974E" w14:textId="77777777" w:rsidR="00491D38" w:rsidRPr="00395C26" w:rsidRDefault="00491D38" w:rsidP="00491D38">
            <w:pPr>
              <w:spacing w:line="276" w:lineRule="auto"/>
              <w:jc w:val="both"/>
              <w:rPr>
                <w:rFonts w:ascii="Cambria" w:hAnsi="Cambria"/>
                <w:sz w:val="20"/>
                <w:szCs w:val="20"/>
              </w:rPr>
            </w:pPr>
            <w:r w:rsidRPr="00395C26">
              <w:rPr>
                <w:rFonts w:ascii="Cambria" w:hAnsi="Cambria"/>
                <w:sz w:val="20"/>
                <w:szCs w:val="20"/>
              </w:rPr>
              <w:t>Ms. Faiza Effendi</w:t>
            </w:r>
          </w:p>
          <w:p w14:paraId="226D506C" w14:textId="77777777" w:rsidR="00491D38" w:rsidRPr="00395C26" w:rsidRDefault="00491D38" w:rsidP="00491D38">
            <w:pPr>
              <w:spacing w:line="276" w:lineRule="auto"/>
              <w:jc w:val="both"/>
              <w:rPr>
                <w:rFonts w:ascii="Cambria" w:hAnsi="Cambria"/>
                <w:sz w:val="20"/>
                <w:szCs w:val="20"/>
              </w:rPr>
            </w:pPr>
            <w:r w:rsidRPr="00395C26">
              <w:rPr>
                <w:rFonts w:ascii="Cambria" w:hAnsi="Cambria"/>
                <w:sz w:val="20"/>
                <w:szCs w:val="20"/>
              </w:rPr>
              <w:t>Deputy Resident Representative</w:t>
            </w:r>
          </w:p>
          <w:p w14:paraId="56B304D7" w14:textId="77777777" w:rsidR="00491D38" w:rsidRPr="00395C26" w:rsidRDefault="00491D38" w:rsidP="00491D38">
            <w:pPr>
              <w:spacing w:line="276" w:lineRule="auto"/>
              <w:jc w:val="both"/>
              <w:rPr>
                <w:rFonts w:ascii="Cambria" w:hAnsi="Cambria"/>
                <w:sz w:val="20"/>
                <w:szCs w:val="20"/>
              </w:rPr>
            </w:pPr>
          </w:p>
        </w:tc>
        <w:tc>
          <w:tcPr>
            <w:tcW w:w="2430" w:type="dxa"/>
            <w:shd w:val="clear" w:color="auto" w:fill="DFEBF5" w:themeFill="accent2" w:themeFillTint="33"/>
          </w:tcPr>
          <w:p w14:paraId="2CCDA27E"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UNDP</w:t>
            </w:r>
          </w:p>
        </w:tc>
        <w:tc>
          <w:tcPr>
            <w:tcW w:w="2070" w:type="dxa"/>
            <w:shd w:val="clear" w:color="auto" w:fill="EBE8EC" w:themeFill="accent6" w:themeFillTint="33"/>
          </w:tcPr>
          <w:p w14:paraId="67DF9550" w14:textId="77777777" w:rsidR="00491D38" w:rsidRPr="00395C26" w:rsidRDefault="00491D38" w:rsidP="00491D38">
            <w:pPr>
              <w:rPr>
                <w:rFonts w:ascii="Cambria" w:hAnsi="Cambria"/>
                <w:sz w:val="20"/>
                <w:szCs w:val="20"/>
              </w:rPr>
            </w:pPr>
            <w:r w:rsidRPr="00395C26">
              <w:rPr>
                <w:rFonts w:ascii="Cambria" w:hAnsi="Cambria"/>
                <w:sz w:val="20"/>
                <w:szCs w:val="20"/>
              </w:rPr>
              <w:t>UNCO</w:t>
            </w:r>
          </w:p>
        </w:tc>
      </w:tr>
      <w:tr w:rsidR="00491D38" w:rsidRPr="00395C26" w14:paraId="10783545" w14:textId="77777777" w:rsidTr="00491D38">
        <w:trPr>
          <w:trHeight w:val="314"/>
        </w:trPr>
        <w:tc>
          <w:tcPr>
            <w:tcW w:w="2610" w:type="dxa"/>
            <w:vMerge/>
            <w:shd w:val="clear" w:color="auto" w:fill="85B2F6" w:themeFill="background2" w:themeFillShade="E6"/>
          </w:tcPr>
          <w:p w14:paraId="6DDF4694" w14:textId="77777777" w:rsidR="00491D38" w:rsidRPr="00395C26" w:rsidRDefault="00491D38" w:rsidP="00491D38">
            <w:pPr>
              <w:spacing w:line="276" w:lineRule="auto"/>
              <w:rPr>
                <w:rFonts w:ascii="Cambria" w:hAnsi="Cambria"/>
                <w:sz w:val="20"/>
                <w:szCs w:val="20"/>
              </w:rPr>
            </w:pPr>
          </w:p>
        </w:tc>
        <w:tc>
          <w:tcPr>
            <w:tcW w:w="3240" w:type="dxa"/>
            <w:shd w:val="clear" w:color="auto" w:fill="D9DFEF" w:themeFill="accent1" w:themeFillTint="33"/>
          </w:tcPr>
          <w:p w14:paraId="29A38EDB" w14:textId="77777777" w:rsidR="00491D38" w:rsidRPr="00395C26" w:rsidRDefault="00491D38" w:rsidP="00491D38">
            <w:pPr>
              <w:spacing w:line="276" w:lineRule="auto"/>
              <w:jc w:val="both"/>
              <w:rPr>
                <w:rFonts w:ascii="Cambria" w:hAnsi="Cambria"/>
                <w:sz w:val="20"/>
                <w:szCs w:val="20"/>
              </w:rPr>
            </w:pPr>
            <w:r w:rsidRPr="00395C26">
              <w:rPr>
                <w:rFonts w:ascii="Cambria" w:hAnsi="Cambria"/>
                <w:sz w:val="20"/>
                <w:szCs w:val="20"/>
              </w:rPr>
              <w:t>Mr. Nicholas Booth</w:t>
            </w:r>
          </w:p>
          <w:p w14:paraId="02AC4167" w14:textId="77777777" w:rsidR="00491D38" w:rsidRPr="00395C26" w:rsidRDefault="00491D38" w:rsidP="00491D38">
            <w:pPr>
              <w:spacing w:line="276" w:lineRule="auto"/>
              <w:jc w:val="both"/>
              <w:rPr>
                <w:rFonts w:ascii="Cambria" w:hAnsi="Cambria"/>
                <w:sz w:val="20"/>
                <w:szCs w:val="20"/>
              </w:rPr>
            </w:pPr>
            <w:r w:rsidRPr="00395C26">
              <w:rPr>
                <w:rFonts w:ascii="Cambria" w:hAnsi="Cambria"/>
                <w:sz w:val="20"/>
                <w:szCs w:val="20"/>
              </w:rPr>
              <w:t>Governance and Peacebuilding Team Leader</w:t>
            </w:r>
          </w:p>
        </w:tc>
        <w:tc>
          <w:tcPr>
            <w:tcW w:w="2430" w:type="dxa"/>
            <w:shd w:val="clear" w:color="auto" w:fill="DFEBF5" w:themeFill="accent2" w:themeFillTint="33"/>
          </w:tcPr>
          <w:p w14:paraId="2555B7BA"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UNDP</w:t>
            </w:r>
          </w:p>
        </w:tc>
        <w:tc>
          <w:tcPr>
            <w:tcW w:w="2070" w:type="dxa"/>
            <w:shd w:val="clear" w:color="auto" w:fill="EBE8EC" w:themeFill="accent6" w:themeFillTint="33"/>
          </w:tcPr>
          <w:p w14:paraId="647633F6" w14:textId="77777777" w:rsidR="00491D38" w:rsidRPr="00395C26" w:rsidRDefault="00491D38" w:rsidP="00491D38">
            <w:pPr>
              <w:spacing w:line="276" w:lineRule="auto"/>
              <w:jc w:val="both"/>
              <w:rPr>
                <w:rFonts w:ascii="Cambria" w:hAnsi="Cambria"/>
                <w:sz w:val="20"/>
                <w:szCs w:val="20"/>
              </w:rPr>
            </w:pPr>
            <w:r w:rsidRPr="00395C26">
              <w:rPr>
                <w:rFonts w:ascii="Cambria" w:hAnsi="Cambria"/>
                <w:sz w:val="20"/>
                <w:szCs w:val="20"/>
              </w:rPr>
              <w:t>Bangkok Regional Hub</w:t>
            </w:r>
          </w:p>
          <w:p w14:paraId="25B44999" w14:textId="77777777" w:rsidR="00491D38" w:rsidRPr="00395C26" w:rsidRDefault="00491D38" w:rsidP="00491D38">
            <w:pPr>
              <w:rPr>
                <w:rFonts w:ascii="Cambria" w:hAnsi="Cambria"/>
                <w:sz w:val="20"/>
                <w:szCs w:val="20"/>
              </w:rPr>
            </w:pPr>
          </w:p>
        </w:tc>
      </w:tr>
      <w:tr w:rsidR="00491D38" w:rsidRPr="00395C26" w14:paraId="3B780D07" w14:textId="77777777" w:rsidTr="00491D38">
        <w:trPr>
          <w:trHeight w:val="314"/>
        </w:trPr>
        <w:tc>
          <w:tcPr>
            <w:tcW w:w="2610" w:type="dxa"/>
            <w:vMerge/>
            <w:shd w:val="clear" w:color="auto" w:fill="85B2F6" w:themeFill="background2" w:themeFillShade="E6"/>
          </w:tcPr>
          <w:p w14:paraId="6EA064DE" w14:textId="77777777" w:rsidR="00491D38" w:rsidRPr="00395C26" w:rsidRDefault="00491D38" w:rsidP="00491D38">
            <w:pPr>
              <w:spacing w:line="276" w:lineRule="auto"/>
              <w:rPr>
                <w:rFonts w:ascii="Cambria" w:hAnsi="Cambria"/>
                <w:sz w:val="20"/>
                <w:szCs w:val="20"/>
              </w:rPr>
            </w:pPr>
          </w:p>
        </w:tc>
        <w:tc>
          <w:tcPr>
            <w:tcW w:w="3240" w:type="dxa"/>
            <w:shd w:val="clear" w:color="auto" w:fill="D9DFEF" w:themeFill="accent1" w:themeFillTint="33"/>
          </w:tcPr>
          <w:p w14:paraId="1A4A7975" w14:textId="77777777" w:rsidR="00491D38" w:rsidRPr="00395C26" w:rsidRDefault="00491D38" w:rsidP="00491D38">
            <w:pPr>
              <w:spacing w:line="276" w:lineRule="auto"/>
              <w:jc w:val="both"/>
              <w:rPr>
                <w:rFonts w:ascii="Cambria" w:hAnsi="Cambria"/>
                <w:sz w:val="20"/>
                <w:szCs w:val="20"/>
              </w:rPr>
            </w:pPr>
            <w:r w:rsidRPr="00395C26">
              <w:rPr>
                <w:rFonts w:ascii="Cambria" w:hAnsi="Cambria"/>
                <w:sz w:val="20"/>
                <w:szCs w:val="20"/>
              </w:rPr>
              <w:t>Ms. Chandrika Karunaratna</w:t>
            </w:r>
          </w:p>
          <w:p w14:paraId="36224B0E" w14:textId="77777777" w:rsidR="00491D38" w:rsidRPr="00395C26" w:rsidRDefault="00491D38" w:rsidP="00491D38">
            <w:pPr>
              <w:spacing w:line="276" w:lineRule="auto"/>
              <w:jc w:val="both"/>
              <w:rPr>
                <w:rFonts w:ascii="Cambria" w:hAnsi="Cambria"/>
                <w:sz w:val="20"/>
                <w:szCs w:val="20"/>
              </w:rPr>
            </w:pPr>
            <w:r w:rsidRPr="00395C26">
              <w:rPr>
                <w:rFonts w:ascii="Cambria" w:hAnsi="Cambria"/>
                <w:sz w:val="20"/>
                <w:szCs w:val="20"/>
              </w:rPr>
              <w:t>Policy Specialist and Team Leader-Governance</w:t>
            </w:r>
          </w:p>
          <w:p w14:paraId="5CA631D9" w14:textId="77777777" w:rsidR="00491D38" w:rsidRPr="00395C26" w:rsidRDefault="00491D38" w:rsidP="00491D38">
            <w:pPr>
              <w:spacing w:line="276" w:lineRule="auto"/>
              <w:jc w:val="both"/>
              <w:rPr>
                <w:rFonts w:ascii="Cambria" w:hAnsi="Cambria"/>
                <w:sz w:val="20"/>
                <w:szCs w:val="20"/>
              </w:rPr>
            </w:pPr>
          </w:p>
        </w:tc>
        <w:tc>
          <w:tcPr>
            <w:tcW w:w="2430" w:type="dxa"/>
            <w:shd w:val="clear" w:color="auto" w:fill="DFEBF5" w:themeFill="accent2" w:themeFillTint="33"/>
          </w:tcPr>
          <w:p w14:paraId="6ED342E5"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UNDP</w:t>
            </w:r>
          </w:p>
        </w:tc>
        <w:tc>
          <w:tcPr>
            <w:tcW w:w="2070" w:type="dxa"/>
            <w:shd w:val="clear" w:color="auto" w:fill="EBE8EC" w:themeFill="accent6" w:themeFillTint="33"/>
          </w:tcPr>
          <w:p w14:paraId="39BA4F11" w14:textId="77777777" w:rsidR="00491D38" w:rsidRPr="00395C26" w:rsidRDefault="00491D38" w:rsidP="00491D38">
            <w:pPr>
              <w:rPr>
                <w:rFonts w:ascii="Cambria" w:hAnsi="Cambria"/>
                <w:sz w:val="20"/>
                <w:szCs w:val="20"/>
              </w:rPr>
            </w:pPr>
            <w:r w:rsidRPr="00395C26">
              <w:rPr>
                <w:rFonts w:ascii="Cambria" w:hAnsi="Cambria"/>
                <w:sz w:val="20"/>
                <w:szCs w:val="20"/>
              </w:rPr>
              <w:t>UNCO</w:t>
            </w:r>
          </w:p>
        </w:tc>
      </w:tr>
      <w:tr w:rsidR="00491D38" w:rsidRPr="00395C26" w14:paraId="06B6630B" w14:textId="77777777" w:rsidTr="00491D38">
        <w:trPr>
          <w:trHeight w:val="314"/>
        </w:trPr>
        <w:tc>
          <w:tcPr>
            <w:tcW w:w="2610" w:type="dxa"/>
            <w:vMerge/>
            <w:shd w:val="clear" w:color="auto" w:fill="85B2F6" w:themeFill="background2" w:themeFillShade="E6"/>
          </w:tcPr>
          <w:p w14:paraId="079894D2" w14:textId="77777777" w:rsidR="00491D38" w:rsidRPr="00395C26" w:rsidRDefault="00491D38" w:rsidP="00491D38">
            <w:pPr>
              <w:spacing w:line="276" w:lineRule="auto"/>
              <w:rPr>
                <w:rFonts w:ascii="Cambria" w:hAnsi="Cambria"/>
                <w:sz w:val="20"/>
                <w:szCs w:val="20"/>
              </w:rPr>
            </w:pPr>
          </w:p>
        </w:tc>
        <w:tc>
          <w:tcPr>
            <w:tcW w:w="3240" w:type="dxa"/>
            <w:shd w:val="clear" w:color="auto" w:fill="D9DFEF" w:themeFill="accent1" w:themeFillTint="33"/>
          </w:tcPr>
          <w:p w14:paraId="0391F683" w14:textId="77777777" w:rsidR="00491D38" w:rsidRPr="00395C26" w:rsidRDefault="00491D38" w:rsidP="00491D38">
            <w:pPr>
              <w:spacing w:line="276" w:lineRule="auto"/>
              <w:jc w:val="both"/>
              <w:rPr>
                <w:rFonts w:ascii="Cambria" w:hAnsi="Cambria"/>
                <w:sz w:val="20"/>
                <w:szCs w:val="20"/>
              </w:rPr>
            </w:pPr>
            <w:r w:rsidRPr="00395C26">
              <w:rPr>
                <w:rFonts w:ascii="Cambria" w:hAnsi="Cambria"/>
                <w:sz w:val="20"/>
                <w:szCs w:val="20"/>
              </w:rPr>
              <w:t>Ms. Bimali Ameresekera</w:t>
            </w:r>
          </w:p>
          <w:p w14:paraId="11AAB83D" w14:textId="77777777" w:rsidR="00491D38" w:rsidRPr="00395C26" w:rsidRDefault="00491D38" w:rsidP="00491D38">
            <w:pPr>
              <w:spacing w:line="276" w:lineRule="auto"/>
              <w:jc w:val="both"/>
              <w:rPr>
                <w:rFonts w:ascii="Cambria" w:hAnsi="Cambria"/>
                <w:sz w:val="20"/>
                <w:szCs w:val="20"/>
              </w:rPr>
            </w:pPr>
            <w:r w:rsidRPr="00395C26">
              <w:rPr>
                <w:rFonts w:ascii="Cambria" w:hAnsi="Cambria"/>
                <w:sz w:val="20"/>
                <w:szCs w:val="20"/>
              </w:rPr>
              <w:t>Gender Specialist</w:t>
            </w:r>
          </w:p>
          <w:p w14:paraId="5D6ABBEC" w14:textId="77777777" w:rsidR="00491D38" w:rsidRPr="00395C26" w:rsidRDefault="00491D38" w:rsidP="00491D38">
            <w:pPr>
              <w:spacing w:line="276" w:lineRule="auto"/>
              <w:jc w:val="both"/>
              <w:rPr>
                <w:rFonts w:ascii="Cambria" w:hAnsi="Cambria"/>
                <w:sz w:val="20"/>
                <w:szCs w:val="20"/>
              </w:rPr>
            </w:pPr>
          </w:p>
        </w:tc>
        <w:tc>
          <w:tcPr>
            <w:tcW w:w="2430" w:type="dxa"/>
            <w:shd w:val="clear" w:color="auto" w:fill="DFEBF5" w:themeFill="accent2" w:themeFillTint="33"/>
          </w:tcPr>
          <w:p w14:paraId="62B83CAD"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lastRenderedPageBreak/>
              <w:t>UNDP</w:t>
            </w:r>
          </w:p>
        </w:tc>
        <w:tc>
          <w:tcPr>
            <w:tcW w:w="2070" w:type="dxa"/>
            <w:shd w:val="clear" w:color="auto" w:fill="EBE8EC" w:themeFill="accent6" w:themeFillTint="33"/>
          </w:tcPr>
          <w:p w14:paraId="50FCA0EC" w14:textId="77777777" w:rsidR="00491D38" w:rsidRPr="00395C26" w:rsidRDefault="00491D38" w:rsidP="00491D38">
            <w:pPr>
              <w:rPr>
                <w:rFonts w:ascii="Cambria" w:hAnsi="Cambria"/>
                <w:sz w:val="20"/>
                <w:szCs w:val="20"/>
              </w:rPr>
            </w:pPr>
            <w:r w:rsidRPr="00395C26">
              <w:rPr>
                <w:rFonts w:ascii="Cambria" w:hAnsi="Cambria"/>
                <w:sz w:val="20"/>
                <w:szCs w:val="20"/>
              </w:rPr>
              <w:t>UNCO</w:t>
            </w:r>
          </w:p>
        </w:tc>
      </w:tr>
      <w:tr w:rsidR="00491D38" w:rsidRPr="00395C26" w14:paraId="5CCCF292" w14:textId="77777777" w:rsidTr="00491D38">
        <w:trPr>
          <w:trHeight w:val="314"/>
        </w:trPr>
        <w:tc>
          <w:tcPr>
            <w:tcW w:w="2610" w:type="dxa"/>
            <w:vMerge/>
            <w:shd w:val="clear" w:color="auto" w:fill="85B2F6" w:themeFill="background2" w:themeFillShade="E6"/>
          </w:tcPr>
          <w:p w14:paraId="1E02404A" w14:textId="77777777" w:rsidR="00491D38" w:rsidRPr="00395C26" w:rsidRDefault="00491D38" w:rsidP="00491D38">
            <w:pPr>
              <w:spacing w:line="276" w:lineRule="auto"/>
              <w:rPr>
                <w:rFonts w:ascii="Cambria" w:hAnsi="Cambria"/>
                <w:sz w:val="20"/>
                <w:szCs w:val="20"/>
              </w:rPr>
            </w:pPr>
          </w:p>
        </w:tc>
        <w:tc>
          <w:tcPr>
            <w:tcW w:w="3240" w:type="dxa"/>
            <w:shd w:val="clear" w:color="auto" w:fill="D9DFEF" w:themeFill="accent1" w:themeFillTint="33"/>
          </w:tcPr>
          <w:p w14:paraId="57691F90" w14:textId="77777777" w:rsidR="00491D38" w:rsidRDefault="00491D38" w:rsidP="00491D38">
            <w:pPr>
              <w:spacing w:line="276" w:lineRule="auto"/>
              <w:rPr>
                <w:rFonts w:ascii="Cambria" w:hAnsi="Cambria"/>
                <w:sz w:val="20"/>
                <w:szCs w:val="20"/>
              </w:rPr>
            </w:pPr>
            <w:r w:rsidRPr="00395C26">
              <w:rPr>
                <w:rFonts w:ascii="Cambria" w:hAnsi="Cambria"/>
                <w:sz w:val="20"/>
                <w:szCs w:val="20"/>
              </w:rPr>
              <w:t xml:space="preserve">Ms. </w:t>
            </w:r>
            <w:r>
              <w:rPr>
                <w:rFonts w:ascii="Cambria" w:hAnsi="Cambria"/>
                <w:sz w:val="20"/>
                <w:szCs w:val="20"/>
              </w:rPr>
              <w:t>Shashini Kulanayake</w:t>
            </w:r>
          </w:p>
          <w:p w14:paraId="76ECB87E" w14:textId="77777777" w:rsidR="00491D38" w:rsidRPr="00395C26" w:rsidRDefault="00491D38" w:rsidP="00491D38">
            <w:pPr>
              <w:spacing w:line="276" w:lineRule="auto"/>
              <w:rPr>
                <w:rFonts w:ascii="Cambria" w:hAnsi="Cambria"/>
                <w:sz w:val="20"/>
                <w:szCs w:val="20"/>
              </w:rPr>
            </w:pPr>
            <w:r>
              <w:rPr>
                <w:rFonts w:ascii="Cambria" w:hAnsi="Cambria"/>
                <w:sz w:val="20"/>
                <w:szCs w:val="20"/>
              </w:rPr>
              <w:t>Project specialist – Parliament and Access to Justice Inclusive Governance Team</w:t>
            </w:r>
          </w:p>
          <w:p w14:paraId="726EAA2A" w14:textId="77777777" w:rsidR="00491D38" w:rsidRPr="00395C26" w:rsidRDefault="00491D38" w:rsidP="00491D38">
            <w:pPr>
              <w:spacing w:line="276" w:lineRule="auto"/>
              <w:jc w:val="both"/>
              <w:rPr>
                <w:rFonts w:ascii="Cambria" w:hAnsi="Cambria"/>
                <w:sz w:val="20"/>
                <w:szCs w:val="20"/>
              </w:rPr>
            </w:pPr>
          </w:p>
        </w:tc>
        <w:tc>
          <w:tcPr>
            <w:tcW w:w="2430" w:type="dxa"/>
            <w:shd w:val="clear" w:color="auto" w:fill="DFEBF5" w:themeFill="accent2" w:themeFillTint="33"/>
          </w:tcPr>
          <w:p w14:paraId="1A82F8C8"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UNDP</w:t>
            </w:r>
          </w:p>
        </w:tc>
        <w:tc>
          <w:tcPr>
            <w:tcW w:w="2070" w:type="dxa"/>
            <w:shd w:val="clear" w:color="auto" w:fill="EBE8EC" w:themeFill="accent6" w:themeFillTint="33"/>
          </w:tcPr>
          <w:p w14:paraId="2D8EDD4F" w14:textId="77777777" w:rsidR="00491D38" w:rsidRPr="00395C26" w:rsidRDefault="00491D38" w:rsidP="00491D38">
            <w:pPr>
              <w:rPr>
                <w:rFonts w:ascii="Cambria" w:hAnsi="Cambria"/>
                <w:sz w:val="20"/>
                <w:szCs w:val="20"/>
              </w:rPr>
            </w:pPr>
            <w:r w:rsidRPr="00395C26">
              <w:rPr>
                <w:rFonts w:ascii="Cambria" w:hAnsi="Cambria"/>
                <w:sz w:val="20"/>
                <w:szCs w:val="20"/>
              </w:rPr>
              <w:t>UNCO</w:t>
            </w:r>
          </w:p>
        </w:tc>
      </w:tr>
      <w:tr w:rsidR="00491D38" w:rsidRPr="00395C26" w14:paraId="521069E0" w14:textId="77777777" w:rsidTr="00491D38">
        <w:trPr>
          <w:trHeight w:val="314"/>
        </w:trPr>
        <w:tc>
          <w:tcPr>
            <w:tcW w:w="2610" w:type="dxa"/>
            <w:vMerge/>
            <w:shd w:val="clear" w:color="auto" w:fill="85B2F6" w:themeFill="background2" w:themeFillShade="E6"/>
          </w:tcPr>
          <w:p w14:paraId="3D82A0D5" w14:textId="77777777" w:rsidR="00491D38" w:rsidRPr="00395C26" w:rsidRDefault="00491D38" w:rsidP="00491D38">
            <w:pPr>
              <w:spacing w:line="276" w:lineRule="auto"/>
              <w:rPr>
                <w:rFonts w:ascii="Cambria" w:hAnsi="Cambria"/>
                <w:sz w:val="20"/>
                <w:szCs w:val="20"/>
              </w:rPr>
            </w:pPr>
          </w:p>
        </w:tc>
        <w:tc>
          <w:tcPr>
            <w:tcW w:w="3240" w:type="dxa"/>
            <w:shd w:val="clear" w:color="auto" w:fill="D9DFEF" w:themeFill="accent1" w:themeFillTint="33"/>
          </w:tcPr>
          <w:p w14:paraId="5760E465" w14:textId="77777777" w:rsidR="00491D38" w:rsidRPr="00395C26" w:rsidRDefault="00491D38" w:rsidP="00491D38">
            <w:pPr>
              <w:spacing w:line="276" w:lineRule="auto"/>
              <w:jc w:val="both"/>
              <w:rPr>
                <w:rFonts w:ascii="Cambria" w:hAnsi="Cambria"/>
                <w:sz w:val="20"/>
                <w:szCs w:val="20"/>
              </w:rPr>
            </w:pPr>
            <w:r w:rsidRPr="00395C26">
              <w:rPr>
                <w:rFonts w:ascii="Cambria" w:hAnsi="Cambria"/>
                <w:sz w:val="20"/>
                <w:szCs w:val="20"/>
              </w:rPr>
              <w:t>Ms. Shihara Rajakaruna</w:t>
            </w:r>
          </w:p>
          <w:p w14:paraId="3B26C870" w14:textId="77777777" w:rsidR="00491D38" w:rsidRPr="00395C26" w:rsidRDefault="00491D38" w:rsidP="00491D38">
            <w:pPr>
              <w:spacing w:line="276" w:lineRule="auto"/>
              <w:jc w:val="both"/>
              <w:rPr>
                <w:rFonts w:ascii="Cambria" w:hAnsi="Cambria"/>
                <w:sz w:val="20"/>
                <w:szCs w:val="20"/>
              </w:rPr>
            </w:pPr>
            <w:r w:rsidRPr="00395C26">
              <w:rPr>
                <w:rFonts w:ascii="Cambria" w:hAnsi="Cambria"/>
                <w:sz w:val="20"/>
                <w:szCs w:val="20"/>
              </w:rPr>
              <w:t xml:space="preserve">Technical Specialist </w:t>
            </w:r>
          </w:p>
          <w:p w14:paraId="59E4510B" w14:textId="77777777" w:rsidR="00491D38" w:rsidRPr="00395C26" w:rsidRDefault="00491D38" w:rsidP="00491D38">
            <w:pPr>
              <w:spacing w:line="276" w:lineRule="auto"/>
              <w:jc w:val="both"/>
              <w:rPr>
                <w:rFonts w:ascii="Cambria" w:hAnsi="Cambria"/>
                <w:sz w:val="20"/>
                <w:szCs w:val="20"/>
              </w:rPr>
            </w:pPr>
          </w:p>
        </w:tc>
        <w:tc>
          <w:tcPr>
            <w:tcW w:w="2430" w:type="dxa"/>
            <w:shd w:val="clear" w:color="auto" w:fill="DFEBF5" w:themeFill="accent2" w:themeFillTint="33"/>
          </w:tcPr>
          <w:p w14:paraId="27060377"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UNDP</w:t>
            </w:r>
          </w:p>
        </w:tc>
        <w:tc>
          <w:tcPr>
            <w:tcW w:w="2070" w:type="dxa"/>
            <w:shd w:val="clear" w:color="auto" w:fill="EBE8EC" w:themeFill="accent6" w:themeFillTint="33"/>
          </w:tcPr>
          <w:p w14:paraId="2CBFB85C" w14:textId="77777777" w:rsidR="00491D38" w:rsidRPr="00395C26" w:rsidRDefault="00491D38" w:rsidP="00491D38">
            <w:pPr>
              <w:rPr>
                <w:rFonts w:ascii="Cambria" w:hAnsi="Cambria"/>
                <w:sz w:val="20"/>
                <w:szCs w:val="20"/>
              </w:rPr>
            </w:pPr>
            <w:r w:rsidRPr="00395C26">
              <w:rPr>
                <w:rFonts w:ascii="Cambria" w:hAnsi="Cambria"/>
                <w:sz w:val="20"/>
                <w:szCs w:val="20"/>
              </w:rPr>
              <w:t>UNCO</w:t>
            </w:r>
          </w:p>
        </w:tc>
      </w:tr>
      <w:tr w:rsidR="00491D38" w:rsidRPr="00395C26" w14:paraId="019F40BF" w14:textId="77777777" w:rsidTr="00491D38">
        <w:trPr>
          <w:trHeight w:val="314"/>
        </w:trPr>
        <w:tc>
          <w:tcPr>
            <w:tcW w:w="2610" w:type="dxa"/>
            <w:vMerge/>
            <w:shd w:val="clear" w:color="auto" w:fill="85B2F6" w:themeFill="background2" w:themeFillShade="E6"/>
          </w:tcPr>
          <w:p w14:paraId="5ABAA904" w14:textId="77777777" w:rsidR="00491D38" w:rsidRPr="00395C26" w:rsidRDefault="00491D38" w:rsidP="00491D38">
            <w:pPr>
              <w:spacing w:line="276" w:lineRule="auto"/>
              <w:rPr>
                <w:rFonts w:ascii="Cambria" w:hAnsi="Cambria"/>
                <w:sz w:val="20"/>
                <w:szCs w:val="20"/>
              </w:rPr>
            </w:pPr>
          </w:p>
        </w:tc>
        <w:tc>
          <w:tcPr>
            <w:tcW w:w="3240" w:type="dxa"/>
            <w:shd w:val="clear" w:color="auto" w:fill="D9DFEF" w:themeFill="accent1" w:themeFillTint="33"/>
          </w:tcPr>
          <w:p w14:paraId="45F2D4D8" w14:textId="77777777" w:rsidR="00491D38" w:rsidRPr="00395C26" w:rsidRDefault="00491D38" w:rsidP="00491D38">
            <w:pPr>
              <w:spacing w:line="276" w:lineRule="auto"/>
              <w:jc w:val="both"/>
              <w:rPr>
                <w:rFonts w:ascii="Cambria" w:hAnsi="Cambria"/>
                <w:sz w:val="20"/>
                <w:szCs w:val="20"/>
              </w:rPr>
            </w:pPr>
            <w:r w:rsidRPr="00395C26">
              <w:rPr>
                <w:rFonts w:ascii="Cambria" w:hAnsi="Cambria"/>
                <w:sz w:val="20"/>
                <w:szCs w:val="20"/>
              </w:rPr>
              <w:t>Mr. Priyan Senevirathne</w:t>
            </w:r>
          </w:p>
          <w:p w14:paraId="0FDC4CDF" w14:textId="77777777" w:rsidR="00491D38" w:rsidRPr="00395C26" w:rsidRDefault="00491D38" w:rsidP="00491D38">
            <w:pPr>
              <w:spacing w:line="276" w:lineRule="auto"/>
              <w:jc w:val="both"/>
              <w:rPr>
                <w:rFonts w:ascii="Cambria" w:hAnsi="Cambria"/>
                <w:sz w:val="20"/>
                <w:szCs w:val="20"/>
              </w:rPr>
            </w:pPr>
            <w:r w:rsidRPr="00395C26">
              <w:rPr>
                <w:rFonts w:ascii="Cambria" w:hAnsi="Cambria"/>
                <w:sz w:val="20"/>
                <w:szCs w:val="20"/>
              </w:rPr>
              <w:t>Technical Specialist, Reconciliation and Peacebuilding</w:t>
            </w:r>
          </w:p>
          <w:p w14:paraId="117DB7CB" w14:textId="77777777" w:rsidR="00491D38" w:rsidRPr="00395C26" w:rsidRDefault="00491D38" w:rsidP="00491D38">
            <w:pPr>
              <w:spacing w:line="276" w:lineRule="auto"/>
              <w:jc w:val="both"/>
              <w:rPr>
                <w:rFonts w:ascii="Cambria" w:hAnsi="Cambria"/>
                <w:sz w:val="20"/>
                <w:szCs w:val="20"/>
              </w:rPr>
            </w:pPr>
          </w:p>
        </w:tc>
        <w:tc>
          <w:tcPr>
            <w:tcW w:w="2430" w:type="dxa"/>
            <w:shd w:val="clear" w:color="auto" w:fill="DFEBF5" w:themeFill="accent2" w:themeFillTint="33"/>
          </w:tcPr>
          <w:p w14:paraId="1F00A3BD"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UNDP</w:t>
            </w:r>
          </w:p>
        </w:tc>
        <w:tc>
          <w:tcPr>
            <w:tcW w:w="2070" w:type="dxa"/>
            <w:shd w:val="clear" w:color="auto" w:fill="EBE8EC" w:themeFill="accent6" w:themeFillTint="33"/>
          </w:tcPr>
          <w:p w14:paraId="76965DF4" w14:textId="77777777" w:rsidR="00491D38" w:rsidRPr="00395C26" w:rsidRDefault="00491D38" w:rsidP="00491D38">
            <w:pPr>
              <w:rPr>
                <w:rFonts w:ascii="Cambria" w:hAnsi="Cambria"/>
                <w:sz w:val="20"/>
                <w:szCs w:val="20"/>
              </w:rPr>
            </w:pPr>
            <w:r w:rsidRPr="00395C26">
              <w:rPr>
                <w:rFonts w:ascii="Cambria" w:hAnsi="Cambria"/>
                <w:sz w:val="20"/>
                <w:szCs w:val="20"/>
              </w:rPr>
              <w:t>UNCO</w:t>
            </w:r>
          </w:p>
        </w:tc>
      </w:tr>
      <w:tr w:rsidR="00491D38" w:rsidRPr="00395C26" w14:paraId="030EC9A0" w14:textId="77777777" w:rsidTr="00491D38">
        <w:trPr>
          <w:trHeight w:val="314"/>
        </w:trPr>
        <w:tc>
          <w:tcPr>
            <w:tcW w:w="2610" w:type="dxa"/>
            <w:vMerge/>
            <w:shd w:val="clear" w:color="auto" w:fill="85B2F6" w:themeFill="background2" w:themeFillShade="E6"/>
          </w:tcPr>
          <w:p w14:paraId="55839077" w14:textId="77777777" w:rsidR="00491D38" w:rsidRPr="00395C26" w:rsidRDefault="00491D38" w:rsidP="00491D38">
            <w:pPr>
              <w:spacing w:line="276" w:lineRule="auto"/>
              <w:rPr>
                <w:rFonts w:ascii="Cambria" w:hAnsi="Cambria"/>
                <w:sz w:val="20"/>
                <w:szCs w:val="20"/>
              </w:rPr>
            </w:pPr>
          </w:p>
        </w:tc>
        <w:tc>
          <w:tcPr>
            <w:tcW w:w="3240" w:type="dxa"/>
            <w:shd w:val="clear" w:color="auto" w:fill="D9DFEF" w:themeFill="accent1" w:themeFillTint="33"/>
          </w:tcPr>
          <w:p w14:paraId="3349FE19" w14:textId="77777777" w:rsidR="00491D38" w:rsidRPr="00395C26" w:rsidRDefault="00491D38" w:rsidP="00491D38">
            <w:pPr>
              <w:spacing w:line="276" w:lineRule="auto"/>
              <w:jc w:val="both"/>
              <w:rPr>
                <w:rFonts w:ascii="Cambria" w:hAnsi="Cambria"/>
                <w:sz w:val="20"/>
                <w:szCs w:val="20"/>
              </w:rPr>
            </w:pPr>
            <w:r w:rsidRPr="00395C26">
              <w:rPr>
                <w:rFonts w:ascii="Cambria" w:hAnsi="Cambria"/>
                <w:sz w:val="20"/>
                <w:szCs w:val="20"/>
              </w:rPr>
              <w:t>Ms. Myanthi Peiris</w:t>
            </w:r>
          </w:p>
          <w:p w14:paraId="38A5D45B" w14:textId="77777777" w:rsidR="00491D38" w:rsidRPr="00395C26" w:rsidRDefault="00491D38" w:rsidP="00491D38">
            <w:pPr>
              <w:spacing w:line="276" w:lineRule="auto"/>
              <w:jc w:val="both"/>
              <w:rPr>
                <w:rFonts w:ascii="Cambria" w:hAnsi="Cambria"/>
                <w:sz w:val="20"/>
                <w:szCs w:val="20"/>
              </w:rPr>
            </w:pPr>
            <w:r w:rsidRPr="00395C26">
              <w:rPr>
                <w:rFonts w:ascii="Cambria" w:hAnsi="Cambria"/>
                <w:sz w:val="20"/>
                <w:szCs w:val="20"/>
              </w:rPr>
              <w:t xml:space="preserve">Business and Human Rights Specialist </w:t>
            </w:r>
          </w:p>
        </w:tc>
        <w:tc>
          <w:tcPr>
            <w:tcW w:w="2430" w:type="dxa"/>
            <w:shd w:val="clear" w:color="auto" w:fill="DFEBF5" w:themeFill="accent2" w:themeFillTint="33"/>
          </w:tcPr>
          <w:p w14:paraId="4CD087A4"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UNDP</w:t>
            </w:r>
          </w:p>
        </w:tc>
        <w:tc>
          <w:tcPr>
            <w:tcW w:w="2070" w:type="dxa"/>
            <w:shd w:val="clear" w:color="auto" w:fill="EBE8EC" w:themeFill="accent6" w:themeFillTint="33"/>
          </w:tcPr>
          <w:p w14:paraId="76F07D96" w14:textId="77777777" w:rsidR="00491D38" w:rsidRPr="00395C26" w:rsidRDefault="00491D38" w:rsidP="00491D38">
            <w:pPr>
              <w:rPr>
                <w:rFonts w:ascii="Cambria" w:hAnsi="Cambria"/>
                <w:sz w:val="20"/>
                <w:szCs w:val="20"/>
              </w:rPr>
            </w:pPr>
            <w:r w:rsidRPr="00395C26">
              <w:rPr>
                <w:rFonts w:ascii="Cambria" w:hAnsi="Cambria"/>
                <w:sz w:val="20"/>
                <w:szCs w:val="20"/>
              </w:rPr>
              <w:t>UNCO</w:t>
            </w:r>
          </w:p>
        </w:tc>
      </w:tr>
      <w:tr w:rsidR="00491D38" w:rsidRPr="00395C26" w14:paraId="2179FFE8" w14:textId="77777777" w:rsidTr="00491D38">
        <w:trPr>
          <w:trHeight w:val="314"/>
        </w:trPr>
        <w:tc>
          <w:tcPr>
            <w:tcW w:w="2610" w:type="dxa"/>
            <w:vMerge/>
            <w:shd w:val="clear" w:color="auto" w:fill="85B2F6" w:themeFill="background2" w:themeFillShade="E6"/>
          </w:tcPr>
          <w:p w14:paraId="6959A26A" w14:textId="77777777" w:rsidR="00491D38" w:rsidRPr="00395C26" w:rsidRDefault="00491D38" w:rsidP="00491D38">
            <w:pPr>
              <w:spacing w:line="276" w:lineRule="auto"/>
              <w:rPr>
                <w:rFonts w:ascii="Cambria" w:hAnsi="Cambria"/>
                <w:sz w:val="20"/>
                <w:szCs w:val="20"/>
              </w:rPr>
            </w:pPr>
          </w:p>
        </w:tc>
        <w:tc>
          <w:tcPr>
            <w:tcW w:w="3240" w:type="dxa"/>
            <w:shd w:val="clear" w:color="auto" w:fill="D9DFEF" w:themeFill="accent1" w:themeFillTint="33"/>
          </w:tcPr>
          <w:p w14:paraId="2EB8AB8E" w14:textId="77777777" w:rsidR="00491D38" w:rsidRPr="00395C26" w:rsidRDefault="00491D38" w:rsidP="00491D38">
            <w:pPr>
              <w:spacing w:line="276" w:lineRule="auto"/>
              <w:rPr>
                <w:rFonts w:ascii="Cambria" w:hAnsi="Cambria"/>
                <w:sz w:val="20"/>
                <w:szCs w:val="20"/>
                <w:lang w:val="en-GB"/>
              </w:rPr>
            </w:pPr>
            <w:r w:rsidRPr="00395C26">
              <w:rPr>
                <w:rFonts w:ascii="Cambria" w:hAnsi="Cambria"/>
                <w:sz w:val="20"/>
                <w:szCs w:val="20"/>
                <w:lang w:val="en-GB"/>
              </w:rPr>
              <w:t xml:space="preserve">Mr. Jothirajah Karunenthira </w:t>
            </w:r>
            <w:r w:rsidRPr="00395C26">
              <w:rPr>
                <w:rFonts w:ascii="Cambria" w:hAnsi="Cambria"/>
                <w:sz w:val="20"/>
                <w:szCs w:val="20"/>
                <w:lang w:val="en-GB"/>
              </w:rPr>
              <w:br/>
              <w:t>Monitoring, Evaluations and Knowledge Management Specialist, Inclusive Governance Team</w:t>
            </w:r>
          </w:p>
          <w:p w14:paraId="7D9A3867" w14:textId="77777777" w:rsidR="00491D38" w:rsidRPr="00395C26" w:rsidRDefault="00491D38" w:rsidP="00491D38">
            <w:pPr>
              <w:spacing w:line="276" w:lineRule="auto"/>
              <w:jc w:val="both"/>
              <w:rPr>
                <w:rFonts w:ascii="Cambria" w:hAnsi="Cambria"/>
                <w:sz w:val="20"/>
                <w:szCs w:val="20"/>
              </w:rPr>
            </w:pPr>
          </w:p>
        </w:tc>
        <w:tc>
          <w:tcPr>
            <w:tcW w:w="2430" w:type="dxa"/>
            <w:shd w:val="clear" w:color="auto" w:fill="DFEBF5" w:themeFill="accent2" w:themeFillTint="33"/>
          </w:tcPr>
          <w:p w14:paraId="2072D51C"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UNDP</w:t>
            </w:r>
          </w:p>
        </w:tc>
        <w:tc>
          <w:tcPr>
            <w:tcW w:w="2070" w:type="dxa"/>
            <w:shd w:val="clear" w:color="auto" w:fill="EBE8EC" w:themeFill="accent6" w:themeFillTint="33"/>
          </w:tcPr>
          <w:p w14:paraId="7066593A" w14:textId="77777777" w:rsidR="00491D38" w:rsidRPr="00395C26" w:rsidRDefault="00491D38" w:rsidP="00491D38">
            <w:pPr>
              <w:rPr>
                <w:rFonts w:ascii="Cambria" w:hAnsi="Cambria"/>
                <w:sz w:val="20"/>
                <w:szCs w:val="20"/>
              </w:rPr>
            </w:pPr>
            <w:r w:rsidRPr="00395C26">
              <w:rPr>
                <w:rFonts w:ascii="Cambria" w:hAnsi="Cambria"/>
                <w:sz w:val="20"/>
                <w:szCs w:val="20"/>
              </w:rPr>
              <w:t>UNCO</w:t>
            </w:r>
          </w:p>
        </w:tc>
      </w:tr>
      <w:tr w:rsidR="00491D38" w:rsidRPr="00395C26" w14:paraId="23D760FF" w14:textId="77777777" w:rsidTr="00491D38">
        <w:trPr>
          <w:trHeight w:val="314"/>
        </w:trPr>
        <w:tc>
          <w:tcPr>
            <w:tcW w:w="2610" w:type="dxa"/>
            <w:vMerge/>
            <w:shd w:val="clear" w:color="auto" w:fill="85B2F6" w:themeFill="background2" w:themeFillShade="E6"/>
          </w:tcPr>
          <w:p w14:paraId="605B283E" w14:textId="77777777" w:rsidR="00491D38" w:rsidRPr="00395C26" w:rsidRDefault="00491D38" w:rsidP="00491D38">
            <w:pPr>
              <w:spacing w:line="276" w:lineRule="auto"/>
              <w:rPr>
                <w:rFonts w:ascii="Cambria" w:hAnsi="Cambria"/>
                <w:sz w:val="20"/>
                <w:szCs w:val="20"/>
              </w:rPr>
            </w:pPr>
          </w:p>
        </w:tc>
        <w:tc>
          <w:tcPr>
            <w:tcW w:w="3240" w:type="dxa"/>
            <w:shd w:val="clear" w:color="auto" w:fill="D9DFEF" w:themeFill="accent1" w:themeFillTint="33"/>
          </w:tcPr>
          <w:p w14:paraId="2423BEDF" w14:textId="77777777" w:rsidR="00491D38" w:rsidRPr="00395C26" w:rsidRDefault="00491D38" w:rsidP="00491D38">
            <w:pPr>
              <w:spacing w:line="276" w:lineRule="auto"/>
              <w:jc w:val="both"/>
              <w:rPr>
                <w:rFonts w:ascii="Cambria" w:hAnsi="Cambria"/>
                <w:sz w:val="20"/>
                <w:szCs w:val="20"/>
              </w:rPr>
            </w:pPr>
            <w:r w:rsidRPr="00395C26">
              <w:rPr>
                <w:rFonts w:ascii="Cambria" w:hAnsi="Cambria"/>
                <w:sz w:val="20"/>
                <w:szCs w:val="20"/>
              </w:rPr>
              <w:t>Ms. Nimmi Ariyaratne</w:t>
            </w:r>
          </w:p>
          <w:p w14:paraId="0A5E3D84"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Programme Quality and Design Analyst</w:t>
            </w:r>
          </w:p>
          <w:p w14:paraId="5C6AB5E3" w14:textId="77777777" w:rsidR="00491D38" w:rsidRPr="00395C26" w:rsidRDefault="00491D38" w:rsidP="00491D38">
            <w:pPr>
              <w:spacing w:line="276" w:lineRule="auto"/>
              <w:rPr>
                <w:rFonts w:ascii="Cambria" w:hAnsi="Cambria"/>
                <w:sz w:val="20"/>
                <w:szCs w:val="20"/>
                <w:lang w:val="en-GB"/>
              </w:rPr>
            </w:pPr>
          </w:p>
        </w:tc>
        <w:tc>
          <w:tcPr>
            <w:tcW w:w="2430" w:type="dxa"/>
            <w:shd w:val="clear" w:color="auto" w:fill="DFEBF5" w:themeFill="accent2" w:themeFillTint="33"/>
          </w:tcPr>
          <w:p w14:paraId="04D0A381"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UNDP</w:t>
            </w:r>
          </w:p>
        </w:tc>
        <w:tc>
          <w:tcPr>
            <w:tcW w:w="2070" w:type="dxa"/>
            <w:shd w:val="clear" w:color="auto" w:fill="EBE8EC" w:themeFill="accent6" w:themeFillTint="33"/>
          </w:tcPr>
          <w:p w14:paraId="531D3DC4" w14:textId="77777777" w:rsidR="00491D38" w:rsidRPr="00395C26" w:rsidRDefault="00491D38" w:rsidP="00491D38">
            <w:pPr>
              <w:rPr>
                <w:rFonts w:ascii="Cambria" w:hAnsi="Cambria"/>
                <w:sz w:val="20"/>
                <w:szCs w:val="20"/>
              </w:rPr>
            </w:pPr>
            <w:r w:rsidRPr="00395C26">
              <w:rPr>
                <w:rFonts w:ascii="Cambria" w:hAnsi="Cambria"/>
                <w:sz w:val="20"/>
                <w:szCs w:val="20"/>
              </w:rPr>
              <w:t>UNCO</w:t>
            </w:r>
          </w:p>
        </w:tc>
      </w:tr>
      <w:tr w:rsidR="00491D38" w:rsidRPr="00395C26" w14:paraId="5DCA7225" w14:textId="77777777" w:rsidTr="00491D38">
        <w:trPr>
          <w:trHeight w:val="314"/>
        </w:trPr>
        <w:tc>
          <w:tcPr>
            <w:tcW w:w="2610" w:type="dxa"/>
            <w:vMerge/>
            <w:shd w:val="clear" w:color="auto" w:fill="85B2F6" w:themeFill="background2" w:themeFillShade="E6"/>
          </w:tcPr>
          <w:p w14:paraId="18B0D37B" w14:textId="77777777" w:rsidR="00491D38" w:rsidRPr="00395C26" w:rsidRDefault="00491D38" w:rsidP="00491D38">
            <w:pPr>
              <w:spacing w:line="276" w:lineRule="auto"/>
              <w:rPr>
                <w:rFonts w:ascii="Cambria" w:hAnsi="Cambria"/>
                <w:sz w:val="20"/>
                <w:szCs w:val="20"/>
              </w:rPr>
            </w:pPr>
          </w:p>
        </w:tc>
        <w:tc>
          <w:tcPr>
            <w:tcW w:w="3240" w:type="dxa"/>
            <w:shd w:val="clear" w:color="auto" w:fill="D9DFEF" w:themeFill="accent1" w:themeFillTint="33"/>
          </w:tcPr>
          <w:p w14:paraId="52ADDC0A" w14:textId="77777777" w:rsidR="00491D38" w:rsidRPr="00395C26" w:rsidRDefault="00491D38" w:rsidP="00491D38">
            <w:pPr>
              <w:spacing w:line="276" w:lineRule="auto"/>
              <w:jc w:val="both"/>
              <w:rPr>
                <w:rFonts w:ascii="Cambria" w:hAnsi="Cambria"/>
                <w:sz w:val="20"/>
                <w:szCs w:val="20"/>
              </w:rPr>
            </w:pPr>
            <w:r w:rsidRPr="00395C26">
              <w:rPr>
                <w:rFonts w:ascii="Cambria" w:hAnsi="Cambria"/>
                <w:sz w:val="20"/>
                <w:szCs w:val="20"/>
              </w:rPr>
              <w:t>Mr. Mohamed Muzain</w:t>
            </w:r>
          </w:p>
          <w:p w14:paraId="72DF5AF9" w14:textId="77777777" w:rsidR="00491D38" w:rsidRPr="00395C26" w:rsidRDefault="00491D38" w:rsidP="00491D38">
            <w:pPr>
              <w:spacing w:line="276" w:lineRule="auto"/>
              <w:jc w:val="both"/>
              <w:rPr>
                <w:rFonts w:ascii="Cambria" w:hAnsi="Cambria"/>
                <w:sz w:val="20"/>
                <w:szCs w:val="20"/>
              </w:rPr>
            </w:pPr>
            <w:r w:rsidRPr="00395C26">
              <w:rPr>
                <w:rFonts w:ascii="Cambria" w:hAnsi="Cambria"/>
                <w:sz w:val="20"/>
                <w:szCs w:val="20"/>
              </w:rPr>
              <w:t>Portfolio Manager/ SDG 16 portfolio</w:t>
            </w:r>
          </w:p>
          <w:p w14:paraId="7DB1FF82" w14:textId="77777777" w:rsidR="00491D38" w:rsidRPr="00395C26" w:rsidRDefault="00491D38" w:rsidP="00491D38">
            <w:pPr>
              <w:spacing w:line="276" w:lineRule="auto"/>
              <w:jc w:val="both"/>
              <w:rPr>
                <w:rFonts w:ascii="Cambria" w:hAnsi="Cambria"/>
                <w:sz w:val="20"/>
                <w:szCs w:val="20"/>
              </w:rPr>
            </w:pPr>
          </w:p>
        </w:tc>
        <w:tc>
          <w:tcPr>
            <w:tcW w:w="2430" w:type="dxa"/>
            <w:shd w:val="clear" w:color="auto" w:fill="DFEBF5" w:themeFill="accent2" w:themeFillTint="33"/>
          </w:tcPr>
          <w:p w14:paraId="30A42493"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UNDP</w:t>
            </w:r>
          </w:p>
        </w:tc>
        <w:tc>
          <w:tcPr>
            <w:tcW w:w="2070" w:type="dxa"/>
            <w:shd w:val="clear" w:color="auto" w:fill="EBE8EC" w:themeFill="accent6" w:themeFillTint="33"/>
          </w:tcPr>
          <w:p w14:paraId="241BE91B" w14:textId="77777777" w:rsidR="00491D38" w:rsidRPr="00395C26" w:rsidRDefault="00491D38" w:rsidP="00491D38">
            <w:pPr>
              <w:rPr>
                <w:rFonts w:ascii="Cambria" w:hAnsi="Cambria"/>
                <w:sz w:val="20"/>
                <w:szCs w:val="20"/>
              </w:rPr>
            </w:pPr>
            <w:r w:rsidRPr="00395C26">
              <w:rPr>
                <w:rFonts w:ascii="Cambria" w:hAnsi="Cambria"/>
                <w:sz w:val="20"/>
                <w:szCs w:val="20"/>
              </w:rPr>
              <w:t>UNCO</w:t>
            </w:r>
          </w:p>
        </w:tc>
      </w:tr>
      <w:tr w:rsidR="00491D38" w:rsidRPr="00395C26" w14:paraId="5620B4F6" w14:textId="77777777" w:rsidTr="00491D38">
        <w:trPr>
          <w:trHeight w:val="314"/>
        </w:trPr>
        <w:tc>
          <w:tcPr>
            <w:tcW w:w="10350" w:type="dxa"/>
            <w:gridSpan w:val="4"/>
            <w:shd w:val="clear" w:color="auto" w:fill="0E57C4" w:themeFill="background2" w:themeFillShade="80"/>
          </w:tcPr>
          <w:p w14:paraId="3A89DE44" w14:textId="77777777" w:rsidR="00491D38" w:rsidRPr="00395C26" w:rsidRDefault="00491D38" w:rsidP="00491D38">
            <w:pPr>
              <w:rPr>
                <w:rFonts w:ascii="Cambria" w:hAnsi="Cambria"/>
                <w:sz w:val="20"/>
                <w:szCs w:val="20"/>
              </w:rPr>
            </w:pPr>
          </w:p>
        </w:tc>
      </w:tr>
      <w:tr w:rsidR="00491D38" w:rsidRPr="00395C26" w14:paraId="6378B536" w14:textId="77777777" w:rsidTr="00491D38">
        <w:trPr>
          <w:trHeight w:val="314"/>
        </w:trPr>
        <w:tc>
          <w:tcPr>
            <w:tcW w:w="2610" w:type="dxa"/>
            <w:vMerge w:val="restart"/>
            <w:shd w:val="clear" w:color="auto" w:fill="85B2F6" w:themeFill="background2" w:themeFillShade="E6"/>
          </w:tcPr>
          <w:p w14:paraId="3FCB2E8A" w14:textId="77777777" w:rsidR="00491D38" w:rsidRPr="00395C26" w:rsidRDefault="00491D38" w:rsidP="00491D38">
            <w:pPr>
              <w:spacing w:line="276" w:lineRule="auto"/>
              <w:rPr>
                <w:rFonts w:ascii="Cambria" w:hAnsi="Cambria"/>
                <w:sz w:val="20"/>
                <w:szCs w:val="20"/>
              </w:rPr>
            </w:pPr>
            <w:r w:rsidRPr="00395C26">
              <w:rPr>
                <w:rFonts w:ascii="Cambria" w:hAnsi="Cambria"/>
                <w:b/>
                <w:bCs/>
                <w:sz w:val="20"/>
                <w:szCs w:val="20"/>
              </w:rPr>
              <w:t>UN Country Team</w:t>
            </w:r>
          </w:p>
        </w:tc>
        <w:tc>
          <w:tcPr>
            <w:tcW w:w="3240" w:type="dxa"/>
            <w:shd w:val="clear" w:color="auto" w:fill="D9DFEF" w:themeFill="accent1" w:themeFillTint="33"/>
          </w:tcPr>
          <w:p w14:paraId="70C5308F" w14:textId="77777777" w:rsidR="00491D38" w:rsidRPr="00395C26" w:rsidRDefault="00491D38" w:rsidP="00491D38">
            <w:pPr>
              <w:spacing w:line="276" w:lineRule="auto"/>
              <w:jc w:val="both"/>
              <w:rPr>
                <w:rFonts w:ascii="Cambria" w:hAnsi="Cambria"/>
                <w:sz w:val="20"/>
                <w:szCs w:val="20"/>
              </w:rPr>
            </w:pPr>
            <w:r w:rsidRPr="00395C26">
              <w:rPr>
                <w:rFonts w:ascii="Cambria" w:hAnsi="Cambria"/>
                <w:sz w:val="20"/>
                <w:szCs w:val="20"/>
              </w:rPr>
              <w:t>Ms. Janeen Fernando</w:t>
            </w:r>
          </w:p>
          <w:p w14:paraId="57E4C247" w14:textId="77777777" w:rsidR="00491D38" w:rsidRPr="00395C26" w:rsidRDefault="00491D38" w:rsidP="00491D38">
            <w:pPr>
              <w:spacing w:line="276" w:lineRule="auto"/>
              <w:jc w:val="both"/>
              <w:rPr>
                <w:rFonts w:ascii="Cambria" w:hAnsi="Cambria"/>
                <w:sz w:val="20"/>
                <w:szCs w:val="20"/>
              </w:rPr>
            </w:pPr>
            <w:r w:rsidRPr="00395C26">
              <w:rPr>
                <w:rFonts w:ascii="Cambria" w:hAnsi="Cambria"/>
                <w:sz w:val="20"/>
                <w:szCs w:val="20"/>
                <w:lang w:val="en-GB"/>
              </w:rPr>
              <w:t>Reconciliation and Development Specialist</w:t>
            </w:r>
          </w:p>
          <w:p w14:paraId="7DFE0005" w14:textId="77777777" w:rsidR="00491D38" w:rsidRPr="00395C26" w:rsidRDefault="00491D38" w:rsidP="00491D38">
            <w:pPr>
              <w:spacing w:line="276" w:lineRule="auto"/>
              <w:jc w:val="both"/>
              <w:rPr>
                <w:rFonts w:ascii="Cambria" w:hAnsi="Cambria"/>
                <w:sz w:val="20"/>
                <w:szCs w:val="20"/>
                <w:lang w:val="en-GB"/>
              </w:rPr>
            </w:pPr>
          </w:p>
        </w:tc>
        <w:tc>
          <w:tcPr>
            <w:tcW w:w="2430" w:type="dxa"/>
            <w:shd w:val="clear" w:color="auto" w:fill="DFEBF5" w:themeFill="accent2" w:themeFillTint="33"/>
          </w:tcPr>
          <w:p w14:paraId="1453C50B" w14:textId="77777777" w:rsidR="00491D38" w:rsidRPr="00395C26" w:rsidRDefault="00491D38" w:rsidP="00491D38">
            <w:pPr>
              <w:spacing w:line="276" w:lineRule="auto"/>
              <w:jc w:val="both"/>
              <w:rPr>
                <w:rFonts w:ascii="Cambria" w:hAnsi="Cambria"/>
                <w:sz w:val="20"/>
                <w:szCs w:val="20"/>
              </w:rPr>
            </w:pPr>
            <w:r w:rsidRPr="00395C26">
              <w:rPr>
                <w:rFonts w:ascii="Cambria" w:hAnsi="Cambria"/>
                <w:sz w:val="20"/>
                <w:szCs w:val="20"/>
                <w:lang w:val="en-GB"/>
              </w:rPr>
              <w:t>Office of the Resident Coordinator</w:t>
            </w:r>
          </w:p>
          <w:p w14:paraId="6CBAE8F9" w14:textId="77777777" w:rsidR="00491D38" w:rsidRPr="00395C26" w:rsidRDefault="00491D38" w:rsidP="00491D38">
            <w:pPr>
              <w:spacing w:line="276" w:lineRule="auto"/>
              <w:rPr>
                <w:rFonts w:ascii="Cambria" w:hAnsi="Cambria"/>
                <w:sz w:val="20"/>
                <w:szCs w:val="20"/>
              </w:rPr>
            </w:pPr>
          </w:p>
        </w:tc>
        <w:tc>
          <w:tcPr>
            <w:tcW w:w="2070" w:type="dxa"/>
            <w:shd w:val="clear" w:color="auto" w:fill="EBE8EC" w:themeFill="accent6" w:themeFillTint="33"/>
          </w:tcPr>
          <w:p w14:paraId="59887837" w14:textId="77777777" w:rsidR="00491D38" w:rsidRPr="00395C26" w:rsidRDefault="00491D38" w:rsidP="00491D38">
            <w:pPr>
              <w:rPr>
                <w:rFonts w:ascii="Cambria" w:hAnsi="Cambria"/>
                <w:sz w:val="20"/>
                <w:szCs w:val="20"/>
              </w:rPr>
            </w:pPr>
            <w:r w:rsidRPr="00395C26">
              <w:rPr>
                <w:rFonts w:ascii="Cambria" w:hAnsi="Cambria"/>
                <w:sz w:val="20"/>
                <w:szCs w:val="20"/>
              </w:rPr>
              <w:t>UNCO</w:t>
            </w:r>
          </w:p>
        </w:tc>
      </w:tr>
      <w:tr w:rsidR="00491D38" w:rsidRPr="00395C26" w14:paraId="3F66DEE0" w14:textId="77777777" w:rsidTr="00491D38">
        <w:trPr>
          <w:trHeight w:val="314"/>
        </w:trPr>
        <w:tc>
          <w:tcPr>
            <w:tcW w:w="2610" w:type="dxa"/>
            <w:vMerge/>
            <w:shd w:val="clear" w:color="auto" w:fill="85B2F6" w:themeFill="background2" w:themeFillShade="E6"/>
          </w:tcPr>
          <w:p w14:paraId="28CCD3A7" w14:textId="77777777" w:rsidR="00491D38" w:rsidRPr="00395C26" w:rsidRDefault="00491D38" w:rsidP="00491D38">
            <w:pPr>
              <w:spacing w:line="276" w:lineRule="auto"/>
              <w:rPr>
                <w:rFonts w:ascii="Cambria" w:hAnsi="Cambria"/>
                <w:b/>
                <w:bCs/>
                <w:sz w:val="20"/>
                <w:szCs w:val="20"/>
              </w:rPr>
            </w:pPr>
          </w:p>
        </w:tc>
        <w:tc>
          <w:tcPr>
            <w:tcW w:w="3240" w:type="dxa"/>
            <w:shd w:val="clear" w:color="auto" w:fill="D9DFEF" w:themeFill="accent1" w:themeFillTint="33"/>
          </w:tcPr>
          <w:p w14:paraId="54E06AE2" w14:textId="77777777" w:rsidR="00491D38" w:rsidRDefault="00491D38" w:rsidP="00491D38">
            <w:pPr>
              <w:spacing w:line="276" w:lineRule="auto"/>
              <w:jc w:val="both"/>
              <w:rPr>
                <w:rFonts w:ascii="Cambria" w:hAnsi="Cambria"/>
                <w:sz w:val="20"/>
                <w:szCs w:val="20"/>
              </w:rPr>
            </w:pPr>
            <w:r w:rsidRPr="00395C26">
              <w:rPr>
                <w:rFonts w:ascii="Cambria" w:hAnsi="Cambria"/>
                <w:sz w:val="20"/>
                <w:szCs w:val="20"/>
              </w:rPr>
              <w:t>Ms. Krishna ………….</w:t>
            </w:r>
          </w:p>
          <w:p w14:paraId="4071494D" w14:textId="77777777" w:rsidR="00491D38" w:rsidRPr="00395C26" w:rsidRDefault="00491D38" w:rsidP="00491D38">
            <w:pPr>
              <w:spacing w:line="276" w:lineRule="auto"/>
              <w:jc w:val="both"/>
              <w:rPr>
                <w:rFonts w:ascii="Cambria" w:hAnsi="Cambria"/>
                <w:sz w:val="20"/>
                <w:szCs w:val="20"/>
              </w:rPr>
            </w:pPr>
          </w:p>
        </w:tc>
        <w:tc>
          <w:tcPr>
            <w:tcW w:w="2430" w:type="dxa"/>
            <w:shd w:val="clear" w:color="auto" w:fill="DFEBF5" w:themeFill="accent2" w:themeFillTint="33"/>
          </w:tcPr>
          <w:p w14:paraId="5515E9B6"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OHCHR</w:t>
            </w:r>
          </w:p>
        </w:tc>
        <w:tc>
          <w:tcPr>
            <w:tcW w:w="2070" w:type="dxa"/>
            <w:shd w:val="clear" w:color="auto" w:fill="EBE8EC" w:themeFill="accent6" w:themeFillTint="33"/>
          </w:tcPr>
          <w:p w14:paraId="44B3C3AF" w14:textId="77777777" w:rsidR="00491D38" w:rsidRPr="00395C26" w:rsidRDefault="00491D38" w:rsidP="00491D38">
            <w:pPr>
              <w:rPr>
                <w:rFonts w:ascii="Cambria" w:hAnsi="Cambria"/>
                <w:sz w:val="20"/>
                <w:szCs w:val="20"/>
              </w:rPr>
            </w:pPr>
            <w:r w:rsidRPr="00395C26">
              <w:rPr>
                <w:rFonts w:ascii="Cambria" w:hAnsi="Cambria"/>
                <w:sz w:val="20"/>
                <w:szCs w:val="20"/>
              </w:rPr>
              <w:t>UNCO</w:t>
            </w:r>
          </w:p>
        </w:tc>
      </w:tr>
      <w:tr w:rsidR="00491D38" w:rsidRPr="00395C26" w14:paraId="31EC74D0" w14:textId="77777777" w:rsidTr="00491D38">
        <w:trPr>
          <w:trHeight w:val="314"/>
        </w:trPr>
        <w:tc>
          <w:tcPr>
            <w:tcW w:w="2610" w:type="dxa"/>
            <w:vMerge/>
            <w:shd w:val="clear" w:color="auto" w:fill="85B2F6" w:themeFill="background2" w:themeFillShade="E6"/>
          </w:tcPr>
          <w:p w14:paraId="68810A18" w14:textId="77777777" w:rsidR="00491D38" w:rsidRPr="00395C26" w:rsidRDefault="00491D38" w:rsidP="00491D38">
            <w:pPr>
              <w:spacing w:line="276" w:lineRule="auto"/>
              <w:rPr>
                <w:rFonts w:ascii="Cambria" w:hAnsi="Cambria"/>
                <w:sz w:val="20"/>
                <w:szCs w:val="20"/>
              </w:rPr>
            </w:pPr>
          </w:p>
        </w:tc>
        <w:tc>
          <w:tcPr>
            <w:tcW w:w="3240" w:type="dxa"/>
            <w:shd w:val="clear" w:color="auto" w:fill="D9DFEF" w:themeFill="accent1" w:themeFillTint="33"/>
          </w:tcPr>
          <w:p w14:paraId="396D28F0" w14:textId="77777777" w:rsidR="00491D38" w:rsidRPr="00395C26" w:rsidRDefault="00491D38" w:rsidP="00491D38">
            <w:pPr>
              <w:spacing w:line="276" w:lineRule="auto"/>
              <w:jc w:val="both"/>
              <w:rPr>
                <w:rFonts w:ascii="Cambria" w:hAnsi="Cambria"/>
                <w:sz w:val="20"/>
                <w:szCs w:val="20"/>
              </w:rPr>
            </w:pPr>
            <w:r w:rsidRPr="00395C26">
              <w:rPr>
                <w:rFonts w:ascii="Cambria" w:hAnsi="Cambria"/>
                <w:sz w:val="20"/>
                <w:szCs w:val="20"/>
              </w:rPr>
              <w:t xml:space="preserve">Mr. Rathika De Silva </w:t>
            </w:r>
          </w:p>
          <w:p w14:paraId="2BC86072" w14:textId="77777777" w:rsidR="00491D38" w:rsidRPr="00395C26" w:rsidRDefault="00491D38" w:rsidP="00491D38">
            <w:pPr>
              <w:spacing w:line="276" w:lineRule="auto"/>
              <w:jc w:val="both"/>
              <w:rPr>
                <w:rFonts w:ascii="Cambria" w:hAnsi="Cambria"/>
                <w:sz w:val="20"/>
                <w:szCs w:val="20"/>
              </w:rPr>
            </w:pPr>
          </w:p>
        </w:tc>
        <w:tc>
          <w:tcPr>
            <w:tcW w:w="2430" w:type="dxa"/>
            <w:shd w:val="clear" w:color="auto" w:fill="DFEBF5" w:themeFill="accent2" w:themeFillTint="33"/>
          </w:tcPr>
          <w:p w14:paraId="4128C669" w14:textId="77777777" w:rsidR="00491D38" w:rsidRPr="00395C26" w:rsidRDefault="00491D38" w:rsidP="00491D38">
            <w:pPr>
              <w:spacing w:line="276" w:lineRule="auto"/>
              <w:rPr>
                <w:rFonts w:ascii="Cambria" w:hAnsi="Cambria"/>
                <w:b/>
                <w:bCs/>
                <w:sz w:val="20"/>
                <w:szCs w:val="20"/>
              </w:rPr>
            </w:pPr>
            <w:r w:rsidRPr="00395C26">
              <w:rPr>
                <w:rFonts w:ascii="Cambria" w:hAnsi="Cambria"/>
                <w:sz w:val="20"/>
                <w:szCs w:val="20"/>
              </w:rPr>
              <w:t xml:space="preserve">UN Global Compact </w:t>
            </w:r>
          </w:p>
        </w:tc>
        <w:tc>
          <w:tcPr>
            <w:tcW w:w="2070" w:type="dxa"/>
            <w:shd w:val="clear" w:color="auto" w:fill="EBE8EC" w:themeFill="accent6" w:themeFillTint="33"/>
          </w:tcPr>
          <w:p w14:paraId="5450918B" w14:textId="77777777" w:rsidR="00491D38" w:rsidRPr="00395C26" w:rsidRDefault="00491D38" w:rsidP="00491D38">
            <w:pPr>
              <w:rPr>
                <w:rFonts w:ascii="Cambria" w:hAnsi="Cambria"/>
                <w:sz w:val="20"/>
                <w:szCs w:val="20"/>
              </w:rPr>
            </w:pPr>
            <w:r w:rsidRPr="00395C26">
              <w:rPr>
                <w:rFonts w:ascii="Cambria" w:hAnsi="Cambria"/>
                <w:sz w:val="20"/>
                <w:szCs w:val="20"/>
              </w:rPr>
              <w:t>UNCO</w:t>
            </w:r>
          </w:p>
        </w:tc>
      </w:tr>
      <w:tr w:rsidR="00491D38" w:rsidRPr="00395C26" w14:paraId="045A9F10" w14:textId="77777777" w:rsidTr="00491D38">
        <w:trPr>
          <w:trHeight w:val="314"/>
        </w:trPr>
        <w:tc>
          <w:tcPr>
            <w:tcW w:w="2610" w:type="dxa"/>
            <w:vMerge/>
            <w:shd w:val="clear" w:color="auto" w:fill="85B2F6" w:themeFill="background2" w:themeFillShade="E6"/>
          </w:tcPr>
          <w:p w14:paraId="574A17F1" w14:textId="77777777" w:rsidR="00491D38" w:rsidRPr="00395C26" w:rsidRDefault="00491D38" w:rsidP="00491D38">
            <w:pPr>
              <w:spacing w:line="276" w:lineRule="auto"/>
              <w:rPr>
                <w:rFonts w:ascii="Cambria" w:hAnsi="Cambria"/>
                <w:sz w:val="20"/>
                <w:szCs w:val="20"/>
              </w:rPr>
            </w:pPr>
          </w:p>
        </w:tc>
        <w:tc>
          <w:tcPr>
            <w:tcW w:w="3240" w:type="dxa"/>
            <w:shd w:val="clear" w:color="auto" w:fill="D9DFEF" w:themeFill="accent1" w:themeFillTint="33"/>
          </w:tcPr>
          <w:p w14:paraId="50856439" w14:textId="77777777" w:rsidR="00491D38" w:rsidRPr="00395C26" w:rsidRDefault="00491D38" w:rsidP="00491D38">
            <w:pPr>
              <w:spacing w:line="276" w:lineRule="auto"/>
              <w:jc w:val="both"/>
              <w:rPr>
                <w:rFonts w:ascii="Cambria" w:hAnsi="Cambria"/>
                <w:sz w:val="20"/>
                <w:szCs w:val="20"/>
              </w:rPr>
            </w:pPr>
            <w:r w:rsidRPr="00395C26">
              <w:rPr>
                <w:rFonts w:ascii="Cambria" w:hAnsi="Cambria"/>
                <w:sz w:val="20"/>
                <w:szCs w:val="20"/>
              </w:rPr>
              <w:t xml:space="preserve">Dr. Hemamal Jayawardena </w:t>
            </w:r>
          </w:p>
          <w:p w14:paraId="2862B939" w14:textId="77777777" w:rsidR="00491D38" w:rsidRDefault="00491D38" w:rsidP="00491D38">
            <w:pPr>
              <w:spacing w:line="276" w:lineRule="auto"/>
              <w:jc w:val="both"/>
              <w:rPr>
                <w:rFonts w:ascii="Cambria" w:hAnsi="Cambria"/>
                <w:sz w:val="20"/>
                <w:szCs w:val="20"/>
              </w:rPr>
            </w:pPr>
            <w:r w:rsidRPr="00395C26">
              <w:rPr>
                <w:rFonts w:ascii="Cambria" w:hAnsi="Cambria"/>
                <w:sz w:val="20"/>
                <w:szCs w:val="20"/>
              </w:rPr>
              <w:t>Child Protection Specialist</w:t>
            </w:r>
          </w:p>
          <w:p w14:paraId="6E68835D" w14:textId="77777777" w:rsidR="00491D38" w:rsidRPr="00395C26" w:rsidRDefault="00491D38" w:rsidP="00491D38">
            <w:pPr>
              <w:spacing w:line="276" w:lineRule="auto"/>
              <w:jc w:val="both"/>
              <w:rPr>
                <w:rFonts w:ascii="Cambria" w:hAnsi="Cambria"/>
                <w:sz w:val="20"/>
                <w:szCs w:val="20"/>
              </w:rPr>
            </w:pPr>
          </w:p>
        </w:tc>
        <w:tc>
          <w:tcPr>
            <w:tcW w:w="2430" w:type="dxa"/>
            <w:shd w:val="clear" w:color="auto" w:fill="DFEBF5" w:themeFill="accent2" w:themeFillTint="33"/>
          </w:tcPr>
          <w:p w14:paraId="3A8487D0"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UNICEF</w:t>
            </w:r>
          </w:p>
        </w:tc>
        <w:tc>
          <w:tcPr>
            <w:tcW w:w="2070" w:type="dxa"/>
            <w:shd w:val="clear" w:color="auto" w:fill="EBE8EC" w:themeFill="accent6" w:themeFillTint="33"/>
          </w:tcPr>
          <w:p w14:paraId="095B0850" w14:textId="77777777" w:rsidR="00491D38" w:rsidRPr="00395C26" w:rsidRDefault="00491D38" w:rsidP="00491D38">
            <w:pPr>
              <w:rPr>
                <w:rFonts w:ascii="Cambria" w:hAnsi="Cambria"/>
                <w:sz w:val="20"/>
                <w:szCs w:val="20"/>
              </w:rPr>
            </w:pPr>
            <w:r w:rsidRPr="00395C26">
              <w:rPr>
                <w:rFonts w:ascii="Cambria" w:hAnsi="Cambria"/>
                <w:sz w:val="20"/>
                <w:szCs w:val="20"/>
              </w:rPr>
              <w:t>UNCO</w:t>
            </w:r>
          </w:p>
        </w:tc>
      </w:tr>
      <w:tr w:rsidR="00491D38" w:rsidRPr="00395C26" w14:paraId="1E782FB7" w14:textId="77777777" w:rsidTr="00491D38">
        <w:trPr>
          <w:trHeight w:val="314"/>
        </w:trPr>
        <w:tc>
          <w:tcPr>
            <w:tcW w:w="10350" w:type="dxa"/>
            <w:gridSpan w:val="4"/>
            <w:shd w:val="clear" w:color="auto" w:fill="7F7F7F" w:themeFill="text1" w:themeFillTint="80"/>
          </w:tcPr>
          <w:p w14:paraId="2394CC8E" w14:textId="77777777" w:rsidR="00491D38" w:rsidRPr="00395C26" w:rsidRDefault="00491D38" w:rsidP="00491D38">
            <w:pPr>
              <w:rPr>
                <w:rFonts w:ascii="Cambria" w:hAnsi="Cambria"/>
                <w:sz w:val="20"/>
                <w:szCs w:val="20"/>
              </w:rPr>
            </w:pPr>
          </w:p>
        </w:tc>
      </w:tr>
      <w:tr w:rsidR="00491D38" w:rsidRPr="00395C26" w14:paraId="2EFA18F9" w14:textId="77777777" w:rsidTr="00491D38">
        <w:trPr>
          <w:trHeight w:val="314"/>
        </w:trPr>
        <w:tc>
          <w:tcPr>
            <w:tcW w:w="2610" w:type="dxa"/>
            <w:vMerge w:val="restart"/>
            <w:shd w:val="clear" w:color="auto" w:fill="85B2F6" w:themeFill="background2" w:themeFillShade="E6"/>
          </w:tcPr>
          <w:p w14:paraId="03CB47F1" w14:textId="77777777" w:rsidR="00491D38" w:rsidRPr="00395C26" w:rsidRDefault="00491D38" w:rsidP="00491D38">
            <w:pPr>
              <w:spacing w:line="276" w:lineRule="auto"/>
              <w:rPr>
                <w:rFonts w:ascii="Cambria" w:hAnsi="Cambria"/>
                <w:b/>
                <w:bCs/>
                <w:sz w:val="20"/>
                <w:szCs w:val="20"/>
              </w:rPr>
            </w:pPr>
            <w:r w:rsidRPr="00395C26">
              <w:rPr>
                <w:rFonts w:ascii="Cambria" w:hAnsi="Cambria"/>
                <w:b/>
                <w:bCs/>
                <w:sz w:val="20"/>
                <w:szCs w:val="20"/>
              </w:rPr>
              <w:t>Development Partners</w:t>
            </w:r>
          </w:p>
        </w:tc>
        <w:tc>
          <w:tcPr>
            <w:tcW w:w="3240" w:type="dxa"/>
            <w:shd w:val="clear" w:color="auto" w:fill="D9DFEF" w:themeFill="accent1" w:themeFillTint="33"/>
          </w:tcPr>
          <w:p w14:paraId="28938E77" w14:textId="77777777" w:rsidR="00491D38" w:rsidRPr="00395C26" w:rsidRDefault="00491D38" w:rsidP="00491D38">
            <w:pPr>
              <w:spacing w:line="276" w:lineRule="auto"/>
              <w:jc w:val="both"/>
              <w:rPr>
                <w:rFonts w:ascii="Cambria" w:hAnsi="Cambria"/>
                <w:sz w:val="20"/>
                <w:szCs w:val="20"/>
              </w:rPr>
            </w:pPr>
            <w:r w:rsidRPr="00395C26">
              <w:rPr>
                <w:rFonts w:ascii="Cambria" w:hAnsi="Cambria"/>
                <w:sz w:val="20"/>
                <w:szCs w:val="20"/>
              </w:rPr>
              <w:t>Ms. Shirani Narayana</w:t>
            </w:r>
          </w:p>
          <w:p w14:paraId="3FCD41A0" w14:textId="77777777" w:rsidR="00491D38" w:rsidRPr="00395C26" w:rsidRDefault="00491D38" w:rsidP="00491D38">
            <w:pPr>
              <w:spacing w:line="276" w:lineRule="auto"/>
              <w:jc w:val="both"/>
              <w:rPr>
                <w:rFonts w:ascii="Cambria" w:hAnsi="Cambria"/>
                <w:sz w:val="20"/>
                <w:szCs w:val="20"/>
              </w:rPr>
            </w:pPr>
            <w:r w:rsidRPr="00395C26">
              <w:rPr>
                <w:rFonts w:ascii="Cambria" w:hAnsi="Cambria"/>
                <w:sz w:val="20"/>
                <w:szCs w:val="20"/>
              </w:rPr>
              <w:t>Governance and Rule of Law Advisor</w:t>
            </w:r>
          </w:p>
        </w:tc>
        <w:tc>
          <w:tcPr>
            <w:tcW w:w="2430" w:type="dxa"/>
            <w:shd w:val="clear" w:color="auto" w:fill="DFEBF5" w:themeFill="accent2" w:themeFillTint="33"/>
          </w:tcPr>
          <w:p w14:paraId="405B5B29" w14:textId="77777777" w:rsidR="00491D38" w:rsidRPr="00395C26" w:rsidRDefault="00491D38" w:rsidP="00491D38">
            <w:pPr>
              <w:spacing w:line="276" w:lineRule="auto"/>
              <w:rPr>
                <w:rFonts w:ascii="Cambria" w:hAnsi="Cambria"/>
                <w:sz w:val="20"/>
                <w:szCs w:val="20"/>
              </w:rPr>
            </w:pPr>
            <w:r w:rsidRPr="00395C26">
              <w:rPr>
                <w:rFonts w:ascii="Cambria" w:hAnsi="Cambria"/>
                <w:sz w:val="20"/>
                <w:szCs w:val="20"/>
              </w:rPr>
              <w:t>Office of Governance and Vulnerable Populations</w:t>
            </w:r>
          </w:p>
          <w:p w14:paraId="0BC50B0A" w14:textId="77777777" w:rsidR="00491D38" w:rsidRDefault="00491D38" w:rsidP="00491D38">
            <w:pPr>
              <w:spacing w:line="276" w:lineRule="auto"/>
              <w:rPr>
                <w:rFonts w:ascii="Cambria" w:hAnsi="Cambria"/>
                <w:sz w:val="20"/>
                <w:szCs w:val="20"/>
              </w:rPr>
            </w:pPr>
            <w:r w:rsidRPr="00395C26">
              <w:rPr>
                <w:rFonts w:ascii="Cambria" w:hAnsi="Cambria"/>
                <w:sz w:val="20"/>
                <w:szCs w:val="20"/>
              </w:rPr>
              <w:t>USAID| Sri Lanka and Maldives</w:t>
            </w:r>
          </w:p>
          <w:p w14:paraId="21453BA0" w14:textId="77777777" w:rsidR="00491D38" w:rsidRPr="00395C26" w:rsidRDefault="00491D38" w:rsidP="00491D38">
            <w:pPr>
              <w:spacing w:line="276" w:lineRule="auto"/>
              <w:rPr>
                <w:rFonts w:ascii="Cambria" w:hAnsi="Cambria"/>
                <w:sz w:val="20"/>
                <w:szCs w:val="20"/>
              </w:rPr>
            </w:pPr>
          </w:p>
        </w:tc>
        <w:tc>
          <w:tcPr>
            <w:tcW w:w="2070" w:type="dxa"/>
            <w:shd w:val="clear" w:color="auto" w:fill="EBE8EC" w:themeFill="accent6" w:themeFillTint="33"/>
          </w:tcPr>
          <w:p w14:paraId="780D3D6B" w14:textId="77777777" w:rsidR="00491D38" w:rsidRPr="00395C26" w:rsidRDefault="00491D38" w:rsidP="00491D38">
            <w:pPr>
              <w:rPr>
                <w:rFonts w:ascii="Cambria" w:hAnsi="Cambria"/>
                <w:sz w:val="20"/>
                <w:szCs w:val="20"/>
              </w:rPr>
            </w:pPr>
          </w:p>
        </w:tc>
      </w:tr>
      <w:tr w:rsidR="00491D38" w:rsidRPr="00395C26" w14:paraId="67AE9419" w14:textId="77777777" w:rsidTr="00491D38">
        <w:trPr>
          <w:trHeight w:val="314"/>
        </w:trPr>
        <w:tc>
          <w:tcPr>
            <w:tcW w:w="2610" w:type="dxa"/>
            <w:vMerge/>
            <w:shd w:val="clear" w:color="auto" w:fill="85B2F6" w:themeFill="background2" w:themeFillShade="E6"/>
          </w:tcPr>
          <w:p w14:paraId="4B9CDFE6" w14:textId="77777777" w:rsidR="00491D38" w:rsidRPr="00395C26" w:rsidRDefault="00491D38" w:rsidP="00491D38">
            <w:pPr>
              <w:spacing w:line="276" w:lineRule="auto"/>
              <w:rPr>
                <w:rFonts w:ascii="Cambria" w:hAnsi="Cambria"/>
                <w:b/>
                <w:bCs/>
                <w:sz w:val="20"/>
                <w:szCs w:val="20"/>
              </w:rPr>
            </w:pPr>
          </w:p>
        </w:tc>
        <w:tc>
          <w:tcPr>
            <w:tcW w:w="3240" w:type="dxa"/>
            <w:shd w:val="clear" w:color="auto" w:fill="D9DFEF" w:themeFill="accent1" w:themeFillTint="33"/>
          </w:tcPr>
          <w:p w14:paraId="5C46536B" w14:textId="77777777" w:rsidR="00491D38" w:rsidRPr="00395C26" w:rsidRDefault="00491D38" w:rsidP="00491D38">
            <w:pPr>
              <w:spacing w:line="276" w:lineRule="auto"/>
              <w:jc w:val="both"/>
              <w:rPr>
                <w:rFonts w:ascii="Cambria" w:hAnsi="Cambria"/>
                <w:sz w:val="20"/>
                <w:szCs w:val="20"/>
              </w:rPr>
            </w:pPr>
            <w:r w:rsidRPr="00395C26">
              <w:rPr>
                <w:rFonts w:ascii="Cambria" w:hAnsi="Cambria"/>
                <w:sz w:val="20"/>
                <w:szCs w:val="20"/>
              </w:rPr>
              <w:t xml:space="preserve">Ms.Sharika Cooray </w:t>
            </w:r>
          </w:p>
          <w:p w14:paraId="10FB1A0C" w14:textId="77777777" w:rsidR="00491D38" w:rsidRPr="00395C26" w:rsidRDefault="00491D38" w:rsidP="00491D38">
            <w:pPr>
              <w:spacing w:line="276" w:lineRule="auto"/>
              <w:jc w:val="both"/>
              <w:rPr>
                <w:rFonts w:ascii="Cambria" w:hAnsi="Cambria"/>
                <w:sz w:val="20"/>
                <w:szCs w:val="20"/>
              </w:rPr>
            </w:pPr>
            <w:r w:rsidRPr="00395C26">
              <w:rPr>
                <w:rFonts w:ascii="Cambria" w:hAnsi="Cambria"/>
                <w:sz w:val="20"/>
                <w:szCs w:val="20"/>
              </w:rPr>
              <w:t>National Programme and Policy Analyst - Women's Rights &amp; Gender</w:t>
            </w:r>
          </w:p>
          <w:p w14:paraId="0C230099" w14:textId="77777777" w:rsidR="00491D38" w:rsidRPr="00395C26" w:rsidRDefault="00491D38" w:rsidP="00491D38">
            <w:pPr>
              <w:spacing w:line="276" w:lineRule="auto"/>
              <w:jc w:val="both"/>
              <w:rPr>
                <w:rFonts w:ascii="Cambria" w:hAnsi="Cambria"/>
                <w:sz w:val="20"/>
                <w:szCs w:val="20"/>
              </w:rPr>
            </w:pPr>
          </w:p>
        </w:tc>
        <w:tc>
          <w:tcPr>
            <w:tcW w:w="2430" w:type="dxa"/>
            <w:shd w:val="clear" w:color="auto" w:fill="DFEBF5" w:themeFill="accent2" w:themeFillTint="33"/>
          </w:tcPr>
          <w:p w14:paraId="35DAB6F0" w14:textId="77777777" w:rsidR="00491D38" w:rsidRPr="00395C26" w:rsidRDefault="00491D38" w:rsidP="00491D38">
            <w:pPr>
              <w:spacing w:line="276" w:lineRule="auto"/>
              <w:jc w:val="both"/>
              <w:rPr>
                <w:rFonts w:ascii="Cambria" w:hAnsi="Cambria"/>
                <w:sz w:val="20"/>
                <w:szCs w:val="20"/>
              </w:rPr>
            </w:pPr>
            <w:r w:rsidRPr="00395C26">
              <w:rPr>
                <w:rFonts w:ascii="Cambria" w:hAnsi="Cambria"/>
                <w:sz w:val="20"/>
                <w:szCs w:val="20"/>
              </w:rPr>
              <w:t>UNFPA</w:t>
            </w:r>
          </w:p>
          <w:p w14:paraId="22A8E85C" w14:textId="77777777" w:rsidR="00491D38" w:rsidRPr="00395C26" w:rsidRDefault="00491D38" w:rsidP="00491D38">
            <w:pPr>
              <w:spacing w:line="276" w:lineRule="auto"/>
              <w:rPr>
                <w:rFonts w:ascii="Cambria" w:hAnsi="Cambria"/>
                <w:sz w:val="20"/>
                <w:szCs w:val="20"/>
              </w:rPr>
            </w:pPr>
          </w:p>
        </w:tc>
        <w:tc>
          <w:tcPr>
            <w:tcW w:w="2070" w:type="dxa"/>
            <w:shd w:val="clear" w:color="auto" w:fill="EBE8EC" w:themeFill="accent6" w:themeFillTint="33"/>
          </w:tcPr>
          <w:p w14:paraId="44E6DCBA" w14:textId="77777777" w:rsidR="00491D38" w:rsidRPr="00395C26" w:rsidRDefault="00491D38" w:rsidP="00491D38">
            <w:pPr>
              <w:rPr>
                <w:rFonts w:ascii="Cambria" w:hAnsi="Cambria"/>
                <w:sz w:val="20"/>
                <w:szCs w:val="20"/>
              </w:rPr>
            </w:pPr>
          </w:p>
        </w:tc>
      </w:tr>
      <w:tr w:rsidR="00491D38" w:rsidRPr="00395C26" w14:paraId="3B1F0829" w14:textId="77777777" w:rsidTr="00491D38">
        <w:trPr>
          <w:trHeight w:val="638"/>
        </w:trPr>
        <w:tc>
          <w:tcPr>
            <w:tcW w:w="2610" w:type="dxa"/>
            <w:vMerge/>
            <w:shd w:val="clear" w:color="auto" w:fill="85B2F6" w:themeFill="background2" w:themeFillShade="E6"/>
          </w:tcPr>
          <w:p w14:paraId="2F747CB1" w14:textId="77777777" w:rsidR="00491D38" w:rsidRPr="00395C26" w:rsidRDefault="00491D38" w:rsidP="00491D38">
            <w:pPr>
              <w:spacing w:line="276" w:lineRule="auto"/>
              <w:rPr>
                <w:rFonts w:ascii="Cambria" w:hAnsi="Cambria"/>
                <w:b/>
                <w:bCs/>
                <w:sz w:val="20"/>
                <w:szCs w:val="20"/>
              </w:rPr>
            </w:pPr>
          </w:p>
        </w:tc>
        <w:tc>
          <w:tcPr>
            <w:tcW w:w="3240" w:type="dxa"/>
            <w:shd w:val="clear" w:color="auto" w:fill="D9DFEF" w:themeFill="accent1" w:themeFillTint="33"/>
          </w:tcPr>
          <w:p w14:paraId="22E06493" w14:textId="77777777" w:rsidR="00491D38" w:rsidRPr="00395C26" w:rsidRDefault="00491D38" w:rsidP="00491D38">
            <w:pPr>
              <w:spacing w:line="276" w:lineRule="auto"/>
              <w:jc w:val="both"/>
              <w:rPr>
                <w:rFonts w:ascii="Cambria" w:hAnsi="Cambria"/>
                <w:sz w:val="20"/>
                <w:szCs w:val="20"/>
              </w:rPr>
            </w:pPr>
            <w:r w:rsidRPr="00395C26">
              <w:rPr>
                <w:rFonts w:ascii="Cambria" w:hAnsi="Cambria"/>
                <w:sz w:val="20"/>
                <w:szCs w:val="20"/>
              </w:rPr>
              <w:t>Ms. Indrani Rajendran</w:t>
            </w:r>
          </w:p>
          <w:p w14:paraId="157F1FD1" w14:textId="77777777" w:rsidR="00491D38" w:rsidRDefault="00491D38" w:rsidP="00491D38">
            <w:pPr>
              <w:spacing w:line="276" w:lineRule="auto"/>
              <w:jc w:val="both"/>
              <w:rPr>
                <w:rFonts w:ascii="Cambria" w:hAnsi="Cambria"/>
                <w:sz w:val="20"/>
                <w:szCs w:val="20"/>
              </w:rPr>
            </w:pPr>
            <w:r w:rsidRPr="00395C26">
              <w:rPr>
                <w:rFonts w:ascii="Cambria" w:hAnsi="Cambria"/>
                <w:sz w:val="20"/>
                <w:szCs w:val="20"/>
              </w:rPr>
              <w:t>Seniro Gender Consultant M&amp;E</w:t>
            </w:r>
          </w:p>
          <w:p w14:paraId="48F4422F" w14:textId="77777777" w:rsidR="00491D38" w:rsidRPr="00395C26" w:rsidRDefault="00491D38" w:rsidP="00491D38">
            <w:pPr>
              <w:spacing w:line="276" w:lineRule="auto"/>
              <w:jc w:val="both"/>
              <w:rPr>
                <w:rFonts w:ascii="Cambria" w:hAnsi="Cambria"/>
                <w:sz w:val="20"/>
                <w:szCs w:val="20"/>
              </w:rPr>
            </w:pPr>
          </w:p>
        </w:tc>
        <w:tc>
          <w:tcPr>
            <w:tcW w:w="2430" w:type="dxa"/>
            <w:shd w:val="clear" w:color="auto" w:fill="DFEBF5" w:themeFill="accent2" w:themeFillTint="33"/>
          </w:tcPr>
          <w:p w14:paraId="5D9BD3D3" w14:textId="77777777" w:rsidR="00491D38" w:rsidRPr="00395C26" w:rsidRDefault="00491D38" w:rsidP="00491D38">
            <w:pPr>
              <w:spacing w:line="276" w:lineRule="auto"/>
              <w:jc w:val="both"/>
              <w:rPr>
                <w:rFonts w:ascii="Cambria" w:hAnsi="Cambria"/>
                <w:sz w:val="20"/>
                <w:szCs w:val="20"/>
              </w:rPr>
            </w:pPr>
            <w:r w:rsidRPr="00395C26">
              <w:rPr>
                <w:rFonts w:ascii="Cambria" w:hAnsi="Cambria"/>
                <w:sz w:val="20"/>
                <w:szCs w:val="20"/>
              </w:rPr>
              <w:t>UNFPA</w:t>
            </w:r>
          </w:p>
          <w:p w14:paraId="3E1A1BD2" w14:textId="77777777" w:rsidR="00491D38" w:rsidRPr="00395C26" w:rsidRDefault="00491D38" w:rsidP="00491D38">
            <w:pPr>
              <w:spacing w:line="276" w:lineRule="auto"/>
              <w:jc w:val="both"/>
              <w:rPr>
                <w:rFonts w:ascii="Cambria" w:hAnsi="Cambria"/>
                <w:sz w:val="20"/>
                <w:szCs w:val="20"/>
              </w:rPr>
            </w:pPr>
          </w:p>
        </w:tc>
        <w:tc>
          <w:tcPr>
            <w:tcW w:w="2070" w:type="dxa"/>
            <w:shd w:val="clear" w:color="auto" w:fill="EBE8EC" w:themeFill="accent6" w:themeFillTint="33"/>
          </w:tcPr>
          <w:p w14:paraId="0AAA1CC9" w14:textId="77777777" w:rsidR="00491D38" w:rsidRPr="00395C26" w:rsidRDefault="00491D38" w:rsidP="00491D38">
            <w:pPr>
              <w:rPr>
                <w:rFonts w:ascii="Cambria" w:hAnsi="Cambria"/>
                <w:sz w:val="20"/>
                <w:szCs w:val="20"/>
              </w:rPr>
            </w:pPr>
          </w:p>
        </w:tc>
      </w:tr>
    </w:tbl>
    <w:p w14:paraId="3088EF20" w14:textId="77777777" w:rsidR="00491D38" w:rsidRPr="00395C26" w:rsidRDefault="00491D38" w:rsidP="00491D38">
      <w:pPr>
        <w:pStyle w:val="NormalWeb"/>
        <w:shd w:val="clear" w:color="auto" w:fill="FFFFFF"/>
        <w:spacing w:before="0" w:beforeAutospacing="0" w:after="0" w:afterAutospacing="0"/>
        <w:rPr>
          <w:rFonts w:ascii="Cambria" w:hAnsi="Cambria" w:cs="Arial"/>
          <w:b/>
          <w:bCs/>
          <w:color w:val="000080"/>
          <w:sz w:val="20"/>
          <w:szCs w:val="20"/>
        </w:rPr>
      </w:pPr>
    </w:p>
    <w:p w14:paraId="104A7D7D" w14:textId="77777777" w:rsidR="00491D38" w:rsidRPr="00395C26" w:rsidRDefault="00491D38" w:rsidP="00491D38">
      <w:pPr>
        <w:rPr>
          <w:rFonts w:ascii="Cambria" w:hAnsi="Cambria"/>
          <w:sz w:val="20"/>
          <w:szCs w:val="20"/>
        </w:rPr>
      </w:pPr>
    </w:p>
    <w:p w14:paraId="096DF2B4" w14:textId="77777777" w:rsidR="00491D38" w:rsidRPr="00BD657A" w:rsidRDefault="00491D38" w:rsidP="00BD657A">
      <w:pPr>
        <w:spacing w:line="360" w:lineRule="auto"/>
        <w:rPr>
          <w:rFonts w:ascii="Cambria" w:hAnsi="Cambria" w:cs="Times New Roman"/>
          <w:color w:val="000000" w:themeColor="text1"/>
          <w:sz w:val="20"/>
          <w:szCs w:val="20"/>
        </w:rPr>
      </w:pPr>
    </w:p>
    <w:p w14:paraId="1463E33C" w14:textId="77777777" w:rsidR="00630D6B" w:rsidRDefault="00630D6B" w:rsidP="00BD657A">
      <w:pPr>
        <w:spacing w:line="360" w:lineRule="auto"/>
        <w:rPr>
          <w:rFonts w:ascii="Cambria" w:hAnsi="Cambria" w:cs="Times New Roman"/>
          <w:color w:val="000000" w:themeColor="text1"/>
          <w:sz w:val="20"/>
          <w:szCs w:val="20"/>
        </w:rPr>
      </w:pPr>
    </w:p>
    <w:p w14:paraId="48261865" w14:textId="77777777" w:rsidR="00630D6B" w:rsidRDefault="00630D6B" w:rsidP="00BD657A">
      <w:pPr>
        <w:spacing w:line="360" w:lineRule="auto"/>
        <w:rPr>
          <w:rFonts w:ascii="Cambria" w:hAnsi="Cambria" w:cs="Times New Roman"/>
          <w:color w:val="000000" w:themeColor="text1"/>
          <w:sz w:val="20"/>
          <w:szCs w:val="20"/>
        </w:rPr>
      </w:pPr>
    </w:p>
    <w:p w14:paraId="49B092F0" w14:textId="77777777" w:rsidR="00630D6B" w:rsidRDefault="00630D6B" w:rsidP="00BD657A">
      <w:pPr>
        <w:spacing w:line="360" w:lineRule="auto"/>
        <w:rPr>
          <w:rFonts w:ascii="Cambria" w:hAnsi="Cambria" w:cs="Times New Roman"/>
          <w:color w:val="000000" w:themeColor="text1"/>
          <w:sz w:val="20"/>
          <w:szCs w:val="20"/>
        </w:rPr>
      </w:pPr>
    </w:p>
    <w:p w14:paraId="636CC87C" w14:textId="77777777" w:rsidR="00630D6B" w:rsidRDefault="00630D6B" w:rsidP="00BD657A">
      <w:pPr>
        <w:spacing w:line="360" w:lineRule="auto"/>
        <w:rPr>
          <w:rFonts w:ascii="Cambria" w:hAnsi="Cambria" w:cs="Times New Roman"/>
          <w:color w:val="000000" w:themeColor="text1"/>
          <w:sz w:val="20"/>
          <w:szCs w:val="20"/>
        </w:rPr>
      </w:pPr>
    </w:p>
    <w:p w14:paraId="3AC1F453" w14:textId="77777777" w:rsidR="00630D6B" w:rsidRDefault="00630D6B" w:rsidP="00BD657A">
      <w:pPr>
        <w:spacing w:line="360" w:lineRule="auto"/>
        <w:rPr>
          <w:rFonts w:ascii="Cambria" w:hAnsi="Cambria" w:cs="Times New Roman"/>
          <w:color w:val="000000" w:themeColor="text1"/>
          <w:sz w:val="20"/>
          <w:szCs w:val="20"/>
        </w:rPr>
      </w:pPr>
    </w:p>
    <w:p w14:paraId="112117EB" w14:textId="77777777" w:rsidR="00630D6B" w:rsidRDefault="00630D6B" w:rsidP="00BD657A">
      <w:pPr>
        <w:spacing w:line="360" w:lineRule="auto"/>
        <w:rPr>
          <w:rFonts w:ascii="Cambria" w:hAnsi="Cambria" w:cs="Times New Roman"/>
          <w:color w:val="000000" w:themeColor="text1"/>
          <w:sz w:val="20"/>
          <w:szCs w:val="20"/>
        </w:rPr>
      </w:pPr>
    </w:p>
    <w:p w14:paraId="22922425" w14:textId="77777777" w:rsidR="00630D6B" w:rsidRDefault="00630D6B" w:rsidP="00BD657A">
      <w:pPr>
        <w:spacing w:line="360" w:lineRule="auto"/>
        <w:rPr>
          <w:rFonts w:ascii="Cambria" w:hAnsi="Cambria" w:cs="Times New Roman"/>
          <w:color w:val="000000" w:themeColor="text1"/>
          <w:sz w:val="20"/>
          <w:szCs w:val="20"/>
        </w:rPr>
      </w:pPr>
    </w:p>
    <w:p w14:paraId="0C76461D" w14:textId="77777777" w:rsidR="00630D6B" w:rsidRDefault="00630D6B" w:rsidP="00BD657A">
      <w:pPr>
        <w:spacing w:line="360" w:lineRule="auto"/>
        <w:rPr>
          <w:rFonts w:ascii="Cambria" w:hAnsi="Cambria" w:cs="Times New Roman"/>
          <w:color w:val="000000" w:themeColor="text1"/>
          <w:sz w:val="20"/>
          <w:szCs w:val="20"/>
        </w:rPr>
      </w:pPr>
    </w:p>
    <w:p w14:paraId="4DFBC677" w14:textId="77777777" w:rsidR="00630D6B" w:rsidRDefault="00630D6B" w:rsidP="00BD657A">
      <w:pPr>
        <w:spacing w:line="360" w:lineRule="auto"/>
        <w:rPr>
          <w:rFonts w:ascii="Cambria" w:hAnsi="Cambria" w:cs="Times New Roman"/>
          <w:color w:val="000000" w:themeColor="text1"/>
          <w:sz w:val="20"/>
          <w:szCs w:val="20"/>
        </w:rPr>
      </w:pPr>
    </w:p>
    <w:p w14:paraId="5BA66F35" w14:textId="77777777" w:rsidR="00630D6B" w:rsidRDefault="00630D6B" w:rsidP="00BD657A">
      <w:pPr>
        <w:spacing w:line="360" w:lineRule="auto"/>
        <w:rPr>
          <w:rFonts w:ascii="Cambria" w:hAnsi="Cambria" w:cs="Times New Roman"/>
          <w:color w:val="000000" w:themeColor="text1"/>
          <w:sz w:val="20"/>
          <w:szCs w:val="20"/>
        </w:rPr>
      </w:pPr>
    </w:p>
    <w:p w14:paraId="2EC20BFF" w14:textId="77777777" w:rsidR="00630D6B" w:rsidRDefault="00630D6B" w:rsidP="00BD657A">
      <w:pPr>
        <w:spacing w:line="360" w:lineRule="auto"/>
        <w:rPr>
          <w:rFonts w:ascii="Cambria" w:hAnsi="Cambria" w:cs="Times New Roman"/>
          <w:color w:val="000000" w:themeColor="text1"/>
          <w:sz w:val="20"/>
          <w:szCs w:val="20"/>
        </w:rPr>
      </w:pPr>
    </w:p>
    <w:p w14:paraId="3AB438F7" w14:textId="77777777" w:rsidR="00630D6B" w:rsidRDefault="00630D6B" w:rsidP="00BD657A">
      <w:pPr>
        <w:spacing w:line="360" w:lineRule="auto"/>
        <w:rPr>
          <w:rFonts w:ascii="Cambria" w:hAnsi="Cambria" w:cs="Times New Roman"/>
          <w:color w:val="000000" w:themeColor="text1"/>
          <w:sz w:val="20"/>
          <w:szCs w:val="20"/>
        </w:rPr>
      </w:pPr>
    </w:p>
    <w:p w14:paraId="52DA9646" w14:textId="58948DF7" w:rsidR="00630D6B" w:rsidRDefault="00630D6B" w:rsidP="00630D6B">
      <w:pPr>
        <w:pStyle w:val="Default"/>
        <w:rPr>
          <w:rFonts w:ascii="Cambria" w:hAnsi="Cambria" w:cs="Calibri Light"/>
          <w:b/>
          <w:bCs/>
          <w:sz w:val="28"/>
          <w:szCs w:val="28"/>
        </w:rPr>
      </w:pPr>
      <w:r w:rsidRPr="005611DA">
        <w:rPr>
          <w:rFonts w:ascii="Cambria" w:hAnsi="Cambria" w:cs="Calibri Light"/>
          <w:b/>
          <w:bCs/>
          <w:sz w:val="28"/>
          <w:szCs w:val="28"/>
        </w:rPr>
        <w:lastRenderedPageBreak/>
        <w:t>Annex Four</w:t>
      </w:r>
    </w:p>
    <w:p w14:paraId="5617209C" w14:textId="504ADF61" w:rsidR="005611DA" w:rsidRDefault="005611DA" w:rsidP="00630D6B">
      <w:pPr>
        <w:pStyle w:val="Default"/>
        <w:rPr>
          <w:rFonts w:ascii="Cambria" w:hAnsi="Cambria" w:cs="Calibri Light"/>
          <w:b/>
          <w:bCs/>
          <w:sz w:val="28"/>
          <w:szCs w:val="28"/>
        </w:rPr>
      </w:pPr>
    </w:p>
    <w:p w14:paraId="75986F67" w14:textId="77777777" w:rsidR="0088379E" w:rsidRPr="004A52EB" w:rsidRDefault="0088379E" w:rsidP="0088379E">
      <w:pPr>
        <w:spacing w:line="360" w:lineRule="auto"/>
        <w:jc w:val="center"/>
        <w:rPr>
          <w:rFonts w:ascii="Cambria" w:hAnsi="Cambria"/>
          <w:b/>
          <w:bCs/>
          <w:sz w:val="20"/>
          <w:szCs w:val="20"/>
        </w:rPr>
      </w:pPr>
      <w:r w:rsidRPr="004A52EB">
        <w:rPr>
          <w:rFonts w:ascii="Cambria" w:hAnsi="Cambria"/>
          <w:b/>
          <w:bCs/>
          <w:sz w:val="20"/>
          <w:szCs w:val="20"/>
        </w:rPr>
        <w:t>Partner Summary</w:t>
      </w:r>
    </w:p>
    <w:p w14:paraId="73F6BE46" w14:textId="77777777" w:rsidR="0088379E" w:rsidRPr="004A52EB" w:rsidRDefault="0088379E" w:rsidP="0088379E">
      <w:pPr>
        <w:spacing w:line="360" w:lineRule="auto"/>
        <w:jc w:val="both"/>
        <w:rPr>
          <w:rFonts w:ascii="Cambria" w:hAnsi="Cambria"/>
          <w:b/>
          <w:bCs/>
          <w:sz w:val="20"/>
          <w:szCs w:val="20"/>
          <w:u w:val="single"/>
        </w:rPr>
      </w:pPr>
      <w:r w:rsidRPr="004A52EB">
        <w:rPr>
          <w:rFonts w:ascii="Cambria" w:hAnsi="Cambria"/>
          <w:b/>
          <w:bCs/>
          <w:sz w:val="20"/>
          <w:szCs w:val="20"/>
          <w:u w:val="single"/>
        </w:rPr>
        <w:t>Parliament of Sri Lanka</w:t>
      </w:r>
    </w:p>
    <w:p w14:paraId="5BEE6702" w14:textId="77777777" w:rsidR="0088379E" w:rsidRPr="004A52EB" w:rsidRDefault="0088379E" w:rsidP="0088379E">
      <w:pPr>
        <w:spacing w:before="100" w:beforeAutospacing="1" w:after="100" w:afterAutospacing="1" w:line="360" w:lineRule="auto"/>
        <w:jc w:val="both"/>
        <w:rPr>
          <w:rFonts w:ascii="Cambria" w:hAnsi="Cambria"/>
          <w:sz w:val="20"/>
          <w:szCs w:val="20"/>
        </w:rPr>
      </w:pPr>
      <w:r w:rsidRPr="004A52EB">
        <w:rPr>
          <w:rFonts w:ascii="Cambria" w:hAnsi="Cambria"/>
          <w:sz w:val="20"/>
          <w:szCs w:val="20"/>
        </w:rPr>
        <w:t xml:space="preserve">In terms of Article 3 of the Constitution, the sovereignty of the people includes the powers of the government, fundamental rights and the franchise. The Parliament of Sri Lanka, a unicameral legislature consisting of two hundred and twenty-five Members elected by proportional representation, is the main institution by which the legislative power of the people is exercised. </w:t>
      </w:r>
    </w:p>
    <w:p w14:paraId="63F2A100" w14:textId="77777777" w:rsidR="0088379E" w:rsidRPr="004A52EB" w:rsidRDefault="0088379E" w:rsidP="0088379E">
      <w:pPr>
        <w:spacing w:before="100" w:beforeAutospacing="1" w:after="100" w:afterAutospacing="1" w:line="360" w:lineRule="auto"/>
        <w:jc w:val="both"/>
        <w:rPr>
          <w:rFonts w:ascii="Cambria" w:hAnsi="Cambria"/>
          <w:sz w:val="20"/>
          <w:szCs w:val="20"/>
        </w:rPr>
      </w:pPr>
      <w:r w:rsidRPr="004A52EB">
        <w:rPr>
          <w:rFonts w:ascii="Cambria" w:hAnsi="Cambria"/>
          <w:sz w:val="20"/>
          <w:szCs w:val="20"/>
        </w:rPr>
        <w:t>The 19</w:t>
      </w:r>
      <w:r w:rsidRPr="004A52EB">
        <w:rPr>
          <w:rFonts w:ascii="Cambria" w:hAnsi="Cambria"/>
          <w:sz w:val="20"/>
          <w:szCs w:val="20"/>
          <w:vertAlign w:val="superscript"/>
        </w:rPr>
        <w:t>th</w:t>
      </w:r>
      <w:r w:rsidRPr="004A52EB">
        <w:rPr>
          <w:rFonts w:ascii="Cambria" w:hAnsi="Cambria"/>
          <w:sz w:val="20"/>
          <w:szCs w:val="20"/>
        </w:rPr>
        <w:t xml:space="preserve"> Amendment to the Constitution reduced the term of Parliament from six to five years.</w:t>
      </w:r>
      <w:r w:rsidRPr="004A52EB">
        <w:rPr>
          <w:rStyle w:val="FootnoteReference"/>
          <w:rFonts w:ascii="Cambria" w:hAnsi="Cambria"/>
          <w:sz w:val="20"/>
          <w:szCs w:val="20"/>
        </w:rPr>
        <w:footnoteReference w:id="93"/>
      </w:r>
      <w:r w:rsidRPr="004A52EB">
        <w:rPr>
          <w:rFonts w:ascii="Cambria" w:hAnsi="Cambria"/>
          <w:sz w:val="20"/>
          <w:szCs w:val="20"/>
        </w:rPr>
        <w:t xml:space="preserve"> It also introduced a constitutional bar to the President’s power to unilaterally dissolve Parliament until the expiration of a period of four years and six months from the first sitting of the current Parliament unless two thirds of Members of Parliament pass a resolution requesting dissolution.</w:t>
      </w:r>
      <w:r w:rsidRPr="004A52EB">
        <w:rPr>
          <w:rStyle w:val="FootnoteReference"/>
          <w:rFonts w:ascii="Cambria" w:hAnsi="Cambria"/>
          <w:sz w:val="20"/>
          <w:szCs w:val="20"/>
        </w:rPr>
        <w:footnoteReference w:id="94"/>
      </w:r>
    </w:p>
    <w:p w14:paraId="6E175EB4" w14:textId="77777777" w:rsidR="0088379E" w:rsidRPr="004A52EB" w:rsidRDefault="0088379E" w:rsidP="0088379E">
      <w:pPr>
        <w:spacing w:before="100" w:beforeAutospacing="1" w:after="100" w:afterAutospacing="1" w:line="360" w:lineRule="auto"/>
        <w:jc w:val="both"/>
        <w:rPr>
          <w:rFonts w:ascii="Cambria" w:hAnsi="Cambria"/>
          <w:sz w:val="20"/>
          <w:szCs w:val="20"/>
        </w:rPr>
      </w:pPr>
      <w:r w:rsidRPr="004A52EB">
        <w:rPr>
          <w:rFonts w:ascii="Cambria" w:hAnsi="Cambria"/>
          <w:sz w:val="20"/>
          <w:szCs w:val="20"/>
        </w:rPr>
        <w:t xml:space="preserve">The Parliament has power to make laws, including laws having retrospective effect and repealing or amending any provision of the Constitution. </w:t>
      </w:r>
    </w:p>
    <w:p w14:paraId="11991A34" w14:textId="77777777" w:rsidR="0088379E" w:rsidRPr="004A52EB" w:rsidRDefault="0088379E" w:rsidP="0088379E">
      <w:pPr>
        <w:pStyle w:val="NormalWeb"/>
        <w:rPr>
          <w:rFonts w:ascii="Cambria" w:hAnsi="Cambria"/>
          <w:sz w:val="20"/>
          <w:szCs w:val="20"/>
        </w:rPr>
      </w:pPr>
      <w:r w:rsidRPr="004A52EB">
        <w:rPr>
          <w:rFonts w:ascii="Cambria" w:hAnsi="Cambria"/>
          <w:sz w:val="20"/>
          <w:szCs w:val="20"/>
        </w:rPr>
        <w:t xml:space="preserve">In addition to its law-making functions, Parliament has full control over public finance. </w:t>
      </w:r>
    </w:p>
    <w:p w14:paraId="398EE547" w14:textId="77777777" w:rsidR="0088379E" w:rsidRPr="004A52EB" w:rsidRDefault="0088379E" w:rsidP="0088379E">
      <w:pPr>
        <w:pStyle w:val="NormalWeb"/>
        <w:spacing w:line="360" w:lineRule="auto"/>
        <w:jc w:val="both"/>
        <w:rPr>
          <w:rFonts w:ascii="Cambria" w:hAnsi="Cambria"/>
          <w:sz w:val="20"/>
          <w:szCs w:val="20"/>
        </w:rPr>
      </w:pPr>
      <w:r w:rsidRPr="004A52EB">
        <w:rPr>
          <w:rFonts w:ascii="Cambria" w:hAnsi="Cambria"/>
          <w:sz w:val="20"/>
          <w:szCs w:val="20"/>
        </w:rPr>
        <w:t>The Supreme Court has in several determinations</w:t>
      </w:r>
      <w:r w:rsidRPr="004A52EB">
        <w:rPr>
          <w:rStyle w:val="FootnoteReference"/>
          <w:rFonts w:ascii="Cambria" w:hAnsi="Cambria"/>
          <w:sz w:val="20"/>
          <w:szCs w:val="20"/>
        </w:rPr>
        <w:footnoteReference w:id="95"/>
      </w:r>
      <w:r w:rsidRPr="004A52EB">
        <w:rPr>
          <w:rFonts w:ascii="Cambria" w:hAnsi="Cambria"/>
          <w:position w:val="6"/>
          <w:sz w:val="20"/>
          <w:szCs w:val="20"/>
        </w:rPr>
        <w:t xml:space="preserve"> </w:t>
      </w:r>
      <w:r w:rsidRPr="004A52EB">
        <w:rPr>
          <w:rFonts w:ascii="Cambria" w:hAnsi="Cambria"/>
          <w:sz w:val="20"/>
          <w:szCs w:val="20"/>
        </w:rPr>
        <w:t xml:space="preserve">concluded that Article 148 makes it mandatory that Parliament retains full control of matters relating to public finance. The Supreme Court has further explained that the obligation on Parliament to exercise full control means: </w:t>
      </w:r>
    </w:p>
    <w:p w14:paraId="39FEAAF6" w14:textId="77777777" w:rsidR="0088379E" w:rsidRPr="004A52EB" w:rsidRDefault="0088379E" w:rsidP="00081358">
      <w:pPr>
        <w:pStyle w:val="NormalWeb"/>
        <w:numPr>
          <w:ilvl w:val="0"/>
          <w:numId w:val="80"/>
        </w:numPr>
        <w:spacing w:line="360" w:lineRule="auto"/>
        <w:jc w:val="both"/>
        <w:rPr>
          <w:rFonts w:ascii="Cambria" w:hAnsi="Cambria"/>
          <w:sz w:val="20"/>
          <w:szCs w:val="20"/>
        </w:rPr>
      </w:pPr>
      <w:r w:rsidRPr="004A52EB">
        <w:rPr>
          <w:rFonts w:ascii="Cambria" w:hAnsi="Cambria"/>
          <w:sz w:val="20"/>
          <w:szCs w:val="20"/>
        </w:rPr>
        <w:t xml:space="preserve">Control over the sources of finances, i.e., imposition of taxes, levies, rates and the like and the creation of any debt of the Republic. </w:t>
      </w:r>
    </w:p>
    <w:p w14:paraId="79F174DB" w14:textId="77777777" w:rsidR="0088379E" w:rsidRPr="004A52EB" w:rsidRDefault="0088379E" w:rsidP="00081358">
      <w:pPr>
        <w:pStyle w:val="NormalWeb"/>
        <w:numPr>
          <w:ilvl w:val="0"/>
          <w:numId w:val="80"/>
        </w:numPr>
        <w:spacing w:line="360" w:lineRule="auto"/>
        <w:jc w:val="both"/>
        <w:rPr>
          <w:rFonts w:ascii="Cambria" w:hAnsi="Cambria"/>
          <w:sz w:val="20"/>
          <w:szCs w:val="20"/>
        </w:rPr>
      </w:pPr>
      <w:r w:rsidRPr="004A52EB">
        <w:rPr>
          <w:rFonts w:ascii="Cambria" w:hAnsi="Cambria"/>
          <w:sz w:val="20"/>
          <w:szCs w:val="20"/>
        </w:rPr>
        <w:t>Control by way of allocation of public finance to the respective departments and agencies of the Government and the setting of limits of such expenditure; and</w:t>
      </w:r>
    </w:p>
    <w:p w14:paraId="3F1CFF6D" w14:textId="77777777" w:rsidR="0088379E" w:rsidRPr="004A52EB" w:rsidRDefault="0088379E" w:rsidP="00081358">
      <w:pPr>
        <w:pStyle w:val="NormalWeb"/>
        <w:numPr>
          <w:ilvl w:val="0"/>
          <w:numId w:val="80"/>
        </w:numPr>
        <w:spacing w:line="360" w:lineRule="auto"/>
        <w:jc w:val="both"/>
        <w:rPr>
          <w:rFonts w:ascii="Cambria" w:hAnsi="Cambria"/>
          <w:sz w:val="20"/>
          <w:szCs w:val="20"/>
        </w:rPr>
      </w:pPr>
      <w:r w:rsidRPr="004A52EB">
        <w:rPr>
          <w:rFonts w:ascii="Cambria" w:hAnsi="Cambria"/>
          <w:sz w:val="20"/>
          <w:szCs w:val="20"/>
        </w:rPr>
        <w:t xml:space="preserve">Control by way of continuous audit and check as to due diligence in performance in relation to (i) and (ii) above. </w:t>
      </w:r>
    </w:p>
    <w:p w14:paraId="567FDAD4" w14:textId="77777777" w:rsidR="0088379E" w:rsidRPr="004A52EB" w:rsidRDefault="0088379E" w:rsidP="0088379E">
      <w:pPr>
        <w:pStyle w:val="NormalWeb"/>
        <w:spacing w:line="360" w:lineRule="auto"/>
        <w:jc w:val="both"/>
        <w:rPr>
          <w:rFonts w:ascii="Cambria" w:hAnsi="Cambria"/>
          <w:b/>
          <w:bCs/>
          <w:sz w:val="20"/>
          <w:szCs w:val="20"/>
        </w:rPr>
      </w:pPr>
      <w:r w:rsidRPr="004A52EB">
        <w:rPr>
          <w:rFonts w:ascii="Cambria" w:hAnsi="Cambria"/>
          <w:b/>
          <w:bCs/>
          <w:sz w:val="20"/>
          <w:szCs w:val="20"/>
        </w:rPr>
        <w:lastRenderedPageBreak/>
        <w:t>Committee system</w:t>
      </w:r>
    </w:p>
    <w:p w14:paraId="01FAD5E1" w14:textId="77777777" w:rsidR="0088379E" w:rsidRPr="004A52EB" w:rsidRDefault="0088379E" w:rsidP="0088379E">
      <w:pPr>
        <w:spacing w:line="360" w:lineRule="auto"/>
        <w:jc w:val="both"/>
        <w:rPr>
          <w:rFonts w:ascii="Cambria" w:hAnsi="Cambria"/>
          <w:sz w:val="20"/>
          <w:szCs w:val="20"/>
        </w:rPr>
      </w:pPr>
      <w:r w:rsidRPr="004A52EB">
        <w:rPr>
          <w:rFonts w:ascii="Cambria" w:hAnsi="Cambria" w:cs="Arial"/>
          <w:sz w:val="20"/>
          <w:szCs w:val="20"/>
          <w:shd w:val="clear" w:color="auto" w:fill="FFFFFF"/>
        </w:rPr>
        <w:t>The Parliament of Sri Lanka has devised a well-knit Committee System,</w:t>
      </w:r>
      <w:r w:rsidRPr="004A52EB">
        <w:rPr>
          <w:rStyle w:val="FootnoteReference"/>
          <w:rFonts w:ascii="Cambria" w:hAnsi="Cambria" w:cs="Arial"/>
          <w:sz w:val="20"/>
          <w:szCs w:val="20"/>
          <w:shd w:val="clear" w:color="auto" w:fill="FFFFFF"/>
        </w:rPr>
        <w:footnoteReference w:id="96"/>
      </w:r>
      <w:r w:rsidRPr="004A52EB">
        <w:rPr>
          <w:rFonts w:ascii="Cambria" w:hAnsi="Cambria" w:cs="Arial"/>
          <w:sz w:val="20"/>
          <w:szCs w:val="20"/>
          <w:shd w:val="clear" w:color="auto" w:fill="FFFFFF"/>
        </w:rPr>
        <w:t xml:space="preserve"> to inquire into and report to the House on a particular matter referred to such Committee. These Committees, apart from the obvious advantage of saving floor time, have made a distinct contribution to the effective functioning of parliamentary democracy in Sri Lanka.</w:t>
      </w:r>
    </w:p>
    <w:p w14:paraId="0EEBCA92" w14:textId="77777777" w:rsidR="0088379E" w:rsidRPr="004A52EB" w:rsidRDefault="0088379E" w:rsidP="0088379E">
      <w:pPr>
        <w:spacing w:line="360" w:lineRule="auto"/>
        <w:jc w:val="both"/>
        <w:rPr>
          <w:rFonts w:ascii="Cambria" w:hAnsi="Cambria" w:cs="Arial"/>
          <w:sz w:val="20"/>
          <w:szCs w:val="20"/>
          <w:shd w:val="clear" w:color="auto" w:fill="FFFFFF"/>
        </w:rPr>
      </w:pPr>
      <w:r w:rsidRPr="004A52EB">
        <w:rPr>
          <w:rFonts w:ascii="Cambria" w:hAnsi="Cambria" w:cs="Arial"/>
          <w:sz w:val="20"/>
          <w:szCs w:val="20"/>
          <w:shd w:val="clear" w:color="auto" w:fill="FFFFFF"/>
        </w:rPr>
        <w:t>Apart from the Committee of whole Parliament, the Standing Orders</w:t>
      </w:r>
      <w:r w:rsidRPr="004A52EB">
        <w:rPr>
          <w:rFonts w:ascii="Cambria" w:hAnsi="Cambria"/>
          <w:sz w:val="20"/>
          <w:szCs w:val="20"/>
        </w:rPr>
        <w:t xml:space="preserve"> make provision for </w:t>
      </w:r>
      <w:r w:rsidRPr="004A52EB">
        <w:rPr>
          <w:rFonts w:ascii="Cambria" w:hAnsi="Cambria" w:cs="Arial"/>
          <w:sz w:val="20"/>
          <w:szCs w:val="20"/>
          <w:shd w:val="clear" w:color="auto" w:fill="FFFFFF"/>
        </w:rPr>
        <w:t>the following types of Committees</w:t>
      </w:r>
    </w:p>
    <w:p w14:paraId="18B87C78" w14:textId="77777777" w:rsidR="0088379E" w:rsidRPr="004A52EB" w:rsidRDefault="0088379E" w:rsidP="00081358">
      <w:pPr>
        <w:pStyle w:val="ListParagraph"/>
        <w:numPr>
          <w:ilvl w:val="0"/>
          <w:numId w:val="79"/>
        </w:numPr>
        <w:spacing w:line="360" w:lineRule="auto"/>
        <w:jc w:val="both"/>
        <w:rPr>
          <w:rFonts w:ascii="Cambria" w:hAnsi="Cambria" w:cs="Arial"/>
          <w:b/>
          <w:bCs/>
          <w:sz w:val="20"/>
          <w:szCs w:val="20"/>
          <w:shd w:val="clear" w:color="auto" w:fill="FFFFFF"/>
        </w:rPr>
      </w:pPr>
      <w:r w:rsidRPr="004A52EB">
        <w:rPr>
          <w:rFonts w:ascii="Cambria" w:hAnsi="Cambria" w:cs="Arial"/>
          <w:b/>
          <w:bCs/>
          <w:sz w:val="20"/>
          <w:szCs w:val="20"/>
          <w:shd w:val="clear" w:color="auto" w:fill="FFFFFF"/>
        </w:rPr>
        <w:t>Select Committees</w:t>
      </w:r>
    </w:p>
    <w:p w14:paraId="788BC482" w14:textId="77777777" w:rsidR="0088379E" w:rsidRPr="004A52EB" w:rsidRDefault="0088379E" w:rsidP="0088379E">
      <w:pPr>
        <w:spacing w:after="150" w:line="360" w:lineRule="auto"/>
        <w:jc w:val="both"/>
        <w:rPr>
          <w:rFonts w:ascii="Cambria" w:hAnsi="Cambria" w:cs="Arial"/>
          <w:sz w:val="20"/>
          <w:szCs w:val="20"/>
        </w:rPr>
      </w:pPr>
      <w:r w:rsidRPr="004A52EB">
        <w:rPr>
          <w:rFonts w:ascii="Cambria" w:hAnsi="Cambria" w:cs="Arial"/>
          <w:sz w:val="20"/>
          <w:szCs w:val="20"/>
        </w:rPr>
        <w:t>These are Ad-hoc Committees appointed from time to time as per the requirements. Each Committee is appointed by a resolution of Parliament to inquire into and report to the House on a particular matter referred to such Committee. The scope of an inquiry by these Committees is defined by the Terms of Reference under which they are appointed.</w:t>
      </w:r>
      <w:r w:rsidRPr="004A52EB">
        <w:rPr>
          <w:rStyle w:val="FootnoteReference"/>
          <w:rFonts w:ascii="Cambria" w:hAnsi="Cambria" w:cs="Arial"/>
          <w:sz w:val="20"/>
          <w:szCs w:val="20"/>
        </w:rPr>
        <w:footnoteReference w:id="97"/>
      </w:r>
    </w:p>
    <w:p w14:paraId="24FEA2EB" w14:textId="77777777" w:rsidR="0088379E" w:rsidRPr="004A52EB" w:rsidRDefault="0088379E" w:rsidP="00081358">
      <w:pPr>
        <w:pStyle w:val="ListParagraph"/>
        <w:numPr>
          <w:ilvl w:val="0"/>
          <w:numId w:val="79"/>
        </w:numPr>
        <w:spacing w:line="360" w:lineRule="auto"/>
        <w:jc w:val="both"/>
        <w:rPr>
          <w:rFonts w:ascii="Cambria" w:hAnsi="Cambria" w:cs="Arial"/>
          <w:b/>
          <w:bCs/>
          <w:sz w:val="20"/>
          <w:szCs w:val="20"/>
          <w:shd w:val="clear" w:color="auto" w:fill="FFFFFF"/>
        </w:rPr>
      </w:pPr>
      <w:r w:rsidRPr="004A52EB">
        <w:rPr>
          <w:rFonts w:ascii="Cambria" w:hAnsi="Cambria" w:cs="Arial"/>
          <w:b/>
          <w:bCs/>
          <w:sz w:val="20"/>
          <w:szCs w:val="20"/>
          <w:shd w:val="clear" w:color="auto" w:fill="FFFFFF"/>
        </w:rPr>
        <w:t>Sectoral oversight Committees</w:t>
      </w:r>
    </w:p>
    <w:p w14:paraId="57BCD63B" w14:textId="77777777" w:rsidR="0088379E" w:rsidRPr="004A52EB" w:rsidRDefault="0088379E" w:rsidP="0088379E">
      <w:pPr>
        <w:pStyle w:val="NormalWeb"/>
        <w:spacing w:before="0" w:beforeAutospacing="0" w:after="150" w:afterAutospacing="0" w:line="360" w:lineRule="auto"/>
        <w:jc w:val="both"/>
        <w:rPr>
          <w:rFonts w:ascii="Cambria" w:hAnsi="Cambria" w:cs="Arial"/>
          <w:sz w:val="20"/>
          <w:szCs w:val="20"/>
        </w:rPr>
      </w:pPr>
      <w:r w:rsidRPr="004A52EB">
        <w:rPr>
          <w:rFonts w:ascii="Cambria" w:hAnsi="Cambria" w:cs="Arial"/>
          <w:sz w:val="20"/>
          <w:szCs w:val="20"/>
          <w:shd w:val="clear" w:color="auto" w:fill="FFFFFF"/>
        </w:rPr>
        <w:t xml:space="preserve">Sectoral oversight committees are appointed by the Committee of Selection of Parliament after six weeks of its first sitting consequent to an election. </w:t>
      </w:r>
      <w:r w:rsidRPr="004A52EB">
        <w:rPr>
          <w:rFonts w:ascii="Cambria" w:hAnsi="Cambria" w:cs="Arial"/>
          <w:sz w:val="20"/>
          <w:szCs w:val="20"/>
        </w:rPr>
        <w:t>SOCs have general oversight responsibilities in order to assist Parliament in its analysis, appraisal and evaluation of the application, administration, execution and effectiveness of legislation. They may also indicate the necessity or desirability of enacting any new or additional legislation.</w:t>
      </w:r>
      <w:r w:rsidRPr="004A52EB">
        <w:rPr>
          <w:rStyle w:val="FootnoteReference"/>
          <w:rFonts w:ascii="Cambria" w:hAnsi="Cambria" w:cs="Arial"/>
          <w:sz w:val="20"/>
          <w:szCs w:val="20"/>
        </w:rPr>
        <w:footnoteReference w:id="98"/>
      </w:r>
    </w:p>
    <w:p w14:paraId="02736C81" w14:textId="77777777" w:rsidR="0088379E" w:rsidRPr="004A52EB" w:rsidRDefault="0088379E" w:rsidP="00081358">
      <w:pPr>
        <w:pStyle w:val="ListParagraph"/>
        <w:numPr>
          <w:ilvl w:val="0"/>
          <w:numId w:val="79"/>
        </w:numPr>
        <w:spacing w:line="360" w:lineRule="auto"/>
        <w:jc w:val="both"/>
        <w:rPr>
          <w:rFonts w:ascii="Cambria" w:hAnsi="Cambria" w:cs="Arial"/>
          <w:b/>
          <w:bCs/>
          <w:sz w:val="20"/>
          <w:szCs w:val="20"/>
          <w:shd w:val="clear" w:color="auto" w:fill="FFFFFF"/>
        </w:rPr>
      </w:pPr>
      <w:r w:rsidRPr="004A52EB">
        <w:rPr>
          <w:rFonts w:ascii="Cambria" w:hAnsi="Cambria" w:cs="Arial"/>
          <w:b/>
          <w:bCs/>
          <w:sz w:val="20"/>
          <w:szCs w:val="20"/>
          <w:shd w:val="clear" w:color="auto" w:fill="FFFFFF"/>
        </w:rPr>
        <w:t>Ministerial Consultative Committees</w:t>
      </w:r>
    </w:p>
    <w:p w14:paraId="211646E4" w14:textId="77777777" w:rsidR="0088379E" w:rsidRPr="004A52EB" w:rsidRDefault="0088379E" w:rsidP="0088379E">
      <w:pPr>
        <w:spacing w:line="360" w:lineRule="auto"/>
        <w:rPr>
          <w:rFonts w:ascii="Cambria" w:hAnsi="Cambria" w:cs="Arial"/>
          <w:sz w:val="20"/>
          <w:szCs w:val="20"/>
          <w:shd w:val="clear" w:color="auto" w:fill="FFFFFF"/>
        </w:rPr>
      </w:pPr>
      <w:r w:rsidRPr="004A52EB">
        <w:rPr>
          <w:rFonts w:ascii="Cambria" w:hAnsi="Cambria" w:cs="Arial"/>
          <w:sz w:val="20"/>
          <w:szCs w:val="20"/>
          <w:shd w:val="clear" w:color="auto" w:fill="FFFFFF"/>
        </w:rPr>
        <w:t>At the commencement of every Session of Parliament and from time to time as necessity may arise, the Committee of Selection appoints a number of Ministerial Consultative Committees corresponding to the number of Ministries of the Cabinet. A Ministerial Consultative Committee is entrusted with the duty of discussing such matters as are referred to the Committee by any Member of Parliament.</w:t>
      </w:r>
    </w:p>
    <w:p w14:paraId="6EAA4AE1" w14:textId="77777777" w:rsidR="0088379E" w:rsidRPr="004A52EB" w:rsidRDefault="0088379E" w:rsidP="0088379E">
      <w:pPr>
        <w:spacing w:after="150" w:line="360" w:lineRule="auto"/>
        <w:jc w:val="both"/>
        <w:rPr>
          <w:rFonts w:ascii="Cambria" w:hAnsi="Cambria" w:cs="Arial"/>
          <w:sz w:val="20"/>
          <w:szCs w:val="20"/>
        </w:rPr>
      </w:pPr>
      <w:r w:rsidRPr="004A52EB">
        <w:rPr>
          <w:rFonts w:ascii="Cambria" w:hAnsi="Cambria" w:cs="Arial"/>
          <w:sz w:val="20"/>
          <w:szCs w:val="20"/>
        </w:rPr>
        <w:t>A Ministerial Consultative Committee shall comprise of-</w:t>
      </w:r>
    </w:p>
    <w:p w14:paraId="16079779" w14:textId="77777777" w:rsidR="0088379E" w:rsidRPr="004A52EB" w:rsidRDefault="0088379E" w:rsidP="0088379E">
      <w:pPr>
        <w:spacing w:after="150" w:line="360" w:lineRule="auto"/>
        <w:ind w:left="360"/>
        <w:rPr>
          <w:rFonts w:ascii="Cambria" w:hAnsi="Cambria" w:cs="Arial"/>
          <w:sz w:val="20"/>
          <w:szCs w:val="20"/>
        </w:rPr>
      </w:pPr>
      <w:r w:rsidRPr="004A52EB">
        <w:rPr>
          <w:rFonts w:ascii="Cambria" w:hAnsi="Cambria" w:cs="Arial"/>
          <w:sz w:val="20"/>
          <w:szCs w:val="20"/>
        </w:rPr>
        <w:t>a. the Cabinet Minister in-charge of the relevant subject as Chairperson;</w:t>
      </w:r>
      <w:r w:rsidRPr="004A52EB">
        <w:rPr>
          <w:rFonts w:ascii="Cambria" w:hAnsi="Cambria" w:cs="Arial"/>
          <w:sz w:val="20"/>
          <w:szCs w:val="20"/>
        </w:rPr>
        <w:br/>
        <w:t>b. the State Minister; </w:t>
      </w:r>
      <w:r w:rsidRPr="004A52EB">
        <w:rPr>
          <w:rFonts w:ascii="Cambria" w:hAnsi="Cambria" w:cs="Arial"/>
          <w:sz w:val="20"/>
          <w:szCs w:val="20"/>
        </w:rPr>
        <w:br/>
      </w:r>
      <w:r w:rsidRPr="004A52EB">
        <w:rPr>
          <w:rFonts w:ascii="Cambria" w:hAnsi="Cambria" w:cs="Arial"/>
          <w:sz w:val="20"/>
          <w:szCs w:val="20"/>
        </w:rPr>
        <w:lastRenderedPageBreak/>
        <w:t>c. the Deputy Minister; and</w:t>
      </w:r>
      <w:r w:rsidRPr="004A52EB">
        <w:rPr>
          <w:rFonts w:ascii="Cambria" w:hAnsi="Cambria" w:cs="Arial"/>
          <w:sz w:val="20"/>
          <w:szCs w:val="20"/>
        </w:rPr>
        <w:br/>
        <w:t>d. five other Members of Parliament nominated by the Committee of Selection.</w:t>
      </w:r>
      <w:r w:rsidRPr="004A52EB">
        <w:rPr>
          <w:rStyle w:val="FootnoteReference"/>
          <w:rFonts w:ascii="Cambria" w:hAnsi="Cambria" w:cs="Arial"/>
          <w:sz w:val="20"/>
          <w:szCs w:val="20"/>
        </w:rPr>
        <w:footnoteReference w:id="99"/>
      </w:r>
    </w:p>
    <w:p w14:paraId="3C4AA8A4" w14:textId="77777777" w:rsidR="0088379E" w:rsidRPr="004A52EB" w:rsidRDefault="0088379E" w:rsidP="00081358">
      <w:pPr>
        <w:pStyle w:val="ListParagraph"/>
        <w:numPr>
          <w:ilvl w:val="0"/>
          <w:numId w:val="79"/>
        </w:numPr>
        <w:spacing w:line="360" w:lineRule="auto"/>
        <w:jc w:val="both"/>
        <w:rPr>
          <w:rFonts w:ascii="Cambria" w:hAnsi="Cambria" w:cs="Arial"/>
          <w:b/>
          <w:bCs/>
          <w:sz w:val="20"/>
          <w:szCs w:val="20"/>
          <w:shd w:val="clear" w:color="auto" w:fill="FFFFFF"/>
        </w:rPr>
      </w:pPr>
      <w:r w:rsidRPr="004A52EB">
        <w:rPr>
          <w:rFonts w:ascii="Cambria" w:hAnsi="Cambria" w:cs="Arial"/>
          <w:b/>
          <w:bCs/>
          <w:sz w:val="20"/>
          <w:szCs w:val="20"/>
          <w:shd w:val="clear" w:color="auto" w:fill="FFFFFF"/>
        </w:rPr>
        <w:t>Legislative Standing Committees</w:t>
      </w:r>
    </w:p>
    <w:p w14:paraId="17347173" w14:textId="77777777" w:rsidR="0088379E" w:rsidRPr="004A52EB" w:rsidRDefault="0088379E" w:rsidP="0088379E">
      <w:pPr>
        <w:spacing w:line="360" w:lineRule="auto"/>
        <w:jc w:val="both"/>
        <w:rPr>
          <w:rFonts w:ascii="Cambria" w:hAnsi="Cambria" w:cs="Arial"/>
          <w:sz w:val="20"/>
          <w:szCs w:val="20"/>
          <w:shd w:val="clear" w:color="auto" w:fill="FFFFFF"/>
        </w:rPr>
      </w:pPr>
      <w:r w:rsidRPr="004A52EB">
        <w:rPr>
          <w:rFonts w:ascii="Cambria" w:hAnsi="Cambria" w:cs="Arial"/>
          <w:sz w:val="20"/>
          <w:szCs w:val="20"/>
          <w:shd w:val="clear" w:color="auto" w:fill="FFFFFF"/>
        </w:rPr>
        <w:t>Legislative standing committee are entrusted with the duty of considering Bills/Proposed statutes referred to it by Parliament. A legislative standing committee generally consists of the Deputy Speaker as the Chair, the Deputy Chairperson of Committees and 10 other Members nominated by the Committee of Selection.</w:t>
      </w:r>
      <w:r w:rsidRPr="004A52EB">
        <w:rPr>
          <w:rStyle w:val="FootnoteReference"/>
          <w:rFonts w:ascii="Cambria" w:hAnsi="Cambria" w:cs="Arial"/>
          <w:sz w:val="20"/>
          <w:szCs w:val="20"/>
          <w:shd w:val="clear" w:color="auto" w:fill="FFFFFF"/>
        </w:rPr>
        <w:footnoteReference w:id="100"/>
      </w:r>
    </w:p>
    <w:p w14:paraId="51F10265" w14:textId="77777777" w:rsidR="0088379E" w:rsidRPr="004A52EB" w:rsidRDefault="0088379E" w:rsidP="0088379E">
      <w:pPr>
        <w:spacing w:line="360" w:lineRule="auto"/>
        <w:jc w:val="both"/>
        <w:rPr>
          <w:rFonts w:ascii="Cambria" w:hAnsi="Cambria" w:cs="Arial"/>
          <w:sz w:val="20"/>
          <w:szCs w:val="20"/>
          <w:shd w:val="clear" w:color="auto" w:fill="FFFFFF"/>
        </w:rPr>
      </w:pPr>
    </w:p>
    <w:p w14:paraId="25F5D0AF" w14:textId="77777777" w:rsidR="0088379E" w:rsidRPr="004A52EB" w:rsidRDefault="0088379E" w:rsidP="00081358">
      <w:pPr>
        <w:pStyle w:val="ListParagraph"/>
        <w:numPr>
          <w:ilvl w:val="0"/>
          <w:numId w:val="79"/>
        </w:numPr>
        <w:spacing w:line="360" w:lineRule="auto"/>
        <w:jc w:val="both"/>
        <w:rPr>
          <w:rFonts w:ascii="Cambria" w:hAnsi="Cambria" w:cs="Arial"/>
          <w:b/>
          <w:bCs/>
          <w:sz w:val="20"/>
          <w:szCs w:val="20"/>
          <w:shd w:val="clear" w:color="auto" w:fill="FFFFFF"/>
        </w:rPr>
      </w:pPr>
      <w:r w:rsidRPr="004A52EB">
        <w:rPr>
          <w:rFonts w:ascii="Cambria" w:hAnsi="Cambria" w:cs="Arial"/>
          <w:b/>
          <w:bCs/>
          <w:sz w:val="20"/>
          <w:szCs w:val="20"/>
          <w:shd w:val="clear" w:color="auto" w:fill="FFFFFF"/>
        </w:rPr>
        <w:t xml:space="preserve">Committees for Special Purposes. </w:t>
      </w:r>
    </w:p>
    <w:p w14:paraId="625383F1" w14:textId="77777777" w:rsidR="0088379E" w:rsidRPr="004A52EB" w:rsidRDefault="0088379E" w:rsidP="0088379E">
      <w:pPr>
        <w:spacing w:line="360" w:lineRule="auto"/>
        <w:jc w:val="both"/>
        <w:rPr>
          <w:rFonts w:ascii="Cambria" w:hAnsi="Cambria" w:cs="Arial"/>
          <w:sz w:val="20"/>
          <w:szCs w:val="20"/>
          <w:shd w:val="clear" w:color="auto" w:fill="FFFFFF"/>
        </w:rPr>
      </w:pPr>
      <w:r w:rsidRPr="004A52EB">
        <w:rPr>
          <w:rFonts w:ascii="Cambria" w:hAnsi="Cambria" w:cs="Arial"/>
          <w:sz w:val="20"/>
          <w:szCs w:val="20"/>
          <w:shd w:val="clear" w:color="auto" w:fill="FFFFFF"/>
        </w:rPr>
        <w:t>The Standing Orders of Parliament Committees for special purposes such as, the Committee of Selection, Committee on Parliamentary Business, Committee on Standing Orders, House Committee, Committee on Ethics and Privileges, Committee on Public Accounts, Committee on Public Enterprises, Committee on Public Finance, Committee on Public Petitions, Committee on Constitutional Affairs. Committee on High Posts, Liaison Committee and Backbencher Committee.</w:t>
      </w:r>
      <w:r w:rsidRPr="004A52EB">
        <w:rPr>
          <w:rStyle w:val="FootnoteReference"/>
          <w:rFonts w:ascii="Cambria" w:hAnsi="Cambria" w:cs="Arial"/>
          <w:sz w:val="20"/>
          <w:szCs w:val="20"/>
          <w:shd w:val="clear" w:color="auto" w:fill="FFFFFF"/>
        </w:rPr>
        <w:footnoteReference w:id="101"/>
      </w:r>
      <w:r w:rsidRPr="004A52EB">
        <w:rPr>
          <w:rFonts w:ascii="Cambria" w:hAnsi="Cambria" w:cs="Arial"/>
          <w:sz w:val="20"/>
          <w:szCs w:val="20"/>
          <w:shd w:val="clear" w:color="auto" w:fill="FFFFFF"/>
        </w:rPr>
        <w:t xml:space="preserve"> </w:t>
      </w:r>
    </w:p>
    <w:p w14:paraId="38F9A17F" w14:textId="77777777" w:rsidR="0088379E" w:rsidRPr="004A52EB" w:rsidRDefault="0088379E" w:rsidP="0088379E">
      <w:pPr>
        <w:pStyle w:val="NormalWeb"/>
        <w:spacing w:before="0" w:beforeAutospacing="0" w:after="0" w:afterAutospacing="0" w:line="360" w:lineRule="auto"/>
        <w:jc w:val="both"/>
        <w:rPr>
          <w:rFonts w:ascii="Cambria" w:hAnsi="Cambria" w:cs="Arial"/>
          <w:sz w:val="20"/>
          <w:szCs w:val="20"/>
        </w:rPr>
      </w:pPr>
    </w:p>
    <w:p w14:paraId="5BB56305" w14:textId="77777777" w:rsidR="0088379E" w:rsidRPr="004A52EB" w:rsidRDefault="0088379E" w:rsidP="0088379E">
      <w:pPr>
        <w:pStyle w:val="NormalWeb"/>
        <w:spacing w:before="0" w:beforeAutospacing="0" w:after="0" w:afterAutospacing="0" w:line="360" w:lineRule="auto"/>
        <w:ind w:firstLine="360"/>
        <w:jc w:val="both"/>
        <w:rPr>
          <w:rFonts w:ascii="Cambria" w:hAnsi="Cambria" w:cs="Arial"/>
          <w:sz w:val="20"/>
          <w:szCs w:val="20"/>
        </w:rPr>
      </w:pPr>
      <w:r w:rsidRPr="004A52EB">
        <w:rPr>
          <w:rFonts w:ascii="Cambria" w:hAnsi="Cambria"/>
          <w:b/>
          <w:bCs/>
          <w:sz w:val="20"/>
          <w:szCs w:val="20"/>
        </w:rPr>
        <w:t>Public Inquiry procedure</w:t>
      </w:r>
    </w:p>
    <w:p w14:paraId="58A4A782" w14:textId="77777777" w:rsidR="0088379E" w:rsidRPr="004A52EB" w:rsidRDefault="0088379E" w:rsidP="0088379E">
      <w:pPr>
        <w:pStyle w:val="NormalWeb"/>
        <w:spacing w:line="360" w:lineRule="auto"/>
        <w:jc w:val="both"/>
        <w:rPr>
          <w:rFonts w:ascii="Cambria" w:hAnsi="Cambria"/>
          <w:sz w:val="20"/>
          <w:szCs w:val="20"/>
        </w:rPr>
      </w:pPr>
      <w:r w:rsidRPr="004A52EB">
        <w:rPr>
          <w:rFonts w:ascii="Cambria" w:hAnsi="Cambria"/>
          <w:sz w:val="20"/>
          <w:szCs w:val="20"/>
        </w:rPr>
        <w:t>The Committee on Public Petitions is entrusted with the duty of considering public petitions referred to it under the provisions of Standing Order 30.</w:t>
      </w:r>
      <w:r w:rsidRPr="004A52EB">
        <w:rPr>
          <w:rStyle w:val="FootnoteReference"/>
          <w:rFonts w:ascii="Cambria" w:hAnsi="Cambria"/>
          <w:sz w:val="20"/>
          <w:szCs w:val="20"/>
        </w:rPr>
        <w:footnoteReference w:id="102"/>
      </w:r>
      <w:r w:rsidRPr="004A52EB">
        <w:rPr>
          <w:rFonts w:ascii="Cambria" w:hAnsi="Cambria"/>
          <w:sz w:val="20"/>
          <w:szCs w:val="20"/>
        </w:rPr>
        <w:t xml:space="preserve"> Where the Committee is of the view that any petition discloses an infringement of a fundamental right or other injustice by a public officer or an officer of a public corporation, local authority or other like institution, it may inquire into such petition or refer such petition to the Parliamentary Commissioner for Administration (Ombudsman) to inquire and report. The Committee thereafter reports to Parliament its opinion on the action to be taken on such petition or report.</w:t>
      </w:r>
      <w:r w:rsidRPr="004A52EB">
        <w:rPr>
          <w:rStyle w:val="FootnoteReference"/>
          <w:rFonts w:ascii="Cambria" w:hAnsi="Cambria"/>
          <w:sz w:val="20"/>
          <w:szCs w:val="20"/>
        </w:rPr>
        <w:footnoteReference w:id="103"/>
      </w:r>
      <w:r w:rsidRPr="004A52EB">
        <w:rPr>
          <w:rFonts w:ascii="Cambria" w:hAnsi="Cambria"/>
          <w:sz w:val="20"/>
          <w:szCs w:val="20"/>
        </w:rPr>
        <w:t xml:space="preserve"> </w:t>
      </w:r>
    </w:p>
    <w:p w14:paraId="3FBB0742" w14:textId="77777777" w:rsidR="0088379E" w:rsidRPr="004A52EB" w:rsidRDefault="0088379E" w:rsidP="0088379E">
      <w:pPr>
        <w:spacing w:line="360" w:lineRule="auto"/>
        <w:jc w:val="both"/>
        <w:rPr>
          <w:rFonts w:ascii="Cambria" w:hAnsi="Cambria"/>
          <w:b/>
          <w:bCs/>
          <w:sz w:val="20"/>
          <w:szCs w:val="20"/>
          <w:u w:val="single"/>
        </w:rPr>
      </w:pPr>
      <w:r w:rsidRPr="004A52EB">
        <w:rPr>
          <w:rFonts w:ascii="Cambria" w:hAnsi="Cambria"/>
          <w:b/>
          <w:bCs/>
          <w:sz w:val="20"/>
          <w:szCs w:val="20"/>
          <w:u w:val="single"/>
        </w:rPr>
        <w:t>Independent Commissions</w:t>
      </w:r>
    </w:p>
    <w:p w14:paraId="05125170" w14:textId="77777777" w:rsidR="0088379E" w:rsidRPr="004A52EB" w:rsidRDefault="0088379E" w:rsidP="0088379E">
      <w:pPr>
        <w:pStyle w:val="NormalWeb"/>
        <w:shd w:val="clear" w:color="auto" w:fill="FFFFFF"/>
        <w:spacing w:line="360" w:lineRule="auto"/>
        <w:jc w:val="both"/>
        <w:rPr>
          <w:rFonts w:ascii="Cambria" w:hAnsi="Cambria"/>
          <w:sz w:val="20"/>
          <w:szCs w:val="20"/>
        </w:rPr>
      </w:pPr>
      <w:r w:rsidRPr="004A52EB">
        <w:rPr>
          <w:rFonts w:ascii="Cambria" w:hAnsi="Cambria"/>
          <w:sz w:val="20"/>
          <w:szCs w:val="20"/>
        </w:rPr>
        <w:lastRenderedPageBreak/>
        <w:t>The governance architecture in Sri Lanka has included independent statutory bodies with a view to empowering the people by placing certain public functions in the hands of experts in the field and beyond the reach of political interests of governments.</w:t>
      </w:r>
      <w:r w:rsidRPr="004A52EB">
        <w:rPr>
          <w:rStyle w:val="FootnoteReference"/>
          <w:rFonts w:ascii="Cambria" w:hAnsi="Cambria"/>
          <w:sz w:val="20"/>
          <w:szCs w:val="20"/>
        </w:rPr>
        <w:footnoteReference w:id="104"/>
      </w:r>
      <w:r w:rsidRPr="004A52EB">
        <w:rPr>
          <w:rFonts w:ascii="Cambria" w:hAnsi="Cambria"/>
          <w:sz w:val="20"/>
          <w:szCs w:val="20"/>
        </w:rPr>
        <w:t xml:space="preserve"> In the new wave of democratization that was ushered in after the presidential elections of 1994, the model of independent commissions was revisited.</w:t>
      </w:r>
      <w:r w:rsidRPr="004A52EB">
        <w:rPr>
          <w:rStyle w:val="FootnoteReference"/>
          <w:rFonts w:ascii="Cambria" w:hAnsi="Cambria"/>
          <w:sz w:val="20"/>
          <w:szCs w:val="20"/>
        </w:rPr>
        <w:footnoteReference w:id="105"/>
      </w:r>
      <w:r w:rsidRPr="004A52EB">
        <w:rPr>
          <w:rFonts w:ascii="Cambria" w:hAnsi="Cambria"/>
          <w:sz w:val="20"/>
          <w:szCs w:val="20"/>
        </w:rPr>
        <w:t xml:space="preserve"> New commissions such as the Commission to Inquire into Allegations of Bribery or Corruption (CIABOA) and the Human Rights Commission (HRC) were established during this time. </w:t>
      </w:r>
    </w:p>
    <w:p w14:paraId="2ACADCBA" w14:textId="77777777" w:rsidR="0088379E" w:rsidRPr="004A52EB" w:rsidRDefault="0088379E" w:rsidP="0088379E">
      <w:pPr>
        <w:spacing w:line="360" w:lineRule="auto"/>
        <w:jc w:val="both"/>
        <w:rPr>
          <w:rFonts w:ascii="Cambria" w:hAnsi="Cambria"/>
          <w:b/>
          <w:bCs/>
          <w:sz w:val="20"/>
          <w:szCs w:val="20"/>
          <w:u w:val="single"/>
        </w:rPr>
      </w:pPr>
      <w:r w:rsidRPr="004A52EB">
        <w:rPr>
          <w:rFonts w:ascii="Cambria" w:hAnsi="Cambria"/>
          <w:b/>
          <w:bCs/>
          <w:sz w:val="20"/>
          <w:szCs w:val="20"/>
          <w:u w:val="single"/>
        </w:rPr>
        <w:t>The Commission to Investigate Allegations of Bribery or Commission (CIABOC)</w:t>
      </w:r>
    </w:p>
    <w:p w14:paraId="43829766" w14:textId="77777777" w:rsidR="0088379E" w:rsidRPr="004A52EB" w:rsidRDefault="0088379E" w:rsidP="0088379E">
      <w:pPr>
        <w:spacing w:line="360" w:lineRule="auto"/>
        <w:jc w:val="both"/>
        <w:rPr>
          <w:rFonts w:ascii="Cambria" w:hAnsi="Cambria"/>
          <w:sz w:val="20"/>
          <w:szCs w:val="20"/>
        </w:rPr>
      </w:pPr>
      <w:r w:rsidRPr="004A52EB">
        <w:rPr>
          <w:rFonts w:ascii="Cambria" w:hAnsi="Cambria"/>
          <w:sz w:val="20"/>
          <w:szCs w:val="20"/>
        </w:rPr>
        <w:t>The permanent Commission to Investigate Allegations of Bribery or Corruption (CIABOA) established by Act No. 19 of 1994, is the main anti-corruption body in Sri Lanka designated with authority to investigate and directly institute actions against allegations of bribery, corruption and matters related to the Declaration of Assets and Liabilities law. The CIABOA is headed by a Director General and three commissioners, two of whom must be retired judges of the Supreme Court or Court of Appeal.</w:t>
      </w:r>
      <w:r w:rsidRPr="004A52EB">
        <w:rPr>
          <w:rStyle w:val="FootnoteReference"/>
          <w:rFonts w:ascii="Cambria" w:hAnsi="Cambria"/>
          <w:sz w:val="20"/>
          <w:szCs w:val="20"/>
        </w:rPr>
        <w:footnoteReference w:id="106"/>
      </w:r>
      <w:r w:rsidRPr="004A52EB">
        <w:rPr>
          <w:rFonts w:ascii="Cambria" w:hAnsi="Cambria"/>
          <w:sz w:val="20"/>
          <w:szCs w:val="20"/>
        </w:rPr>
        <w:t xml:space="preserve"> In order to preserve the independence of the commission, the commissioners are appointed by the President upon recommendations of the Constitutional Council for a non-renewable five-year period and can be removed only with Parliament’s approval.</w:t>
      </w:r>
      <w:r w:rsidRPr="004A52EB">
        <w:rPr>
          <w:rStyle w:val="FootnoteReference"/>
          <w:rFonts w:ascii="Cambria" w:hAnsi="Cambria"/>
          <w:sz w:val="20"/>
          <w:szCs w:val="20"/>
        </w:rPr>
        <w:footnoteReference w:id="107"/>
      </w:r>
      <w:r w:rsidRPr="004A52EB">
        <w:rPr>
          <w:rFonts w:ascii="Cambria" w:hAnsi="Cambria"/>
          <w:sz w:val="20"/>
          <w:szCs w:val="20"/>
        </w:rPr>
        <w:t xml:space="preserve"> However, matters pertaining to the appointment, tenure and removal of the Director General rests solely in the hands of the President. The 19</w:t>
      </w:r>
      <w:r w:rsidRPr="004A52EB">
        <w:rPr>
          <w:rFonts w:ascii="Cambria" w:hAnsi="Cambria"/>
          <w:sz w:val="20"/>
          <w:szCs w:val="20"/>
          <w:vertAlign w:val="superscript"/>
        </w:rPr>
        <w:t>th</w:t>
      </w:r>
      <w:r w:rsidRPr="004A52EB">
        <w:rPr>
          <w:rFonts w:ascii="Cambria" w:hAnsi="Cambria"/>
          <w:sz w:val="20"/>
          <w:szCs w:val="20"/>
        </w:rPr>
        <w:t xml:space="preserve"> Amendment to the Constitution of Sri Lanka provided that the mandate of CIABOC be broadened by law to provide for the implementation of the UN Convention Against Corruption and any other related international Convention, thus giving the treaty constitutional recognition.</w:t>
      </w:r>
      <w:r w:rsidRPr="004A52EB">
        <w:rPr>
          <w:rStyle w:val="FootnoteReference"/>
          <w:rFonts w:ascii="Cambria" w:hAnsi="Cambria"/>
          <w:sz w:val="20"/>
          <w:szCs w:val="20"/>
        </w:rPr>
        <w:footnoteReference w:id="108"/>
      </w:r>
      <w:r w:rsidRPr="004A52EB">
        <w:rPr>
          <w:rFonts w:ascii="Cambria" w:hAnsi="Cambria"/>
          <w:sz w:val="20"/>
          <w:szCs w:val="20"/>
        </w:rPr>
        <w:t xml:space="preserve"> </w:t>
      </w:r>
    </w:p>
    <w:p w14:paraId="03F6F701" w14:textId="77777777" w:rsidR="0088379E" w:rsidRPr="004A52EB" w:rsidRDefault="0088379E" w:rsidP="0088379E">
      <w:pPr>
        <w:spacing w:line="360" w:lineRule="auto"/>
        <w:jc w:val="both"/>
        <w:rPr>
          <w:rFonts w:ascii="Cambria" w:hAnsi="Cambria"/>
          <w:sz w:val="20"/>
          <w:szCs w:val="20"/>
        </w:rPr>
      </w:pPr>
    </w:p>
    <w:p w14:paraId="346E97C3" w14:textId="77777777" w:rsidR="0088379E" w:rsidRPr="004A52EB" w:rsidRDefault="0088379E" w:rsidP="0088379E">
      <w:pPr>
        <w:spacing w:line="360" w:lineRule="auto"/>
        <w:jc w:val="both"/>
        <w:rPr>
          <w:rFonts w:ascii="Cambria" w:hAnsi="Cambria"/>
          <w:b/>
          <w:bCs/>
          <w:sz w:val="20"/>
          <w:szCs w:val="20"/>
          <w:u w:val="single"/>
        </w:rPr>
      </w:pPr>
      <w:r w:rsidRPr="004A52EB">
        <w:rPr>
          <w:rFonts w:ascii="Cambria" w:hAnsi="Cambria"/>
          <w:b/>
          <w:bCs/>
          <w:sz w:val="20"/>
          <w:szCs w:val="20"/>
          <w:u w:val="single"/>
        </w:rPr>
        <w:t>National Human Rights Commission of Sri Lanka (HRCSL)</w:t>
      </w:r>
    </w:p>
    <w:p w14:paraId="11C0E8BD" w14:textId="77777777" w:rsidR="0088379E" w:rsidRPr="004A52EB" w:rsidRDefault="0088379E" w:rsidP="0088379E">
      <w:pPr>
        <w:pStyle w:val="NormalWeb"/>
        <w:spacing w:line="360" w:lineRule="auto"/>
        <w:jc w:val="both"/>
        <w:rPr>
          <w:rFonts w:ascii="Cambria" w:hAnsi="Cambria"/>
          <w:sz w:val="20"/>
          <w:szCs w:val="20"/>
        </w:rPr>
      </w:pPr>
      <w:r w:rsidRPr="004A52EB">
        <w:rPr>
          <w:rFonts w:ascii="Cambria" w:hAnsi="Cambria"/>
          <w:sz w:val="20"/>
          <w:szCs w:val="20"/>
        </w:rPr>
        <w:t>The National Human Rights Commission (HRCSL) set up under the Human Rights Commission of Sri Lanka Act No. 21 of 1996 is the primary state institution for the protection of human rights. It is mandated to investigate and inquire into complaints of violations or imminent violations of fundamental rights,</w:t>
      </w:r>
      <w:r w:rsidRPr="004A52EB">
        <w:rPr>
          <w:rStyle w:val="FootnoteReference"/>
          <w:rFonts w:ascii="Cambria" w:hAnsi="Cambria"/>
          <w:sz w:val="20"/>
          <w:szCs w:val="20"/>
        </w:rPr>
        <w:footnoteReference w:id="109"/>
      </w:r>
      <w:r w:rsidRPr="004A52EB">
        <w:rPr>
          <w:rFonts w:ascii="Cambria" w:hAnsi="Cambria"/>
          <w:sz w:val="20"/>
          <w:szCs w:val="20"/>
        </w:rPr>
        <w:t xml:space="preserve"> to advise and assist the government in formulating legislation and administrative directives, </w:t>
      </w:r>
      <w:r w:rsidRPr="004A52EB">
        <w:rPr>
          <w:rFonts w:ascii="Cambria" w:hAnsi="Cambria"/>
          <w:sz w:val="20"/>
          <w:szCs w:val="20"/>
          <w:shd w:val="clear" w:color="auto" w:fill="FFFFFF"/>
        </w:rPr>
        <w:t xml:space="preserve">and to ensure compliance by the Sri </w:t>
      </w:r>
      <w:r w:rsidRPr="004A52EB">
        <w:rPr>
          <w:rFonts w:ascii="Cambria" w:hAnsi="Cambria"/>
          <w:sz w:val="20"/>
          <w:szCs w:val="20"/>
          <w:shd w:val="clear" w:color="auto" w:fill="FFFFFF"/>
        </w:rPr>
        <w:lastRenderedPageBreak/>
        <w:t>Lankan State of international human rights standards.</w:t>
      </w:r>
      <w:r w:rsidRPr="004A52EB">
        <w:rPr>
          <w:rStyle w:val="apple-converted-space"/>
          <w:rFonts w:ascii="Cambria" w:hAnsi="Cambria"/>
          <w:sz w:val="20"/>
          <w:szCs w:val="20"/>
          <w:shd w:val="clear" w:color="auto" w:fill="FFFFFF"/>
        </w:rPr>
        <w:t> </w:t>
      </w:r>
      <w:r w:rsidRPr="004A52EB">
        <w:rPr>
          <w:rFonts w:ascii="Cambria" w:hAnsi="Cambria"/>
          <w:sz w:val="20"/>
          <w:szCs w:val="20"/>
        </w:rPr>
        <w:t>Although the commission is not empowered to adjudicate cases, it can engage in mediation and conciliation, failing which recommendations can be made to the appropriate authorities. The commission is also mandated to offer advisory services to the government and to engage in dissemination of human rights education.</w:t>
      </w:r>
      <w:r w:rsidRPr="004A52EB">
        <w:rPr>
          <w:rStyle w:val="FootnoteReference"/>
          <w:rFonts w:ascii="Cambria" w:hAnsi="Cambria"/>
          <w:sz w:val="20"/>
          <w:szCs w:val="20"/>
        </w:rPr>
        <w:footnoteReference w:id="110"/>
      </w:r>
      <w:r w:rsidRPr="004A52EB">
        <w:rPr>
          <w:rFonts w:ascii="Cambria" w:hAnsi="Cambria"/>
          <w:sz w:val="20"/>
          <w:szCs w:val="20"/>
        </w:rPr>
        <w:t xml:space="preserve"> During the peak of the internal armed conflict in the Northern and Eastern parts of the country, the HRCSL played a peripheral role in addressing human rights issues on the ground.</w:t>
      </w:r>
      <w:r w:rsidRPr="004A52EB">
        <w:rPr>
          <w:rStyle w:val="FootnoteReference"/>
          <w:rFonts w:ascii="Cambria" w:hAnsi="Cambria"/>
          <w:sz w:val="20"/>
          <w:szCs w:val="20"/>
        </w:rPr>
        <w:footnoteReference w:id="111"/>
      </w:r>
      <w:r w:rsidRPr="004A52EB">
        <w:rPr>
          <w:rFonts w:ascii="Cambria" w:hAnsi="Cambria"/>
          <w:sz w:val="20"/>
          <w:szCs w:val="20"/>
        </w:rPr>
        <w:t xml:space="preserve"> On a few occasions the HRCSL has been beset with issues arising from its politicization and has come under intense criticism for its lack of independence.</w:t>
      </w:r>
      <w:r w:rsidRPr="004A52EB">
        <w:rPr>
          <w:rStyle w:val="FootnoteReference"/>
          <w:rFonts w:ascii="Cambria" w:hAnsi="Cambria"/>
          <w:sz w:val="20"/>
          <w:szCs w:val="20"/>
        </w:rPr>
        <w:footnoteReference w:id="112"/>
      </w:r>
      <w:r w:rsidRPr="004A52EB">
        <w:rPr>
          <w:rFonts w:ascii="Cambria" w:hAnsi="Cambria"/>
          <w:sz w:val="20"/>
          <w:szCs w:val="20"/>
        </w:rPr>
        <w:t xml:space="preserve"> </w:t>
      </w:r>
    </w:p>
    <w:p w14:paraId="027353B6" w14:textId="77777777" w:rsidR="0088379E" w:rsidRPr="004A52EB" w:rsidRDefault="0088379E" w:rsidP="0088379E">
      <w:pPr>
        <w:spacing w:line="360" w:lineRule="auto"/>
        <w:jc w:val="both"/>
        <w:rPr>
          <w:rFonts w:ascii="Cambria" w:hAnsi="Cambria"/>
          <w:b/>
          <w:bCs/>
          <w:sz w:val="20"/>
          <w:szCs w:val="20"/>
          <w:u w:val="single"/>
        </w:rPr>
      </w:pPr>
      <w:r w:rsidRPr="004A52EB">
        <w:rPr>
          <w:rFonts w:ascii="Cambria" w:hAnsi="Cambria"/>
          <w:b/>
          <w:bCs/>
          <w:sz w:val="20"/>
          <w:szCs w:val="20"/>
          <w:u w:val="single"/>
        </w:rPr>
        <w:t>Right to Information Commission of Sri Lanka (RTIC)</w:t>
      </w:r>
    </w:p>
    <w:p w14:paraId="1D5F229E" w14:textId="77777777" w:rsidR="0088379E" w:rsidRPr="004A52EB" w:rsidRDefault="0088379E" w:rsidP="0088379E">
      <w:pPr>
        <w:pStyle w:val="NormalWeb"/>
        <w:spacing w:line="360" w:lineRule="auto"/>
        <w:jc w:val="both"/>
        <w:rPr>
          <w:rFonts w:ascii="Cambria" w:hAnsi="Cambria"/>
          <w:sz w:val="20"/>
          <w:szCs w:val="20"/>
        </w:rPr>
      </w:pPr>
      <w:r w:rsidRPr="004A52EB">
        <w:rPr>
          <w:rFonts w:ascii="Cambria" w:hAnsi="Cambria"/>
          <w:sz w:val="20"/>
          <w:szCs w:val="20"/>
        </w:rPr>
        <w:t>A key pledge in the 100-day work program of the Sirisena government, in its pursuit for good governance, was the elevation of the ‘Right to Information’ to fundamental right status.</w:t>
      </w:r>
      <w:r w:rsidRPr="004A52EB">
        <w:rPr>
          <w:rStyle w:val="FootnoteReference"/>
          <w:rFonts w:ascii="Cambria" w:hAnsi="Cambria"/>
          <w:sz w:val="20"/>
          <w:szCs w:val="20"/>
        </w:rPr>
        <w:footnoteReference w:id="113"/>
      </w:r>
      <w:r w:rsidRPr="004A52EB">
        <w:rPr>
          <w:rFonts w:ascii="Cambria" w:hAnsi="Cambria"/>
          <w:sz w:val="20"/>
          <w:szCs w:val="20"/>
        </w:rPr>
        <w:t xml:space="preserve"> This was followed by the passage of the Right to Information Act No. 12 of 2016, which was viewed by many as a welcome move towards fostering a culture of transparency and accountability in public authorities. The Right to Information Commission (RTIC) is the central oversight and enforcement agency established under the Act.  The RTIC is empowered to formulate rules and regulations relating to the RTI process, hold inquiries into complaints on non-compliance, prosecute offending officials, and recommend disciplinary actions.</w:t>
      </w:r>
      <w:r w:rsidRPr="004A52EB">
        <w:rPr>
          <w:rStyle w:val="FootnoteReference"/>
          <w:rFonts w:ascii="Cambria" w:hAnsi="Cambria"/>
          <w:sz w:val="20"/>
          <w:szCs w:val="20"/>
        </w:rPr>
        <w:footnoteReference w:id="114"/>
      </w:r>
      <w:r w:rsidRPr="004A52EB">
        <w:rPr>
          <w:rFonts w:ascii="Cambria" w:hAnsi="Cambria"/>
          <w:sz w:val="20"/>
          <w:szCs w:val="20"/>
        </w:rPr>
        <w:t xml:space="preserve"> The RTIC comprises of a Chairperson and four Commissioners appointed by the President upon recommendations of the Constitutional Council for a period of five years.</w:t>
      </w:r>
      <w:r w:rsidRPr="004A52EB">
        <w:rPr>
          <w:rStyle w:val="FootnoteReference"/>
          <w:rFonts w:ascii="Cambria" w:hAnsi="Cambria"/>
          <w:sz w:val="20"/>
          <w:szCs w:val="20"/>
        </w:rPr>
        <w:footnoteReference w:id="115"/>
      </w:r>
      <w:r w:rsidRPr="004A52EB">
        <w:rPr>
          <w:rFonts w:ascii="Cambria" w:hAnsi="Cambria"/>
          <w:sz w:val="20"/>
          <w:szCs w:val="20"/>
        </w:rPr>
        <w:t xml:space="preserve"> In making such recommendations, the Constitutional Council is mandated to recommend persons nominated by the Bar Association of Sri Lanks, organizations of publishers, editors and media persons, and other civil society organizations.</w:t>
      </w:r>
      <w:r w:rsidRPr="004A52EB">
        <w:rPr>
          <w:rStyle w:val="FootnoteReference"/>
          <w:rFonts w:ascii="Cambria" w:hAnsi="Cambria"/>
          <w:sz w:val="20"/>
          <w:szCs w:val="20"/>
        </w:rPr>
        <w:footnoteReference w:id="116"/>
      </w:r>
      <w:r w:rsidRPr="004A52EB">
        <w:rPr>
          <w:rFonts w:ascii="Cambria" w:hAnsi="Cambria"/>
          <w:sz w:val="20"/>
          <w:szCs w:val="20"/>
        </w:rPr>
        <w:t xml:space="preserve"> </w:t>
      </w:r>
    </w:p>
    <w:p w14:paraId="0B6A9E46" w14:textId="77777777" w:rsidR="0088379E" w:rsidRPr="004A52EB" w:rsidRDefault="0088379E" w:rsidP="0088379E">
      <w:pPr>
        <w:spacing w:line="360" w:lineRule="auto"/>
        <w:jc w:val="both"/>
        <w:rPr>
          <w:rFonts w:ascii="Cambria" w:hAnsi="Cambria"/>
          <w:b/>
          <w:bCs/>
          <w:sz w:val="20"/>
          <w:szCs w:val="20"/>
          <w:u w:val="single"/>
        </w:rPr>
      </w:pPr>
      <w:r w:rsidRPr="004A52EB">
        <w:rPr>
          <w:rFonts w:ascii="Cambria" w:hAnsi="Cambria"/>
          <w:b/>
          <w:bCs/>
          <w:sz w:val="20"/>
          <w:szCs w:val="20"/>
          <w:u w:val="single"/>
        </w:rPr>
        <w:t>National Police Commission (NPC)</w:t>
      </w:r>
    </w:p>
    <w:p w14:paraId="14468C58" w14:textId="77777777" w:rsidR="0088379E" w:rsidRPr="004A52EB" w:rsidRDefault="0088379E" w:rsidP="0088379E">
      <w:pPr>
        <w:pStyle w:val="NormalWeb"/>
        <w:shd w:val="clear" w:color="auto" w:fill="FFFFFF"/>
        <w:spacing w:line="360" w:lineRule="auto"/>
        <w:jc w:val="both"/>
        <w:rPr>
          <w:rFonts w:ascii="Cambria" w:hAnsi="Cambria"/>
          <w:sz w:val="20"/>
          <w:szCs w:val="20"/>
        </w:rPr>
      </w:pPr>
      <w:r w:rsidRPr="004A52EB">
        <w:rPr>
          <w:rFonts w:ascii="Cambria" w:hAnsi="Cambria"/>
          <w:sz w:val="20"/>
          <w:szCs w:val="20"/>
        </w:rPr>
        <w:t>The National Police Commission (NPC) established in November 2002, was one of the seven independent commissions introduced by the 17</w:t>
      </w:r>
      <w:r w:rsidRPr="004A52EB">
        <w:rPr>
          <w:rFonts w:ascii="Cambria" w:hAnsi="Cambria"/>
          <w:sz w:val="20"/>
          <w:szCs w:val="20"/>
          <w:vertAlign w:val="superscript"/>
        </w:rPr>
        <w:t>th</w:t>
      </w:r>
      <w:r w:rsidRPr="004A52EB">
        <w:rPr>
          <w:rFonts w:ascii="Cambria" w:hAnsi="Cambria"/>
          <w:sz w:val="20"/>
          <w:szCs w:val="20"/>
        </w:rPr>
        <w:t xml:space="preserve"> Amendment to the Constitution of Sri Lanka. </w:t>
      </w:r>
      <w:r w:rsidRPr="004A52EB">
        <w:rPr>
          <w:rFonts w:ascii="Cambria" w:hAnsi="Cambria" w:cs="Arial"/>
          <w:sz w:val="20"/>
          <w:szCs w:val="20"/>
          <w:shd w:val="clear" w:color="auto" w:fill="FFFFFF"/>
        </w:rPr>
        <w:t xml:space="preserve">The main objective in establishing an oversight body on policing, was to ensure the independence of the Police Service from </w:t>
      </w:r>
      <w:r w:rsidRPr="004A52EB">
        <w:rPr>
          <w:rFonts w:ascii="Cambria" w:hAnsi="Cambria" w:cs="Arial"/>
          <w:sz w:val="20"/>
          <w:szCs w:val="20"/>
          <w:shd w:val="clear" w:color="auto" w:fill="FFFFFF"/>
        </w:rPr>
        <w:lastRenderedPageBreak/>
        <w:t>interference or undue influence, and to instil respect for rule of law.</w:t>
      </w:r>
      <w:r w:rsidRPr="004A52EB">
        <w:rPr>
          <w:rStyle w:val="FootnoteReference"/>
          <w:rFonts w:ascii="Cambria" w:hAnsi="Cambria" w:cs="Arial"/>
          <w:sz w:val="20"/>
          <w:szCs w:val="20"/>
          <w:shd w:val="clear" w:color="auto" w:fill="FFFFFF"/>
        </w:rPr>
        <w:footnoteReference w:id="117"/>
      </w:r>
      <w:r w:rsidRPr="004A52EB">
        <w:rPr>
          <w:rFonts w:ascii="Cambria" w:hAnsi="Cambria" w:cs="Arial"/>
          <w:sz w:val="20"/>
          <w:szCs w:val="20"/>
          <w:shd w:val="clear" w:color="auto" w:fill="FFFFFF"/>
        </w:rPr>
        <w:t xml:space="preserve"> The NPC is entrusted with powers for managing police personnel (including the formulation of schemes of recruitment, promotion and transfers etc.), receiving and investigating public complaints against the police, and handing over reports to the Inspector General of Police for follow up action.</w:t>
      </w:r>
      <w:r w:rsidRPr="004A52EB">
        <w:rPr>
          <w:rStyle w:val="FootnoteReference"/>
          <w:rFonts w:ascii="Cambria" w:hAnsi="Cambria" w:cs="Arial"/>
          <w:sz w:val="20"/>
          <w:szCs w:val="20"/>
          <w:shd w:val="clear" w:color="auto" w:fill="FFFFFF"/>
        </w:rPr>
        <w:footnoteReference w:id="118"/>
      </w:r>
      <w:r w:rsidRPr="004A52EB">
        <w:rPr>
          <w:rFonts w:ascii="Cambria" w:hAnsi="Cambria" w:cs="Arial"/>
          <w:sz w:val="20"/>
          <w:szCs w:val="20"/>
          <w:shd w:val="clear" w:color="auto" w:fill="FFFFFF"/>
        </w:rPr>
        <w:t xml:space="preserve"> While the powers of the NPC were diluted with the enactment of the 18</w:t>
      </w:r>
      <w:r w:rsidRPr="004A52EB">
        <w:rPr>
          <w:rFonts w:ascii="Cambria" w:hAnsi="Cambria" w:cs="Arial"/>
          <w:sz w:val="20"/>
          <w:szCs w:val="20"/>
          <w:shd w:val="clear" w:color="auto" w:fill="FFFFFF"/>
          <w:vertAlign w:val="superscript"/>
        </w:rPr>
        <w:t>th</w:t>
      </w:r>
      <w:r w:rsidRPr="004A52EB">
        <w:rPr>
          <w:rFonts w:ascii="Cambria" w:hAnsi="Cambria" w:cs="Arial"/>
          <w:sz w:val="20"/>
          <w:szCs w:val="20"/>
          <w:shd w:val="clear" w:color="auto" w:fill="FFFFFF"/>
        </w:rPr>
        <w:t xml:space="preserve"> Amendment, the change of government in 2015 and the passage of the 19</w:t>
      </w:r>
      <w:r w:rsidRPr="004A52EB">
        <w:rPr>
          <w:rFonts w:ascii="Cambria" w:hAnsi="Cambria" w:cs="Arial"/>
          <w:sz w:val="20"/>
          <w:szCs w:val="20"/>
          <w:shd w:val="clear" w:color="auto" w:fill="FFFFFF"/>
          <w:vertAlign w:val="superscript"/>
        </w:rPr>
        <w:t>th</w:t>
      </w:r>
      <w:r w:rsidRPr="004A52EB">
        <w:rPr>
          <w:rFonts w:ascii="Cambria" w:hAnsi="Cambria" w:cs="Arial"/>
          <w:sz w:val="20"/>
          <w:szCs w:val="20"/>
          <w:shd w:val="clear" w:color="auto" w:fill="FFFFFF"/>
        </w:rPr>
        <w:t xml:space="preserve"> Amendment provided a new framework for strengthening independent commissions including the NPC.  The NPC consists of seven members with experience in policing, police and public administration, law and legal procedure, society and human behaviour and international relations.</w:t>
      </w:r>
      <w:r w:rsidRPr="004A52EB">
        <w:rPr>
          <w:rStyle w:val="FootnoteReference"/>
          <w:rFonts w:ascii="Cambria" w:hAnsi="Cambria" w:cs="Arial"/>
          <w:sz w:val="20"/>
          <w:szCs w:val="20"/>
          <w:shd w:val="clear" w:color="auto" w:fill="FFFFFF"/>
        </w:rPr>
        <w:footnoteReference w:id="119"/>
      </w:r>
      <w:r w:rsidRPr="004A52EB">
        <w:rPr>
          <w:rFonts w:ascii="Cambria" w:hAnsi="Cambria" w:cs="Arial"/>
          <w:sz w:val="20"/>
          <w:szCs w:val="20"/>
          <w:shd w:val="clear" w:color="auto" w:fill="FFFFFF"/>
        </w:rPr>
        <w:t xml:space="preserve"> </w:t>
      </w:r>
      <w:r w:rsidRPr="004A52EB">
        <w:rPr>
          <w:rFonts w:ascii="Cambria" w:hAnsi="Cambria"/>
          <w:sz w:val="20"/>
          <w:szCs w:val="20"/>
        </w:rPr>
        <w:t>The NPC is subject to the jurisdiction conferred on the Supreme Court under Article 126 and the powers granted to the Administrative Appeals Tribunal.</w:t>
      </w:r>
      <w:r w:rsidRPr="004A52EB">
        <w:rPr>
          <w:rStyle w:val="FootnoteReference"/>
          <w:rFonts w:ascii="Cambria" w:hAnsi="Cambria"/>
          <w:sz w:val="20"/>
          <w:szCs w:val="20"/>
        </w:rPr>
        <w:footnoteReference w:id="120"/>
      </w:r>
      <w:r w:rsidRPr="004A52EB">
        <w:rPr>
          <w:rFonts w:ascii="Cambria" w:hAnsi="Cambria"/>
          <w:sz w:val="20"/>
          <w:szCs w:val="20"/>
        </w:rPr>
        <w:t xml:space="preserve"> </w:t>
      </w:r>
    </w:p>
    <w:p w14:paraId="7182C62F" w14:textId="77777777" w:rsidR="0088379E" w:rsidRPr="004A52EB" w:rsidRDefault="0088379E" w:rsidP="0088379E">
      <w:pPr>
        <w:pStyle w:val="NormalWeb"/>
        <w:shd w:val="clear" w:color="auto" w:fill="FFFFFF"/>
        <w:spacing w:line="360" w:lineRule="auto"/>
        <w:jc w:val="both"/>
        <w:rPr>
          <w:rFonts w:ascii="Cambria" w:hAnsi="Cambria"/>
          <w:sz w:val="20"/>
          <w:szCs w:val="20"/>
        </w:rPr>
      </w:pPr>
      <w:r w:rsidRPr="004A52EB">
        <w:rPr>
          <w:rFonts w:ascii="Cambria" w:hAnsi="Cambria"/>
          <w:b/>
          <w:bCs/>
          <w:sz w:val="20"/>
          <w:szCs w:val="20"/>
          <w:u w:val="single"/>
        </w:rPr>
        <w:t>Elections Commission (EC)</w:t>
      </w:r>
    </w:p>
    <w:p w14:paraId="40F9FE72" w14:textId="77777777" w:rsidR="0088379E" w:rsidRPr="004A52EB" w:rsidRDefault="0088379E" w:rsidP="0088379E">
      <w:pPr>
        <w:pStyle w:val="NormalWeb"/>
        <w:spacing w:line="360" w:lineRule="auto"/>
        <w:jc w:val="both"/>
        <w:rPr>
          <w:rFonts w:ascii="Cambria" w:hAnsi="Cambria"/>
          <w:sz w:val="20"/>
          <w:szCs w:val="20"/>
        </w:rPr>
      </w:pPr>
      <w:r w:rsidRPr="004A52EB">
        <w:rPr>
          <w:rFonts w:ascii="Cambria" w:hAnsi="Cambria"/>
          <w:sz w:val="20"/>
          <w:szCs w:val="20"/>
        </w:rPr>
        <w:t>Although the need for establishing an independent Elections Commission (EC) was initially mooted in 2001, it was only in November 2015 that the EC was finally constituted under the 19</w:t>
      </w:r>
      <w:r w:rsidRPr="004A52EB">
        <w:rPr>
          <w:rFonts w:ascii="Cambria" w:hAnsi="Cambria"/>
          <w:sz w:val="20"/>
          <w:szCs w:val="20"/>
          <w:vertAlign w:val="superscript"/>
        </w:rPr>
        <w:t>th</w:t>
      </w:r>
      <w:r w:rsidRPr="004A52EB">
        <w:rPr>
          <w:rFonts w:ascii="Cambria" w:hAnsi="Cambria"/>
          <w:sz w:val="20"/>
          <w:szCs w:val="20"/>
        </w:rPr>
        <w:t xml:space="preserve"> Amendment to the Constitution. The EC has a constitutional mandate to hold free and fair elections in Sri Lanka including the election of Members of Parliament, the election of members of Provincial Councils, the election of members of Local Authorities and the conduct of Referenda.</w:t>
      </w:r>
      <w:r w:rsidRPr="004A52EB">
        <w:rPr>
          <w:rStyle w:val="FootnoteReference"/>
          <w:rFonts w:ascii="Cambria" w:hAnsi="Cambria"/>
          <w:sz w:val="20"/>
          <w:szCs w:val="20"/>
        </w:rPr>
        <w:footnoteReference w:id="121"/>
      </w:r>
      <w:r w:rsidRPr="004A52EB">
        <w:rPr>
          <w:rFonts w:ascii="Cambria" w:hAnsi="Cambria"/>
          <w:sz w:val="20"/>
          <w:szCs w:val="20"/>
        </w:rPr>
        <w:t xml:space="preserve"> The EC is vested with duties and functions relating to the preparation and revision of registers of electors and the enforcement of all laws relating to the holding of any such election.</w:t>
      </w:r>
      <w:r w:rsidRPr="004A52EB">
        <w:rPr>
          <w:rStyle w:val="FootnoteReference"/>
          <w:rFonts w:ascii="Cambria" w:hAnsi="Cambria"/>
          <w:sz w:val="20"/>
          <w:szCs w:val="20"/>
        </w:rPr>
        <w:footnoteReference w:id="122"/>
      </w:r>
      <w:r w:rsidRPr="004A52EB">
        <w:rPr>
          <w:rFonts w:ascii="Cambria" w:hAnsi="Cambria"/>
          <w:sz w:val="20"/>
          <w:szCs w:val="20"/>
        </w:rPr>
        <w:t xml:space="preserve"> The EC should also be responsible and answerable to Parliament for the discharge of its powers, duties and functions. The Constitution</w:t>
      </w:r>
      <w:r w:rsidRPr="004A52EB">
        <w:rPr>
          <w:rFonts w:ascii="Cambria" w:hAnsi="Cambria"/>
          <w:b/>
          <w:bCs/>
          <w:sz w:val="20"/>
          <w:szCs w:val="20"/>
        </w:rPr>
        <w:t xml:space="preserve"> </w:t>
      </w:r>
      <w:r w:rsidRPr="004A52EB">
        <w:rPr>
          <w:rFonts w:ascii="Cambria" w:hAnsi="Cambria"/>
          <w:sz w:val="20"/>
          <w:szCs w:val="20"/>
        </w:rPr>
        <w:t>makes provision for the EC to prohibit the use of public or State-owned property for the purposes of election campaigning.</w:t>
      </w:r>
      <w:r w:rsidRPr="004A52EB">
        <w:rPr>
          <w:rStyle w:val="FootnoteReference"/>
          <w:rFonts w:ascii="Cambria" w:hAnsi="Cambria"/>
          <w:sz w:val="20"/>
          <w:szCs w:val="20"/>
        </w:rPr>
        <w:footnoteReference w:id="123"/>
      </w:r>
      <w:r w:rsidRPr="004A52EB">
        <w:rPr>
          <w:rFonts w:ascii="Cambria" w:hAnsi="Cambria"/>
          <w:sz w:val="20"/>
          <w:szCs w:val="20"/>
        </w:rPr>
        <w:t xml:space="preserve"> Following the enactment of the 19</w:t>
      </w:r>
      <w:r w:rsidRPr="004A52EB">
        <w:rPr>
          <w:rFonts w:ascii="Cambria" w:hAnsi="Cambria"/>
          <w:sz w:val="20"/>
          <w:szCs w:val="20"/>
          <w:vertAlign w:val="superscript"/>
        </w:rPr>
        <w:t>th</w:t>
      </w:r>
      <w:r w:rsidRPr="004A52EB">
        <w:rPr>
          <w:rFonts w:ascii="Cambria" w:hAnsi="Cambria"/>
          <w:sz w:val="20"/>
          <w:szCs w:val="20"/>
        </w:rPr>
        <w:t xml:space="preserve"> Amendment, failure by public authorities to comply with the directives of the EC has been declared a punishable offence.</w:t>
      </w:r>
      <w:r w:rsidRPr="004A52EB">
        <w:rPr>
          <w:rStyle w:val="FootnoteReference"/>
          <w:rFonts w:ascii="Cambria" w:hAnsi="Cambria"/>
          <w:sz w:val="20"/>
          <w:szCs w:val="20"/>
        </w:rPr>
        <w:footnoteReference w:id="124"/>
      </w:r>
      <w:r w:rsidRPr="004A52EB">
        <w:rPr>
          <w:rFonts w:ascii="Cambria" w:hAnsi="Cambria"/>
          <w:sz w:val="20"/>
          <w:szCs w:val="20"/>
        </w:rPr>
        <w:t xml:space="preserve"> </w:t>
      </w:r>
    </w:p>
    <w:p w14:paraId="51A3418A" w14:textId="77777777" w:rsidR="0088379E" w:rsidRPr="004A52EB" w:rsidRDefault="0088379E" w:rsidP="0088379E">
      <w:pPr>
        <w:pStyle w:val="NormalWeb"/>
        <w:spacing w:line="360" w:lineRule="auto"/>
        <w:jc w:val="both"/>
        <w:rPr>
          <w:rFonts w:ascii="Cambria" w:hAnsi="Cambria"/>
          <w:sz w:val="20"/>
          <w:szCs w:val="20"/>
        </w:rPr>
      </w:pPr>
      <w:r w:rsidRPr="004A52EB">
        <w:rPr>
          <w:rFonts w:ascii="Cambria" w:hAnsi="Cambria"/>
          <w:sz w:val="20"/>
          <w:szCs w:val="20"/>
        </w:rPr>
        <w:t>The EC comprises of three members appointed by the President on the recommendations of the Constitutional Council, from amongst persons who have distinguished themselves in any profession or in the fields of administration or education.</w:t>
      </w:r>
      <w:r w:rsidRPr="004A52EB">
        <w:rPr>
          <w:rStyle w:val="FootnoteReference"/>
          <w:rFonts w:ascii="Cambria" w:hAnsi="Cambria"/>
          <w:sz w:val="20"/>
          <w:szCs w:val="20"/>
        </w:rPr>
        <w:footnoteReference w:id="125"/>
      </w:r>
      <w:r w:rsidRPr="004A52EB">
        <w:rPr>
          <w:rFonts w:ascii="Cambria" w:hAnsi="Cambria"/>
          <w:sz w:val="20"/>
          <w:szCs w:val="20"/>
        </w:rPr>
        <w:t xml:space="preserve"> One of the members so appointed should be a retired officer of the Department </w:t>
      </w:r>
      <w:r w:rsidRPr="004A52EB">
        <w:rPr>
          <w:rFonts w:ascii="Cambria" w:hAnsi="Cambria"/>
          <w:sz w:val="20"/>
          <w:szCs w:val="20"/>
        </w:rPr>
        <w:lastRenderedPageBreak/>
        <w:t>of Elections, who has held office as a Deputy Commissioner of Elections or above. The President should also appoint one member as its Chairman on the recommendations of the Constitutional Council.</w:t>
      </w:r>
      <w:r w:rsidRPr="004A52EB">
        <w:rPr>
          <w:rStyle w:val="FootnoteReference"/>
          <w:rFonts w:ascii="Cambria" w:hAnsi="Cambria"/>
          <w:sz w:val="20"/>
          <w:szCs w:val="20"/>
        </w:rPr>
        <w:footnoteReference w:id="126"/>
      </w:r>
      <w:r w:rsidRPr="004A52EB">
        <w:rPr>
          <w:rFonts w:ascii="Cambria" w:hAnsi="Cambria"/>
          <w:sz w:val="20"/>
          <w:szCs w:val="20"/>
        </w:rPr>
        <w:t xml:space="preserve"> </w:t>
      </w:r>
    </w:p>
    <w:p w14:paraId="7F163B12" w14:textId="77777777" w:rsidR="0088379E" w:rsidRPr="004A52EB" w:rsidRDefault="0088379E" w:rsidP="0088379E">
      <w:pPr>
        <w:spacing w:line="360" w:lineRule="auto"/>
        <w:jc w:val="both"/>
        <w:rPr>
          <w:rFonts w:ascii="Cambria" w:hAnsi="Cambria"/>
          <w:b/>
          <w:bCs/>
          <w:sz w:val="20"/>
          <w:szCs w:val="20"/>
          <w:u w:val="single"/>
        </w:rPr>
      </w:pPr>
      <w:r w:rsidRPr="004A52EB">
        <w:rPr>
          <w:rFonts w:ascii="Cambria" w:hAnsi="Cambria"/>
          <w:b/>
          <w:bCs/>
          <w:sz w:val="20"/>
          <w:szCs w:val="20"/>
          <w:u w:val="single"/>
        </w:rPr>
        <w:t>Public Service Commission</w:t>
      </w:r>
    </w:p>
    <w:p w14:paraId="12E52FFB" w14:textId="77777777" w:rsidR="0088379E" w:rsidRPr="004A52EB" w:rsidRDefault="0088379E" w:rsidP="0088379E">
      <w:pPr>
        <w:pStyle w:val="NormalWeb"/>
        <w:spacing w:line="360" w:lineRule="auto"/>
        <w:jc w:val="both"/>
        <w:rPr>
          <w:rFonts w:ascii="Cambria" w:hAnsi="Cambria"/>
          <w:sz w:val="20"/>
          <w:szCs w:val="20"/>
        </w:rPr>
      </w:pPr>
      <w:r w:rsidRPr="004A52EB">
        <w:rPr>
          <w:rFonts w:ascii="Cambria" w:hAnsi="Cambria"/>
          <w:sz w:val="20"/>
          <w:szCs w:val="20"/>
        </w:rPr>
        <w:t>The 19</w:t>
      </w:r>
      <w:r w:rsidRPr="004A52EB">
        <w:rPr>
          <w:rFonts w:ascii="Cambria" w:hAnsi="Cambria"/>
          <w:sz w:val="20"/>
          <w:szCs w:val="20"/>
          <w:vertAlign w:val="superscript"/>
        </w:rPr>
        <w:t>th</w:t>
      </w:r>
      <w:r w:rsidRPr="004A52EB">
        <w:rPr>
          <w:rFonts w:ascii="Cambria" w:hAnsi="Cambria"/>
          <w:sz w:val="20"/>
          <w:szCs w:val="20"/>
        </w:rPr>
        <w:t xml:space="preserve"> Amendments to the Constitution introduced a progressive reform into the profile of the Public Service Commission (PSC). The amendment delegated the authority with regard to appointment, promotion, transfer, disciplinary control and dismissal from public service of all public officers, to the independent PSC subject to the provisions of the Constitution. The PSC consists of a Chairman and nine members appointed by the President on the recommendation of the Constitutional Council.</w:t>
      </w:r>
      <w:r w:rsidRPr="004A52EB">
        <w:rPr>
          <w:rStyle w:val="FootnoteReference"/>
          <w:rFonts w:ascii="Cambria" w:hAnsi="Cambria"/>
          <w:sz w:val="20"/>
          <w:szCs w:val="20"/>
        </w:rPr>
        <w:footnoteReference w:id="127"/>
      </w:r>
      <w:r w:rsidRPr="004A52EB">
        <w:rPr>
          <w:rFonts w:ascii="Cambria" w:hAnsi="Cambria"/>
          <w:sz w:val="20"/>
          <w:szCs w:val="20"/>
        </w:rPr>
        <w:t xml:space="preserve"> Of this number, not less than three members should be persons who have had over fifteen years experience as a public officer.</w:t>
      </w:r>
      <w:r w:rsidRPr="004A52EB">
        <w:rPr>
          <w:rStyle w:val="FootnoteReference"/>
          <w:rFonts w:ascii="Cambria" w:hAnsi="Cambria"/>
          <w:sz w:val="20"/>
          <w:szCs w:val="20"/>
        </w:rPr>
        <w:footnoteReference w:id="128"/>
      </w:r>
      <w:r w:rsidRPr="004A52EB">
        <w:rPr>
          <w:rFonts w:ascii="Cambria" w:hAnsi="Cambria"/>
          <w:sz w:val="20"/>
          <w:szCs w:val="20"/>
        </w:rPr>
        <w:t xml:space="preserve"> While the President is empowered to remove a member of the PSC, it can only be done with the approval of the Constitutional Council. The decisions of the Commission cannot be challenged or called into question in any Court of Law or Tribunal except in the Supreme Court (exercising its fundamental rights jurisdiction under Article 126), or in the Administrative Appeals Tribunal established by the Administrative Appeals Tribunal Act No. 4 of 2002.</w:t>
      </w:r>
      <w:r w:rsidRPr="004A52EB">
        <w:rPr>
          <w:rStyle w:val="FootnoteReference"/>
          <w:rFonts w:ascii="Cambria" w:hAnsi="Cambria"/>
          <w:sz w:val="20"/>
          <w:szCs w:val="20"/>
        </w:rPr>
        <w:footnoteReference w:id="129"/>
      </w:r>
      <w:r w:rsidRPr="004A52EB">
        <w:rPr>
          <w:rFonts w:ascii="Cambria" w:hAnsi="Cambria"/>
          <w:sz w:val="20"/>
          <w:szCs w:val="20"/>
        </w:rPr>
        <w:t xml:space="preserve"> </w:t>
      </w:r>
    </w:p>
    <w:p w14:paraId="7D6E6F32" w14:textId="77777777" w:rsidR="0088379E" w:rsidRPr="004A52EB" w:rsidRDefault="0088379E" w:rsidP="0088379E">
      <w:pPr>
        <w:pStyle w:val="NormalWeb"/>
        <w:spacing w:line="360" w:lineRule="auto"/>
        <w:jc w:val="both"/>
        <w:rPr>
          <w:rFonts w:ascii="Cambria" w:hAnsi="Cambria"/>
          <w:sz w:val="20"/>
          <w:szCs w:val="20"/>
        </w:rPr>
      </w:pPr>
      <w:r w:rsidRPr="004A52EB">
        <w:rPr>
          <w:rFonts w:ascii="Cambria" w:hAnsi="Cambria"/>
          <w:b/>
          <w:bCs/>
          <w:sz w:val="20"/>
          <w:szCs w:val="20"/>
          <w:u w:val="single"/>
        </w:rPr>
        <w:t>Legal Aid Commission</w:t>
      </w:r>
    </w:p>
    <w:p w14:paraId="10ACC827" w14:textId="77777777" w:rsidR="0088379E" w:rsidRPr="004A52EB" w:rsidRDefault="0088379E" w:rsidP="0088379E">
      <w:pPr>
        <w:pStyle w:val="NormalWeb"/>
        <w:spacing w:line="360" w:lineRule="auto"/>
        <w:jc w:val="both"/>
        <w:rPr>
          <w:rFonts w:ascii="Cambria" w:hAnsi="Cambria"/>
          <w:sz w:val="20"/>
          <w:szCs w:val="20"/>
        </w:rPr>
      </w:pPr>
      <w:r w:rsidRPr="004A52EB">
        <w:rPr>
          <w:rFonts w:ascii="Cambria" w:hAnsi="Cambria"/>
          <w:sz w:val="20"/>
          <w:szCs w:val="20"/>
        </w:rPr>
        <w:t>Legal aid was institutionalized in Sri Lanka in 1978, with the passage of the Legal Aid Act No.27 of 1978. The law resulted in the formation of the Legal Aid Commission (LAC). The objectives of LAC  is to operate an effective legal aid scheme by providing legal advice, funds to conduct legal and other proceedings for and on behalf of deserving persons, to obtain the services of Attorneys-at-Law to represent deserving persons, and to provide other necessary assistance to deserving persons.</w:t>
      </w:r>
      <w:r w:rsidRPr="004A52EB">
        <w:rPr>
          <w:rStyle w:val="FootnoteReference"/>
          <w:rFonts w:ascii="Cambria" w:hAnsi="Cambria"/>
          <w:sz w:val="20"/>
          <w:szCs w:val="20"/>
        </w:rPr>
        <w:footnoteReference w:id="130"/>
      </w:r>
      <w:r w:rsidRPr="004A52EB">
        <w:rPr>
          <w:rFonts w:ascii="Cambria" w:hAnsi="Cambria"/>
          <w:sz w:val="20"/>
          <w:szCs w:val="20"/>
        </w:rPr>
        <w:t xml:space="preserve"> </w:t>
      </w:r>
      <w:r w:rsidRPr="004A52EB">
        <w:rPr>
          <w:rFonts w:ascii="Cambria" w:hAnsi="Cambria"/>
          <w:sz w:val="20"/>
          <w:szCs w:val="20"/>
          <w:shd w:val="clear" w:color="auto" w:fill="FFFFFF"/>
        </w:rPr>
        <w:t xml:space="preserve">The power to </w:t>
      </w:r>
      <w:r w:rsidRPr="004A52EB">
        <w:rPr>
          <w:rFonts w:ascii="Cambria" w:hAnsi="Cambria"/>
          <w:sz w:val="20"/>
          <w:szCs w:val="20"/>
        </w:rPr>
        <w:t>determine the ‘matters or classes of matters in respect of which legal aid may be given’ is reposed with the LAC.</w:t>
      </w:r>
      <w:r w:rsidRPr="004A52EB">
        <w:rPr>
          <w:rStyle w:val="FootnoteReference"/>
          <w:rFonts w:ascii="Cambria" w:hAnsi="Cambria"/>
          <w:sz w:val="20"/>
          <w:szCs w:val="20"/>
        </w:rPr>
        <w:footnoteReference w:id="131"/>
      </w:r>
      <w:r w:rsidRPr="004A52EB">
        <w:rPr>
          <w:rFonts w:ascii="Cambria" w:hAnsi="Cambria"/>
          <w:sz w:val="20"/>
          <w:szCs w:val="20"/>
        </w:rPr>
        <w:t xml:space="preserve"> While the LAC’s main focus is legal aid, its mandate extends beyond the provision of legal aid services, covering such areas as legal awareness, training, and reform.</w:t>
      </w:r>
      <w:r w:rsidRPr="004A52EB">
        <w:rPr>
          <w:rStyle w:val="FootnoteReference"/>
          <w:rFonts w:ascii="Cambria" w:hAnsi="Cambria"/>
          <w:sz w:val="20"/>
          <w:szCs w:val="20"/>
        </w:rPr>
        <w:footnoteReference w:id="132"/>
      </w:r>
      <w:r w:rsidRPr="004A52EB">
        <w:rPr>
          <w:rFonts w:ascii="Cambria" w:hAnsi="Cambria"/>
          <w:sz w:val="20"/>
          <w:szCs w:val="20"/>
        </w:rPr>
        <w:t xml:space="preserve"> The LAC consists of nine members: three appointed by the Minister of Justice, and six nominated by the Bar Council of Sri Lanka from among its members. For the delivery of legal aid services, the LAC is empowered to establish regional or district committees or clinics. The LAC is primarily funded by the Ministry of Justice and Law Reforms and is governed by an independent Commission. </w:t>
      </w:r>
    </w:p>
    <w:p w14:paraId="4F8744BA" w14:textId="77777777" w:rsidR="0088379E" w:rsidRPr="004A52EB" w:rsidRDefault="0088379E" w:rsidP="0088379E">
      <w:pPr>
        <w:spacing w:line="360" w:lineRule="auto"/>
        <w:jc w:val="both"/>
        <w:rPr>
          <w:rFonts w:ascii="Cambria" w:hAnsi="Cambria"/>
          <w:b/>
          <w:bCs/>
          <w:sz w:val="20"/>
          <w:szCs w:val="20"/>
          <w:u w:val="single"/>
        </w:rPr>
      </w:pPr>
    </w:p>
    <w:p w14:paraId="13647521" w14:textId="77777777" w:rsidR="0088379E" w:rsidRPr="004A52EB" w:rsidRDefault="0088379E" w:rsidP="0088379E">
      <w:pPr>
        <w:spacing w:line="360" w:lineRule="auto"/>
        <w:jc w:val="both"/>
        <w:rPr>
          <w:rFonts w:ascii="Cambria" w:hAnsi="Cambria"/>
          <w:b/>
          <w:bCs/>
          <w:sz w:val="20"/>
          <w:szCs w:val="20"/>
          <w:u w:val="single"/>
        </w:rPr>
      </w:pPr>
      <w:r w:rsidRPr="004A52EB">
        <w:rPr>
          <w:rFonts w:ascii="Cambria" w:hAnsi="Cambria"/>
          <w:b/>
          <w:bCs/>
          <w:sz w:val="20"/>
          <w:szCs w:val="20"/>
          <w:u w:val="single"/>
        </w:rPr>
        <w:t xml:space="preserve">National Authority for the Protection of Victims and Witness </w:t>
      </w:r>
    </w:p>
    <w:p w14:paraId="0FEE3980" w14:textId="77777777" w:rsidR="0088379E" w:rsidRPr="004A52EB" w:rsidRDefault="0088379E" w:rsidP="0088379E">
      <w:pPr>
        <w:pStyle w:val="NormalWeb"/>
        <w:spacing w:line="360" w:lineRule="auto"/>
        <w:jc w:val="both"/>
        <w:rPr>
          <w:rFonts w:ascii="Cambria" w:hAnsi="Cambria"/>
          <w:sz w:val="20"/>
          <w:szCs w:val="20"/>
        </w:rPr>
      </w:pPr>
      <w:r w:rsidRPr="004A52EB">
        <w:rPr>
          <w:rFonts w:ascii="Cambria" w:hAnsi="Cambria"/>
          <w:sz w:val="20"/>
          <w:szCs w:val="20"/>
        </w:rPr>
        <w:t xml:space="preserve">The provision for victim and witness protection is fundamental to a Government committed towards a credible justice system especially in a context where the country has been mired in a prolonged ethnic conflict. The enactment of the Assistance to and Protection of Victims of Crime and Witnesses Act No. 04 in 2015 which provided, </w:t>
      </w:r>
      <w:r w:rsidRPr="004A52EB">
        <w:rPr>
          <w:rFonts w:ascii="Cambria" w:hAnsi="Cambria"/>
          <w:i/>
          <w:iCs/>
          <w:sz w:val="20"/>
          <w:szCs w:val="20"/>
        </w:rPr>
        <w:t>inter alia</w:t>
      </w:r>
      <w:r w:rsidRPr="004A52EB">
        <w:rPr>
          <w:rFonts w:ascii="Cambria" w:hAnsi="Cambria"/>
          <w:sz w:val="20"/>
          <w:szCs w:val="20"/>
        </w:rPr>
        <w:t>, for the establishment of a National Victim and Witness Protection Authority and a Board of Management, was therefore a welcome development in the sphere of rule of law in Sri Lanka.</w:t>
      </w:r>
      <w:r w:rsidRPr="004A52EB">
        <w:rPr>
          <w:rFonts w:ascii="Cambria" w:hAnsi="Cambria" w:cs="Arial"/>
          <w:sz w:val="20"/>
          <w:szCs w:val="20"/>
          <w:shd w:val="clear" w:color="auto" w:fill="FFFFFF"/>
        </w:rPr>
        <w:t> </w:t>
      </w:r>
      <w:r w:rsidRPr="004A52EB">
        <w:rPr>
          <w:rFonts w:ascii="Cambria" w:hAnsi="Cambria"/>
          <w:sz w:val="20"/>
          <w:szCs w:val="20"/>
        </w:rPr>
        <w:t>The objective of the Act was to set out, uphold, enforce and promote the rights and entitlements of victims and witnesses of crime</w:t>
      </w:r>
      <w:r w:rsidRPr="004A52EB">
        <w:rPr>
          <w:rStyle w:val="FootnoteReference"/>
          <w:rFonts w:ascii="Cambria" w:hAnsi="Cambria"/>
          <w:sz w:val="20"/>
          <w:szCs w:val="20"/>
        </w:rPr>
        <w:footnoteReference w:id="133"/>
      </w:r>
      <w:r w:rsidRPr="004A52EB">
        <w:rPr>
          <w:rFonts w:ascii="Cambria" w:hAnsi="Cambria"/>
          <w:sz w:val="20"/>
          <w:szCs w:val="20"/>
        </w:rPr>
        <w:t xml:space="preserve">, and to give effect to appropriate international norms, standards and best practices relating to the same. The Board of Management of the Authority </w:t>
      </w:r>
      <w:r w:rsidRPr="004A52EB">
        <w:rPr>
          <w:rFonts w:ascii="Cambria" w:hAnsi="Cambria" w:cs="Arial"/>
          <w:sz w:val="20"/>
          <w:szCs w:val="20"/>
          <w:shd w:val="clear" w:color="auto" w:fill="FFFFFF"/>
        </w:rPr>
        <w:t>consists of five members appointed by the President from among persons who are academically or professionally qualified and have experience in professions or fields of professional activity associated with criminology, the criminal justice system, the promotion and protection of human rights or medicine</w:t>
      </w:r>
      <w:r w:rsidRPr="004A52EB">
        <w:rPr>
          <w:rStyle w:val="FootnoteReference"/>
          <w:rFonts w:ascii="Cambria" w:hAnsi="Cambria" w:cs="Arial"/>
          <w:sz w:val="20"/>
          <w:szCs w:val="20"/>
          <w:shd w:val="clear" w:color="auto" w:fill="FFFFFF"/>
        </w:rPr>
        <w:footnoteReference w:id="134"/>
      </w:r>
      <w:r w:rsidRPr="004A52EB">
        <w:rPr>
          <w:rFonts w:ascii="Cambria" w:hAnsi="Cambria" w:cs="Arial"/>
          <w:sz w:val="20"/>
          <w:szCs w:val="20"/>
          <w:shd w:val="clear" w:color="auto" w:fill="FFFFFF"/>
        </w:rPr>
        <w:t xml:space="preserve"> and  seven other ex-officio members.</w:t>
      </w:r>
    </w:p>
    <w:p w14:paraId="19DCAB8A" w14:textId="77777777" w:rsidR="0088379E" w:rsidRPr="004A52EB" w:rsidRDefault="0088379E" w:rsidP="0088379E">
      <w:pPr>
        <w:spacing w:line="360" w:lineRule="auto"/>
        <w:jc w:val="both"/>
        <w:rPr>
          <w:rFonts w:ascii="Cambria" w:hAnsi="Cambria"/>
          <w:b/>
          <w:bCs/>
          <w:sz w:val="20"/>
          <w:szCs w:val="20"/>
          <w:u w:val="single"/>
        </w:rPr>
      </w:pPr>
      <w:r w:rsidRPr="004A52EB">
        <w:rPr>
          <w:rFonts w:ascii="Cambria" w:hAnsi="Cambria"/>
          <w:b/>
          <w:bCs/>
          <w:sz w:val="20"/>
          <w:szCs w:val="20"/>
          <w:u w:val="single"/>
        </w:rPr>
        <w:t xml:space="preserve">Office of Missing Persons </w:t>
      </w:r>
    </w:p>
    <w:p w14:paraId="41AD876D" w14:textId="77777777" w:rsidR="0088379E" w:rsidRPr="004A52EB" w:rsidRDefault="0088379E" w:rsidP="0088379E">
      <w:pPr>
        <w:pStyle w:val="NormalWeb"/>
        <w:shd w:val="clear" w:color="auto" w:fill="FFFFFF"/>
        <w:spacing w:line="360" w:lineRule="auto"/>
        <w:jc w:val="both"/>
        <w:rPr>
          <w:rFonts w:ascii="Cambria" w:hAnsi="Cambria"/>
          <w:sz w:val="20"/>
          <w:szCs w:val="20"/>
        </w:rPr>
      </w:pPr>
      <w:r w:rsidRPr="004A52EB">
        <w:rPr>
          <w:rFonts w:ascii="Cambria" w:hAnsi="Cambria"/>
          <w:sz w:val="20"/>
          <w:szCs w:val="20"/>
        </w:rPr>
        <w:t>By co-sponsoring the United Nations (UN) Human Rights Council 30/1 titled ‘Promoting Reconciliation, Accountability and Human Rights in Sri Lanka’ in October 2015, the Sri Lankan Government formally committed itself to embark on a transitional justice process in order to address the human rights issues which surfaced during and in the aftermath of the armed conflict. It is on this journey that Sri Lanka established and operationalized the Office of Missing Persons (OMP) under the Office on Missing Persons (Establishment, Administration and Discharge of Functions) Act No. 14 of 2016, with a view to advocating a humanitarian approach towards tracing the missing. The OMP has a broad mandate to receive complaints, to trace and search for the missing, make recommendations towards non-recurrence, ensure the protection of the rights of the missing, the disappeared and their relatives, and to identify proper avenues of redress.</w:t>
      </w:r>
      <w:r w:rsidRPr="004A52EB">
        <w:rPr>
          <w:rStyle w:val="FootnoteReference"/>
          <w:rFonts w:ascii="Cambria" w:hAnsi="Cambria"/>
          <w:sz w:val="20"/>
          <w:szCs w:val="20"/>
        </w:rPr>
        <w:footnoteReference w:id="135"/>
      </w:r>
      <w:r w:rsidRPr="004A52EB">
        <w:rPr>
          <w:rFonts w:ascii="Cambria" w:hAnsi="Cambria"/>
          <w:sz w:val="20"/>
          <w:szCs w:val="20"/>
        </w:rPr>
        <w:t xml:space="preserve"> The OMP Act defines missing persons as persons who went missing in the context of “the conflict which took place in the Northern and Eastern Provinces or its aftermath”,  “members of the armed forces or police who are identified as ‘missing in action’” and persons who went missing “in connection with political unrest or civil disturbances.”</w:t>
      </w:r>
      <w:r w:rsidRPr="004A52EB">
        <w:rPr>
          <w:rStyle w:val="FootnoteReference"/>
          <w:rFonts w:ascii="Cambria" w:hAnsi="Cambria"/>
          <w:sz w:val="20"/>
          <w:szCs w:val="20"/>
        </w:rPr>
        <w:footnoteReference w:id="136"/>
      </w:r>
      <w:r w:rsidRPr="004A52EB">
        <w:rPr>
          <w:rFonts w:ascii="Cambria" w:hAnsi="Cambria"/>
          <w:sz w:val="20"/>
          <w:szCs w:val="20"/>
        </w:rPr>
        <w:t xml:space="preserve"> The </w:t>
      </w:r>
      <w:r w:rsidRPr="004A52EB">
        <w:rPr>
          <w:rFonts w:ascii="Cambria" w:hAnsi="Cambria"/>
          <w:sz w:val="20"/>
          <w:szCs w:val="20"/>
        </w:rPr>
        <w:lastRenderedPageBreak/>
        <w:t>OMP’s mandate also covers enforced disappearances as defined in the International Convention for the Protection of All Persons from Enforced Disappearance (ICPPED).</w:t>
      </w:r>
      <w:r w:rsidRPr="004A52EB">
        <w:rPr>
          <w:rStyle w:val="FootnoteReference"/>
          <w:rFonts w:ascii="Cambria" w:hAnsi="Cambria"/>
          <w:sz w:val="20"/>
          <w:szCs w:val="20"/>
        </w:rPr>
        <w:footnoteReference w:id="137"/>
      </w:r>
      <w:r w:rsidRPr="004A52EB">
        <w:rPr>
          <w:rFonts w:ascii="Cambria" w:hAnsi="Cambria"/>
          <w:sz w:val="20"/>
          <w:szCs w:val="20"/>
        </w:rPr>
        <w:t xml:space="preserve"> </w:t>
      </w:r>
    </w:p>
    <w:p w14:paraId="39314693" w14:textId="77777777" w:rsidR="0088379E" w:rsidRPr="004A52EB" w:rsidRDefault="0088379E" w:rsidP="0088379E">
      <w:pPr>
        <w:pStyle w:val="NormalWeb"/>
        <w:spacing w:line="360" w:lineRule="auto"/>
        <w:jc w:val="both"/>
        <w:rPr>
          <w:rFonts w:ascii="Cambria" w:hAnsi="Cambria"/>
          <w:sz w:val="20"/>
          <w:szCs w:val="20"/>
        </w:rPr>
      </w:pPr>
      <w:r w:rsidRPr="004A52EB">
        <w:rPr>
          <w:rFonts w:ascii="Cambria" w:hAnsi="Cambria"/>
          <w:sz w:val="20"/>
          <w:szCs w:val="20"/>
        </w:rPr>
        <w:t>The OMP consists of seven members appointed by the President on the recommendations of the Constitutional Council.</w:t>
      </w:r>
      <w:r w:rsidRPr="004A52EB">
        <w:rPr>
          <w:rStyle w:val="FootnoteReference"/>
          <w:rFonts w:ascii="Cambria" w:hAnsi="Cambria"/>
          <w:sz w:val="20"/>
          <w:szCs w:val="20"/>
        </w:rPr>
        <w:footnoteReference w:id="138"/>
      </w:r>
      <w:r w:rsidRPr="004A52EB">
        <w:rPr>
          <w:rFonts w:ascii="Cambria" w:hAnsi="Cambria"/>
          <w:sz w:val="20"/>
          <w:szCs w:val="20"/>
        </w:rPr>
        <w:t xml:space="preserve"> Members should be persons with previous experience in fact finding or investigation, human rights law, international humanitarian law and humanitarian response. The OMP Act upholds constitutional best practice by mandating the Constitutional Council to make its recommendations in such manner that the composition of the OMP would reflect the pluralist nature of the Sri Lankan Society.</w:t>
      </w:r>
      <w:r w:rsidRPr="004A52EB">
        <w:rPr>
          <w:rStyle w:val="FootnoteReference"/>
          <w:rFonts w:ascii="Cambria" w:hAnsi="Cambria"/>
          <w:sz w:val="20"/>
          <w:szCs w:val="20"/>
        </w:rPr>
        <w:footnoteReference w:id="139"/>
      </w:r>
      <w:r w:rsidRPr="004A52EB">
        <w:rPr>
          <w:rFonts w:ascii="Cambria" w:hAnsi="Cambria"/>
          <w:sz w:val="20"/>
          <w:szCs w:val="20"/>
        </w:rPr>
        <w:t xml:space="preserve"> </w:t>
      </w:r>
    </w:p>
    <w:p w14:paraId="27BF211A" w14:textId="77777777" w:rsidR="0088379E" w:rsidRPr="004A52EB" w:rsidRDefault="0088379E" w:rsidP="0088379E">
      <w:pPr>
        <w:spacing w:line="360" w:lineRule="auto"/>
        <w:jc w:val="both"/>
        <w:outlineLvl w:val="0"/>
        <w:rPr>
          <w:rFonts w:ascii="Cambria" w:hAnsi="Cambria" w:cs="Arial"/>
          <w:b/>
          <w:bCs/>
          <w:kern w:val="36"/>
          <w:sz w:val="20"/>
          <w:szCs w:val="20"/>
          <w:u w:val="single"/>
        </w:rPr>
      </w:pPr>
      <w:r w:rsidRPr="004A52EB">
        <w:rPr>
          <w:rFonts w:ascii="Cambria" w:hAnsi="Cambria" w:cs="Arial"/>
          <w:b/>
          <w:bCs/>
          <w:kern w:val="36"/>
          <w:sz w:val="20"/>
          <w:szCs w:val="20"/>
          <w:u w:val="single"/>
        </w:rPr>
        <w:t>State Ministry of Women and Child Development, Pre-Schools &amp; Primary Education, School Infrastructure &amp; Education Services</w:t>
      </w:r>
    </w:p>
    <w:p w14:paraId="6A65A0A2" w14:textId="77777777" w:rsidR="0088379E" w:rsidRPr="004A52EB" w:rsidRDefault="0088379E" w:rsidP="0088379E">
      <w:pPr>
        <w:spacing w:line="360" w:lineRule="auto"/>
        <w:jc w:val="both"/>
        <w:rPr>
          <w:rFonts w:ascii="Cambria" w:hAnsi="Cambria"/>
          <w:sz w:val="20"/>
          <w:szCs w:val="20"/>
        </w:rPr>
      </w:pPr>
    </w:p>
    <w:p w14:paraId="57D05DE9" w14:textId="77777777" w:rsidR="0088379E" w:rsidRPr="004A52EB" w:rsidRDefault="0088379E" w:rsidP="0088379E">
      <w:pPr>
        <w:spacing w:line="360" w:lineRule="auto"/>
        <w:jc w:val="both"/>
        <w:rPr>
          <w:rFonts w:ascii="Cambria" w:hAnsi="Cambria"/>
          <w:sz w:val="20"/>
          <w:szCs w:val="20"/>
        </w:rPr>
      </w:pPr>
      <w:r w:rsidRPr="004A52EB">
        <w:rPr>
          <w:rFonts w:ascii="Cambria" w:hAnsi="Cambria"/>
          <w:sz w:val="20"/>
          <w:szCs w:val="20"/>
        </w:rPr>
        <w:t xml:space="preserve">The Ministry of Women and Child Affairs (MWCA) was established in September 2015 by </w:t>
      </w:r>
      <w:r w:rsidRPr="004A52EB">
        <w:rPr>
          <w:rFonts w:ascii="Cambria" w:hAnsi="Cambria" w:cs="Arial"/>
          <w:sz w:val="20"/>
          <w:szCs w:val="20"/>
          <w:shd w:val="clear" w:color="auto" w:fill="FFFFFF"/>
        </w:rPr>
        <w:t>Gazette Extraordinary No. 1933/13</w:t>
      </w:r>
      <w:r w:rsidRPr="004A52EB">
        <w:rPr>
          <w:rFonts w:ascii="Cambria" w:hAnsi="Cambria"/>
          <w:sz w:val="20"/>
          <w:szCs w:val="20"/>
        </w:rPr>
        <w:t xml:space="preserve"> with a view to providing </w:t>
      </w:r>
      <w:r w:rsidRPr="004A52EB">
        <w:rPr>
          <w:rFonts w:ascii="Cambria" w:hAnsi="Cambria" w:cs="Arial"/>
          <w:sz w:val="20"/>
          <w:szCs w:val="20"/>
          <w:shd w:val="clear" w:color="auto" w:fill="FFFFFF"/>
        </w:rPr>
        <w:t>legal, physical and institutional infrastructure for the empowerment of children, women, low income groups, elders and persons with disabilities including marginalized groups</w:t>
      </w:r>
      <w:r w:rsidRPr="004A52EB">
        <w:rPr>
          <w:rFonts w:ascii="Cambria" w:hAnsi="Cambria"/>
          <w:sz w:val="20"/>
          <w:szCs w:val="20"/>
        </w:rPr>
        <w:t xml:space="preserve">, and for creating a society that is sensitive to their needs. </w:t>
      </w:r>
    </w:p>
    <w:p w14:paraId="6FAFA588" w14:textId="77777777" w:rsidR="0088379E" w:rsidRPr="004A52EB" w:rsidRDefault="0088379E" w:rsidP="0088379E">
      <w:pPr>
        <w:spacing w:line="360" w:lineRule="auto"/>
        <w:jc w:val="both"/>
        <w:rPr>
          <w:rFonts w:ascii="Cambria" w:hAnsi="Cambria" w:cs="Arial"/>
          <w:sz w:val="20"/>
          <w:szCs w:val="20"/>
          <w:shd w:val="clear" w:color="auto" w:fill="FFFFFF"/>
        </w:rPr>
      </w:pPr>
      <w:r w:rsidRPr="004A52EB">
        <w:rPr>
          <w:rFonts w:ascii="Cambria" w:hAnsi="Cambria" w:cs="Arial"/>
          <w:sz w:val="20"/>
          <w:szCs w:val="20"/>
          <w:shd w:val="clear" w:color="auto" w:fill="FFFFFF"/>
        </w:rPr>
        <w:t>The MWCA which had hitherto been a Cabinet Ministerial Portfolio, was merged with the Ministry of Education along with pre-schools and primary education, school infrastructure and education services and relegated to a State Ministerial Portfolio by the new government by Gazette Extraordinary No.2194/74.</w:t>
      </w:r>
    </w:p>
    <w:p w14:paraId="406E5635" w14:textId="77777777" w:rsidR="0088379E" w:rsidRPr="004A52EB" w:rsidRDefault="0088379E" w:rsidP="0088379E">
      <w:pPr>
        <w:spacing w:line="360" w:lineRule="auto"/>
        <w:jc w:val="both"/>
        <w:rPr>
          <w:rFonts w:ascii="Cambria" w:hAnsi="Cambria" w:cs="Arial"/>
          <w:sz w:val="20"/>
          <w:szCs w:val="20"/>
          <w:shd w:val="clear" w:color="auto" w:fill="FFFFFF"/>
        </w:rPr>
      </w:pPr>
      <w:r w:rsidRPr="004A52EB">
        <w:rPr>
          <w:rFonts w:ascii="Cambria" w:hAnsi="Cambria" w:cs="Arial"/>
          <w:sz w:val="20"/>
          <w:szCs w:val="20"/>
          <w:shd w:val="clear" w:color="auto" w:fill="FFFFFF"/>
        </w:rPr>
        <w:t>While the relevant Gazette notification has listed fourteen priority areas which are under the remit of the new State Ministry, only four are women and children specific. i.e.</w:t>
      </w:r>
    </w:p>
    <w:p w14:paraId="63EDF636" w14:textId="77777777" w:rsidR="0088379E" w:rsidRPr="004A52EB" w:rsidRDefault="0088379E" w:rsidP="00081358">
      <w:pPr>
        <w:pStyle w:val="NormalWeb"/>
        <w:numPr>
          <w:ilvl w:val="0"/>
          <w:numId w:val="81"/>
        </w:numPr>
        <w:spacing w:line="360" w:lineRule="auto"/>
        <w:jc w:val="both"/>
        <w:rPr>
          <w:rFonts w:ascii="Cambria" w:hAnsi="Cambria"/>
          <w:sz w:val="20"/>
          <w:szCs w:val="20"/>
        </w:rPr>
      </w:pPr>
      <w:r w:rsidRPr="004A52EB">
        <w:rPr>
          <w:rFonts w:ascii="Cambria" w:hAnsi="Cambria"/>
          <w:sz w:val="20"/>
          <w:szCs w:val="20"/>
        </w:rPr>
        <w:t xml:space="preserve">Implementing a programme to ensure the security of women </w:t>
      </w:r>
    </w:p>
    <w:p w14:paraId="3B0B4FFB" w14:textId="77777777" w:rsidR="0088379E" w:rsidRPr="004A52EB" w:rsidRDefault="0088379E" w:rsidP="00081358">
      <w:pPr>
        <w:pStyle w:val="NormalWeb"/>
        <w:numPr>
          <w:ilvl w:val="0"/>
          <w:numId w:val="81"/>
        </w:numPr>
        <w:spacing w:line="360" w:lineRule="auto"/>
        <w:jc w:val="both"/>
        <w:rPr>
          <w:rFonts w:ascii="Cambria" w:hAnsi="Cambria"/>
          <w:sz w:val="20"/>
          <w:szCs w:val="20"/>
        </w:rPr>
      </w:pPr>
      <w:r w:rsidRPr="004A52EB">
        <w:rPr>
          <w:rFonts w:ascii="Cambria" w:hAnsi="Cambria"/>
          <w:sz w:val="20"/>
          <w:szCs w:val="20"/>
        </w:rPr>
        <w:t xml:space="preserve">Providing relief to rural women affected by unregulated micro finance schemes </w:t>
      </w:r>
    </w:p>
    <w:p w14:paraId="3C082C45" w14:textId="77777777" w:rsidR="0088379E" w:rsidRPr="004A52EB" w:rsidRDefault="0088379E" w:rsidP="00081358">
      <w:pPr>
        <w:pStyle w:val="NormalWeb"/>
        <w:numPr>
          <w:ilvl w:val="0"/>
          <w:numId w:val="81"/>
        </w:numPr>
        <w:spacing w:line="360" w:lineRule="auto"/>
        <w:jc w:val="both"/>
        <w:rPr>
          <w:rFonts w:ascii="Cambria" w:hAnsi="Cambria"/>
          <w:sz w:val="20"/>
          <w:szCs w:val="20"/>
        </w:rPr>
      </w:pPr>
      <w:r w:rsidRPr="004A52EB">
        <w:rPr>
          <w:rFonts w:ascii="Cambria" w:hAnsi="Cambria"/>
          <w:sz w:val="20"/>
          <w:szCs w:val="20"/>
        </w:rPr>
        <w:t xml:space="preserve">Implementing permanent programme to provide protection and minimize adversities to persons subject to regular vulnerabilities, especially women and children </w:t>
      </w:r>
    </w:p>
    <w:p w14:paraId="209735F9" w14:textId="77777777" w:rsidR="0088379E" w:rsidRPr="004A52EB" w:rsidRDefault="0088379E" w:rsidP="00081358">
      <w:pPr>
        <w:pStyle w:val="NormalWeb"/>
        <w:numPr>
          <w:ilvl w:val="0"/>
          <w:numId w:val="81"/>
        </w:numPr>
        <w:spacing w:line="360" w:lineRule="auto"/>
        <w:jc w:val="both"/>
        <w:rPr>
          <w:rFonts w:ascii="Cambria" w:hAnsi="Cambria"/>
          <w:sz w:val="20"/>
          <w:szCs w:val="20"/>
        </w:rPr>
      </w:pPr>
      <w:r w:rsidRPr="004A52EB">
        <w:rPr>
          <w:rFonts w:ascii="Cambria" w:hAnsi="Cambria"/>
          <w:sz w:val="20"/>
          <w:szCs w:val="20"/>
        </w:rPr>
        <w:t xml:space="preserve">Establishing a methodology to provide women with the necessary knowledge, skills and time to give birth to a healthy child, to look after their children with motherly care and to guide their children </w:t>
      </w:r>
      <w:r w:rsidRPr="004A52EB">
        <w:rPr>
          <w:rFonts w:ascii="Cambria" w:hAnsi="Cambria" w:cs="Arial"/>
          <w:sz w:val="20"/>
          <w:szCs w:val="20"/>
          <w:shd w:val="clear" w:color="auto" w:fill="FFFFFF"/>
        </w:rPr>
        <w:t>.</w:t>
      </w:r>
      <w:r w:rsidRPr="004A52EB">
        <w:rPr>
          <w:rStyle w:val="FootnoteReference"/>
          <w:rFonts w:ascii="Cambria" w:hAnsi="Cambria" w:cs="Arial"/>
          <w:sz w:val="20"/>
          <w:szCs w:val="20"/>
          <w:shd w:val="clear" w:color="auto" w:fill="FFFFFF"/>
        </w:rPr>
        <w:footnoteReference w:id="140"/>
      </w:r>
      <w:r w:rsidRPr="004A52EB">
        <w:rPr>
          <w:rFonts w:ascii="Cambria" w:hAnsi="Cambria" w:cs="Arial"/>
          <w:sz w:val="20"/>
          <w:szCs w:val="20"/>
          <w:shd w:val="clear" w:color="auto" w:fill="FFFFFF"/>
        </w:rPr>
        <w:t xml:space="preserve">   </w:t>
      </w:r>
    </w:p>
    <w:p w14:paraId="63FE624E" w14:textId="77777777" w:rsidR="0088379E" w:rsidRPr="004A52EB" w:rsidRDefault="0088379E" w:rsidP="0088379E">
      <w:pPr>
        <w:spacing w:line="360" w:lineRule="auto"/>
        <w:jc w:val="both"/>
        <w:rPr>
          <w:rFonts w:ascii="Cambria" w:hAnsi="Cambria" w:cs="Arial"/>
          <w:sz w:val="20"/>
          <w:szCs w:val="20"/>
          <w:shd w:val="clear" w:color="auto" w:fill="FFFFFF"/>
        </w:rPr>
      </w:pPr>
      <w:r w:rsidRPr="004A52EB">
        <w:rPr>
          <w:rFonts w:ascii="Cambria" w:hAnsi="Cambria" w:cs="Arial"/>
          <w:sz w:val="20"/>
          <w:szCs w:val="20"/>
          <w:shd w:val="clear" w:color="auto" w:fill="FFFFFF"/>
        </w:rPr>
        <w:lastRenderedPageBreak/>
        <w:t xml:space="preserve">The inevitable consequence of abolishing the Cabinet Ministry would be the restriction of funding and other resources, thereby creating logistical problems and trivializing the long-standing issues pertaining to the welfare of women and children. </w:t>
      </w:r>
    </w:p>
    <w:p w14:paraId="310E23CD" w14:textId="77777777" w:rsidR="0088379E" w:rsidRPr="004A52EB" w:rsidRDefault="0088379E" w:rsidP="0088379E">
      <w:pPr>
        <w:spacing w:line="360" w:lineRule="auto"/>
        <w:jc w:val="both"/>
        <w:rPr>
          <w:rFonts w:ascii="Cambria" w:hAnsi="Cambria"/>
          <w:sz w:val="20"/>
          <w:szCs w:val="20"/>
        </w:rPr>
      </w:pPr>
      <w:r w:rsidRPr="004A52EB">
        <w:rPr>
          <w:rFonts w:ascii="Cambria" w:hAnsi="Cambria" w:cs="Arial"/>
          <w:sz w:val="20"/>
          <w:szCs w:val="20"/>
          <w:shd w:val="clear" w:color="auto" w:fill="FFFFFF"/>
        </w:rPr>
        <w:t>Sri Lanka Women’s Bureau, National Committee on Women, Department of Probation and Child Care Services, National Child Protection Authority and the Children’s Secretariat are</w:t>
      </w:r>
      <w:r w:rsidRPr="004A52EB">
        <w:rPr>
          <w:rFonts w:ascii="Cambria" w:hAnsi="Cambria"/>
          <w:sz w:val="20"/>
          <w:szCs w:val="20"/>
        </w:rPr>
        <w:t xml:space="preserve"> the departments and statutory institutions which come under the purview of the MWCA.</w:t>
      </w:r>
      <w:r w:rsidRPr="004A52EB">
        <w:rPr>
          <w:rStyle w:val="FootnoteReference"/>
          <w:rFonts w:ascii="Cambria" w:hAnsi="Cambria"/>
          <w:sz w:val="20"/>
          <w:szCs w:val="20"/>
        </w:rPr>
        <w:footnoteReference w:id="141"/>
      </w:r>
      <w:r w:rsidRPr="004A52EB">
        <w:rPr>
          <w:rFonts w:ascii="Cambria" w:hAnsi="Cambria"/>
          <w:sz w:val="20"/>
          <w:szCs w:val="20"/>
        </w:rPr>
        <w:t xml:space="preserve"> The key responsibilities of the MWCA include, f</w:t>
      </w:r>
      <w:r w:rsidRPr="004A52EB">
        <w:rPr>
          <w:rFonts w:ascii="Cambria" w:hAnsi="Cambria" w:cs="Arial"/>
          <w:sz w:val="20"/>
          <w:szCs w:val="20"/>
          <w:shd w:val="clear" w:color="auto" w:fill="FFFFFF"/>
        </w:rPr>
        <w:t>ormulation, monitoring, implementation and evaluation of policies and projects pertaining to,</w:t>
      </w:r>
      <w:r w:rsidRPr="004A52EB">
        <w:rPr>
          <w:rFonts w:ascii="Cambria" w:hAnsi="Cambria" w:cs="Arial"/>
          <w:sz w:val="20"/>
          <w:szCs w:val="20"/>
        </w:rPr>
        <w:t xml:space="preserve"> advancement of women’s quality of life, women’s participation and representation in the sphere of decision making in public affairs and politics, empowerment of women affected by conflict and poverty, </w:t>
      </w:r>
      <w:r w:rsidRPr="004A52EB">
        <w:rPr>
          <w:rFonts w:ascii="Cambria" w:hAnsi="Cambria"/>
          <w:sz w:val="20"/>
          <w:szCs w:val="20"/>
          <w:shd w:val="clear" w:color="auto" w:fill="FFFFFF"/>
        </w:rPr>
        <w:t>prevention of women and child abuse</w:t>
      </w:r>
      <w:r w:rsidRPr="004A52EB">
        <w:rPr>
          <w:rFonts w:ascii="Cambria" w:hAnsi="Cambria"/>
          <w:sz w:val="20"/>
          <w:szCs w:val="20"/>
        </w:rPr>
        <w:t xml:space="preserve">, </w:t>
      </w:r>
      <w:r w:rsidRPr="004A52EB">
        <w:rPr>
          <w:rFonts w:ascii="Cambria" w:hAnsi="Cambria"/>
          <w:sz w:val="20"/>
          <w:szCs w:val="20"/>
          <w:shd w:val="clear" w:color="auto" w:fill="FFFFFF"/>
        </w:rPr>
        <w:t>empowerment of female-headed households, accomplishment of Millennium Development Goals, early childhood care and development, and the implementation of the Women’s Charter.</w:t>
      </w:r>
      <w:r w:rsidRPr="004A52EB">
        <w:rPr>
          <w:rStyle w:val="FootnoteReference"/>
          <w:rFonts w:ascii="Cambria" w:hAnsi="Cambria"/>
          <w:sz w:val="20"/>
          <w:szCs w:val="20"/>
          <w:shd w:val="clear" w:color="auto" w:fill="FFFFFF"/>
        </w:rPr>
        <w:footnoteReference w:id="142"/>
      </w:r>
      <w:r w:rsidRPr="004A52EB">
        <w:rPr>
          <w:rFonts w:ascii="Cambria" w:hAnsi="Cambria"/>
          <w:sz w:val="20"/>
          <w:szCs w:val="20"/>
          <w:shd w:val="clear" w:color="auto" w:fill="FFFFFF"/>
        </w:rPr>
        <w:t xml:space="preserve">  </w:t>
      </w:r>
    </w:p>
    <w:p w14:paraId="068044AC" w14:textId="77777777" w:rsidR="0088379E" w:rsidRPr="004A52EB" w:rsidRDefault="0088379E" w:rsidP="0088379E">
      <w:pPr>
        <w:spacing w:line="360" w:lineRule="auto"/>
        <w:jc w:val="both"/>
        <w:rPr>
          <w:rFonts w:ascii="Cambria" w:hAnsi="Cambria"/>
          <w:b/>
          <w:bCs/>
          <w:sz w:val="20"/>
          <w:szCs w:val="20"/>
          <w:u w:val="single"/>
        </w:rPr>
      </w:pPr>
    </w:p>
    <w:p w14:paraId="01D71BC2" w14:textId="77777777" w:rsidR="0088379E" w:rsidRPr="004A52EB" w:rsidRDefault="0088379E" w:rsidP="0088379E">
      <w:pPr>
        <w:spacing w:line="360" w:lineRule="auto"/>
        <w:jc w:val="both"/>
        <w:rPr>
          <w:rFonts w:ascii="Cambria" w:hAnsi="Cambria"/>
          <w:b/>
          <w:bCs/>
          <w:sz w:val="20"/>
          <w:szCs w:val="20"/>
          <w:u w:val="single"/>
        </w:rPr>
      </w:pPr>
      <w:r w:rsidRPr="004A52EB">
        <w:rPr>
          <w:rFonts w:ascii="Cambria" w:hAnsi="Cambria"/>
          <w:b/>
          <w:bCs/>
          <w:sz w:val="20"/>
          <w:szCs w:val="20"/>
          <w:u w:val="single"/>
        </w:rPr>
        <w:t>Ministry of Justice and Prison Reforms</w:t>
      </w:r>
    </w:p>
    <w:p w14:paraId="34508777" w14:textId="77777777" w:rsidR="0088379E" w:rsidRPr="004A52EB" w:rsidRDefault="0088379E" w:rsidP="0088379E">
      <w:pPr>
        <w:pStyle w:val="NormalWeb"/>
        <w:shd w:val="clear" w:color="auto" w:fill="FFFFFF"/>
        <w:spacing w:line="360" w:lineRule="auto"/>
        <w:jc w:val="both"/>
        <w:rPr>
          <w:rFonts w:ascii="Cambria" w:hAnsi="Cambria"/>
          <w:sz w:val="20"/>
          <w:szCs w:val="20"/>
        </w:rPr>
      </w:pPr>
      <w:r w:rsidRPr="004A52EB">
        <w:rPr>
          <w:rFonts w:ascii="Cambria" w:hAnsi="Cambria"/>
          <w:sz w:val="20"/>
          <w:szCs w:val="20"/>
        </w:rPr>
        <w:t>The Ministry of Justice and Prison Reforms is a key Cabinet Ministry entrusted with the efficient functioning of the justice system, introduction of law reforms in keeping with global advancements and the aspirations of the people, and the administration of prisons.</w:t>
      </w:r>
      <w:r w:rsidRPr="004A52EB">
        <w:rPr>
          <w:rStyle w:val="FootnoteReference"/>
          <w:rFonts w:ascii="Cambria" w:hAnsi="Cambria"/>
          <w:sz w:val="20"/>
          <w:szCs w:val="20"/>
        </w:rPr>
        <w:footnoteReference w:id="143"/>
      </w:r>
      <w:r w:rsidRPr="004A52EB">
        <w:rPr>
          <w:rFonts w:ascii="Cambria" w:hAnsi="Cambria"/>
          <w:sz w:val="20"/>
          <w:szCs w:val="20"/>
        </w:rPr>
        <w:t xml:space="preserve"> To this end, the MOJ formulates and implements various policies, plans and programmes throughout the year. The MOJ also undertakes criminal prosecutions and civil proceedings on behalf of the government, tenders legal advice to the government and to all governmental departments, drafts legislation, makes recommendations to grant pardons, commutations, remissions, respites and suspensions in relation to sentences passed on any offender, prepares legal glossaries, documents and consolidates law, and publishes law reports.</w:t>
      </w:r>
      <w:r w:rsidRPr="004A52EB">
        <w:rPr>
          <w:rStyle w:val="FootnoteReference"/>
          <w:rFonts w:ascii="Cambria" w:hAnsi="Cambria"/>
          <w:sz w:val="20"/>
          <w:szCs w:val="20"/>
        </w:rPr>
        <w:footnoteReference w:id="144"/>
      </w:r>
      <w:r w:rsidRPr="004A52EB">
        <w:rPr>
          <w:rFonts w:ascii="Cambria" w:hAnsi="Cambria"/>
          <w:sz w:val="20"/>
          <w:szCs w:val="20"/>
        </w:rPr>
        <w:t xml:space="preserve"> </w:t>
      </w:r>
    </w:p>
    <w:p w14:paraId="1069BD99" w14:textId="77777777" w:rsidR="0088379E" w:rsidRPr="004A52EB" w:rsidRDefault="0088379E" w:rsidP="0088379E">
      <w:pPr>
        <w:pStyle w:val="NormalWeb"/>
        <w:spacing w:line="360" w:lineRule="auto"/>
        <w:jc w:val="both"/>
        <w:rPr>
          <w:rFonts w:ascii="Cambria" w:hAnsi="Cambria"/>
          <w:sz w:val="20"/>
          <w:szCs w:val="20"/>
        </w:rPr>
      </w:pPr>
      <w:r w:rsidRPr="004A52EB">
        <w:rPr>
          <w:rFonts w:ascii="Cambria" w:hAnsi="Cambria"/>
          <w:sz w:val="20"/>
          <w:szCs w:val="20"/>
        </w:rPr>
        <w:t xml:space="preserve">The departments which come under the purview of the MOJ are, the Attorney General’s Department, the Department of Law Commission, Registry of the Supreme Court, Department of Community Based Corrections, Department of Prisons, Legal Draftsman’s Department, Department of Public Trustee, Department of Debt Conciliation Board and the Government Analyst Department. The institutions which come under the purview of the MOJ are, the Legal Aid Commission, Superior Courts Complex Board of Management, International </w:t>
      </w:r>
      <w:r w:rsidRPr="004A52EB">
        <w:rPr>
          <w:rFonts w:ascii="Cambria" w:hAnsi="Cambria"/>
          <w:sz w:val="20"/>
          <w:szCs w:val="20"/>
        </w:rPr>
        <w:lastRenderedPageBreak/>
        <w:t>Arbitration Centre (Guarantee) Ltd., Mediation Boards Commission, Sri Lanka Judges Institute, Training Institute for Non-Judicial Officers, Commercial Mediation Centre of Sri Lanka, National Authority for the Protection of Victims and Witnesses of Crime, Quazi Courts, Quazi Board of Appeal and the Office of the Secretary Labour Tribunals.</w:t>
      </w:r>
      <w:r w:rsidRPr="004A52EB">
        <w:rPr>
          <w:rStyle w:val="FootnoteReference"/>
          <w:rFonts w:ascii="Cambria" w:hAnsi="Cambria"/>
          <w:sz w:val="20"/>
          <w:szCs w:val="20"/>
        </w:rPr>
        <w:footnoteReference w:id="145"/>
      </w:r>
    </w:p>
    <w:p w14:paraId="439B4723" w14:textId="77777777" w:rsidR="0088379E" w:rsidRPr="004A52EB" w:rsidRDefault="0088379E" w:rsidP="0088379E">
      <w:pPr>
        <w:rPr>
          <w:rFonts w:ascii="Cambria" w:hAnsi="Cambria"/>
          <w:sz w:val="20"/>
          <w:szCs w:val="20"/>
        </w:rPr>
      </w:pPr>
    </w:p>
    <w:p w14:paraId="55217133" w14:textId="20805061" w:rsidR="005611DA" w:rsidRPr="005611DA" w:rsidRDefault="005611DA" w:rsidP="0088379E">
      <w:pPr>
        <w:pStyle w:val="Default"/>
        <w:rPr>
          <w:rFonts w:ascii="Cambria" w:hAnsi="Cambria" w:cs="Calibri Light"/>
          <w:b/>
          <w:bCs/>
          <w:sz w:val="20"/>
          <w:szCs w:val="20"/>
        </w:rPr>
      </w:pPr>
    </w:p>
    <w:p w14:paraId="54FD6F27" w14:textId="199E11BF" w:rsidR="005611DA" w:rsidRDefault="005611DA" w:rsidP="00630D6B">
      <w:pPr>
        <w:pStyle w:val="Default"/>
        <w:rPr>
          <w:rFonts w:ascii="Cambria" w:hAnsi="Cambria" w:cs="Calibri Light"/>
          <w:b/>
          <w:bCs/>
          <w:sz w:val="28"/>
          <w:szCs w:val="28"/>
        </w:rPr>
      </w:pPr>
    </w:p>
    <w:p w14:paraId="601B9969" w14:textId="1DD946DC" w:rsidR="005611DA" w:rsidRDefault="005611DA" w:rsidP="00630D6B">
      <w:pPr>
        <w:pStyle w:val="Default"/>
        <w:rPr>
          <w:rFonts w:ascii="Cambria" w:hAnsi="Cambria" w:cs="Calibri Light"/>
          <w:b/>
          <w:bCs/>
          <w:sz w:val="28"/>
          <w:szCs w:val="28"/>
        </w:rPr>
      </w:pPr>
    </w:p>
    <w:p w14:paraId="3380271C" w14:textId="5669380F" w:rsidR="005611DA" w:rsidRDefault="005611DA" w:rsidP="00630D6B">
      <w:pPr>
        <w:pStyle w:val="Default"/>
        <w:rPr>
          <w:rFonts w:ascii="Cambria" w:hAnsi="Cambria" w:cs="Calibri Light"/>
          <w:b/>
          <w:bCs/>
          <w:sz w:val="28"/>
          <w:szCs w:val="28"/>
        </w:rPr>
      </w:pPr>
    </w:p>
    <w:p w14:paraId="1D987DF4" w14:textId="7E24BFB2" w:rsidR="005611DA" w:rsidRDefault="005611DA" w:rsidP="00630D6B">
      <w:pPr>
        <w:pStyle w:val="Default"/>
        <w:rPr>
          <w:rFonts w:ascii="Cambria" w:hAnsi="Cambria" w:cs="Calibri Light"/>
          <w:b/>
          <w:bCs/>
          <w:sz w:val="28"/>
          <w:szCs w:val="28"/>
        </w:rPr>
      </w:pPr>
    </w:p>
    <w:p w14:paraId="62DB097F" w14:textId="08083477" w:rsidR="005611DA" w:rsidRDefault="005611DA" w:rsidP="00630D6B">
      <w:pPr>
        <w:pStyle w:val="Default"/>
        <w:rPr>
          <w:rFonts w:ascii="Cambria" w:hAnsi="Cambria" w:cs="Calibri Light"/>
          <w:b/>
          <w:bCs/>
          <w:sz w:val="28"/>
          <w:szCs w:val="28"/>
        </w:rPr>
      </w:pPr>
    </w:p>
    <w:p w14:paraId="3DD17F37" w14:textId="290A2D7C" w:rsidR="005611DA" w:rsidRDefault="005611DA" w:rsidP="00630D6B">
      <w:pPr>
        <w:pStyle w:val="Default"/>
        <w:rPr>
          <w:rFonts w:ascii="Cambria" w:hAnsi="Cambria" w:cs="Calibri Light"/>
          <w:b/>
          <w:bCs/>
          <w:sz w:val="28"/>
          <w:szCs w:val="28"/>
        </w:rPr>
      </w:pPr>
    </w:p>
    <w:p w14:paraId="067FB2FC" w14:textId="6C022537" w:rsidR="005611DA" w:rsidRDefault="005611DA" w:rsidP="00630D6B">
      <w:pPr>
        <w:pStyle w:val="Default"/>
        <w:rPr>
          <w:rFonts w:ascii="Cambria" w:hAnsi="Cambria" w:cs="Calibri Light"/>
          <w:b/>
          <w:bCs/>
          <w:sz w:val="28"/>
          <w:szCs w:val="28"/>
        </w:rPr>
      </w:pPr>
    </w:p>
    <w:p w14:paraId="295AAD9C" w14:textId="16C3129D" w:rsidR="005611DA" w:rsidRDefault="005611DA" w:rsidP="00630D6B">
      <w:pPr>
        <w:pStyle w:val="Default"/>
        <w:rPr>
          <w:rFonts w:ascii="Cambria" w:hAnsi="Cambria" w:cs="Calibri Light"/>
          <w:b/>
          <w:bCs/>
          <w:sz w:val="28"/>
          <w:szCs w:val="28"/>
        </w:rPr>
      </w:pPr>
    </w:p>
    <w:p w14:paraId="54ADDBD0" w14:textId="2CD69F0B" w:rsidR="005611DA" w:rsidRDefault="005611DA" w:rsidP="00630D6B">
      <w:pPr>
        <w:pStyle w:val="Default"/>
        <w:rPr>
          <w:rFonts w:ascii="Cambria" w:hAnsi="Cambria" w:cs="Calibri Light"/>
          <w:b/>
          <w:bCs/>
          <w:sz w:val="28"/>
          <w:szCs w:val="28"/>
        </w:rPr>
      </w:pPr>
    </w:p>
    <w:p w14:paraId="40A032BA" w14:textId="5CC6D938" w:rsidR="005611DA" w:rsidRDefault="005611DA" w:rsidP="00630D6B">
      <w:pPr>
        <w:pStyle w:val="Default"/>
        <w:rPr>
          <w:rFonts w:ascii="Cambria" w:hAnsi="Cambria" w:cs="Calibri Light"/>
          <w:b/>
          <w:bCs/>
          <w:sz w:val="28"/>
          <w:szCs w:val="28"/>
        </w:rPr>
      </w:pPr>
    </w:p>
    <w:p w14:paraId="53881667" w14:textId="26D05E30" w:rsidR="005611DA" w:rsidRDefault="005611DA" w:rsidP="00630D6B">
      <w:pPr>
        <w:pStyle w:val="Default"/>
        <w:rPr>
          <w:rFonts w:ascii="Cambria" w:hAnsi="Cambria" w:cs="Calibri Light"/>
          <w:b/>
          <w:bCs/>
          <w:sz w:val="28"/>
          <w:szCs w:val="28"/>
        </w:rPr>
      </w:pPr>
    </w:p>
    <w:p w14:paraId="22BA1914" w14:textId="5860CC3C" w:rsidR="005611DA" w:rsidRDefault="005611DA" w:rsidP="00630D6B">
      <w:pPr>
        <w:pStyle w:val="Default"/>
        <w:rPr>
          <w:rFonts w:ascii="Cambria" w:hAnsi="Cambria" w:cs="Calibri Light"/>
          <w:b/>
          <w:bCs/>
          <w:sz w:val="28"/>
          <w:szCs w:val="28"/>
        </w:rPr>
      </w:pPr>
    </w:p>
    <w:p w14:paraId="14880DF0" w14:textId="428B787E" w:rsidR="005611DA" w:rsidRDefault="005611DA" w:rsidP="00630D6B">
      <w:pPr>
        <w:pStyle w:val="Default"/>
        <w:rPr>
          <w:rFonts w:ascii="Cambria" w:hAnsi="Cambria" w:cs="Calibri Light"/>
          <w:b/>
          <w:bCs/>
          <w:sz w:val="28"/>
          <w:szCs w:val="28"/>
        </w:rPr>
      </w:pPr>
    </w:p>
    <w:p w14:paraId="7B9A5E79" w14:textId="6C274CF4" w:rsidR="005611DA" w:rsidRDefault="005611DA" w:rsidP="00630D6B">
      <w:pPr>
        <w:pStyle w:val="Default"/>
        <w:rPr>
          <w:rFonts w:ascii="Cambria" w:hAnsi="Cambria" w:cs="Calibri Light"/>
          <w:b/>
          <w:bCs/>
          <w:sz w:val="28"/>
          <w:szCs w:val="28"/>
        </w:rPr>
      </w:pPr>
    </w:p>
    <w:p w14:paraId="3AC0165D" w14:textId="7626D303" w:rsidR="005611DA" w:rsidRDefault="005611DA" w:rsidP="00630D6B">
      <w:pPr>
        <w:pStyle w:val="Default"/>
        <w:rPr>
          <w:rFonts w:ascii="Cambria" w:hAnsi="Cambria" w:cs="Calibri Light"/>
          <w:b/>
          <w:bCs/>
          <w:sz w:val="28"/>
          <w:szCs w:val="28"/>
        </w:rPr>
      </w:pPr>
    </w:p>
    <w:p w14:paraId="4A7A0324" w14:textId="7BDCFA1E" w:rsidR="005611DA" w:rsidRDefault="005611DA" w:rsidP="00630D6B">
      <w:pPr>
        <w:pStyle w:val="Default"/>
        <w:rPr>
          <w:rFonts w:ascii="Cambria" w:hAnsi="Cambria" w:cs="Calibri Light"/>
          <w:b/>
          <w:bCs/>
          <w:sz w:val="28"/>
          <w:szCs w:val="28"/>
        </w:rPr>
      </w:pPr>
    </w:p>
    <w:p w14:paraId="67743B72" w14:textId="711969A4" w:rsidR="00943E85" w:rsidRDefault="00943E85" w:rsidP="00630D6B">
      <w:pPr>
        <w:pStyle w:val="Default"/>
        <w:rPr>
          <w:rFonts w:ascii="Cambria" w:hAnsi="Cambria" w:cs="Calibri Light"/>
          <w:b/>
          <w:bCs/>
          <w:sz w:val="28"/>
          <w:szCs w:val="28"/>
        </w:rPr>
      </w:pPr>
    </w:p>
    <w:p w14:paraId="76F6A1A0" w14:textId="6EA36A70" w:rsidR="00943E85" w:rsidRDefault="00943E85" w:rsidP="00630D6B">
      <w:pPr>
        <w:pStyle w:val="Default"/>
        <w:rPr>
          <w:rFonts w:ascii="Cambria" w:hAnsi="Cambria" w:cs="Calibri Light"/>
          <w:b/>
          <w:bCs/>
          <w:sz w:val="28"/>
          <w:szCs w:val="28"/>
        </w:rPr>
      </w:pPr>
    </w:p>
    <w:p w14:paraId="0E373983" w14:textId="77777777" w:rsidR="00943E85" w:rsidRDefault="00943E85" w:rsidP="00630D6B">
      <w:pPr>
        <w:pStyle w:val="Default"/>
        <w:rPr>
          <w:rFonts w:ascii="Cambria" w:hAnsi="Cambria" w:cs="Calibri Light"/>
          <w:b/>
          <w:bCs/>
          <w:sz w:val="28"/>
          <w:szCs w:val="28"/>
        </w:rPr>
      </w:pPr>
    </w:p>
    <w:p w14:paraId="6F198049" w14:textId="405B5C31" w:rsidR="005611DA" w:rsidRDefault="005611DA" w:rsidP="00630D6B">
      <w:pPr>
        <w:pStyle w:val="Default"/>
        <w:rPr>
          <w:rFonts w:ascii="Cambria" w:hAnsi="Cambria" w:cs="Calibri Light"/>
          <w:b/>
          <w:bCs/>
          <w:sz w:val="28"/>
          <w:szCs w:val="28"/>
        </w:rPr>
      </w:pPr>
    </w:p>
    <w:p w14:paraId="0BEC9E65" w14:textId="0F852CF6" w:rsidR="005611DA" w:rsidRDefault="005611DA" w:rsidP="00630D6B">
      <w:pPr>
        <w:pStyle w:val="Default"/>
        <w:rPr>
          <w:rFonts w:ascii="Cambria" w:hAnsi="Cambria" w:cs="Calibri Light"/>
          <w:b/>
          <w:bCs/>
          <w:sz w:val="28"/>
          <w:szCs w:val="28"/>
        </w:rPr>
      </w:pPr>
    </w:p>
    <w:p w14:paraId="35D79721" w14:textId="77777777" w:rsidR="00943E85" w:rsidRDefault="00943E85" w:rsidP="00630D6B">
      <w:pPr>
        <w:pStyle w:val="Default"/>
        <w:rPr>
          <w:rFonts w:ascii="Cambria" w:hAnsi="Cambria" w:cs="Calibri Light"/>
          <w:b/>
          <w:bCs/>
          <w:sz w:val="28"/>
          <w:szCs w:val="28"/>
        </w:rPr>
      </w:pPr>
    </w:p>
    <w:p w14:paraId="2AA9112D" w14:textId="77777777" w:rsidR="00943E85" w:rsidRDefault="00943E85" w:rsidP="00630D6B">
      <w:pPr>
        <w:pStyle w:val="Default"/>
        <w:rPr>
          <w:rFonts w:ascii="Cambria" w:hAnsi="Cambria" w:cs="Calibri Light"/>
          <w:b/>
          <w:bCs/>
          <w:sz w:val="28"/>
          <w:szCs w:val="28"/>
        </w:rPr>
      </w:pPr>
    </w:p>
    <w:p w14:paraId="58B757FD" w14:textId="77777777" w:rsidR="00943E85" w:rsidRDefault="00943E85" w:rsidP="00630D6B">
      <w:pPr>
        <w:pStyle w:val="Default"/>
        <w:rPr>
          <w:rFonts w:ascii="Cambria" w:hAnsi="Cambria" w:cs="Calibri Light"/>
          <w:b/>
          <w:bCs/>
          <w:sz w:val="28"/>
          <w:szCs w:val="28"/>
        </w:rPr>
      </w:pPr>
    </w:p>
    <w:p w14:paraId="72F12F74" w14:textId="77777777" w:rsidR="00943E85" w:rsidRDefault="00943E85" w:rsidP="00630D6B">
      <w:pPr>
        <w:pStyle w:val="Default"/>
        <w:rPr>
          <w:rFonts w:ascii="Cambria" w:hAnsi="Cambria" w:cs="Calibri Light"/>
          <w:b/>
          <w:bCs/>
          <w:sz w:val="28"/>
          <w:szCs w:val="28"/>
        </w:rPr>
      </w:pPr>
    </w:p>
    <w:p w14:paraId="5439EB53" w14:textId="77777777" w:rsidR="00943E85" w:rsidRDefault="00943E85" w:rsidP="00630D6B">
      <w:pPr>
        <w:pStyle w:val="Default"/>
        <w:rPr>
          <w:rFonts w:ascii="Cambria" w:hAnsi="Cambria" w:cs="Calibri Light"/>
          <w:b/>
          <w:bCs/>
          <w:sz w:val="28"/>
          <w:szCs w:val="28"/>
        </w:rPr>
      </w:pPr>
    </w:p>
    <w:p w14:paraId="6C9E508A" w14:textId="77777777" w:rsidR="00943E85" w:rsidRDefault="00943E85" w:rsidP="00630D6B">
      <w:pPr>
        <w:pStyle w:val="Default"/>
        <w:rPr>
          <w:rFonts w:ascii="Cambria" w:hAnsi="Cambria" w:cs="Calibri Light"/>
          <w:b/>
          <w:bCs/>
          <w:sz w:val="28"/>
          <w:szCs w:val="28"/>
        </w:rPr>
      </w:pPr>
    </w:p>
    <w:p w14:paraId="4C75FE5F" w14:textId="77777777" w:rsidR="00943E85" w:rsidRDefault="00943E85" w:rsidP="00630D6B">
      <w:pPr>
        <w:pStyle w:val="Default"/>
        <w:rPr>
          <w:rFonts w:ascii="Cambria" w:hAnsi="Cambria" w:cs="Calibri Light"/>
          <w:b/>
          <w:bCs/>
          <w:sz w:val="28"/>
          <w:szCs w:val="28"/>
        </w:rPr>
      </w:pPr>
    </w:p>
    <w:p w14:paraId="3D1763F3" w14:textId="1084A9E2" w:rsidR="005611DA" w:rsidRPr="005611DA" w:rsidRDefault="005611DA" w:rsidP="00630D6B">
      <w:pPr>
        <w:pStyle w:val="Default"/>
        <w:rPr>
          <w:rFonts w:ascii="Cambria" w:hAnsi="Cambria" w:cs="Calibri Light"/>
          <w:b/>
          <w:bCs/>
          <w:sz w:val="28"/>
          <w:szCs w:val="28"/>
        </w:rPr>
      </w:pPr>
      <w:r>
        <w:rPr>
          <w:rFonts w:ascii="Cambria" w:hAnsi="Cambria" w:cs="Calibri Light"/>
          <w:b/>
          <w:bCs/>
          <w:sz w:val="28"/>
          <w:szCs w:val="28"/>
        </w:rPr>
        <w:lastRenderedPageBreak/>
        <w:t>Annex Five</w:t>
      </w:r>
    </w:p>
    <w:p w14:paraId="26C3DCFD" w14:textId="77777777" w:rsidR="00630D6B" w:rsidRDefault="00630D6B" w:rsidP="00630D6B">
      <w:pPr>
        <w:pStyle w:val="Default"/>
        <w:jc w:val="center"/>
        <w:rPr>
          <w:rFonts w:ascii="Cambria" w:hAnsi="Cambria" w:cs="Calibri Light"/>
          <w:b/>
          <w:bCs/>
          <w:sz w:val="20"/>
          <w:szCs w:val="20"/>
        </w:rPr>
      </w:pPr>
    </w:p>
    <w:p w14:paraId="43019C6B" w14:textId="77777777" w:rsidR="00630D6B" w:rsidRDefault="00630D6B" w:rsidP="00630D6B">
      <w:pPr>
        <w:pStyle w:val="Default"/>
        <w:jc w:val="center"/>
        <w:rPr>
          <w:rFonts w:ascii="Cambria" w:hAnsi="Cambria" w:cs="Calibri Light"/>
          <w:b/>
          <w:bCs/>
          <w:sz w:val="20"/>
          <w:szCs w:val="20"/>
        </w:rPr>
      </w:pPr>
    </w:p>
    <w:p w14:paraId="2FDA8BCA" w14:textId="77777777" w:rsidR="00630D6B" w:rsidRPr="00DC5DC8" w:rsidRDefault="00630D6B" w:rsidP="00630D6B">
      <w:pPr>
        <w:pStyle w:val="Default"/>
        <w:jc w:val="center"/>
        <w:rPr>
          <w:rFonts w:ascii="Cambria" w:hAnsi="Cambria" w:cs="Calibri Light"/>
          <w:b/>
          <w:bCs/>
          <w:sz w:val="20"/>
          <w:szCs w:val="20"/>
        </w:rPr>
      </w:pPr>
      <w:r w:rsidRPr="00DC5DC8">
        <w:rPr>
          <w:rFonts w:ascii="Cambria" w:hAnsi="Cambria" w:cs="Calibri Light"/>
          <w:b/>
          <w:bCs/>
          <w:sz w:val="20"/>
          <w:szCs w:val="20"/>
        </w:rPr>
        <w:t>Terms of Reference</w:t>
      </w:r>
    </w:p>
    <w:p w14:paraId="6E3192D5" w14:textId="77777777" w:rsidR="00630D6B" w:rsidRPr="00DC5DC8" w:rsidRDefault="00630D6B" w:rsidP="00630D6B">
      <w:pPr>
        <w:pStyle w:val="Default"/>
        <w:jc w:val="center"/>
        <w:rPr>
          <w:rFonts w:ascii="Cambria" w:hAnsi="Cambria" w:cs="Calibri Light"/>
          <w:sz w:val="20"/>
          <w:szCs w:val="20"/>
        </w:rPr>
      </w:pPr>
    </w:p>
    <w:p w14:paraId="7EDAD608" w14:textId="77777777" w:rsidR="00630D6B" w:rsidRPr="00DC5DC8" w:rsidRDefault="00630D6B" w:rsidP="00630D6B">
      <w:pPr>
        <w:pStyle w:val="Default"/>
        <w:jc w:val="center"/>
        <w:rPr>
          <w:rFonts w:ascii="Cambria" w:hAnsi="Cambria" w:cs="Calibri Light"/>
          <w:b/>
          <w:bCs/>
          <w:sz w:val="20"/>
          <w:szCs w:val="20"/>
          <w:u w:val="single"/>
        </w:rPr>
      </w:pPr>
      <w:r w:rsidRPr="00DC5DC8">
        <w:rPr>
          <w:rFonts w:ascii="Cambria" w:hAnsi="Cambria" w:cs="Calibri Light"/>
          <w:b/>
          <w:bCs/>
          <w:sz w:val="20"/>
          <w:szCs w:val="20"/>
          <w:u w:val="single"/>
        </w:rPr>
        <w:t>Mid-Term Evaluation cum Strategic Direction Setting of UNDP’s Portfolio on SDG 16+- Peace, Justice and Strong Institutions</w:t>
      </w:r>
    </w:p>
    <w:p w14:paraId="2C51FD66" w14:textId="77777777" w:rsidR="00630D6B" w:rsidRPr="00DC5DC8" w:rsidRDefault="00630D6B" w:rsidP="00630D6B">
      <w:pPr>
        <w:pStyle w:val="Default"/>
        <w:jc w:val="both"/>
        <w:rPr>
          <w:rFonts w:ascii="Cambria" w:hAnsi="Cambria" w:cs="Calibri Light"/>
          <w:sz w:val="20"/>
          <w:szCs w:val="20"/>
        </w:rPr>
      </w:pPr>
    </w:p>
    <w:p w14:paraId="6072FBB5" w14:textId="5E7879A2" w:rsidR="00630D6B" w:rsidRPr="00DC5DC8" w:rsidRDefault="00630D6B" w:rsidP="00630D6B">
      <w:pPr>
        <w:ind w:left="2160" w:hanging="2160"/>
        <w:rPr>
          <w:rFonts w:ascii="Cambria" w:hAnsi="Cambria" w:cs="Calibri"/>
          <w:sz w:val="20"/>
          <w:szCs w:val="20"/>
        </w:rPr>
      </w:pPr>
      <w:r w:rsidRPr="00DC5DC8">
        <w:rPr>
          <w:rFonts w:ascii="Cambria" w:hAnsi="Cambria" w:cs="Calibri"/>
          <w:sz w:val="20"/>
          <w:szCs w:val="20"/>
        </w:rPr>
        <w:t xml:space="preserve">Assignment: </w:t>
      </w:r>
      <w:r w:rsidRPr="00DC5DC8">
        <w:rPr>
          <w:rFonts w:ascii="Cambria" w:hAnsi="Cambria" w:cs="Calibri"/>
          <w:sz w:val="20"/>
          <w:szCs w:val="20"/>
        </w:rPr>
        <w:tab/>
      </w:r>
      <w:r w:rsidRPr="00DC5DC8">
        <w:rPr>
          <w:rFonts w:ascii="Cambria" w:hAnsi="Cambria" w:cs="Calibri"/>
          <w:sz w:val="20"/>
          <w:szCs w:val="20"/>
        </w:rPr>
        <w:tab/>
      </w:r>
      <w:bookmarkStart w:id="68" w:name="_Hlk48929199"/>
      <w:r w:rsidRPr="00DC5DC8">
        <w:rPr>
          <w:rFonts w:ascii="Cambria" w:hAnsi="Cambria" w:cs="Calibri"/>
          <w:sz w:val="20"/>
          <w:szCs w:val="20"/>
        </w:rPr>
        <w:t xml:space="preserve">Mid-term Evaluation for Pillar 1 and 2 of the SDG 16+ portfolio on </w:t>
      </w:r>
      <w:r w:rsidRPr="00DC5DC8">
        <w:rPr>
          <w:rFonts w:ascii="Cambria" w:hAnsi="Cambria" w:cs="Calibri"/>
          <w:sz w:val="20"/>
          <w:szCs w:val="20"/>
        </w:rPr>
        <w:tab/>
        <w:t xml:space="preserve">Peace, Justice and Strong Institutions.  </w:t>
      </w:r>
      <w:bookmarkEnd w:id="68"/>
    </w:p>
    <w:p w14:paraId="362F3DCC" w14:textId="77777777" w:rsidR="00630D6B" w:rsidRPr="00DC5DC8" w:rsidRDefault="00630D6B" w:rsidP="00630D6B">
      <w:pPr>
        <w:ind w:left="1080" w:hanging="1080"/>
        <w:jc w:val="both"/>
        <w:rPr>
          <w:rFonts w:ascii="Cambria" w:hAnsi="Cambria" w:cs="Calibri"/>
          <w:sz w:val="20"/>
          <w:szCs w:val="20"/>
        </w:rPr>
      </w:pPr>
      <w:r w:rsidRPr="00DC5DC8">
        <w:rPr>
          <w:rFonts w:ascii="Cambria" w:hAnsi="Cambria" w:cs="Calibri"/>
          <w:color w:val="000000"/>
          <w:sz w:val="20"/>
          <w:szCs w:val="20"/>
        </w:rPr>
        <w:t xml:space="preserve">Reports to: </w:t>
      </w:r>
      <w:r w:rsidRPr="00DC5DC8">
        <w:rPr>
          <w:rFonts w:ascii="Cambria" w:hAnsi="Cambria" w:cs="Calibri"/>
          <w:color w:val="000000"/>
          <w:sz w:val="20"/>
          <w:szCs w:val="20"/>
        </w:rPr>
        <w:tab/>
      </w:r>
      <w:r w:rsidRPr="00DC5DC8">
        <w:rPr>
          <w:rFonts w:ascii="Cambria" w:hAnsi="Cambria" w:cs="Calibri"/>
          <w:color w:val="000000"/>
          <w:sz w:val="20"/>
          <w:szCs w:val="20"/>
        </w:rPr>
        <w:tab/>
      </w:r>
      <w:r w:rsidRPr="00DC5DC8">
        <w:rPr>
          <w:rFonts w:ascii="Cambria" w:hAnsi="Cambria" w:cs="Calibri"/>
          <w:color w:val="000000"/>
          <w:sz w:val="20"/>
          <w:szCs w:val="20"/>
        </w:rPr>
        <w:tab/>
      </w:r>
      <w:r w:rsidRPr="00DC5DC8">
        <w:rPr>
          <w:rFonts w:ascii="Cambria" w:hAnsi="Cambria" w:cs="Calibri"/>
          <w:sz w:val="20"/>
          <w:szCs w:val="20"/>
        </w:rPr>
        <w:t>UNDP Regional Advisor – Access to Justice and Rule of Law</w:t>
      </w:r>
    </w:p>
    <w:p w14:paraId="4D629C4A" w14:textId="77777777" w:rsidR="00630D6B" w:rsidRPr="00DC5DC8" w:rsidRDefault="00630D6B" w:rsidP="00630D6B">
      <w:pPr>
        <w:ind w:left="1080" w:hanging="1080"/>
        <w:jc w:val="both"/>
        <w:rPr>
          <w:rFonts w:ascii="Cambria" w:hAnsi="Cambria" w:cs="Calibri"/>
          <w:sz w:val="20"/>
          <w:szCs w:val="20"/>
        </w:rPr>
      </w:pPr>
      <w:r w:rsidRPr="00DC5DC8">
        <w:rPr>
          <w:rFonts w:ascii="Cambria" w:hAnsi="Cambria" w:cs="Calibri"/>
          <w:sz w:val="20"/>
          <w:szCs w:val="20"/>
        </w:rPr>
        <w:t>Type of Contract:</w:t>
      </w:r>
      <w:r w:rsidRPr="00DC5DC8">
        <w:rPr>
          <w:rFonts w:ascii="Cambria" w:hAnsi="Cambria" w:cs="Calibri"/>
          <w:sz w:val="20"/>
          <w:szCs w:val="20"/>
        </w:rPr>
        <w:tab/>
      </w:r>
      <w:r w:rsidRPr="00DC5DC8">
        <w:rPr>
          <w:rFonts w:ascii="Cambria" w:hAnsi="Cambria" w:cs="Calibri"/>
          <w:sz w:val="20"/>
          <w:szCs w:val="20"/>
        </w:rPr>
        <w:tab/>
        <w:t>Individual Contract</w:t>
      </w:r>
      <w:r w:rsidRPr="00DC5DC8">
        <w:rPr>
          <w:rFonts w:ascii="Cambria" w:hAnsi="Cambria" w:cs="Calibri"/>
          <w:sz w:val="20"/>
          <w:szCs w:val="20"/>
        </w:rPr>
        <w:tab/>
      </w:r>
    </w:p>
    <w:p w14:paraId="5B12B346" w14:textId="77777777" w:rsidR="00630D6B" w:rsidRPr="00DC5DC8" w:rsidRDefault="00630D6B" w:rsidP="00630D6B">
      <w:pPr>
        <w:ind w:left="2880" w:hanging="2880"/>
        <w:jc w:val="both"/>
        <w:rPr>
          <w:rFonts w:ascii="Cambria" w:hAnsi="Cambria" w:cs="Calibri"/>
          <w:color w:val="000000"/>
          <w:sz w:val="20"/>
          <w:szCs w:val="20"/>
        </w:rPr>
      </w:pPr>
      <w:r w:rsidRPr="00DC5DC8">
        <w:rPr>
          <w:rFonts w:ascii="Cambria" w:hAnsi="Cambria" w:cs="Calibri"/>
          <w:color w:val="000000"/>
          <w:sz w:val="20"/>
          <w:szCs w:val="20"/>
        </w:rPr>
        <w:t>Application Deadline:  </w:t>
      </w:r>
      <w:r w:rsidRPr="00DC5DC8">
        <w:rPr>
          <w:rFonts w:ascii="Cambria" w:hAnsi="Cambria" w:cs="Calibri"/>
          <w:color w:val="000000"/>
          <w:sz w:val="20"/>
          <w:szCs w:val="20"/>
        </w:rPr>
        <w:tab/>
      </w:r>
      <w:r w:rsidRPr="00DC5DC8">
        <w:rPr>
          <w:rFonts w:ascii="Cambria" w:hAnsi="Cambria" w:cs="Calibri"/>
          <w:sz w:val="20"/>
          <w:szCs w:val="20"/>
        </w:rPr>
        <w:t>31</w:t>
      </w:r>
      <w:r w:rsidRPr="00DC5DC8">
        <w:rPr>
          <w:rFonts w:ascii="Cambria" w:hAnsi="Cambria" w:cs="Calibri"/>
          <w:sz w:val="20"/>
          <w:szCs w:val="20"/>
          <w:vertAlign w:val="superscript"/>
        </w:rPr>
        <w:t>st</w:t>
      </w:r>
      <w:r w:rsidRPr="00DC5DC8">
        <w:rPr>
          <w:rFonts w:ascii="Cambria" w:hAnsi="Cambria" w:cs="Calibri"/>
          <w:sz w:val="20"/>
          <w:szCs w:val="20"/>
        </w:rPr>
        <w:t xml:space="preserve"> August 2020</w:t>
      </w:r>
    </w:p>
    <w:p w14:paraId="77746FF3" w14:textId="77777777" w:rsidR="00630D6B" w:rsidRPr="00DC5DC8" w:rsidRDefault="00630D6B" w:rsidP="00630D6B">
      <w:pPr>
        <w:ind w:left="2880" w:hanging="2880"/>
        <w:jc w:val="both"/>
        <w:rPr>
          <w:rFonts w:ascii="Cambria" w:hAnsi="Cambria" w:cs="Calibri"/>
          <w:sz w:val="20"/>
          <w:szCs w:val="20"/>
        </w:rPr>
      </w:pPr>
      <w:r w:rsidRPr="00DC5DC8">
        <w:rPr>
          <w:rFonts w:ascii="Cambria" w:hAnsi="Cambria" w:cs="Calibri"/>
          <w:color w:val="000000"/>
          <w:sz w:val="20"/>
          <w:szCs w:val="20"/>
        </w:rPr>
        <w:t xml:space="preserve">Language(s) Required: </w:t>
      </w:r>
      <w:r w:rsidRPr="00DC5DC8">
        <w:rPr>
          <w:rFonts w:ascii="Cambria" w:hAnsi="Cambria" w:cs="Calibri"/>
          <w:color w:val="000000"/>
          <w:sz w:val="20"/>
          <w:szCs w:val="20"/>
        </w:rPr>
        <w:tab/>
      </w:r>
      <w:r w:rsidRPr="00DC5DC8">
        <w:rPr>
          <w:rFonts w:ascii="Cambria" w:hAnsi="Cambria" w:cs="Calibri"/>
          <w:sz w:val="20"/>
          <w:szCs w:val="20"/>
        </w:rPr>
        <w:t>English</w:t>
      </w:r>
    </w:p>
    <w:p w14:paraId="48F7B038" w14:textId="77777777" w:rsidR="00630D6B" w:rsidRPr="00DC5DC8" w:rsidRDefault="00630D6B" w:rsidP="00630D6B">
      <w:pPr>
        <w:pStyle w:val="Default"/>
        <w:jc w:val="both"/>
        <w:rPr>
          <w:rFonts w:ascii="Cambria" w:hAnsi="Cambria" w:cs="Calibri Light"/>
          <w:sz w:val="20"/>
          <w:szCs w:val="20"/>
        </w:rPr>
      </w:pPr>
    </w:p>
    <w:p w14:paraId="61302065" w14:textId="77777777" w:rsidR="00630D6B" w:rsidRPr="00DC5DC8" w:rsidRDefault="00630D6B" w:rsidP="00630D6B">
      <w:pPr>
        <w:pStyle w:val="Default"/>
        <w:jc w:val="both"/>
        <w:rPr>
          <w:rFonts w:ascii="Cambria" w:hAnsi="Cambria" w:cs="Calibri Light"/>
          <w:sz w:val="20"/>
          <w:szCs w:val="20"/>
        </w:rPr>
      </w:pPr>
    </w:p>
    <w:p w14:paraId="0E57AA8C" w14:textId="77777777" w:rsidR="00630D6B" w:rsidRPr="00DC5DC8" w:rsidRDefault="00630D6B" w:rsidP="00630D6B">
      <w:pPr>
        <w:pStyle w:val="Default"/>
        <w:jc w:val="both"/>
        <w:rPr>
          <w:rFonts w:ascii="Cambria" w:hAnsi="Cambria" w:cs="Calibri Light"/>
          <w:b/>
          <w:bCs/>
          <w:sz w:val="20"/>
          <w:szCs w:val="20"/>
        </w:rPr>
      </w:pPr>
      <w:r w:rsidRPr="00DC5DC8">
        <w:rPr>
          <w:rFonts w:ascii="Cambria" w:hAnsi="Cambria" w:cs="Calibri Light"/>
          <w:b/>
          <w:bCs/>
          <w:sz w:val="20"/>
          <w:szCs w:val="20"/>
        </w:rPr>
        <w:t>1. Background and Context.</w:t>
      </w:r>
    </w:p>
    <w:p w14:paraId="543666E5" w14:textId="77777777" w:rsidR="00630D6B" w:rsidRPr="00DC5DC8" w:rsidRDefault="00630D6B" w:rsidP="00630D6B">
      <w:pPr>
        <w:pStyle w:val="Default"/>
        <w:jc w:val="both"/>
        <w:rPr>
          <w:rFonts w:ascii="Cambria" w:hAnsi="Cambria" w:cs="Calibri Light"/>
          <w:b/>
          <w:bCs/>
          <w:sz w:val="20"/>
          <w:szCs w:val="20"/>
        </w:rPr>
      </w:pPr>
    </w:p>
    <w:p w14:paraId="46163536" w14:textId="77777777" w:rsidR="00630D6B" w:rsidRPr="00DC5DC8" w:rsidRDefault="00630D6B" w:rsidP="00630D6B">
      <w:pPr>
        <w:jc w:val="both"/>
        <w:rPr>
          <w:rFonts w:ascii="Cambria" w:hAnsi="Cambria" w:cs="Calibri Light"/>
          <w:sz w:val="20"/>
          <w:szCs w:val="20"/>
        </w:rPr>
      </w:pPr>
      <w:r w:rsidRPr="00DC5DC8">
        <w:rPr>
          <w:rFonts w:ascii="Cambria" w:hAnsi="Cambria" w:cs="Calibri Light"/>
          <w:sz w:val="20"/>
          <w:szCs w:val="20"/>
        </w:rPr>
        <w:t xml:space="preserve">In line with the Sustainable Development Goals (SDGs), United Nations Sustainable Development Framework (UNSDF) and UNDP’s Country Programme Document (CPD), UNDP has developed a Portfolio, (for the duration 2019-2022) prioritizing SDG 16 – Peace, Justice and Strong Institutions, to implement its Governance and Peacebuilding projects, and to ensure a cohesive approach across multiple projects working towards achieving this common goal. The Portfolio aims to address governance deficits and strengthen the effectiveness of key institutions to deliver people-centered services. It also aims to build the </w:t>
      </w:r>
      <w:r w:rsidRPr="00DC5DC8">
        <w:rPr>
          <w:rFonts w:ascii="Cambria" w:hAnsi="Cambria" w:cs="Calibri Light"/>
          <w:color w:val="000000"/>
          <w:sz w:val="20"/>
          <w:szCs w:val="20"/>
        </w:rPr>
        <w:t>space, capacity and trust for excluded and vulnerable groups to participate and inform policy- and decision-making</w:t>
      </w:r>
      <w:r w:rsidRPr="00DC5DC8">
        <w:rPr>
          <w:rFonts w:ascii="Cambria" w:hAnsi="Cambria" w:cs="Calibri Light"/>
          <w:sz w:val="20"/>
          <w:szCs w:val="20"/>
        </w:rPr>
        <w:t>, so that it meets their specific needs and interests.</w:t>
      </w:r>
    </w:p>
    <w:p w14:paraId="5D04202C" w14:textId="77777777" w:rsidR="00630D6B" w:rsidRPr="00DC5DC8" w:rsidRDefault="00630D6B" w:rsidP="00630D6B">
      <w:pPr>
        <w:jc w:val="both"/>
        <w:rPr>
          <w:rFonts w:ascii="Cambria" w:hAnsi="Cambria" w:cs="Calibri Light"/>
          <w:sz w:val="20"/>
          <w:szCs w:val="20"/>
        </w:rPr>
      </w:pPr>
    </w:p>
    <w:p w14:paraId="025323BC" w14:textId="77777777" w:rsidR="00630D6B" w:rsidRPr="00DC5DC8" w:rsidRDefault="00630D6B" w:rsidP="00630D6B">
      <w:pPr>
        <w:jc w:val="both"/>
        <w:rPr>
          <w:rFonts w:ascii="Cambria" w:hAnsi="Cambria" w:cs="Calibri Light"/>
          <w:sz w:val="20"/>
          <w:szCs w:val="20"/>
        </w:rPr>
      </w:pPr>
      <w:r w:rsidRPr="00DC5DC8">
        <w:rPr>
          <w:rFonts w:ascii="Cambria" w:hAnsi="Cambria" w:cs="Calibri Light"/>
          <w:sz w:val="20"/>
          <w:szCs w:val="20"/>
        </w:rPr>
        <w:t>The portfolio is being implemented under three main thematic pillars; namely 1. Legislative and Oversight Commissions, 2. Access to Justice and Rule of Law and 3. Accountable and Effective Service Delivery, with the common objectives of upholding the rights of excluded and vulnerable groups, and strengthening inclusive service delivery to bridge the gap between the state and its citizens. Under the first service line, the portfolio is supporting Parliament, the Human Rights Commission (HRC), National Police Commission (NPC) and Right to Information Commission (RTIC) to enhance service delivery and outreach, while service line two of the portfolio is contributing to improving the ability of justice sector institutions to deliver people-centered services. Service line three is contributing to improve the ability of the public sector and local governments to provide equitable and effective services to citizens across the country. strengthen service delivery and bridge gap between government/state and citizens. These three service lines are linked with the Country Programme Document (CPD), which is jointly endorsed by the Sri Lankan Government and UNDP.</w:t>
      </w:r>
    </w:p>
    <w:p w14:paraId="4A8E9E6A" w14:textId="77777777" w:rsidR="00630D6B" w:rsidRPr="00DC5DC8" w:rsidRDefault="00630D6B" w:rsidP="00630D6B">
      <w:pPr>
        <w:jc w:val="both"/>
        <w:rPr>
          <w:rFonts w:ascii="Cambria" w:hAnsi="Cambria" w:cs="Calibri Light"/>
          <w:sz w:val="20"/>
          <w:szCs w:val="20"/>
        </w:rPr>
      </w:pPr>
    </w:p>
    <w:p w14:paraId="5C602E69" w14:textId="77777777" w:rsidR="00630D6B" w:rsidRPr="00DC5DC8" w:rsidRDefault="00630D6B" w:rsidP="00630D6B">
      <w:pPr>
        <w:jc w:val="both"/>
        <w:rPr>
          <w:rFonts w:ascii="Cambria" w:hAnsi="Cambria" w:cs="Calibri Light"/>
          <w:sz w:val="20"/>
          <w:szCs w:val="20"/>
        </w:rPr>
      </w:pPr>
      <w:r w:rsidRPr="00DC5DC8">
        <w:rPr>
          <w:rFonts w:ascii="Cambria" w:hAnsi="Cambria" w:cs="Calibri Light"/>
          <w:sz w:val="20"/>
          <w:szCs w:val="20"/>
        </w:rPr>
        <w:t>Since the formal inception of the Portfolio in 2019, Sri Lanka has undergone many contextual changes both on the political as well as socio-economic fronts. The April terror attacks in 2019 have put strain on inter-communal relations and social cohesion.  Most recently, the COVID-19 pandemic crisis and resulting limitations, have unfolded in a period when Parliament has also been dissolved beyond the constitutionally permissible timeframe, thereby further exacerbating the democratic functioning of key Governance institutions including the Executive, Legislative and Judiciary.  The economy of the country has also suffered and is expected to experience negative growth in the year 2020, with the poorest and most marginalized households most impacted by the economic downturn, increasing their vulnerability to falling back into a poverty trap.</w:t>
      </w:r>
    </w:p>
    <w:p w14:paraId="70E1642F" w14:textId="77777777" w:rsidR="00630D6B" w:rsidRPr="00DC5DC8" w:rsidRDefault="00630D6B" w:rsidP="00630D6B">
      <w:pPr>
        <w:jc w:val="both"/>
        <w:rPr>
          <w:rFonts w:ascii="Cambria" w:hAnsi="Cambria" w:cs="Calibri Light"/>
          <w:sz w:val="20"/>
          <w:szCs w:val="20"/>
        </w:rPr>
      </w:pPr>
    </w:p>
    <w:p w14:paraId="11CD4A73" w14:textId="77777777" w:rsidR="00630D6B" w:rsidRPr="00DC5DC8" w:rsidRDefault="00630D6B" w:rsidP="00630D6B">
      <w:pPr>
        <w:jc w:val="both"/>
        <w:rPr>
          <w:rFonts w:ascii="Cambria" w:hAnsi="Cambria" w:cs="Calibri Light"/>
          <w:sz w:val="20"/>
          <w:szCs w:val="20"/>
        </w:rPr>
      </w:pPr>
      <w:r w:rsidRPr="00DC5DC8">
        <w:rPr>
          <w:rFonts w:ascii="Cambria" w:hAnsi="Cambria" w:cs="Calibri Light"/>
          <w:sz w:val="20"/>
          <w:szCs w:val="20"/>
        </w:rPr>
        <w:lastRenderedPageBreak/>
        <w:t>In this context UNDP, in consultation with national and international partners, has taken immediate measures to reprogramme funding to respond to the COVID1-9 context. Some examples include the digitalization of courts to facilitate remote hearings, increasing connectivity at the district level to promote business continuity, procurement of medical supplies to support local governments respond to the pandemic.</w:t>
      </w:r>
    </w:p>
    <w:p w14:paraId="0BADDC7F" w14:textId="77777777" w:rsidR="00630D6B" w:rsidRPr="00DC5DC8" w:rsidRDefault="00630D6B" w:rsidP="00630D6B">
      <w:pPr>
        <w:jc w:val="both"/>
        <w:rPr>
          <w:rFonts w:ascii="Cambria" w:hAnsi="Cambria" w:cs="Calibri Light"/>
          <w:sz w:val="20"/>
          <w:szCs w:val="20"/>
        </w:rPr>
      </w:pPr>
    </w:p>
    <w:p w14:paraId="27F0A8E3" w14:textId="77777777" w:rsidR="00630D6B" w:rsidRPr="00DC5DC8" w:rsidRDefault="00630D6B" w:rsidP="00630D6B">
      <w:pPr>
        <w:jc w:val="both"/>
        <w:rPr>
          <w:rFonts w:ascii="Cambria" w:hAnsi="Cambria" w:cs="Calibri Light"/>
          <w:sz w:val="20"/>
          <w:szCs w:val="20"/>
        </w:rPr>
      </w:pPr>
      <w:r w:rsidRPr="00DC5DC8">
        <w:rPr>
          <w:rFonts w:ascii="Cambria" w:hAnsi="Cambria" w:cs="Calibri Light"/>
          <w:sz w:val="20"/>
          <w:szCs w:val="20"/>
        </w:rPr>
        <w:t>Given the changed context, UNDP Sri Lanka has planned to evaluate its Portfolio in order to strategically assess the results achieved under the Portfolio over 2019-2020, against the current country context using evidence-based information to analyze relevance, effectiveness, efficiency, impact and sustainability  in order to generate timely findings, lessons learned and importantly, thematic-specific recommendations which will inform strategic re-alignments that UNDP makes to the Portfolio to align and contribute to the new government priorities and corresponding state architecture for the remaining duration of Sri Lanka’s Country Programme and UN Sustainable Development Framework  until 2022.</w:t>
      </w:r>
    </w:p>
    <w:p w14:paraId="4F571849" w14:textId="77777777" w:rsidR="00630D6B" w:rsidRPr="00DC5DC8" w:rsidRDefault="00630D6B" w:rsidP="00630D6B">
      <w:pPr>
        <w:jc w:val="both"/>
        <w:rPr>
          <w:rFonts w:ascii="Cambria" w:hAnsi="Cambria" w:cs="Calibri Light"/>
          <w:sz w:val="20"/>
          <w:szCs w:val="20"/>
        </w:rPr>
      </w:pPr>
    </w:p>
    <w:p w14:paraId="5B4B7D1D" w14:textId="77777777" w:rsidR="00630D6B" w:rsidRPr="00DC5DC8" w:rsidRDefault="00630D6B" w:rsidP="00630D6B">
      <w:pPr>
        <w:pStyle w:val="Default"/>
        <w:jc w:val="both"/>
        <w:rPr>
          <w:rFonts w:ascii="Cambria" w:hAnsi="Cambria" w:cs="Calibri Light"/>
          <w:b/>
          <w:bCs/>
          <w:sz w:val="20"/>
          <w:szCs w:val="20"/>
        </w:rPr>
      </w:pPr>
      <w:r w:rsidRPr="00DC5DC8">
        <w:rPr>
          <w:rFonts w:ascii="Cambria" w:hAnsi="Cambria" w:cs="Calibri Light"/>
          <w:b/>
          <w:bCs/>
          <w:sz w:val="20"/>
          <w:szCs w:val="20"/>
        </w:rPr>
        <w:t>2. Purpose of the Mid-term Evaluation cum Strategic Direction Setting</w:t>
      </w:r>
    </w:p>
    <w:p w14:paraId="7A0B9E25" w14:textId="77777777" w:rsidR="00630D6B" w:rsidRPr="00DC5DC8" w:rsidRDefault="00630D6B" w:rsidP="00630D6B">
      <w:pPr>
        <w:pStyle w:val="Default"/>
        <w:jc w:val="both"/>
        <w:rPr>
          <w:rFonts w:ascii="Cambria" w:hAnsi="Cambria" w:cs="Calibri Light"/>
          <w:b/>
          <w:bCs/>
          <w:sz w:val="20"/>
          <w:szCs w:val="20"/>
        </w:rPr>
      </w:pPr>
    </w:p>
    <w:p w14:paraId="2ABEDEC3" w14:textId="77777777" w:rsidR="00630D6B" w:rsidRPr="00DC5DC8" w:rsidRDefault="00630D6B" w:rsidP="00630D6B">
      <w:pPr>
        <w:pStyle w:val="Body"/>
        <w:spacing w:after="0" w:line="240" w:lineRule="auto"/>
        <w:jc w:val="both"/>
        <w:rPr>
          <w:rFonts w:ascii="Cambria" w:eastAsia="Times New Roman" w:hAnsi="Cambria" w:cs="Calibri Light"/>
          <w:color w:val="auto"/>
          <w:sz w:val="20"/>
          <w:szCs w:val="20"/>
          <w:bdr w:val="none" w:sz="0" w:space="0" w:color="auto"/>
          <w:lang w:bidi="ar-SA"/>
        </w:rPr>
      </w:pPr>
      <w:r w:rsidRPr="00DC5DC8">
        <w:rPr>
          <w:rFonts w:ascii="Cambria" w:eastAsia="Times New Roman" w:hAnsi="Cambria" w:cs="Calibri Light"/>
          <w:color w:val="auto"/>
          <w:sz w:val="20"/>
          <w:szCs w:val="20"/>
          <w:bdr w:val="none" w:sz="0" w:space="0" w:color="auto"/>
          <w:lang w:bidi="ar-SA"/>
        </w:rPr>
        <w:t>While an evaluation of the Portfolio is mandatorily required at the mid-term of implementation, UNDP has decided to advance the evaluation to 2020 given the very rapid country context changes. An ultimate purpose of the proposed exercise is to identify best practices and achievements to-date which the Portfolio should continue to build on, in-line with strategic country requirements and Government priorities. Covering the portfolio progress from January 2019 to August 2020, the mid-term evaluation cum strategic direction setting exercise will assess progress towards output-level objectives vis-a-vis relevance, effectiveness, efficiency, impact and sustainability of results achieved so-far. Secondly, it will also identify strategic and subject-specific recommendations under each of the three thematic pillars where re-alignment is required in-line with the new normal COVID-19 context, and the changed socio-economic and political situation of Sri Lanka. The evaluation scope and methodology will be further finalized at the inception stage with stakeholder consultations and following an evaluability assessment.</w:t>
      </w:r>
    </w:p>
    <w:p w14:paraId="53F4BBD9" w14:textId="77777777" w:rsidR="00630D6B" w:rsidRPr="00DC5DC8" w:rsidRDefault="00630D6B" w:rsidP="00630D6B">
      <w:pPr>
        <w:pStyle w:val="Default"/>
        <w:jc w:val="both"/>
        <w:rPr>
          <w:rFonts w:ascii="Cambria" w:hAnsi="Cambria" w:cs="Calibri Light"/>
          <w:b/>
          <w:bCs/>
          <w:sz w:val="20"/>
          <w:szCs w:val="20"/>
        </w:rPr>
      </w:pPr>
    </w:p>
    <w:p w14:paraId="6ED752C3" w14:textId="77777777" w:rsidR="00630D6B" w:rsidRPr="00DC5DC8" w:rsidRDefault="00630D6B" w:rsidP="00630D6B">
      <w:pPr>
        <w:pStyle w:val="Default"/>
        <w:jc w:val="both"/>
        <w:rPr>
          <w:rFonts w:ascii="Cambria" w:hAnsi="Cambria" w:cs="Calibri Light"/>
          <w:b/>
          <w:bCs/>
          <w:sz w:val="20"/>
          <w:szCs w:val="20"/>
        </w:rPr>
      </w:pPr>
    </w:p>
    <w:p w14:paraId="558F085C" w14:textId="77777777" w:rsidR="00630D6B" w:rsidRPr="00DC5DC8" w:rsidRDefault="00630D6B" w:rsidP="00630D6B">
      <w:pPr>
        <w:pStyle w:val="Default"/>
        <w:jc w:val="both"/>
        <w:rPr>
          <w:rFonts w:ascii="Cambria" w:hAnsi="Cambria" w:cs="Calibri Light"/>
          <w:b/>
          <w:bCs/>
          <w:sz w:val="20"/>
          <w:szCs w:val="20"/>
        </w:rPr>
      </w:pPr>
      <w:r w:rsidRPr="00DC5DC8">
        <w:rPr>
          <w:rFonts w:ascii="Cambria" w:hAnsi="Cambria" w:cs="Calibri Light"/>
          <w:b/>
          <w:bCs/>
          <w:sz w:val="20"/>
          <w:szCs w:val="20"/>
        </w:rPr>
        <w:t>3. Evaluation criteria and key questions.</w:t>
      </w:r>
    </w:p>
    <w:p w14:paraId="6B40A5A2" w14:textId="77777777" w:rsidR="00630D6B" w:rsidRPr="00DC5DC8" w:rsidRDefault="00630D6B" w:rsidP="00630D6B">
      <w:pPr>
        <w:pStyle w:val="Default"/>
        <w:jc w:val="both"/>
        <w:rPr>
          <w:rFonts w:ascii="Cambria" w:hAnsi="Cambria" w:cs="Calibri Light"/>
          <w:sz w:val="20"/>
          <w:szCs w:val="20"/>
        </w:rPr>
      </w:pPr>
    </w:p>
    <w:p w14:paraId="2A1F2D7E" w14:textId="77777777" w:rsidR="00630D6B" w:rsidRPr="00DC5DC8" w:rsidRDefault="00630D6B" w:rsidP="00630D6B">
      <w:pPr>
        <w:pStyle w:val="Default"/>
        <w:jc w:val="both"/>
        <w:rPr>
          <w:rFonts w:ascii="Cambria" w:hAnsi="Cambria" w:cs="Calibri Light"/>
          <w:sz w:val="20"/>
          <w:szCs w:val="20"/>
        </w:rPr>
      </w:pPr>
      <w:r w:rsidRPr="00DC5DC8">
        <w:rPr>
          <w:rFonts w:ascii="Cambria" w:hAnsi="Cambria" w:cs="Calibri Light"/>
          <w:sz w:val="20"/>
          <w:szCs w:val="20"/>
        </w:rPr>
        <w:t>The Mid Term Evaluation cum Strategic Direction Setting shall be guided by the following quality criteria and key questions as per UNDP corporate guidance:</w:t>
      </w:r>
    </w:p>
    <w:p w14:paraId="0920F525" w14:textId="77777777" w:rsidR="00630D6B" w:rsidRPr="00DC5DC8" w:rsidRDefault="00630D6B" w:rsidP="00630D6B">
      <w:pPr>
        <w:pStyle w:val="Default"/>
        <w:jc w:val="both"/>
        <w:rPr>
          <w:rFonts w:ascii="Cambria" w:hAnsi="Cambria" w:cs="Calibri Light"/>
          <w:sz w:val="20"/>
          <w:szCs w:val="20"/>
        </w:rPr>
      </w:pPr>
    </w:p>
    <w:p w14:paraId="50695306" w14:textId="77777777" w:rsidR="00630D6B" w:rsidRPr="00DC5DC8" w:rsidRDefault="00630D6B" w:rsidP="00925CAD">
      <w:pPr>
        <w:pStyle w:val="Default"/>
        <w:numPr>
          <w:ilvl w:val="0"/>
          <w:numId w:val="67"/>
        </w:numPr>
        <w:jc w:val="both"/>
        <w:rPr>
          <w:rFonts w:ascii="Cambria" w:hAnsi="Cambria" w:cs="Calibri Light"/>
          <w:b/>
          <w:bCs/>
          <w:sz w:val="20"/>
          <w:szCs w:val="20"/>
        </w:rPr>
      </w:pPr>
      <w:r w:rsidRPr="00DC5DC8">
        <w:rPr>
          <w:rFonts w:ascii="Cambria" w:hAnsi="Cambria" w:cs="Calibri Light"/>
          <w:b/>
          <w:bCs/>
          <w:sz w:val="20"/>
          <w:szCs w:val="20"/>
        </w:rPr>
        <w:t>Strategic:</w:t>
      </w:r>
    </w:p>
    <w:p w14:paraId="73A2EB10" w14:textId="77777777" w:rsidR="00630D6B" w:rsidRPr="00DC5DC8" w:rsidRDefault="00630D6B" w:rsidP="00925CAD">
      <w:pPr>
        <w:pStyle w:val="Default"/>
        <w:numPr>
          <w:ilvl w:val="1"/>
          <w:numId w:val="67"/>
        </w:numPr>
        <w:jc w:val="both"/>
        <w:rPr>
          <w:rFonts w:ascii="Cambria" w:hAnsi="Cambria" w:cs="Calibri Light"/>
          <w:sz w:val="20"/>
          <w:szCs w:val="20"/>
        </w:rPr>
      </w:pPr>
      <w:r w:rsidRPr="00DC5DC8">
        <w:rPr>
          <w:rFonts w:ascii="Cambria" w:hAnsi="Cambria" w:cs="Calibri Light"/>
          <w:sz w:val="20"/>
          <w:szCs w:val="20"/>
        </w:rPr>
        <w:t>To what extent is the support provided through the Portfolio helping Sri Lanka to achieve commitments under SDG 16? Are there any other SDGs to which the Portfolio’s achievements are significantly contributing? What improvements to the Portfolio design are needed to ensure better alignment with national SDG commitments, especially under SDG 16?</w:t>
      </w:r>
    </w:p>
    <w:p w14:paraId="4C20B581" w14:textId="77777777" w:rsidR="00630D6B" w:rsidRPr="00DC5DC8" w:rsidRDefault="00630D6B" w:rsidP="00925CAD">
      <w:pPr>
        <w:pStyle w:val="Default"/>
        <w:numPr>
          <w:ilvl w:val="1"/>
          <w:numId w:val="67"/>
        </w:numPr>
        <w:jc w:val="both"/>
        <w:rPr>
          <w:rFonts w:ascii="Cambria" w:hAnsi="Cambria" w:cs="Calibri Light"/>
          <w:sz w:val="20"/>
          <w:szCs w:val="20"/>
        </w:rPr>
      </w:pPr>
      <w:r w:rsidRPr="00DC5DC8">
        <w:rPr>
          <w:rFonts w:ascii="Cambria" w:hAnsi="Cambria" w:cs="Calibri Light"/>
          <w:sz w:val="20"/>
          <w:szCs w:val="20"/>
        </w:rPr>
        <w:t>Within a new political and institutional context which is coping with an ongoing pandemic,  what changes are required to the Portfolio’s Theory of Change and key assumptions? What strategic new opportunities relevant to the three pillar areas have arisen to which UNDP should consider responding through the Portfolio?</w:t>
      </w:r>
    </w:p>
    <w:p w14:paraId="1DDFF6E6" w14:textId="77777777" w:rsidR="00630D6B" w:rsidRPr="00DC5DC8" w:rsidRDefault="00630D6B" w:rsidP="00925CAD">
      <w:pPr>
        <w:pStyle w:val="Default"/>
        <w:numPr>
          <w:ilvl w:val="1"/>
          <w:numId w:val="67"/>
        </w:numPr>
        <w:jc w:val="both"/>
        <w:rPr>
          <w:rFonts w:ascii="Cambria" w:hAnsi="Cambria" w:cs="Calibri Light"/>
          <w:sz w:val="20"/>
          <w:szCs w:val="20"/>
        </w:rPr>
      </w:pPr>
      <w:r w:rsidRPr="00DC5DC8">
        <w:rPr>
          <w:rFonts w:ascii="Cambria" w:hAnsi="Cambria" w:cs="Calibri Light"/>
          <w:sz w:val="20"/>
          <w:szCs w:val="20"/>
        </w:rPr>
        <w:t>How strategic has UNDP’s approach been to achieve planned results under each of the Pillar areas vis-à-vis other development partners?</w:t>
      </w:r>
    </w:p>
    <w:p w14:paraId="340F91A6" w14:textId="23792CD7" w:rsidR="00630D6B" w:rsidRDefault="00630D6B" w:rsidP="00630D6B">
      <w:pPr>
        <w:pStyle w:val="Default"/>
        <w:ind w:left="720"/>
        <w:jc w:val="both"/>
        <w:rPr>
          <w:rFonts w:ascii="Cambria" w:hAnsi="Cambria" w:cs="Calibri Light"/>
          <w:sz w:val="20"/>
          <w:szCs w:val="20"/>
        </w:rPr>
      </w:pPr>
    </w:p>
    <w:p w14:paraId="7AB9F0A5" w14:textId="77777777" w:rsidR="00630D6B" w:rsidRPr="00DC5DC8" w:rsidRDefault="00630D6B" w:rsidP="00630D6B">
      <w:pPr>
        <w:pStyle w:val="Default"/>
        <w:ind w:left="720"/>
        <w:jc w:val="both"/>
        <w:rPr>
          <w:rFonts w:ascii="Cambria" w:hAnsi="Cambria" w:cs="Calibri Light"/>
          <w:sz w:val="20"/>
          <w:szCs w:val="20"/>
        </w:rPr>
      </w:pPr>
    </w:p>
    <w:p w14:paraId="54535AB4" w14:textId="77777777" w:rsidR="00630D6B" w:rsidRPr="00DC5DC8" w:rsidRDefault="00630D6B" w:rsidP="00925CAD">
      <w:pPr>
        <w:pStyle w:val="Default"/>
        <w:numPr>
          <w:ilvl w:val="0"/>
          <w:numId w:val="67"/>
        </w:numPr>
        <w:jc w:val="both"/>
        <w:rPr>
          <w:rFonts w:ascii="Cambria" w:hAnsi="Cambria" w:cs="Calibri Light"/>
          <w:sz w:val="20"/>
          <w:szCs w:val="20"/>
        </w:rPr>
      </w:pPr>
      <w:r w:rsidRPr="00DC5DC8">
        <w:rPr>
          <w:rFonts w:ascii="Cambria" w:hAnsi="Cambria" w:cs="Calibri Light"/>
          <w:b/>
          <w:bCs/>
          <w:sz w:val="20"/>
          <w:szCs w:val="20"/>
        </w:rPr>
        <w:t>Relevance:</w:t>
      </w:r>
    </w:p>
    <w:p w14:paraId="1CCB9D95" w14:textId="77777777" w:rsidR="00630D6B" w:rsidRPr="00DC5DC8" w:rsidRDefault="00630D6B" w:rsidP="00925CAD">
      <w:pPr>
        <w:pStyle w:val="Default"/>
        <w:numPr>
          <w:ilvl w:val="1"/>
          <w:numId w:val="67"/>
        </w:numPr>
        <w:jc w:val="both"/>
        <w:rPr>
          <w:rFonts w:ascii="Cambria" w:hAnsi="Cambria" w:cs="Calibri Light"/>
          <w:sz w:val="20"/>
          <w:szCs w:val="20"/>
        </w:rPr>
      </w:pPr>
      <w:r w:rsidRPr="00DC5DC8">
        <w:rPr>
          <w:rFonts w:ascii="Cambria" w:hAnsi="Cambria" w:cs="Calibri Light"/>
          <w:sz w:val="20"/>
          <w:szCs w:val="20"/>
        </w:rPr>
        <w:t>To what extent were the strategies adopted and achievements under each of the three pillars relevant to national and local contexts, needs and priorities?</w:t>
      </w:r>
    </w:p>
    <w:p w14:paraId="4A693013" w14:textId="77777777" w:rsidR="00630D6B" w:rsidRPr="00DC5DC8" w:rsidRDefault="00630D6B" w:rsidP="00925CAD">
      <w:pPr>
        <w:pStyle w:val="Default"/>
        <w:numPr>
          <w:ilvl w:val="1"/>
          <w:numId w:val="67"/>
        </w:numPr>
        <w:jc w:val="both"/>
        <w:rPr>
          <w:rFonts w:ascii="Cambria" w:hAnsi="Cambria" w:cs="Calibri Light"/>
          <w:sz w:val="20"/>
          <w:szCs w:val="20"/>
        </w:rPr>
      </w:pPr>
      <w:r w:rsidRPr="00DC5DC8">
        <w:rPr>
          <w:rFonts w:ascii="Cambria" w:hAnsi="Cambria" w:cs="Calibri Light"/>
          <w:sz w:val="20"/>
          <w:szCs w:val="20"/>
        </w:rPr>
        <w:lastRenderedPageBreak/>
        <w:t>What strategic re-alignments are required under reach of the thematic pillars, in terms of work already on-going /work that needs to be under-taken, to equip UNDP to better meet the needs on the ground in the changed country context given the new normal COVID situation and the socio-economic-political changes? Recommendations should take into consideration linked initiatives by Government and other development partners.</w:t>
      </w:r>
    </w:p>
    <w:p w14:paraId="406625AA" w14:textId="77777777" w:rsidR="00630D6B" w:rsidRPr="00DC5DC8" w:rsidRDefault="00630D6B" w:rsidP="00925CAD">
      <w:pPr>
        <w:pStyle w:val="Default"/>
        <w:numPr>
          <w:ilvl w:val="1"/>
          <w:numId w:val="67"/>
        </w:numPr>
        <w:jc w:val="both"/>
        <w:rPr>
          <w:rFonts w:ascii="Cambria" w:hAnsi="Cambria" w:cs="Calibri Light"/>
          <w:sz w:val="20"/>
          <w:szCs w:val="20"/>
        </w:rPr>
      </w:pPr>
      <w:r w:rsidRPr="00DC5DC8">
        <w:rPr>
          <w:rFonts w:ascii="Cambria" w:hAnsi="Cambria" w:cs="Calibri Light"/>
          <w:sz w:val="20"/>
          <w:szCs w:val="20"/>
        </w:rPr>
        <w:t xml:space="preserve">To what extent has analysis of cross cutting themes such as </w:t>
      </w:r>
      <w:r w:rsidRPr="00DC5DC8">
        <w:rPr>
          <w:rFonts w:ascii="Cambria" w:eastAsia="Times New Roman" w:hAnsi="Cambria"/>
          <w:sz w:val="20"/>
          <w:szCs w:val="20"/>
        </w:rPr>
        <w:t>climate change &amp; environment, women’s rights and gender equality, human rights, and anti-corruption</w:t>
      </w:r>
      <w:r w:rsidRPr="00DC5DC8">
        <w:rPr>
          <w:rFonts w:ascii="Cambria" w:hAnsi="Cambria" w:cs="Calibri Light"/>
          <w:sz w:val="20"/>
          <w:szCs w:val="20"/>
        </w:rPr>
        <w:t xml:space="preserve"> informed ongoing work under the three pillars and what changes are required to improve their mainstreaming across the pillars?</w:t>
      </w:r>
    </w:p>
    <w:p w14:paraId="29BFBFA7" w14:textId="77777777" w:rsidR="00630D6B" w:rsidRPr="00DC5DC8" w:rsidRDefault="00630D6B" w:rsidP="00630D6B">
      <w:pPr>
        <w:pStyle w:val="Default"/>
        <w:ind w:left="1440"/>
        <w:jc w:val="both"/>
        <w:rPr>
          <w:rFonts w:ascii="Cambria" w:hAnsi="Cambria" w:cs="Calibri Light"/>
          <w:sz w:val="20"/>
          <w:szCs w:val="20"/>
        </w:rPr>
      </w:pPr>
    </w:p>
    <w:p w14:paraId="3C283BCA" w14:textId="77777777" w:rsidR="00630D6B" w:rsidRPr="00DC5DC8" w:rsidRDefault="00630D6B" w:rsidP="00925CAD">
      <w:pPr>
        <w:pStyle w:val="CommentText"/>
        <w:numPr>
          <w:ilvl w:val="0"/>
          <w:numId w:val="67"/>
        </w:numPr>
        <w:pBdr>
          <w:top w:val="nil"/>
          <w:left w:val="nil"/>
          <w:bottom w:val="nil"/>
          <w:right w:val="nil"/>
          <w:between w:val="nil"/>
          <w:bar w:val="nil"/>
        </w:pBdr>
        <w:spacing w:after="0"/>
        <w:jc w:val="both"/>
        <w:rPr>
          <w:rFonts w:ascii="Cambria" w:hAnsi="Cambria" w:cs="Calibri Light"/>
        </w:rPr>
      </w:pPr>
      <w:r w:rsidRPr="00DC5DC8">
        <w:rPr>
          <w:rFonts w:ascii="Cambria" w:hAnsi="Cambria" w:cs="Calibri Light"/>
          <w:b/>
          <w:bCs/>
        </w:rPr>
        <w:t>Effectiveness:</w:t>
      </w:r>
    </w:p>
    <w:p w14:paraId="6E8A9137" w14:textId="77777777" w:rsidR="00630D6B" w:rsidRPr="00DC5DC8" w:rsidRDefault="00630D6B" w:rsidP="00925CAD">
      <w:pPr>
        <w:pStyle w:val="Default"/>
        <w:numPr>
          <w:ilvl w:val="1"/>
          <w:numId w:val="67"/>
        </w:numPr>
        <w:jc w:val="both"/>
        <w:rPr>
          <w:rFonts w:ascii="Cambria" w:hAnsi="Cambria" w:cs="Calibri Light"/>
          <w:sz w:val="20"/>
          <w:szCs w:val="20"/>
        </w:rPr>
      </w:pPr>
      <w:r w:rsidRPr="00DC5DC8">
        <w:rPr>
          <w:rFonts w:ascii="Cambria" w:hAnsi="Cambria" w:cs="Calibri Light"/>
          <w:sz w:val="20"/>
          <w:szCs w:val="20"/>
        </w:rPr>
        <w:t>To what extent did the Portfolio reach out to the targeted beneficiaries and reach planned results, under each of the three pillar areas?</w:t>
      </w:r>
    </w:p>
    <w:p w14:paraId="54F1ED34" w14:textId="77777777" w:rsidR="00630D6B" w:rsidRPr="00DC5DC8" w:rsidRDefault="00630D6B" w:rsidP="00925CAD">
      <w:pPr>
        <w:pStyle w:val="Default"/>
        <w:numPr>
          <w:ilvl w:val="1"/>
          <w:numId w:val="67"/>
        </w:numPr>
        <w:jc w:val="both"/>
        <w:rPr>
          <w:rFonts w:ascii="Cambria" w:hAnsi="Cambria" w:cs="Calibri Light"/>
          <w:sz w:val="20"/>
          <w:szCs w:val="20"/>
        </w:rPr>
      </w:pPr>
      <w:r w:rsidRPr="00DC5DC8">
        <w:rPr>
          <w:rFonts w:ascii="Cambria" w:hAnsi="Cambria" w:cs="Calibri Light"/>
          <w:sz w:val="20"/>
          <w:szCs w:val="20"/>
        </w:rPr>
        <w:t>How far have output level objectives been achieved? A rating scale is to be provided at out-put level to measure this.</w:t>
      </w:r>
    </w:p>
    <w:p w14:paraId="6025D867" w14:textId="77777777" w:rsidR="00630D6B" w:rsidRPr="00DC5DC8" w:rsidRDefault="00630D6B" w:rsidP="00925CAD">
      <w:pPr>
        <w:pStyle w:val="Default"/>
        <w:numPr>
          <w:ilvl w:val="1"/>
          <w:numId w:val="67"/>
        </w:numPr>
        <w:jc w:val="both"/>
        <w:rPr>
          <w:rFonts w:ascii="Cambria" w:hAnsi="Cambria" w:cs="Calibri Light"/>
          <w:sz w:val="20"/>
          <w:szCs w:val="20"/>
        </w:rPr>
      </w:pPr>
      <w:r w:rsidRPr="00DC5DC8">
        <w:rPr>
          <w:rFonts w:ascii="Cambria" w:hAnsi="Cambria" w:cs="Calibri Light"/>
          <w:sz w:val="20"/>
          <w:szCs w:val="20"/>
        </w:rPr>
        <w:t>How effective has the partner-selection process been under each pillar area to achieve planned results?</w:t>
      </w:r>
    </w:p>
    <w:p w14:paraId="26EBD291" w14:textId="77777777" w:rsidR="00630D6B" w:rsidRPr="00DC5DC8" w:rsidRDefault="00630D6B" w:rsidP="00925CAD">
      <w:pPr>
        <w:pStyle w:val="Default"/>
        <w:numPr>
          <w:ilvl w:val="1"/>
          <w:numId w:val="67"/>
        </w:numPr>
        <w:jc w:val="both"/>
        <w:rPr>
          <w:rFonts w:ascii="Cambria" w:hAnsi="Cambria" w:cs="Calibri Light"/>
          <w:sz w:val="20"/>
          <w:szCs w:val="20"/>
        </w:rPr>
      </w:pPr>
      <w:r w:rsidRPr="00DC5DC8">
        <w:rPr>
          <w:rFonts w:ascii="Cambria" w:hAnsi="Cambria" w:cs="Calibri Light"/>
          <w:sz w:val="20"/>
          <w:szCs w:val="20"/>
        </w:rPr>
        <w:t>Propose any adjustments in the portfolio necessary to enhance the effectiveness of partnerships forged and results achieved;</w:t>
      </w:r>
    </w:p>
    <w:p w14:paraId="3FF9D4C6" w14:textId="77777777" w:rsidR="00630D6B" w:rsidRPr="00DC5DC8" w:rsidRDefault="00630D6B" w:rsidP="00925CAD">
      <w:pPr>
        <w:pStyle w:val="Default"/>
        <w:numPr>
          <w:ilvl w:val="1"/>
          <w:numId w:val="67"/>
        </w:numPr>
        <w:jc w:val="both"/>
        <w:rPr>
          <w:rFonts w:ascii="Cambria" w:hAnsi="Cambria" w:cs="Calibri Light"/>
          <w:sz w:val="20"/>
          <w:szCs w:val="20"/>
        </w:rPr>
      </w:pPr>
      <w:r w:rsidRPr="00DC5DC8">
        <w:rPr>
          <w:rFonts w:ascii="Cambria" w:hAnsi="Cambria" w:cs="Calibri Light"/>
          <w:sz w:val="20"/>
          <w:szCs w:val="20"/>
        </w:rPr>
        <w:t>Has the portfolio approach enabled the CO to promote integrated approached across the three governance pillars and with other thematic areas of the CO including climate and environment as well as partnerships and engagement;</w:t>
      </w:r>
    </w:p>
    <w:p w14:paraId="6E64906F" w14:textId="77777777" w:rsidR="00630D6B" w:rsidRPr="00DC5DC8" w:rsidRDefault="00630D6B" w:rsidP="00630D6B">
      <w:pPr>
        <w:pStyle w:val="Default"/>
        <w:ind w:left="1440"/>
        <w:jc w:val="both"/>
        <w:rPr>
          <w:rFonts w:ascii="Cambria" w:hAnsi="Cambria" w:cs="Calibri Light"/>
          <w:sz w:val="20"/>
          <w:szCs w:val="20"/>
        </w:rPr>
      </w:pPr>
    </w:p>
    <w:p w14:paraId="2305F0BB" w14:textId="77777777" w:rsidR="00630D6B" w:rsidRPr="00DC5DC8" w:rsidRDefault="00630D6B" w:rsidP="00925CAD">
      <w:pPr>
        <w:pStyle w:val="Default"/>
        <w:numPr>
          <w:ilvl w:val="0"/>
          <w:numId w:val="67"/>
        </w:numPr>
        <w:jc w:val="both"/>
        <w:rPr>
          <w:rFonts w:ascii="Cambria" w:hAnsi="Cambria" w:cs="Calibri Light"/>
          <w:sz w:val="20"/>
          <w:szCs w:val="20"/>
        </w:rPr>
      </w:pPr>
      <w:r w:rsidRPr="00DC5DC8">
        <w:rPr>
          <w:rFonts w:ascii="Cambria" w:hAnsi="Cambria" w:cs="Calibri Light"/>
          <w:b/>
          <w:bCs/>
          <w:sz w:val="20"/>
          <w:szCs w:val="20"/>
        </w:rPr>
        <w:t>Efficiency:</w:t>
      </w:r>
      <w:r w:rsidRPr="00DC5DC8">
        <w:rPr>
          <w:rFonts w:ascii="Cambria" w:hAnsi="Cambria" w:cs="Calibri Light"/>
          <w:sz w:val="20"/>
          <w:szCs w:val="20"/>
        </w:rPr>
        <w:t xml:space="preserve"> </w:t>
      </w:r>
      <w:r w:rsidRPr="00DC5DC8">
        <w:rPr>
          <w:rFonts w:ascii="Cambria" w:hAnsi="Cambria" w:cs="Calibri Light"/>
          <w:bCs/>
          <w:sz w:val="20"/>
          <w:szCs w:val="20"/>
        </w:rPr>
        <w:t>the extent to which the Portfolio was efficiently managed, implemented and has delivered cost-efficient results</w:t>
      </w:r>
    </w:p>
    <w:p w14:paraId="35F0F9E5" w14:textId="77777777" w:rsidR="00630D6B" w:rsidRPr="00DC5DC8" w:rsidRDefault="00630D6B" w:rsidP="00925CAD">
      <w:pPr>
        <w:pStyle w:val="Default"/>
        <w:numPr>
          <w:ilvl w:val="1"/>
          <w:numId w:val="67"/>
        </w:numPr>
        <w:jc w:val="both"/>
        <w:rPr>
          <w:rFonts w:ascii="Cambria" w:hAnsi="Cambria" w:cs="Calibri Light"/>
          <w:sz w:val="20"/>
          <w:szCs w:val="20"/>
        </w:rPr>
      </w:pPr>
      <w:r w:rsidRPr="00DC5DC8">
        <w:rPr>
          <w:rFonts w:ascii="Cambria" w:hAnsi="Cambria" w:cs="Calibri Light"/>
          <w:sz w:val="20"/>
          <w:szCs w:val="20"/>
        </w:rPr>
        <w:t>Has the Portfolio used the most-effective methods to achieve the planned results under each of the three pillar areas? What changes are needed?</w:t>
      </w:r>
    </w:p>
    <w:p w14:paraId="78AF965D" w14:textId="77777777" w:rsidR="00630D6B" w:rsidRPr="00DC5DC8" w:rsidRDefault="00630D6B" w:rsidP="00925CAD">
      <w:pPr>
        <w:pStyle w:val="Default"/>
        <w:numPr>
          <w:ilvl w:val="1"/>
          <w:numId w:val="67"/>
        </w:numPr>
        <w:jc w:val="both"/>
        <w:rPr>
          <w:rFonts w:ascii="Cambria" w:hAnsi="Cambria" w:cs="Calibri Light"/>
          <w:sz w:val="20"/>
          <w:szCs w:val="20"/>
        </w:rPr>
      </w:pPr>
      <w:r w:rsidRPr="00DC5DC8">
        <w:rPr>
          <w:rFonts w:ascii="Cambria" w:hAnsi="Cambria" w:cs="Calibri Light"/>
          <w:sz w:val="20"/>
          <w:szCs w:val="20"/>
        </w:rPr>
        <w:t>What examples are available of best practices in cost-efficiency, and what improvements are needed?</w:t>
      </w:r>
    </w:p>
    <w:p w14:paraId="03285544" w14:textId="77777777" w:rsidR="00630D6B" w:rsidRPr="00DC5DC8" w:rsidRDefault="00630D6B" w:rsidP="00925CAD">
      <w:pPr>
        <w:pStyle w:val="Default"/>
        <w:numPr>
          <w:ilvl w:val="1"/>
          <w:numId w:val="67"/>
        </w:numPr>
        <w:jc w:val="both"/>
        <w:rPr>
          <w:rFonts w:ascii="Cambria" w:hAnsi="Cambria" w:cs="Calibri Light"/>
          <w:sz w:val="20"/>
          <w:szCs w:val="20"/>
        </w:rPr>
      </w:pPr>
      <w:r w:rsidRPr="00DC5DC8">
        <w:rPr>
          <w:rFonts w:ascii="Cambria" w:hAnsi="Cambria" w:cs="Calibri Light"/>
          <w:sz w:val="20"/>
          <w:szCs w:val="20"/>
        </w:rPr>
        <w:t>Have sufficient financial and human resources been allocated under each of the pillar areas to facilitate planned results? What changes are needed to enhance the efficiency of the portfolio?</w:t>
      </w:r>
    </w:p>
    <w:p w14:paraId="3D5BBF56" w14:textId="77777777" w:rsidR="00630D6B" w:rsidRPr="00DC5DC8" w:rsidRDefault="00630D6B" w:rsidP="00630D6B">
      <w:pPr>
        <w:pStyle w:val="Default"/>
        <w:ind w:left="1440"/>
        <w:jc w:val="both"/>
        <w:rPr>
          <w:rFonts w:ascii="Cambria" w:hAnsi="Cambria" w:cs="Calibri Light"/>
          <w:sz w:val="20"/>
          <w:szCs w:val="20"/>
        </w:rPr>
      </w:pPr>
    </w:p>
    <w:p w14:paraId="03C8117A" w14:textId="77777777" w:rsidR="00630D6B" w:rsidRPr="00DC5DC8" w:rsidRDefault="00630D6B" w:rsidP="00925CAD">
      <w:pPr>
        <w:pStyle w:val="Default"/>
        <w:numPr>
          <w:ilvl w:val="0"/>
          <w:numId w:val="67"/>
        </w:numPr>
        <w:jc w:val="both"/>
        <w:rPr>
          <w:rFonts w:ascii="Cambria" w:hAnsi="Cambria" w:cs="Calibri Light"/>
          <w:sz w:val="20"/>
          <w:szCs w:val="20"/>
        </w:rPr>
      </w:pPr>
      <w:r w:rsidRPr="00DC5DC8">
        <w:rPr>
          <w:rFonts w:ascii="Cambria" w:hAnsi="Cambria" w:cs="Calibri Light"/>
          <w:b/>
          <w:bCs/>
          <w:sz w:val="20"/>
          <w:szCs w:val="20"/>
        </w:rPr>
        <w:t>Impact:</w:t>
      </w:r>
    </w:p>
    <w:p w14:paraId="2D532786" w14:textId="77777777" w:rsidR="00630D6B" w:rsidRPr="00DC5DC8" w:rsidRDefault="00630D6B" w:rsidP="00925CAD">
      <w:pPr>
        <w:pStyle w:val="Default"/>
        <w:numPr>
          <w:ilvl w:val="1"/>
          <w:numId w:val="67"/>
        </w:numPr>
        <w:jc w:val="both"/>
        <w:rPr>
          <w:rFonts w:ascii="Cambria" w:hAnsi="Cambria" w:cs="Calibri Light"/>
          <w:sz w:val="20"/>
          <w:szCs w:val="20"/>
        </w:rPr>
      </w:pPr>
      <w:r w:rsidRPr="00DC5DC8">
        <w:rPr>
          <w:rFonts w:ascii="Cambria" w:hAnsi="Cambria" w:cs="Calibri Light"/>
          <w:sz w:val="20"/>
          <w:szCs w:val="20"/>
        </w:rPr>
        <w:t>To what extent are the out-put level achievements so far in-line with the outcome level-results planned under each of the pillar areas? What changes, if any, need to be made to ensure this?</w:t>
      </w:r>
    </w:p>
    <w:p w14:paraId="6A200DFA" w14:textId="77777777" w:rsidR="00630D6B" w:rsidRPr="00DC5DC8" w:rsidRDefault="00630D6B" w:rsidP="00925CAD">
      <w:pPr>
        <w:pStyle w:val="Default"/>
        <w:numPr>
          <w:ilvl w:val="1"/>
          <w:numId w:val="67"/>
        </w:numPr>
        <w:jc w:val="both"/>
        <w:rPr>
          <w:rFonts w:ascii="Cambria" w:hAnsi="Cambria" w:cs="Calibri Light"/>
          <w:sz w:val="20"/>
          <w:szCs w:val="20"/>
        </w:rPr>
      </w:pPr>
      <w:r w:rsidRPr="00DC5DC8">
        <w:rPr>
          <w:rFonts w:ascii="Cambria" w:hAnsi="Cambria" w:cs="Calibri Light"/>
          <w:sz w:val="20"/>
          <w:szCs w:val="20"/>
        </w:rPr>
        <w:t>Were there any positive or negative impacts observed so far? To what extent have vulnerable groups (including female headed households and people with disabilities) been positively or negatively impacted by work undertaken under the three pillars?</w:t>
      </w:r>
    </w:p>
    <w:p w14:paraId="6AC528E7" w14:textId="77777777" w:rsidR="00630D6B" w:rsidRPr="00DC5DC8" w:rsidRDefault="00630D6B" w:rsidP="00925CAD">
      <w:pPr>
        <w:pStyle w:val="Default"/>
        <w:numPr>
          <w:ilvl w:val="1"/>
          <w:numId w:val="67"/>
        </w:numPr>
        <w:jc w:val="both"/>
        <w:rPr>
          <w:rFonts w:ascii="Cambria" w:hAnsi="Cambria" w:cs="Calibri Light"/>
          <w:sz w:val="20"/>
          <w:szCs w:val="20"/>
        </w:rPr>
      </w:pPr>
      <w:r w:rsidRPr="00DC5DC8">
        <w:rPr>
          <w:rFonts w:ascii="Cambria" w:hAnsi="Cambria" w:cs="Calibri Light"/>
          <w:sz w:val="20"/>
          <w:szCs w:val="20"/>
        </w:rPr>
        <w:t>What strategic changes/re-alignment are required to achieve high-level results under the three pillar areas moving forwards? What new partnerships need to be explored?</w:t>
      </w:r>
    </w:p>
    <w:p w14:paraId="28BF1424" w14:textId="77777777" w:rsidR="00630D6B" w:rsidRPr="00DC5DC8" w:rsidRDefault="00630D6B" w:rsidP="00630D6B">
      <w:pPr>
        <w:pStyle w:val="Default"/>
        <w:ind w:left="1440"/>
        <w:jc w:val="both"/>
        <w:rPr>
          <w:rFonts w:ascii="Cambria" w:hAnsi="Cambria" w:cs="Calibri Light"/>
          <w:sz w:val="20"/>
          <w:szCs w:val="20"/>
        </w:rPr>
      </w:pPr>
    </w:p>
    <w:p w14:paraId="4574640C" w14:textId="77777777" w:rsidR="00630D6B" w:rsidRPr="00DC5DC8" w:rsidRDefault="00630D6B" w:rsidP="00925CAD">
      <w:pPr>
        <w:pStyle w:val="Default"/>
        <w:numPr>
          <w:ilvl w:val="0"/>
          <w:numId w:val="67"/>
        </w:numPr>
        <w:jc w:val="both"/>
        <w:rPr>
          <w:rFonts w:ascii="Cambria" w:hAnsi="Cambria" w:cs="Calibri Light"/>
          <w:sz w:val="20"/>
          <w:szCs w:val="20"/>
        </w:rPr>
      </w:pPr>
      <w:r w:rsidRPr="00DC5DC8">
        <w:rPr>
          <w:rFonts w:ascii="Cambria" w:hAnsi="Cambria" w:cs="Calibri Light"/>
          <w:b/>
          <w:bCs/>
          <w:sz w:val="20"/>
          <w:szCs w:val="20"/>
        </w:rPr>
        <w:t>Sustainability: and National Ownership</w:t>
      </w:r>
      <w:r w:rsidRPr="00DC5DC8">
        <w:rPr>
          <w:rFonts w:ascii="Cambria" w:hAnsi="Cambria" w:cs="Calibri Light"/>
          <w:sz w:val="20"/>
          <w:szCs w:val="20"/>
        </w:rPr>
        <w:t>:</w:t>
      </w:r>
    </w:p>
    <w:p w14:paraId="1D2EF854" w14:textId="77777777" w:rsidR="00630D6B" w:rsidRPr="00DC5DC8" w:rsidRDefault="00630D6B" w:rsidP="00925CAD">
      <w:pPr>
        <w:pStyle w:val="Default"/>
        <w:numPr>
          <w:ilvl w:val="1"/>
          <w:numId w:val="67"/>
        </w:numPr>
        <w:jc w:val="both"/>
        <w:rPr>
          <w:rFonts w:ascii="Cambria" w:hAnsi="Cambria" w:cs="Calibri Light"/>
          <w:sz w:val="20"/>
          <w:szCs w:val="20"/>
        </w:rPr>
      </w:pPr>
      <w:r w:rsidRPr="00DC5DC8">
        <w:rPr>
          <w:rFonts w:ascii="Cambria" w:hAnsi="Cambria" w:cs="Calibri Light"/>
          <w:sz w:val="20"/>
          <w:szCs w:val="20"/>
        </w:rPr>
        <w:t>What key national institutional capacities have been strengthened and what strong partnerships/networks have been established under each of the pillar areas to ensure continuity of results beyond the life-span of the Portfolio?</w:t>
      </w:r>
    </w:p>
    <w:p w14:paraId="2DF96B6F" w14:textId="77777777" w:rsidR="00630D6B" w:rsidRPr="00DC5DC8" w:rsidRDefault="00630D6B" w:rsidP="00925CAD">
      <w:pPr>
        <w:pStyle w:val="Default"/>
        <w:numPr>
          <w:ilvl w:val="1"/>
          <w:numId w:val="67"/>
        </w:numPr>
        <w:jc w:val="both"/>
        <w:rPr>
          <w:rFonts w:ascii="Cambria" w:hAnsi="Cambria" w:cs="Calibri Light"/>
          <w:sz w:val="20"/>
          <w:szCs w:val="20"/>
        </w:rPr>
      </w:pPr>
      <w:r w:rsidRPr="00DC5DC8">
        <w:rPr>
          <w:rFonts w:ascii="Cambria" w:hAnsi="Cambria" w:cs="Calibri Light"/>
          <w:sz w:val="20"/>
          <w:szCs w:val="20"/>
        </w:rPr>
        <w:t>What are the immediate/long term risks which may prevent the project from sustaining planned results under each of the three pillar areas?</w:t>
      </w:r>
    </w:p>
    <w:p w14:paraId="549B4EA6" w14:textId="77777777" w:rsidR="00630D6B" w:rsidRPr="00DC5DC8" w:rsidRDefault="00630D6B" w:rsidP="00925CAD">
      <w:pPr>
        <w:pStyle w:val="Default"/>
        <w:numPr>
          <w:ilvl w:val="1"/>
          <w:numId w:val="67"/>
        </w:numPr>
        <w:jc w:val="both"/>
        <w:rPr>
          <w:rFonts w:ascii="Cambria" w:hAnsi="Cambria" w:cs="Calibri Light"/>
          <w:sz w:val="20"/>
          <w:szCs w:val="20"/>
        </w:rPr>
      </w:pPr>
      <w:r w:rsidRPr="00DC5DC8">
        <w:rPr>
          <w:rFonts w:ascii="Cambria" w:hAnsi="Cambria" w:cs="Calibri Light"/>
          <w:sz w:val="20"/>
          <w:szCs w:val="20"/>
        </w:rPr>
        <w:t>What measures need to taken (including establishing altenative strategic partnerships ) in order to overcome the above mentioned risks, and achieve improved long-term sustainability?</w:t>
      </w:r>
    </w:p>
    <w:p w14:paraId="65252186" w14:textId="77777777" w:rsidR="00630D6B" w:rsidRPr="00DC5DC8" w:rsidRDefault="00630D6B" w:rsidP="00630D6B">
      <w:pPr>
        <w:pStyle w:val="Default"/>
        <w:jc w:val="both"/>
        <w:rPr>
          <w:rFonts w:ascii="Cambria" w:hAnsi="Cambria" w:cs="Calibri Light"/>
          <w:sz w:val="20"/>
          <w:szCs w:val="20"/>
        </w:rPr>
      </w:pPr>
    </w:p>
    <w:p w14:paraId="5C840F1C" w14:textId="77777777" w:rsidR="00630D6B" w:rsidRPr="00DC5DC8" w:rsidRDefault="00630D6B" w:rsidP="00630D6B">
      <w:pPr>
        <w:pStyle w:val="Default"/>
        <w:ind w:left="1440"/>
        <w:jc w:val="both"/>
        <w:rPr>
          <w:rFonts w:ascii="Cambria" w:hAnsi="Cambria" w:cs="Calibri Light"/>
          <w:sz w:val="20"/>
          <w:szCs w:val="20"/>
        </w:rPr>
      </w:pPr>
    </w:p>
    <w:p w14:paraId="5144818F" w14:textId="77777777" w:rsidR="00630D6B" w:rsidRPr="00DC5DC8" w:rsidRDefault="00630D6B" w:rsidP="00925CAD">
      <w:pPr>
        <w:pStyle w:val="Default"/>
        <w:numPr>
          <w:ilvl w:val="1"/>
          <w:numId w:val="67"/>
        </w:numPr>
        <w:jc w:val="both"/>
        <w:rPr>
          <w:rFonts w:ascii="Cambria" w:hAnsi="Cambria" w:cs="Calibri Light"/>
          <w:b/>
          <w:bCs/>
          <w:sz w:val="20"/>
          <w:szCs w:val="20"/>
        </w:rPr>
      </w:pPr>
      <w:r w:rsidRPr="00DC5DC8">
        <w:rPr>
          <w:rFonts w:ascii="Cambria" w:hAnsi="Cambria" w:cs="Calibri Light"/>
          <w:b/>
          <w:bCs/>
          <w:sz w:val="20"/>
          <w:szCs w:val="20"/>
        </w:rPr>
        <w:t>Management and Monitoring:</w:t>
      </w:r>
      <w:r w:rsidRPr="00DC5DC8">
        <w:rPr>
          <w:rFonts w:ascii="Cambria" w:hAnsi="Cambria" w:cs="Calibri Light"/>
          <w:sz w:val="20"/>
          <w:szCs w:val="20"/>
        </w:rPr>
        <w:t xml:space="preserve"> effective are the Governance and management arrangements of the Portfolio? Is the Project Board providing the required quality assurance and oversight of implementation decision-making?</w:t>
      </w:r>
    </w:p>
    <w:p w14:paraId="4C2B235D" w14:textId="77777777" w:rsidR="00630D6B" w:rsidRPr="00DC5DC8" w:rsidRDefault="00630D6B" w:rsidP="00925CAD">
      <w:pPr>
        <w:pStyle w:val="Default"/>
        <w:numPr>
          <w:ilvl w:val="1"/>
          <w:numId w:val="67"/>
        </w:numPr>
        <w:jc w:val="both"/>
        <w:rPr>
          <w:rFonts w:ascii="Cambria" w:hAnsi="Cambria" w:cs="Calibri Light"/>
          <w:b/>
          <w:bCs/>
          <w:sz w:val="20"/>
          <w:szCs w:val="20"/>
        </w:rPr>
      </w:pPr>
      <w:r w:rsidRPr="00DC5DC8">
        <w:rPr>
          <w:rFonts w:ascii="Cambria" w:hAnsi="Cambria" w:cs="Calibri Light"/>
          <w:sz w:val="20"/>
          <w:szCs w:val="20"/>
        </w:rPr>
        <w:t>How effective are the Portfolio’s results framework, monitoring and reporting plans and other monitoring mechanisms in regularly measuring change?</w:t>
      </w:r>
    </w:p>
    <w:p w14:paraId="2DF88D83" w14:textId="77777777" w:rsidR="00630D6B" w:rsidRPr="00DC5DC8" w:rsidRDefault="00630D6B" w:rsidP="00925CAD">
      <w:pPr>
        <w:pStyle w:val="Default"/>
        <w:numPr>
          <w:ilvl w:val="1"/>
          <w:numId w:val="67"/>
        </w:numPr>
        <w:jc w:val="both"/>
        <w:rPr>
          <w:rFonts w:ascii="Cambria" w:hAnsi="Cambria" w:cs="Calibri Light"/>
          <w:b/>
          <w:bCs/>
          <w:sz w:val="20"/>
          <w:szCs w:val="20"/>
        </w:rPr>
      </w:pPr>
      <w:r w:rsidRPr="00DC5DC8">
        <w:rPr>
          <w:rFonts w:ascii="Cambria" w:hAnsi="Cambria" w:cs="Calibri Light"/>
          <w:sz w:val="20"/>
          <w:szCs w:val="20"/>
        </w:rPr>
        <w:t>Are gender-responsive changes and sex-disaggregated indicators being measured across the three pillars?</w:t>
      </w:r>
    </w:p>
    <w:p w14:paraId="3359B58E" w14:textId="77777777" w:rsidR="00630D6B" w:rsidRPr="00DC5DC8" w:rsidRDefault="00630D6B" w:rsidP="00925CAD">
      <w:pPr>
        <w:pStyle w:val="Default"/>
        <w:numPr>
          <w:ilvl w:val="0"/>
          <w:numId w:val="67"/>
        </w:numPr>
        <w:jc w:val="both"/>
        <w:rPr>
          <w:rFonts w:ascii="Cambria" w:hAnsi="Cambria" w:cs="Calibri Light"/>
          <w:b/>
          <w:bCs/>
          <w:sz w:val="20"/>
          <w:szCs w:val="20"/>
        </w:rPr>
      </w:pPr>
      <w:r w:rsidRPr="00DC5DC8">
        <w:rPr>
          <w:rFonts w:ascii="Cambria" w:hAnsi="Cambria" w:cs="Calibri Light"/>
          <w:sz w:val="20"/>
          <w:szCs w:val="20"/>
        </w:rPr>
        <w:t>Propose any modifications</w:t>
      </w:r>
    </w:p>
    <w:p w14:paraId="1396CFB2" w14:textId="77777777" w:rsidR="00630D6B" w:rsidRPr="00DC5DC8" w:rsidRDefault="00630D6B" w:rsidP="00925CAD">
      <w:pPr>
        <w:pStyle w:val="Default"/>
        <w:numPr>
          <w:ilvl w:val="1"/>
          <w:numId w:val="67"/>
        </w:numPr>
        <w:jc w:val="both"/>
        <w:rPr>
          <w:rFonts w:ascii="Cambria" w:hAnsi="Cambria" w:cs="Calibri Light"/>
          <w:sz w:val="20"/>
          <w:szCs w:val="20"/>
        </w:rPr>
      </w:pPr>
      <w:r w:rsidRPr="00DC5DC8">
        <w:rPr>
          <w:rFonts w:ascii="Cambria" w:hAnsi="Cambria" w:cs="Calibri Light"/>
          <w:sz w:val="20"/>
          <w:szCs w:val="20"/>
        </w:rPr>
        <w:t xml:space="preserve">How </w:t>
      </w:r>
    </w:p>
    <w:p w14:paraId="1BAAA19A" w14:textId="77777777" w:rsidR="00630D6B" w:rsidRPr="00DC5DC8" w:rsidRDefault="00630D6B" w:rsidP="00925CAD">
      <w:pPr>
        <w:pStyle w:val="Default"/>
        <w:numPr>
          <w:ilvl w:val="1"/>
          <w:numId w:val="67"/>
        </w:numPr>
        <w:jc w:val="both"/>
        <w:rPr>
          <w:rFonts w:ascii="Cambria" w:hAnsi="Cambria" w:cs="Calibri Light"/>
          <w:b/>
          <w:bCs/>
          <w:sz w:val="20"/>
          <w:szCs w:val="20"/>
        </w:rPr>
      </w:pPr>
      <w:r w:rsidRPr="00DC5DC8">
        <w:rPr>
          <w:rFonts w:ascii="Cambria" w:hAnsi="Cambria" w:cs="Calibri Light"/>
          <w:sz w:val="20"/>
          <w:szCs w:val="20"/>
        </w:rPr>
        <w:t>to the management and management arrangements to ensure achievement of higher quality results;</w:t>
      </w:r>
    </w:p>
    <w:p w14:paraId="7C0664C9" w14:textId="77777777" w:rsidR="00630D6B" w:rsidRPr="00DC5DC8" w:rsidRDefault="00630D6B" w:rsidP="00630D6B">
      <w:pPr>
        <w:pStyle w:val="Default"/>
        <w:ind w:left="1440"/>
        <w:jc w:val="both"/>
        <w:rPr>
          <w:rFonts w:ascii="Cambria" w:hAnsi="Cambria" w:cs="Calibri Light"/>
          <w:b/>
          <w:bCs/>
          <w:sz w:val="20"/>
          <w:szCs w:val="20"/>
        </w:rPr>
      </w:pPr>
    </w:p>
    <w:p w14:paraId="1C557D0A" w14:textId="77777777" w:rsidR="00630D6B" w:rsidRPr="00DC5DC8" w:rsidRDefault="00630D6B" w:rsidP="00630D6B">
      <w:pPr>
        <w:pStyle w:val="Default"/>
        <w:ind w:left="1440"/>
        <w:jc w:val="both"/>
        <w:rPr>
          <w:rFonts w:ascii="Cambria" w:hAnsi="Cambria" w:cs="Calibri Light"/>
          <w:b/>
          <w:bCs/>
          <w:sz w:val="20"/>
          <w:szCs w:val="20"/>
        </w:rPr>
      </w:pPr>
    </w:p>
    <w:p w14:paraId="16AAB297" w14:textId="77777777" w:rsidR="00630D6B" w:rsidRPr="00DC5DC8" w:rsidRDefault="00630D6B" w:rsidP="00630D6B">
      <w:pPr>
        <w:pStyle w:val="Default"/>
        <w:jc w:val="both"/>
        <w:rPr>
          <w:rFonts w:ascii="Cambria" w:hAnsi="Cambria" w:cs="Calibri Light"/>
          <w:b/>
          <w:bCs/>
          <w:sz w:val="20"/>
          <w:szCs w:val="20"/>
        </w:rPr>
      </w:pPr>
      <w:r w:rsidRPr="00DC5DC8">
        <w:rPr>
          <w:rFonts w:ascii="Cambria" w:hAnsi="Cambria" w:cs="Calibri Light"/>
          <w:b/>
          <w:bCs/>
          <w:sz w:val="20"/>
          <w:szCs w:val="20"/>
        </w:rPr>
        <w:t>4. Methodology.</w:t>
      </w:r>
    </w:p>
    <w:p w14:paraId="2D92090C" w14:textId="77777777" w:rsidR="00630D6B" w:rsidRPr="00DC5DC8" w:rsidRDefault="00630D6B" w:rsidP="00630D6B">
      <w:pPr>
        <w:pStyle w:val="Default"/>
        <w:jc w:val="both"/>
        <w:rPr>
          <w:rFonts w:ascii="Cambria" w:hAnsi="Cambria" w:cs="Calibri Light"/>
          <w:b/>
          <w:bCs/>
          <w:sz w:val="20"/>
          <w:szCs w:val="20"/>
        </w:rPr>
      </w:pPr>
    </w:p>
    <w:p w14:paraId="5671E20E" w14:textId="77777777" w:rsidR="00630D6B" w:rsidRPr="00DC5DC8" w:rsidRDefault="00630D6B" w:rsidP="00630D6B">
      <w:pPr>
        <w:jc w:val="both"/>
        <w:rPr>
          <w:rFonts w:ascii="Cambria" w:hAnsi="Cambria" w:cs="Calibri Light"/>
          <w:sz w:val="20"/>
          <w:szCs w:val="20"/>
        </w:rPr>
      </w:pPr>
      <w:r w:rsidRPr="00DC5DC8">
        <w:rPr>
          <w:rFonts w:ascii="Cambria" w:eastAsia="Calibri" w:hAnsi="Cambria" w:cs="Calibri Light"/>
          <w:sz w:val="20"/>
          <w:szCs w:val="20"/>
        </w:rPr>
        <w:t>The evaluation should be conducted in-line with the principles outlined in the United Nations Evaluation Group (UNEG) “Ethical Guidelines for Evaluations.”</w:t>
      </w:r>
      <w:r w:rsidRPr="00DC5DC8">
        <w:rPr>
          <w:rStyle w:val="FootnoteReference"/>
          <w:rFonts w:ascii="Cambria" w:eastAsia="Calibri" w:hAnsi="Cambria" w:cs="Calibri Light"/>
          <w:sz w:val="20"/>
          <w:szCs w:val="20"/>
        </w:rPr>
        <w:footnoteReference w:id="146"/>
      </w:r>
      <w:r w:rsidRPr="00DC5DC8">
        <w:rPr>
          <w:rFonts w:ascii="Cambria" w:eastAsia="Calibri" w:hAnsi="Cambria" w:cs="Calibri Light"/>
          <w:sz w:val="20"/>
          <w:szCs w:val="20"/>
        </w:rPr>
        <w:t xml:space="preserve"> </w:t>
      </w:r>
      <w:r w:rsidRPr="00DC5DC8">
        <w:rPr>
          <w:rFonts w:ascii="Cambria" w:hAnsi="Cambria" w:cs="Calibri Light"/>
          <w:sz w:val="20"/>
          <w:szCs w:val="20"/>
        </w:rPr>
        <w:t>The rationale behind key methodological decisions, including sample selection and data collection tool development and administration, and their limitations (including an analysis of how such limitations would affect key findings and conclusions) should be systematically elaborated in the proposed evaluation methodology. To ensure accuracy and credibility of the findings, data should be triangulated as far as possible with the use of multiple primary and secondary data collection methods and sources, including but not limited to desk reviews, document analysis, key informant interviews /focus group discussions with rights-holders and thematic experts (these could be conducted virtually subject to the country context exigencies)  and case studies. The methodology should outline the strategies to answer the evaluation criteria and key questions above, including proposed strategies to assess gender related aspects.</w:t>
      </w:r>
    </w:p>
    <w:p w14:paraId="69FA24FA" w14:textId="77777777" w:rsidR="00630D6B" w:rsidRPr="00DC5DC8" w:rsidRDefault="00630D6B" w:rsidP="00630D6B">
      <w:pPr>
        <w:jc w:val="both"/>
        <w:rPr>
          <w:rFonts w:ascii="Cambria" w:hAnsi="Cambria" w:cs="Calibri Light"/>
          <w:sz w:val="20"/>
          <w:szCs w:val="20"/>
        </w:rPr>
      </w:pPr>
    </w:p>
    <w:p w14:paraId="59A7DD62" w14:textId="77777777" w:rsidR="00630D6B" w:rsidRPr="00DC5DC8" w:rsidRDefault="00630D6B" w:rsidP="00630D6B">
      <w:pPr>
        <w:jc w:val="both"/>
        <w:rPr>
          <w:rFonts w:ascii="Cambria" w:hAnsi="Cambria" w:cs="Calibri Light"/>
          <w:sz w:val="20"/>
          <w:szCs w:val="20"/>
        </w:rPr>
      </w:pPr>
    </w:p>
    <w:p w14:paraId="17E4CCF9" w14:textId="77777777" w:rsidR="00630D6B" w:rsidRPr="00DC5DC8" w:rsidRDefault="00630D6B" w:rsidP="00630D6B">
      <w:pPr>
        <w:pStyle w:val="Default"/>
        <w:jc w:val="both"/>
        <w:rPr>
          <w:rFonts w:ascii="Cambria" w:hAnsi="Cambria" w:cs="Calibri Light"/>
          <w:b/>
          <w:bCs/>
          <w:sz w:val="20"/>
          <w:szCs w:val="20"/>
        </w:rPr>
      </w:pPr>
      <w:r w:rsidRPr="00DC5DC8">
        <w:rPr>
          <w:rFonts w:ascii="Cambria" w:hAnsi="Cambria" w:cs="Calibri Light"/>
          <w:b/>
          <w:bCs/>
          <w:sz w:val="20"/>
          <w:szCs w:val="20"/>
        </w:rPr>
        <w:t>5. Key Deliverables</w:t>
      </w:r>
    </w:p>
    <w:p w14:paraId="3F98342A" w14:textId="77777777" w:rsidR="00630D6B" w:rsidRPr="00DC5DC8" w:rsidRDefault="00630D6B" w:rsidP="00630D6B">
      <w:pPr>
        <w:pStyle w:val="Default"/>
        <w:jc w:val="both"/>
        <w:rPr>
          <w:rFonts w:ascii="Cambria" w:hAnsi="Cambria" w:cs="Calibri Light"/>
          <w:b/>
          <w:bCs/>
          <w:sz w:val="20"/>
          <w:szCs w:val="20"/>
        </w:rPr>
      </w:pPr>
    </w:p>
    <w:p w14:paraId="4D160294" w14:textId="77777777" w:rsidR="00630D6B" w:rsidRPr="00DC5DC8" w:rsidRDefault="00630D6B" w:rsidP="00630D6B">
      <w:pPr>
        <w:pStyle w:val="Default"/>
        <w:jc w:val="both"/>
        <w:rPr>
          <w:rFonts w:ascii="Cambria" w:hAnsi="Cambria" w:cs="Calibri Light"/>
          <w:b/>
          <w:bCs/>
          <w:sz w:val="20"/>
          <w:szCs w:val="20"/>
        </w:rPr>
      </w:pPr>
    </w:p>
    <w:tbl>
      <w:tblPr>
        <w:tblW w:w="99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000000"/>
        <w:tblLayout w:type="fixed"/>
        <w:tblLook w:val="04A0" w:firstRow="1" w:lastRow="0" w:firstColumn="1" w:lastColumn="0" w:noHBand="0" w:noVBand="1"/>
      </w:tblPr>
      <w:tblGrid>
        <w:gridCol w:w="2000"/>
        <w:gridCol w:w="5380"/>
        <w:gridCol w:w="1280"/>
        <w:gridCol w:w="1240"/>
      </w:tblGrid>
      <w:tr w:rsidR="00630D6B" w:rsidRPr="00DC5DC8" w14:paraId="7053541A" w14:textId="77777777" w:rsidTr="00F53B9B">
        <w:trPr>
          <w:trHeight w:val="680"/>
        </w:trPr>
        <w:tc>
          <w:tcPr>
            <w:tcW w:w="2000" w:type="dxa"/>
            <w:tcBorders>
              <w:top w:val="single" w:sz="8" w:space="0" w:color="000000"/>
              <w:left w:val="single" w:sz="8" w:space="0" w:color="000000"/>
              <w:bottom w:val="single" w:sz="8" w:space="0" w:color="000000"/>
              <w:right w:val="single" w:sz="8" w:space="0" w:color="000000"/>
            </w:tcBorders>
            <w:shd w:val="clear" w:color="auto" w:fill="DDDDDD"/>
            <w:tcMar>
              <w:top w:w="0" w:type="dxa"/>
              <w:left w:w="0" w:type="dxa"/>
              <w:bottom w:w="0" w:type="dxa"/>
              <w:right w:w="0" w:type="dxa"/>
            </w:tcMar>
          </w:tcPr>
          <w:p w14:paraId="606DC101" w14:textId="77777777" w:rsidR="00630D6B" w:rsidRPr="00DC5DC8" w:rsidRDefault="00630D6B" w:rsidP="00F53B9B">
            <w:pPr>
              <w:tabs>
                <w:tab w:val="left" w:pos="1440"/>
              </w:tabs>
              <w:suppressAutoHyphens/>
              <w:jc w:val="center"/>
              <w:outlineLvl w:val="0"/>
              <w:rPr>
                <w:rFonts w:ascii="Cambria" w:eastAsia="Calibri" w:hAnsi="Cambria" w:cs="Calibri Light"/>
                <w:b/>
                <w:bCs/>
                <w:color w:val="000000"/>
                <w:sz w:val="20"/>
                <w:szCs w:val="20"/>
              </w:rPr>
            </w:pPr>
          </w:p>
          <w:p w14:paraId="6D922A03" w14:textId="77777777" w:rsidR="00630D6B" w:rsidRPr="00DC5DC8" w:rsidRDefault="00630D6B" w:rsidP="00F53B9B">
            <w:pPr>
              <w:tabs>
                <w:tab w:val="left" w:pos="1440"/>
              </w:tabs>
              <w:suppressAutoHyphens/>
              <w:jc w:val="center"/>
              <w:outlineLvl w:val="0"/>
              <w:rPr>
                <w:rFonts w:ascii="Cambria" w:hAnsi="Cambria" w:cs="Calibri Light"/>
                <w:sz w:val="20"/>
                <w:szCs w:val="20"/>
              </w:rPr>
            </w:pPr>
            <w:r w:rsidRPr="00DC5DC8">
              <w:rPr>
                <w:rFonts w:ascii="Cambria" w:eastAsia="Calibri" w:hAnsi="Cambria" w:cs="Calibri Light"/>
                <w:b/>
                <w:bCs/>
                <w:color w:val="000000"/>
                <w:sz w:val="20"/>
                <w:szCs w:val="20"/>
              </w:rPr>
              <w:t>Key deliverables</w:t>
            </w:r>
          </w:p>
        </w:tc>
        <w:tc>
          <w:tcPr>
            <w:tcW w:w="5380" w:type="dxa"/>
            <w:tcBorders>
              <w:top w:val="single" w:sz="8" w:space="0" w:color="000000"/>
              <w:left w:val="single" w:sz="8" w:space="0" w:color="000000"/>
              <w:bottom w:val="single" w:sz="8" w:space="0" w:color="000000"/>
              <w:right w:val="single" w:sz="8" w:space="0" w:color="000000"/>
            </w:tcBorders>
            <w:shd w:val="clear" w:color="auto" w:fill="DDDDDD"/>
            <w:tcMar>
              <w:top w:w="0" w:type="dxa"/>
              <w:left w:w="0" w:type="dxa"/>
              <w:bottom w:w="0" w:type="dxa"/>
              <w:right w:w="0" w:type="dxa"/>
            </w:tcMar>
          </w:tcPr>
          <w:p w14:paraId="1B62AF73" w14:textId="77777777" w:rsidR="00630D6B" w:rsidRPr="00DC5DC8" w:rsidRDefault="00630D6B" w:rsidP="00F53B9B">
            <w:pPr>
              <w:tabs>
                <w:tab w:val="left" w:pos="1440"/>
                <w:tab w:val="left" w:pos="2880"/>
                <w:tab w:val="left" w:pos="4320"/>
              </w:tabs>
              <w:suppressAutoHyphens/>
              <w:jc w:val="center"/>
              <w:outlineLvl w:val="0"/>
              <w:rPr>
                <w:rFonts w:ascii="Cambria" w:eastAsia="Calibri" w:hAnsi="Cambria" w:cs="Calibri Light"/>
                <w:b/>
                <w:bCs/>
                <w:color w:val="000000"/>
                <w:sz w:val="20"/>
                <w:szCs w:val="20"/>
              </w:rPr>
            </w:pPr>
          </w:p>
          <w:p w14:paraId="33F19A15" w14:textId="77777777" w:rsidR="00630D6B" w:rsidRPr="00DC5DC8" w:rsidRDefault="00630D6B" w:rsidP="00F53B9B">
            <w:pPr>
              <w:tabs>
                <w:tab w:val="left" w:pos="1440"/>
                <w:tab w:val="left" w:pos="2880"/>
                <w:tab w:val="left" w:pos="4320"/>
              </w:tabs>
              <w:suppressAutoHyphens/>
              <w:jc w:val="center"/>
              <w:outlineLvl w:val="0"/>
              <w:rPr>
                <w:rFonts w:ascii="Cambria" w:hAnsi="Cambria" w:cs="Calibri Light"/>
                <w:sz w:val="20"/>
                <w:szCs w:val="20"/>
              </w:rPr>
            </w:pPr>
            <w:r w:rsidRPr="00DC5DC8">
              <w:rPr>
                <w:rFonts w:ascii="Cambria" w:eastAsia="Calibri" w:hAnsi="Cambria" w:cs="Calibri Light"/>
                <w:b/>
                <w:bCs/>
                <w:color w:val="000000"/>
                <w:sz w:val="20"/>
                <w:szCs w:val="20"/>
              </w:rPr>
              <w:t>Details of expected deliverables</w:t>
            </w:r>
          </w:p>
        </w:tc>
        <w:tc>
          <w:tcPr>
            <w:tcW w:w="1280" w:type="dxa"/>
            <w:tcBorders>
              <w:top w:val="single" w:sz="8" w:space="0" w:color="000000"/>
              <w:left w:val="single" w:sz="8" w:space="0" w:color="000000"/>
              <w:bottom w:val="single" w:sz="8" w:space="0" w:color="000000"/>
              <w:right w:val="single" w:sz="8" w:space="0" w:color="000000"/>
            </w:tcBorders>
            <w:shd w:val="clear" w:color="auto" w:fill="DDDDDD"/>
          </w:tcPr>
          <w:p w14:paraId="56B0E029" w14:textId="77777777" w:rsidR="00630D6B" w:rsidRPr="00DC5DC8" w:rsidRDefault="00630D6B" w:rsidP="00F53B9B">
            <w:pPr>
              <w:tabs>
                <w:tab w:val="left" w:pos="1440"/>
              </w:tabs>
              <w:suppressAutoHyphens/>
              <w:jc w:val="center"/>
              <w:outlineLvl w:val="0"/>
              <w:rPr>
                <w:rFonts w:ascii="Cambria" w:eastAsia="Calibri" w:hAnsi="Cambria" w:cs="Calibri Light"/>
                <w:b/>
                <w:bCs/>
                <w:color w:val="000000"/>
                <w:sz w:val="20"/>
                <w:szCs w:val="20"/>
              </w:rPr>
            </w:pPr>
            <w:r w:rsidRPr="00DC5DC8">
              <w:rPr>
                <w:rFonts w:ascii="Cambria" w:eastAsia="Calibri" w:hAnsi="Cambria" w:cs="Calibri Light"/>
                <w:b/>
                <w:bCs/>
                <w:color w:val="000000"/>
                <w:sz w:val="20"/>
                <w:szCs w:val="20"/>
              </w:rPr>
              <w:t>Percentage of total contract</w:t>
            </w:r>
          </w:p>
        </w:tc>
        <w:tc>
          <w:tcPr>
            <w:tcW w:w="1240" w:type="dxa"/>
            <w:tcBorders>
              <w:top w:val="single" w:sz="8" w:space="0" w:color="000000"/>
              <w:left w:val="single" w:sz="8" w:space="0" w:color="000000"/>
              <w:bottom w:val="single" w:sz="8" w:space="0" w:color="000000"/>
              <w:right w:val="single" w:sz="8" w:space="0" w:color="000000"/>
            </w:tcBorders>
            <w:shd w:val="clear" w:color="auto" w:fill="DDDDDD"/>
            <w:tcMar>
              <w:top w:w="0" w:type="dxa"/>
              <w:left w:w="0" w:type="dxa"/>
              <w:bottom w:w="0" w:type="dxa"/>
              <w:right w:w="0" w:type="dxa"/>
            </w:tcMar>
          </w:tcPr>
          <w:p w14:paraId="5A945823" w14:textId="77777777" w:rsidR="00630D6B" w:rsidRPr="00DC5DC8" w:rsidRDefault="00630D6B" w:rsidP="00F53B9B">
            <w:pPr>
              <w:tabs>
                <w:tab w:val="left" w:pos="1440"/>
              </w:tabs>
              <w:suppressAutoHyphens/>
              <w:jc w:val="center"/>
              <w:outlineLvl w:val="0"/>
              <w:rPr>
                <w:rFonts w:ascii="Cambria" w:hAnsi="Cambria" w:cs="Calibri Light"/>
                <w:sz w:val="20"/>
                <w:szCs w:val="20"/>
              </w:rPr>
            </w:pPr>
            <w:r w:rsidRPr="00DC5DC8">
              <w:rPr>
                <w:rFonts w:ascii="Cambria" w:eastAsia="Calibri" w:hAnsi="Cambria" w:cs="Calibri Light"/>
                <w:b/>
                <w:bCs/>
                <w:color w:val="000000"/>
                <w:sz w:val="20"/>
                <w:szCs w:val="20"/>
              </w:rPr>
              <w:t>Indicative Timeframe</w:t>
            </w:r>
          </w:p>
          <w:p w14:paraId="08062F5A" w14:textId="77777777" w:rsidR="00630D6B" w:rsidRPr="00DC5DC8" w:rsidRDefault="00630D6B" w:rsidP="00F53B9B">
            <w:pPr>
              <w:tabs>
                <w:tab w:val="left" w:pos="1440"/>
              </w:tabs>
              <w:suppressAutoHyphens/>
              <w:jc w:val="center"/>
              <w:outlineLvl w:val="0"/>
              <w:rPr>
                <w:rFonts w:ascii="Cambria" w:hAnsi="Cambria" w:cs="Calibri Light"/>
                <w:sz w:val="20"/>
                <w:szCs w:val="20"/>
              </w:rPr>
            </w:pPr>
          </w:p>
        </w:tc>
      </w:tr>
      <w:tr w:rsidR="00630D6B" w:rsidRPr="00DC5DC8" w14:paraId="68B8DA51" w14:textId="77777777" w:rsidTr="00F53B9B">
        <w:trPr>
          <w:trHeight w:val="988"/>
        </w:trPr>
        <w:tc>
          <w:tcPr>
            <w:tcW w:w="2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7CE636E" w14:textId="77777777" w:rsidR="00630D6B" w:rsidRPr="00DC5DC8" w:rsidRDefault="00630D6B" w:rsidP="00F53B9B">
            <w:pPr>
              <w:tabs>
                <w:tab w:val="left" w:pos="1440"/>
              </w:tabs>
              <w:suppressAutoHyphens/>
              <w:outlineLvl w:val="0"/>
              <w:rPr>
                <w:rFonts w:ascii="Cambria" w:hAnsi="Cambria" w:cs="Calibri Light"/>
                <w:sz w:val="20"/>
                <w:szCs w:val="20"/>
              </w:rPr>
            </w:pPr>
            <w:r w:rsidRPr="00DC5DC8">
              <w:rPr>
                <w:rFonts w:ascii="Cambria" w:eastAsia="Calibri" w:hAnsi="Cambria" w:cs="Calibri Light"/>
                <w:color w:val="000000"/>
                <w:sz w:val="20"/>
                <w:szCs w:val="20"/>
              </w:rPr>
              <w:t>1. Consolidated Inception Report</w:t>
            </w:r>
          </w:p>
        </w:tc>
        <w:tc>
          <w:tcPr>
            <w:tcW w:w="5380" w:type="dxa"/>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53C941B6" w14:textId="77777777" w:rsidR="00630D6B" w:rsidRPr="00DC5DC8" w:rsidRDefault="00630D6B" w:rsidP="00F53B9B">
            <w:pPr>
              <w:jc w:val="both"/>
              <w:rPr>
                <w:rFonts w:ascii="Cambria" w:eastAsia="Calibri" w:hAnsi="Cambria" w:cs="Calibri Light"/>
                <w:b/>
                <w:color w:val="000000"/>
                <w:sz w:val="20"/>
                <w:szCs w:val="20"/>
              </w:rPr>
            </w:pPr>
            <w:r w:rsidRPr="00DC5DC8">
              <w:rPr>
                <w:rFonts w:ascii="Cambria" w:hAnsi="Cambria" w:cs="Calibri Light"/>
                <w:sz w:val="20"/>
                <w:szCs w:val="20"/>
              </w:rPr>
              <w:t>The Inception Report should include a Rapid Evaluability Assessment (REA), and should be carried out following preliminary discussions with UNDP as well as relevant desk review of documentation available. The scope covered, final   methodological choices in the context of the COVID-19 crisis, evaluation schedule, and data collection plan and draft tools (questionnaires/surveys/interview questions etc.) should be included in the Report. The inception report should be developed and  consolidated with the report provided by the independent consultant assigned to evaluate  Pillar 3 of the portfolio.</w:t>
            </w:r>
          </w:p>
          <w:p w14:paraId="6AEAB948" w14:textId="77777777" w:rsidR="00630D6B" w:rsidRPr="00DC5DC8" w:rsidRDefault="00630D6B" w:rsidP="00F53B9B">
            <w:pPr>
              <w:rPr>
                <w:rFonts w:ascii="Cambria" w:hAnsi="Cambria" w:cs="Calibri Light"/>
                <w:sz w:val="20"/>
                <w:szCs w:val="20"/>
              </w:rPr>
            </w:pPr>
          </w:p>
        </w:tc>
        <w:tc>
          <w:tcPr>
            <w:tcW w:w="1280" w:type="dxa"/>
            <w:tcBorders>
              <w:top w:val="single" w:sz="8" w:space="0" w:color="000000"/>
              <w:left w:val="single" w:sz="8" w:space="0" w:color="000000"/>
              <w:right w:val="single" w:sz="8" w:space="0" w:color="000000"/>
            </w:tcBorders>
            <w:shd w:val="clear" w:color="auto" w:fill="FFFFFF"/>
            <w:vAlign w:val="center"/>
          </w:tcPr>
          <w:p w14:paraId="49D2FB03" w14:textId="77777777" w:rsidR="00630D6B" w:rsidRPr="00DC5DC8" w:rsidDel="00593557" w:rsidRDefault="00630D6B" w:rsidP="00F53B9B">
            <w:pPr>
              <w:tabs>
                <w:tab w:val="left" w:pos="1440"/>
              </w:tabs>
              <w:suppressAutoHyphens/>
              <w:jc w:val="center"/>
              <w:outlineLvl w:val="0"/>
              <w:rPr>
                <w:rFonts w:ascii="Cambria" w:eastAsia="Calibri" w:hAnsi="Cambria" w:cs="Calibri Light"/>
                <w:color w:val="000000"/>
                <w:sz w:val="20"/>
                <w:szCs w:val="20"/>
              </w:rPr>
            </w:pPr>
            <w:r w:rsidRPr="00DC5DC8">
              <w:rPr>
                <w:rFonts w:ascii="Cambria" w:eastAsia="Calibri" w:hAnsi="Cambria" w:cs="Calibri Light"/>
                <w:color w:val="000000"/>
                <w:sz w:val="20"/>
                <w:szCs w:val="20"/>
              </w:rPr>
              <w:t>25%</w:t>
            </w:r>
          </w:p>
        </w:tc>
        <w:tc>
          <w:tcPr>
            <w:tcW w:w="1240" w:type="dxa"/>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3DF485AC" w14:textId="77777777" w:rsidR="00630D6B" w:rsidRPr="00DC5DC8" w:rsidRDefault="00630D6B" w:rsidP="00F53B9B">
            <w:pPr>
              <w:tabs>
                <w:tab w:val="left" w:pos="1440"/>
              </w:tabs>
              <w:suppressAutoHyphens/>
              <w:jc w:val="center"/>
              <w:outlineLvl w:val="0"/>
              <w:rPr>
                <w:rFonts w:ascii="Cambria" w:hAnsi="Cambria" w:cs="Calibri Light"/>
                <w:sz w:val="20"/>
                <w:szCs w:val="20"/>
              </w:rPr>
            </w:pPr>
            <w:r w:rsidRPr="00DC5DC8">
              <w:rPr>
                <w:rFonts w:ascii="Cambria" w:eastAsia="Calibri" w:hAnsi="Cambria" w:cs="Calibri Light"/>
                <w:color w:val="000000"/>
                <w:sz w:val="20"/>
                <w:szCs w:val="20"/>
              </w:rPr>
              <w:t>TBD</w:t>
            </w:r>
          </w:p>
        </w:tc>
      </w:tr>
      <w:tr w:rsidR="00630D6B" w:rsidRPr="00DC5DC8" w14:paraId="143299F0" w14:textId="77777777" w:rsidTr="00F53B9B">
        <w:trPr>
          <w:trHeight w:val="1150"/>
        </w:trPr>
        <w:tc>
          <w:tcPr>
            <w:tcW w:w="2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69C5688" w14:textId="77777777" w:rsidR="00630D6B" w:rsidRPr="00DC5DC8" w:rsidRDefault="00630D6B" w:rsidP="00F53B9B">
            <w:pPr>
              <w:tabs>
                <w:tab w:val="left" w:pos="1440"/>
              </w:tabs>
              <w:suppressAutoHyphens/>
              <w:outlineLvl w:val="0"/>
              <w:rPr>
                <w:rFonts w:ascii="Cambria" w:hAnsi="Cambria" w:cs="Calibri Light"/>
                <w:sz w:val="20"/>
                <w:szCs w:val="20"/>
              </w:rPr>
            </w:pPr>
            <w:r w:rsidRPr="00DC5DC8">
              <w:rPr>
                <w:rFonts w:ascii="Cambria" w:eastAsia="Calibri" w:hAnsi="Cambria" w:cs="Calibri Light"/>
                <w:color w:val="000000"/>
                <w:sz w:val="20"/>
                <w:szCs w:val="20"/>
              </w:rPr>
              <w:lastRenderedPageBreak/>
              <w:t>2. Presentation of Preliminary Findings</w:t>
            </w:r>
          </w:p>
        </w:tc>
        <w:tc>
          <w:tcPr>
            <w:tcW w:w="5380" w:type="dxa"/>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06B0519D" w14:textId="77777777" w:rsidR="00630D6B" w:rsidRPr="00DC5DC8" w:rsidRDefault="00630D6B" w:rsidP="00F53B9B">
            <w:pPr>
              <w:pStyle w:val="Default"/>
              <w:tabs>
                <w:tab w:val="left" w:pos="730"/>
              </w:tabs>
              <w:spacing w:before="4"/>
              <w:jc w:val="both"/>
              <w:rPr>
                <w:rFonts w:ascii="Cambria" w:eastAsia="Trebuchet MS" w:hAnsi="Cambria" w:cs="Calibri Light"/>
                <w:spacing w:val="-2"/>
                <w:sz w:val="20"/>
                <w:szCs w:val="20"/>
              </w:rPr>
            </w:pPr>
            <w:r w:rsidRPr="00DC5DC8">
              <w:rPr>
                <w:rFonts w:ascii="Cambria" w:hAnsi="Cambria" w:cs="Calibri Light"/>
                <w:sz w:val="20"/>
                <w:szCs w:val="20"/>
              </w:rPr>
              <w:t>Following data collection and analysis, a consolidated presentation of preliminary findings is to be conducted together with the Consultant assigned for Pillar 3 for feedback and approval from UNDP and other relevant stakeholders.</w:t>
            </w:r>
          </w:p>
        </w:tc>
        <w:tc>
          <w:tcPr>
            <w:tcW w:w="1280" w:type="dxa"/>
            <w:tcBorders>
              <w:top w:val="single" w:sz="8" w:space="0" w:color="000000"/>
              <w:left w:val="single" w:sz="8" w:space="0" w:color="000000"/>
              <w:right w:val="single" w:sz="8" w:space="0" w:color="000000"/>
            </w:tcBorders>
            <w:shd w:val="clear" w:color="auto" w:fill="FFFFFF"/>
            <w:vAlign w:val="center"/>
          </w:tcPr>
          <w:p w14:paraId="35379BF9" w14:textId="77777777" w:rsidR="00630D6B" w:rsidRPr="00DC5DC8" w:rsidRDefault="00630D6B" w:rsidP="00F53B9B">
            <w:pPr>
              <w:tabs>
                <w:tab w:val="left" w:pos="1440"/>
              </w:tabs>
              <w:suppressAutoHyphens/>
              <w:jc w:val="center"/>
              <w:outlineLvl w:val="0"/>
              <w:rPr>
                <w:rFonts w:ascii="Cambria" w:eastAsia="Calibri" w:hAnsi="Cambria" w:cs="Calibri Light"/>
                <w:color w:val="000000"/>
                <w:sz w:val="20"/>
                <w:szCs w:val="20"/>
              </w:rPr>
            </w:pPr>
            <w:r w:rsidRPr="00DC5DC8">
              <w:rPr>
                <w:rFonts w:ascii="Cambria" w:eastAsia="Calibri" w:hAnsi="Cambria" w:cs="Calibri Light"/>
                <w:bCs/>
                <w:color w:val="000000"/>
                <w:sz w:val="20"/>
                <w:szCs w:val="20"/>
              </w:rPr>
              <w:t>25%</w:t>
            </w:r>
          </w:p>
        </w:tc>
        <w:tc>
          <w:tcPr>
            <w:tcW w:w="1240" w:type="dxa"/>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3167722E" w14:textId="77777777" w:rsidR="00630D6B" w:rsidRPr="00DC5DC8" w:rsidRDefault="00630D6B" w:rsidP="00F53B9B">
            <w:pPr>
              <w:tabs>
                <w:tab w:val="left" w:pos="1440"/>
              </w:tabs>
              <w:suppressAutoHyphens/>
              <w:jc w:val="center"/>
              <w:outlineLvl w:val="0"/>
              <w:rPr>
                <w:rFonts w:ascii="Cambria" w:hAnsi="Cambria" w:cs="Calibri Light"/>
                <w:sz w:val="20"/>
                <w:szCs w:val="20"/>
              </w:rPr>
            </w:pPr>
            <w:r w:rsidRPr="00DC5DC8">
              <w:rPr>
                <w:rFonts w:ascii="Cambria" w:hAnsi="Cambria" w:cs="Calibri Light"/>
                <w:sz w:val="20"/>
                <w:szCs w:val="20"/>
              </w:rPr>
              <w:t>TBD</w:t>
            </w:r>
          </w:p>
          <w:p w14:paraId="68941691" w14:textId="77777777" w:rsidR="00630D6B" w:rsidRPr="00DC5DC8" w:rsidRDefault="00630D6B" w:rsidP="00F53B9B">
            <w:pPr>
              <w:tabs>
                <w:tab w:val="left" w:pos="1440"/>
              </w:tabs>
              <w:suppressAutoHyphens/>
              <w:jc w:val="center"/>
              <w:outlineLvl w:val="0"/>
              <w:rPr>
                <w:rFonts w:ascii="Cambria" w:hAnsi="Cambria" w:cs="Calibri Light"/>
                <w:sz w:val="20"/>
                <w:szCs w:val="20"/>
              </w:rPr>
            </w:pPr>
          </w:p>
        </w:tc>
      </w:tr>
      <w:tr w:rsidR="00630D6B" w:rsidRPr="00DC5DC8" w14:paraId="236EA63F" w14:textId="77777777" w:rsidTr="00F53B9B">
        <w:trPr>
          <w:trHeight w:val="772"/>
        </w:trPr>
        <w:tc>
          <w:tcPr>
            <w:tcW w:w="2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44836D2" w14:textId="77777777" w:rsidR="00630D6B" w:rsidRPr="00DC5DC8" w:rsidRDefault="00630D6B" w:rsidP="00F53B9B">
            <w:pPr>
              <w:tabs>
                <w:tab w:val="left" w:pos="1440"/>
              </w:tabs>
              <w:suppressAutoHyphens/>
              <w:outlineLvl w:val="0"/>
              <w:rPr>
                <w:rFonts w:ascii="Cambria" w:hAnsi="Cambria" w:cs="Calibri Light"/>
                <w:sz w:val="20"/>
                <w:szCs w:val="20"/>
              </w:rPr>
            </w:pPr>
            <w:r w:rsidRPr="00DC5DC8">
              <w:rPr>
                <w:rFonts w:ascii="Cambria" w:eastAsia="Calibri" w:hAnsi="Cambria" w:cs="Calibri Light"/>
                <w:color w:val="000000"/>
                <w:sz w:val="20"/>
                <w:szCs w:val="20"/>
              </w:rPr>
              <w:t>3. Consolidated Draft Evaluation Report and Evaluation Brief</w:t>
            </w:r>
          </w:p>
        </w:tc>
        <w:tc>
          <w:tcPr>
            <w:tcW w:w="5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16BFDB1" w14:textId="77777777" w:rsidR="00630D6B" w:rsidRPr="00DC5DC8" w:rsidRDefault="00630D6B" w:rsidP="00F53B9B">
            <w:pPr>
              <w:tabs>
                <w:tab w:val="left" w:pos="1440"/>
                <w:tab w:val="left" w:pos="2880"/>
                <w:tab w:val="left" w:pos="4320"/>
              </w:tabs>
              <w:suppressAutoHyphens/>
              <w:jc w:val="both"/>
              <w:outlineLvl w:val="0"/>
              <w:rPr>
                <w:rFonts w:ascii="Cambria" w:eastAsia="Trebuchet MS" w:hAnsi="Cambria" w:cs="Calibri Light"/>
                <w:sz w:val="20"/>
                <w:szCs w:val="20"/>
              </w:rPr>
            </w:pPr>
            <w:r w:rsidRPr="00DC5DC8">
              <w:rPr>
                <w:rFonts w:ascii="Cambria" w:eastAsia="Trebuchet MS" w:hAnsi="Cambria" w:cs="Calibri Light"/>
                <w:sz w:val="20"/>
                <w:szCs w:val="20"/>
              </w:rPr>
              <w:t>A consolidated draft Report  (including the strategic recommendations for the portfolio recalibration) to be submitted for review and feedback. A draft Two-Page brief summarizing evaluation findings and recommendations should also be submitted. The consultant to work in close collaboration with the Consultant assigned to Pillar 3 in consolidating the draft evaluation report</w:t>
            </w:r>
          </w:p>
          <w:p w14:paraId="76F03C40" w14:textId="77777777" w:rsidR="00630D6B" w:rsidRPr="00DC5DC8" w:rsidRDefault="00630D6B" w:rsidP="00F53B9B">
            <w:pPr>
              <w:tabs>
                <w:tab w:val="left" w:pos="1440"/>
                <w:tab w:val="left" w:pos="2880"/>
                <w:tab w:val="left" w:pos="4320"/>
              </w:tabs>
              <w:suppressAutoHyphens/>
              <w:jc w:val="both"/>
              <w:outlineLvl w:val="0"/>
              <w:rPr>
                <w:rFonts w:ascii="Cambria" w:eastAsia="Trebuchet MS" w:hAnsi="Cambria" w:cs="Calibri Light"/>
                <w:sz w:val="20"/>
                <w:szCs w:val="20"/>
              </w:rPr>
            </w:pPr>
          </w:p>
        </w:tc>
        <w:tc>
          <w:tcPr>
            <w:tcW w:w="12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94451FE" w14:textId="77777777" w:rsidR="00630D6B" w:rsidRPr="00DC5DC8" w:rsidRDefault="00630D6B" w:rsidP="00F53B9B">
            <w:pPr>
              <w:tabs>
                <w:tab w:val="left" w:pos="1440"/>
              </w:tabs>
              <w:suppressAutoHyphens/>
              <w:jc w:val="center"/>
              <w:outlineLvl w:val="0"/>
              <w:rPr>
                <w:rFonts w:ascii="Cambria" w:eastAsia="Calibri" w:hAnsi="Cambria" w:cs="Calibri Light"/>
                <w:color w:val="000000"/>
                <w:sz w:val="20"/>
                <w:szCs w:val="20"/>
              </w:rPr>
            </w:pPr>
            <w:r w:rsidRPr="00DC5DC8">
              <w:rPr>
                <w:rFonts w:ascii="Cambria" w:eastAsia="Calibri" w:hAnsi="Cambria" w:cs="Calibri Light"/>
                <w:color w:val="000000"/>
                <w:sz w:val="20"/>
                <w:szCs w:val="20"/>
              </w:rPr>
              <w:t>20%</w:t>
            </w:r>
          </w:p>
        </w:tc>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D0A6918" w14:textId="77777777" w:rsidR="00630D6B" w:rsidRPr="00DC5DC8" w:rsidRDefault="00630D6B" w:rsidP="00F53B9B">
            <w:pPr>
              <w:tabs>
                <w:tab w:val="left" w:pos="1440"/>
              </w:tabs>
              <w:suppressAutoHyphens/>
              <w:jc w:val="center"/>
              <w:outlineLvl w:val="0"/>
              <w:rPr>
                <w:rFonts w:ascii="Cambria" w:hAnsi="Cambria" w:cs="Calibri Light"/>
                <w:sz w:val="20"/>
                <w:szCs w:val="20"/>
              </w:rPr>
            </w:pPr>
            <w:r w:rsidRPr="00DC5DC8">
              <w:rPr>
                <w:rFonts w:ascii="Cambria" w:hAnsi="Cambria" w:cs="Calibri Light"/>
                <w:sz w:val="20"/>
                <w:szCs w:val="20"/>
              </w:rPr>
              <w:t>TBD</w:t>
            </w:r>
          </w:p>
        </w:tc>
      </w:tr>
      <w:tr w:rsidR="00630D6B" w:rsidRPr="00DC5DC8" w14:paraId="69F2237B" w14:textId="77777777" w:rsidTr="00F53B9B">
        <w:trPr>
          <w:trHeight w:val="772"/>
        </w:trPr>
        <w:tc>
          <w:tcPr>
            <w:tcW w:w="2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6EC8145" w14:textId="77777777" w:rsidR="00630D6B" w:rsidRPr="00DC5DC8" w:rsidRDefault="00630D6B" w:rsidP="00F53B9B">
            <w:pPr>
              <w:tabs>
                <w:tab w:val="left" w:pos="1440"/>
              </w:tabs>
              <w:suppressAutoHyphens/>
              <w:outlineLvl w:val="0"/>
              <w:rPr>
                <w:rFonts w:ascii="Cambria" w:eastAsia="Calibri" w:hAnsi="Cambria" w:cs="Calibri Light"/>
                <w:color w:val="000000"/>
                <w:sz w:val="20"/>
                <w:szCs w:val="20"/>
              </w:rPr>
            </w:pPr>
            <w:r w:rsidRPr="00DC5DC8">
              <w:rPr>
                <w:rFonts w:ascii="Cambria" w:eastAsia="Calibri" w:hAnsi="Cambria" w:cs="Calibri Light"/>
                <w:color w:val="000000"/>
                <w:sz w:val="20"/>
                <w:szCs w:val="20"/>
              </w:rPr>
              <w:t>4. Consolidated Final Evaluation Report</w:t>
            </w:r>
          </w:p>
        </w:tc>
        <w:tc>
          <w:tcPr>
            <w:tcW w:w="5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A2831B9" w14:textId="77777777" w:rsidR="00630D6B" w:rsidRPr="00DC5DC8" w:rsidRDefault="00630D6B" w:rsidP="00F53B9B">
            <w:pPr>
              <w:tabs>
                <w:tab w:val="left" w:pos="1440"/>
                <w:tab w:val="left" w:pos="2880"/>
                <w:tab w:val="left" w:pos="4320"/>
              </w:tabs>
              <w:suppressAutoHyphens/>
              <w:jc w:val="both"/>
              <w:outlineLvl w:val="0"/>
              <w:rPr>
                <w:rFonts w:ascii="Cambria" w:eastAsia="Trebuchet MS" w:hAnsi="Cambria" w:cs="Calibri Light"/>
                <w:sz w:val="20"/>
                <w:szCs w:val="20"/>
              </w:rPr>
            </w:pPr>
            <w:r w:rsidRPr="00DC5DC8">
              <w:rPr>
                <w:rFonts w:ascii="Cambria" w:eastAsia="Trebuchet MS" w:hAnsi="Cambria" w:cs="Calibri Light"/>
                <w:sz w:val="20"/>
                <w:szCs w:val="20"/>
              </w:rPr>
              <w:t>The consolidated final Report incorporating all feedback received from UNDP is to be submitted. The Report is considered final upon confirmation of approval from the Evaluation Manager.</w:t>
            </w:r>
          </w:p>
          <w:p w14:paraId="13085123" w14:textId="77777777" w:rsidR="00630D6B" w:rsidRPr="00DC5DC8" w:rsidRDefault="00630D6B" w:rsidP="00F53B9B">
            <w:pPr>
              <w:tabs>
                <w:tab w:val="left" w:pos="1440"/>
                <w:tab w:val="left" w:pos="2880"/>
                <w:tab w:val="left" w:pos="4320"/>
              </w:tabs>
              <w:suppressAutoHyphens/>
              <w:jc w:val="both"/>
              <w:outlineLvl w:val="0"/>
              <w:rPr>
                <w:rFonts w:ascii="Cambria" w:eastAsia="Trebuchet MS" w:hAnsi="Cambria" w:cs="Calibri Light"/>
                <w:sz w:val="20"/>
                <w:szCs w:val="20"/>
              </w:rPr>
            </w:pPr>
          </w:p>
        </w:tc>
        <w:tc>
          <w:tcPr>
            <w:tcW w:w="12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11D77C4" w14:textId="77777777" w:rsidR="00630D6B" w:rsidRPr="00DC5DC8" w:rsidRDefault="00630D6B" w:rsidP="00F53B9B">
            <w:pPr>
              <w:tabs>
                <w:tab w:val="left" w:pos="1440"/>
              </w:tabs>
              <w:suppressAutoHyphens/>
              <w:jc w:val="center"/>
              <w:outlineLvl w:val="0"/>
              <w:rPr>
                <w:rFonts w:ascii="Cambria" w:eastAsia="Calibri" w:hAnsi="Cambria" w:cs="Calibri Light"/>
                <w:color w:val="000000"/>
                <w:sz w:val="20"/>
                <w:szCs w:val="20"/>
              </w:rPr>
            </w:pPr>
            <w:r w:rsidRPr="00DC5DC8">
              <w:rPr>
                <w:rFonts w:ascii="Cambria" w:eastAsia="Calibri" w:hAnsi="Cambria" w:cs="Calibri Light"/>
                <w:color w:val="000000"/>
                <w:sz w:val="20"/>
                <w:szCs w:val="20"/>
              </w:rPr>
              <w:t>20%</w:t>
            </w:r>
          </w:p>
        </w:tc>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288820E" w14:textId="77777777" w:rsidR="00630D6B" w:rsidRPr="00DC5DC8" w:rsidRDefault="00630D6B" w:rsidP="00F53B9B">
            <w:pPr>
              <w:tabs>
                <w:tab w:val="left" w:pos="1440"/>
              </w:tabs>
              <w:suppressAutoHyphens/>
              <w:jc w:val="center"/>
              <w:outlineLvl w:val="0"/>
              <w:rPr>
                <w:rFonts w:ascii="Cambria" w:hAnsi="Cambria" w:cs="Calibri Light"/>
                <w:sz w:val="20"/>
                <w:szCs w:val="20"/>
              </w:rPr>
            </w:pPr>
            <w:r w:rsidRPr="00DC5DC8">
              <w:rPr>
                <w:rFonts w:ascii="Cambria" w:hAnsi="Cambria" w:cs="Calibri Light"/>
                <w:sz w:val="20"/>
                <w:szCs w:val="20"/>
              </w:rPr>
              <w:t>TBD</w:t>
            </w:r>
          </w:p>
        </w:tc>
      </w:tr>
      <w:tr w:rsidR="00630D6B" w:rsidRPr="00DC5DC8" w14:paraId="5F4EAA34" w14:textId="77777777" w:rsidTr="00F53B9B">
        <w:trPr>
          <w:trHeight w:val="772"/>
        </w:trPr>
        <w:tc>
          <w:tcPr>
            <w:tcW w:w="2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9482211" w14:textId="77777777" w:rsidR="00630D6B" w:rsidRPr="00DC5DC8" w:rsidRDefault="00630D6B" w:rsidP="00F53B9B">
            <w:pPr>
              <w:tabs>
                <w:tab w:val="left" w:pos="1440"/>
              </w:tabs>
              <w:suppressAutoHyphens/>
              <w:outlineLvl w:val="0"/>
              <w:rPr>
                <w:rFonts w:ascii="Cambria" w:eastAsia="Calibri" w:hAnsi="Cambria" w:cs="Calibri Light"/>
                <w:color w:val="000000"/>
                <w:sz w:val="20"/>
                <w:szCs w:val="20"/>
              </w:rPr>
            </w:pPr>
            <w:r w:rsidRPr="00DC5DC8">
              <w:rPr>
                <w:rFonts w:ascii="Cambria" w:eastAsia="Calibri" w:hAnsi="Cambria" w:cs="Calibri Light"/>
                <w:color w:val="000000"/>
                <w:sz w:val="20"/>
                <w:szCs w:val="20"/>
              </w:rPr>
              <w:t>5. Presentation of Findings</w:t>
            </w:r>
          </w:p>
        </w:tc>
        <w:tc>
          <w:tcPr>
            <w:tcW w:w="5380" w:type="dxa"/>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2F4FADBC" w14:textId="77777777" w:rsidR="00630D6B" w:rsidRPr="00DC5DC8" w:rsidRDefault="00630D6B" w:rsidP="00F53B9B">
            <w:pPr>
              <w:tabs>
                <w:tab w:val="left" w:pos="1440"/>
                <w:tab w:val="left" w:pos="2880"/>
                <w:tab w:val="left" w:pos="4320"/>
              </w:tabs>
              <w:suppressAutoHyphens/>
              <w:jc w:val="both"/>
              <w:outlineLvl w:val="0"/>
              <w:rPr>
                <w:rFonts w:ascii="Cambria" w:eastAsia="Trebuchet MS" w:hAnsi="Cambria" w:cs="Calibri Light"/>
                <w:sz w:val="20"/>
                <w:szCs w:val="20"/>
              </w:rPr>
            </w:pPr>
            <w:r w:rsidRPr="00DC5DC8">
              <w:rPr>
                <w:rFonts w:ascii="Cambria" w:eastAsia="Trebuchet MS" w:hAnsi="Cambria" w:cs="Calibri Light"/>
                <w:sz w:val="20"/>
                <w:szCs w:val="20"/>
              </w:rPr>
              <w:t>A  presentation of final findings is to be conducted together with the consultant assigned to evaluate the pillar 3 of the portfolio as a knowledge dissemination/learning event to UNDP and relevant stakeholders.</w:t>
            </w:r>
          </w:p>
        </w:tc>
        <w:tc>
          <w:tcPr>
            <w:tcW w:w="1280" w:type="dxa"/>
            <w:tcBorders>
              <w:top w:val="single" w:sz="8" w:space="0" w:color="000000"/>
              <w:left w:val="single" w:sz="8" w:space="0" w:color="000000"/>
              <w:right w:val="single" w:sz="8" w:space="0" w:color="000000"/>
            </w:tcBorders>
            <w:shd w:val="clear" w:color="auto" w:fill="FFFFFF"/>
            <w:vAlign w:val="center"/>
          </w:tcPr>
          <w:p w14:paraId="1EC8CAAF" w14:textId="77777777" w:rsidR="00630D6B" w:rsidRPr="00DC5DC8" w:rsidRDefault="00630D6B" w:rsidP="00F53B9B">
            <w:pPr>
              <w:tabs>
                <w:tab w:val="left" w:pos="1440"/>
              </w:tabs>
              <w:suppressAutoHyphens/>
              <w:jc w:val="center"/>
              <w:outlineLvl w:val="0"/>
              <w:rPr>
                <w:rFonts w:ascii="Cambria" w:eastAsia="Calibri" w:hAnsi="Cambria" w:cs="Calibri Light"/>
                <w:color w:val="000000"/>
                <w:sz w:val="20"/>
                <w:szCs w:val="20"/>
              </w:rPr>
            </w:pPr>
            <w:r w:rsidRPr="00DC5DC8">
              <w:rPr>
                <w:rFonts w:ascii="Cambria" w:eastAsia="Calibri" w:hAnsi="Cambria" w:cs="Calibri Light"/>
                <w:color w:val="000000"/>
                <w:sz w:val="20"/>
                <w:szCs w:val="20"/>
              </w:rPr>
              <w:t>10%</w:t>
            </w:r>
          </w:p>
        </w:tc>
        <w:tc>
          <w:tcPr>
            <w:tcW w:w="1240" w:type="dxa"/>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181456B2" w14:textId="77777777" w:rsidR="00630D6B" w:rsidRPr="00DC5DC8" w:rsidRDefault="00630D6B" w:rsidP="00F53B9B">
            <w:pPr>
              <w:tabs>
                <w:tab w:val="left" w:pos="1440"/>
              </w:tabs>
              <w:suppressAutoHyphens/>
              <w:jc w:val="center"/>
              <w:outlineLvl w:val="0"/>
              <w:rPr>
                <w:rFonts w:ascii="Cambria" w:hAnsi="Cambria" w:cs="Calibri Light"/>
                <w:sz w:val="20"/>
                <w:szCs w:val="20"/>
              </w:rPr>
            </w:pPr>
            <w:r w:rsidRPr="00DC5DC8">
              <w:rPr>
                <w:rFonts w:ascii="Cambria" w:hAnsi="Cambria" w:cs="Calibri Light"/>
                <w:sz w:val="20"/>
                <w:szCs w:val="20"/>
              </w:rPr>
              <w:t>TBD</w:t>
            </w:r>
          </w:p>
        </w:tc>
      </w:tr>
    </w:tbl>
    <w:p w14:paraId="67E467ED" w14:textId="77777777" w:rsidR="00630D6B" w:rsidRPr="00DC5DC8" w:rsidRDefault="00630D6B" w:rsidP="00630D6B">
      <w:pPr>
        <w:pStyle w:val="Default"/>
        <w:jc w:val="both"/>
        <w:rPr>
          <w:rFonts w:ascii="Cambria" w:hAnsi="Cambria" w:cs="Calibri Light"/>
          <w:b/>
          <w:bCs/>
          <w:sz w:val="20"/>
          <w:szCs w:val="20"/>
        </w:rPr>
      </w:pPr>
    </w:p>
    <w:p w14:paraId="1BBE92B5" w14:textId="77777777" w:rsidR="00630D6B" w:rsidRPr="00DC5DC8" w:rsidRDefault="00630D6B" w:rsidP="00630D6B">
      <w:pPr>
        <w:pStyle w:val="Default"/>
        <w:jc w:val="both"/>
        <w:rPr>
          <w:rFonts w:ascii="Cambria" w:hAnsi="Cambria" w:cs="Calibri Light"/>
          <w:b/>
          <w:bCs/>
          <w:sz w:val="20"/>
          <w:szCs w:val="20"/>
        </w:rPr>
      </w:pPr>
    </w:p>
    <w:p w14:paraId="790EE2EC" w14:textId="77777777" w:rsidR="00630D6B" w:rsidRPr="00DC5DC8" w:rsidRDefault="00630D6B" w:rsidP="00630D6B">
      <w:pPr>
        <w:pStyle w:val="Default"/>
        <w:jc w:val="both"/>
        <w:rPr>
          <w:rFonts w:ascii="Cambria" w:hAnsi="Cambria" w:cs="Calibri Light"/>
          <w:sz w:val="20"/>
          <w:szCs w:val="20"/>
        </w:rPr>
      </w:pPr>
    </w:p>
    <w:p w14:paraId="4B246847" w14:textId="77777777" w:rsidR="00630D6B" w:rsidRPr="00DC5DC8" w:rsidRDefault="00630D6B" w:rsidP="00630D6B">
      <w:pPr>
        <w:pStyle w:val="Default"/>
        <w:jc w:val="both"/>
        <w:rPr>
          <w:rFonts w:ascii="Cambria" w:hAnsi="Cambria" w:cs="Calibri Light"/>
          <w:b/>
          <w:bCs/>
          <w:sz w:val="20"/>
          <w:szCs w:val="20"/>
        </w:rPr>
      </w:pPr>
      <w:r w:rsidRPr="00DC5DC8">
        <w:rPr>
          <w:rFonts w:ascii="Cambria" w:hAnsi="Cambria" w:cs="Calibri Light"/>
          <w:b/>
          <w:bCs/>
          <w:sz w:val="20"/>
          <w:szCs w:val="20"/>
        </w:rPr>
        <w:t>6. Evaluation ethics.</w:t>
      </w:r>
    </w:p>
    <w:p w14:paraId="4EC13F0A" w14:textId="77777777" w:rsidR="00630D6B" w:rsidRPr="00DC5DC8" w:rsidRDefault="00630D6B" w:rsidP="00630D6B">
      <w:pPr>
        <w:pStyle w:val="Default"/>
        <w:jc w:val="both"/>
        <w:rPr>
          <w:rFonts w:ascii="Cambria" w:hAnsi="Cambria" w:cs="Calibri Light"/>
          <w:b/>
          <w:bCs/>
          <w:sz w:val="20"/>
          <w:szCs w:val="20"/>
        </w:rPr>
      </w:pPr>
    </w:p>
    <w:p w14:paraId="669C34E7" w14:textId="77777777" w:rsidR="00630D6B" w:rsidRPr="00DC5DC8" w:rsidRDefault="00630D6B" w:rsidP="00630D6B">
      <w:pPr>
        <w:pStyle w:val="ListParagraph"/>
        <w:ind w:left="0"/>
        <w:jc w:val="both"/>
        <w:rPr>
          <w:rFonts w:ascii="Cambria" w:hAnsi="Cambria" w:cs="Calibri Light"/>
          <w:sz w:val="20"/>
          <w:szCs w:val="20"/>
        </w:rPr>
      </w:pPr>
      <w:r w:rsidRPr="00DC5DC8">
        <w:rPr>
          <w:rFonts w:ascii="Cambria" w:hAnsi="Cambria" w:cs="Calibri Light"/>
          <w:sz w:val="20"/>
          <w:szCs w:val="20"/>
        </w:rPr>
        <w:t xml:space="preserve">The evaluation consultant should have both personal and professional integrity and abide by the </w:t>
      </w:r>
      <w:hyperlink r:id="rId29" w:history="1">
        <w:r w:rsidRPr="00DC5DC8">
          <w:rPr>
            <w:rStyle w:val="Hyperlink"/>
            <w:rFonts w:ascii="Cambria" w:hAnsi="Cambria" w:cs="Calibri Light"/>
            <w:color w:val="4472C4"/>
            <w:sz w:val="20"/>
            <w:szCs w:val="20"/>
          </w:rPr>
          <w:t>UNEG Ethical Guidelines</w:t>
        </w:r>
      </w:hyperlink>
      <w:r w:rsidRPr="00DC5DC8">
        <w:rPr>
          <w:rFonts w:ascii="Cambria" w:hAnsi="Cambria" w:cs="Calibri Light"/>
          <w:sz w:val="20"/>
          <w:szCs w:val="20"/>
        </w:rPr>
        <w:t xml:space="preserve"> for evaluation and the </w:t>
      </w:r>
      <w:hyperlink r:id="rId30" w:history="1">
        <w:r w:rsidRPr="00DC5DC8">
          <w:rPr>
            <w:rStyle w:val="Hyperlink"/>
            <w:rFonts w:ascii="Cambria" w:hAnsi="Cambria" w:cs="Calibri Light"/>
            <w:color w:val="4472C4"/>
            <w:sz w:val="20"/>
            <w:szCs w:val="20"/>
          </w:rPr>
          <w:t>UNEG Code of Conduct for Evaluation in the UN system</w:t>
        </w:r>
      </w:hyperlink>
      <w:r w:rsidRPr="00DC5DC8">
        <w:rPr>
          <w:rFonts w:ascii="Cambria" w:hAnsi="Cambria" w:cs="Calibri Light"/>
          <w:sz w:val="20"/>
          <w:szCs w:val="20"/>
        </w:rPr>
        <w:t xml:space="preserve"> to ensure that the rights of individuals involved in the evaluation are respected. The evaluator must act with cultural sensitivity and pay attention to protocols, codes and recommendations that may be relevant to their interactions with women. As part of the Inception Report, the evaluator will develop a specific protocol for the conduct of the evaluation and data collection in line with respecting do no harm, diversity and gender equality. All data collected through the evaluation is property of UNDP and must be provided to the organization, if requested, in a word format. The evaluator must explicitly declare their independence from any organizations that have been involved in implementing any aspect of the SDG 16 portfolio </w:t>
      </w:r>
    </w:p>
    <w:p w14:paraId="11A66CB2" w14:textId="77777777" w:rsidR="00630D6B" w:rsidRPr="00DC5DC8" w:rsidRDefault="00630D6B" w:rsidP="00630D6B">
      <w:pPr>
        <w:pStyle w:val="Default"/>
        <w:jc w:val="both"/>
        <w:rPr>
          <w:rFonts w:ascii="Cambria" w:hAnsi="Cambria" w:cs="Calibri Light"/>
          <w:b/>
          <w:bCs/>
          <w:sz w:val="20"/>
          <w:szCs w:val="20"/>
        </w:rPr>
      </w:pPr>
    </w:p>
    <w:p w14:paraId="38A495EC" w14:textId="77777777" w:rsidR="00630D6B" w:rsidRPr="00DC5DC8" w:rsidRDefault="00630D6B" w:rsidP="00630D6B">
      <w:pPr>
        <w:pStyle w:val="Default"/>
        <w:jc w:val="both"/>
        <w:rPr>
          <w:rFonts w:ascii="Cambria" w:hAnsi="Cambria" w:cs="Calibri Light"/>
          <w:b/>
          <w:bCs/>
          <w:sz w:val="20"/>
          <w:szCs w:val="20"/>
        </w:rPr>
      </w:pPr>
    </w:p>
    <w:p w14:paraId="1D184D7D" w14:textId="77777777" w:rsidR="00630D6B" w:rsidRPr="00DC5DC8" w:rsidRDefault="00630D6B" w:rsidP="00630D6B">
      <w:pPr>
        <w:jc w:val="both"/>
        <w:rPr>
          <w:rFonts w:ascii="Cambria" w:hAnsi="Cambria" w:cs="Calibri Light"/>
          <w:b/>
          <w:bCs/>
          <w:sz w:val="20"/>
          <w:szCs w:val="20"/>
        </w:rPr>
      </w:pPr>
      <w:r w:rsidRPr="00DC5DC8">
        <w:rPr>
          <w:rFonts w:ascii="Cambria" w:hAnsi="Cambria" w:cs="Calibri Light"/>
          <w:b/>
          <w:bCs/>
          <w:sz w:val="20"/>
          <w:szCs w:val="20"/>
        </w:rPr>
        <w:t>7. Management and Implementation Arrangements.</w:t>
      </w:r>
    </w:p>
    <w:p w14:paraId="48616437" w14:textId="77777777" w:rsidR="00630D6B" w:rsidRPr="00DC5DC8" w:rsidRDefault="00630D6B" w:rsidP="00630D6B">
      <w:pPr>
        <w:jc w:val="both"/>
        <w:rPr>
          <w:rFonts w:ascii="Cambria" w:hAnsi="Cambria" w:cs="Calibri Light"/>
          <w:b/>
          <w:bCs/>
          <w:sz w:val="20"/>
          <w:szCs w:val="20"/>
        </w:rPr>
      </w:pPr>
    </w:p>
    <w:p w14:paraId="5B4E6779" w14:textId="77777777" w:rsidR="00630D6B" w:rsidRPr="00DC5DC8" w:rsidRDefault="00630D6B" w:rsidP="00630D6B">
      <w:pPr>
        <w:jc w:val="both"/>
        <w:rPr>
          <w:rFonts w:ascii="Cambria" w:hAnsi="Cambria" w:cs="Calibri Light"/>
          <w:sz w:val="20"/>
          <w:szCs w:val="20"/>
        </w:rPr>
      </w:pPr>
      <w:r w:rsidRPr="00DC5DC8">
        <w:rPr>
          <w:rFonts w:ascii="Cambria" w:hAnsi="Cambria" w:cs="Calibri Light"/>
          <w:sz w:val="20"/>
          <w:szCs w:val="20"/>
        </w:rPr>
        <w:t xml:space="preserve">The Mid-term evaluation cum Strategic Direction setting exercise will be facilitated  by UNDP. The focal point for leading this evaluation from UNDP will be the designated representative of the Resident/Deputy Resident Representative. Two stakeholder groups – Evaluation Management (EMG) and Evaluation Reference (ERG) – will be established and engaged systematically at key milestones of the evaluation process to facilitate the conduct of a transparent and participatory evaluation. </w:t>
      </w:r>
    </w:p>
    <w:p w14:paraId="69E47076" w14:textId="77777777" w:rsidR="00630D6B" w:rsidRPr="00DC5DC8" w:rsidRDefault="00630D6B" w:rsidP="00630D6B">
      <w:pPr>
        <w:jc w:val="both"/>
        <w:rPr>
          <w:rFonts w:ascii="Cambria" w:hAnsi="Cambria" w:cs="Calibri Light"/>
          <w:sz w:val="20"/>
          <w:szCs w:val="20"/>
        </w:rPr>
      </w:pPr>
      <w:r w:rsidRPr="00DC5DC8">
        <w:rPr>
          <w:rFonts w:ascii="Cambria" w:hAnsi="Cambria" w:cs="Calibri Light"/>
          <w:sz w:val="20"/>
          <w:szCs w:val="20"/>
        </w:rPr>
        <w:t xml:space="preserve">Key donors and partners shall be invited to the presentation of preliminary findings, and their feedback shall be incorporated into the final inception report. The inception and finals report will be finally approved by the Resident/Deputy Resident Representative. </w:t>
      </w:r>
    </w:p>
    <w:p w14:paraId="7BBB4118" w14:textId="77777777" w:rsidR="00630D6B" w:rsidRPr="00DC5DC8" w:rsidRDefault="00630D6B" w:rsidP="00630D6B">
      <w:pPr>
        <w:jc w:val="both"/>
        <w:rPr>
          <w:rFonts w:ascii="Cambria" w:hAnsi="Cambria" w:cs="Calibri Light"/>
          <w:sz w:val="20"/>
          <w:szCs w:val="20"/>
        </w:rPr>
      </w:pPr>
    </w:p>
    <w:p w14:paraId="59BD3AF1" w14:textId="77777777" w:rsidR="00630D6B" w:rsidRPr="00DC5DC8" w:rsidRDefault="00630D6B" w:rsidP="00630D6B">
      <w:pPr>
        <w:jc w:val="both"/>
        <w:rPr>
          <w:rFonts w:ascii="Cambria" w:hAnsi="Cambria" w:cs="Calibri Light"/>
          <w:sz w:val="20"/>
          <w:szCs w:val="20"/>
        </w:rPr>
      </w:pPr>
    </w:p>
    <w:p w14:paraId="4B8B07E4" w14:textId="77777777" w:rsidR="00630D6B" w:rsidRPr="00DC5DC8" w:rsidRDefault="00630D6B" w:rsidP="00630D6B">
      <w:pPr>
        <w:pBdr>
          <w:top w:val="nil"/>
          <w:left w:val="nil"/>
          <w:bottom w:val="nil"/>
          <w:right w:val="nil"/>
          <w:between w:val="nil"/>
          <w:bar w:val="nil"/>
        </w:pBdr>
        <w:spacing w:after="160"/>
        <w:jc w:val="both"/>
        <w:rPr>
          <w:rFonts w:ascii="Cambria" w:hAnsi="Cambria" w:cs="Calibri Light"/>
          <w:b/>
          <w:bCs/>
          <w:sz w:val="20"/>
          <w:szCs w:val="20"/>
        </w:rPr>
      </w:pPr>
      <w:r w:rsidRPr="00DC5DC8">
        <w:rPr>
          <w:rFonts w:ascii="Cambria" w:hAnsi="Cambria" w:cs="Calibri Light"/>
          <w:b/>
          <w:bCs/>
          <w:sz w:val="20"/>
          <w:szCs w:val="20"/>
        </w:rPr>
        <w:t>8. Duration of Assignment</w:t>
      </w:r>
    </w:p>
    <w:p w14:paraId="2FBA9596" w14:textId="77777777" w:rsidR="00630D6B" w:rsidRPr="00DC5DC8" w:rsidRDefault="00630D6B" w:rsidP="00630D6B">
      <w:pPr>
        <w:pStyle w:val="Default"/>
        <w:jc w:val="both"/>
        <w:rPr>
          <w:rFonts w:ascii="Cambria" w:hAnsi="Cambria" w:cs="Calibri Light"/>
          <w:sz w:val="20"/>
          <w:szCs w:val="20"/>
        </w:rPr>
      </w:pPr>
      <w:r w:rsidRPr="00DC5DC8">
        <w:rPr>
          <w:rFonts w:ascii="Cambria" w:hAnsi="Cambria" w:cs="Calibri Light"/>
          <w:bCs/>
          <w:sz w:val="20"/>
          <w:szCs w:val="20"/>
        </w:rPr>
        <w:t>The contract will be supervised and financed by UNDP.</w:t>
      </w:r>
      <w:r w:rsidRPr="00DC5DC8">
        <w:rPr>
          <w:rFonts w:ascii="Cambria" w:hAnsi="Cambria" w:cs="Calibri Light"/>
          <w:sz w:val="20"/>
          <w:szCs w:val="20"/>
        </w:rPr>
        <w:t xml:space="preserve"> Considering the ongoing COVID-19 crises, the contract duration and requirements may change based on the measures imposed by the government, which may further impact data collection by restricting access to district beneficiaries and stakeholders. The evaluator must demonstrate flexibility given such shifting conditions.</w:t>
      </w:r>
    </w:p>
    <w:p w14:paraId="24097A94" w14:textId="77777777" w:rsidR="00630D6B" w:rsidRPr="00DC5DC8" w:rsidRDefault="00630D6B" w:rsidP="00630D6B">
      <w:pPr>
        <w:pStyle w:val="Default"/>
        <w:jc w:val="both"/>
        <w:rPr>
          <w:rFonts w:ascii="Cambria" w:hAnsi="Cambria" w:cs="Calibri Light"/>
          <w:sz w:val="20"/>
          <w:szCs w:val="20"/>
        </w:rPr>
      </w:pPr>
    </w:p>
    <w:p w14:paraId="1AB04680" w14:textId="77777777" w:rsidR="00630D6B" w:rsidRPr="00DC5DC8" w:rsidRDefault="00630D6B" w:rsidP="00630D6B">
      <w:pPr>
        <w:pStyle w:val="Default"/>
        <w:jc w:val="both"/>
        <w:rPr>
          <w:rFonts w:ascii="Cambria" w:hAnsi="Cambria" w:cs="Calibri Light"/>
          <w:b/>
          <w:bCs/>
          <w:sz w:val="20"/>
          <w:szCs w:val="20"/>
        </w:rPr>
      </w:pPr>
      <w:r w:rsidRPr="00DC5DC8">
        <w:rPr>
          <w:rFonts w:ascii="Cambria" w:hAnsi="Cambria" w:cs="Calibri Light"/>
          <w:b/>
          <w:bCs/>
          <w:sz w:val="20"/>
          <w:szCs w:val="20"/>
        </w:rPr>
        <w:t>9. Evaluation Consultant and required competencies.</w:t>
      </w:r>
    </w:p>
    <w:p w14:paraId="778D61F5" w14:textId="77777777" w:rsidR="00630D6B" w:rsidRPr="00DC5DC8" w:rsidRDefault="00630D6B" w:rsidP="00630D6B">
      <w:pPr>
        <w:pStyle w:val="Default"/>
        <w:jc w:val="both"/>
        <w:rPr>
          <w:rFonts w:ascii="Cambria" w:hAnsi="Cambria" w:cs="Calibri Light"/>
          <w:b/>
          <w:bCs/>
          <w:sz w:val="20"/>
          <w:szCs w:val="20"/>
        </w:rPr>
      </w:pPr>
    </w:p>
    <w:p w14:paraId="05F3DC75" w14:textId="77777777" w:rsidR="00630D6B" w:rsidRPr="00DC5DC8" w:rsidRDefault="00630D6B" w:rsidP="00630D6B">
      <w:pPr>
        <w:pStyle w:val="Default"/>
        <w:jc w:val="both"/>
        <w:rPr>
          <w:rFonts w:ascii="Cambria" w:hAnsi="Cambria" w:cs="Calibri Light"/>
          <w:sz w:val="20"/>
          <w:szCs w:val="20"/>
        </w:rPr>
      </w:pPr>
      <w:r w:rsidRPr="00DC5DC8">
        <w:rPr>
          <w:rFonts w:ascii="Cambria" w:hAnsi="Cambria" w:cs="Calibri Light"/>
          <w:sz w:val="20"/>
          <w:szCs w:val="20"/>
        </w:rPr>
        <w:t xml:space="preserve">The independent Individual Consultant is required to evaluate the Pillar 1 (Legislative and Oversight Commissions) and Pillar 2 (Access to Justice and Rule of Law) using the stipulated evaluation criteria. The consultant is required to work in close collaboration with the independent Individual Consultant assigned to evaluate the Pillar 3  (Accountable and Efficient Service Deliver)y of the portfolio </w:t>
      </w:r>
    </w:p>
    <w:p w14:paraId="775D3012" w14:textId="77777777" w:rsidR="00630D6B" w:rsidRPr="00DC5DC8" w:rsidRDefault="00630D6B" w:rsidP="00630D6B">
      <w:pPr>
        <w:pStyle w:val="Default"/>
        <w:jc w:val="both"/>
        <w:rPr>
          <w:rFonts w:ascii="Cambria" w:hAnsi="Cambria" w:cs="Calibri Light"/>
          <w:sz w:val="20"/>
          <w:szCs w:val="20"/>
        </w:rPr>
      </w:pPr>
    </w:p>
    <w:p w14:paraId="4D0A0BE3" w14:textId="77777777" w:rsidR="00630D6B" w:rsidRPr="00DC5DC8" w:rsidRDefault="00630D6B" w:rsidP="00630D6B">
      <w:pPr>
        <w:pStyle w:val="Default"/>
        <w:jc w:val="both"/>
        <w:rPr>
          <w:rFonts w:ascii="Cambria" w:hAnsi="Cambria" w:cs="Calibri Light"/>
          <w:sz w:val="20"/>
          <w:szCs w:val="20"/>
        </w:rPr>
      </w:pPr>
    </w:p>
    <w:p w14:paraId="1576EC4B" w14:textId="77777777" w:rsidR="00630D6B" w:rsidRPr="00DC5DC8" w:rsidRDefault="00630D6B" w:rsidP="00630D6B">
      <w:pPr>
        <w:jc w:val="both"/>
        <w:rPr>
          <w:rFonts w:ascii="Cambria" w:hAnsi="Cambria" w:cs="Calibri Light"/>
          <w:sz w:val="20"/>
          <w:szCs w:val="20"/>
        </w:rPr>
      </w:pPr>
      <w:r w:rsidRPr="00DC5DC8">
        <w:rPr>
          <w:rFonts w:ascii="Cambria" w:hAnsi="Cambria" w:cs="Calibri Light"/>
          <w:sz w:val="20"/>
          <w:szCs w:val="20"/>
        </w:rPr>
        <w:t xml:space="preserve">Given that subject-specific knowledge under Pillar 1 and Pillar 2 is required, the consultant would need to demonstrate strong technical knowledge and expertise in the areas specified. Additionally,  the consultant   should demonstrate expertise in monitoring, evaluation, statistical analysis, and communication of data, with proven experience conducting research, evaluation and complex data gathering as well as experience working with institutions specific to pillars 1 and 2.. The consultant should also have a strong understanding of gender equality and sensitivity  as well as language capability to produce high quality reports in English and interact comfortably with local audiences  </w:t>
      </w:r>
    </w:p>
    <w:p w14:paraId="0E53B125" w14:textId="77777777" w:rsidR="00630D6B" w:rsidRPr="00DC5DC8" w:rsidRDefault="00630D6B" w:rsidP="00630D6B">
      <w:pPr>
        <w:jc w:val="both"/>
        <w:rPr>
          <w:rFonts w:ascii="Cambria" w:hAnsi="Cambria" w:cs="Calibri Light"/>
          <w:sz w:val="20"/>
          <w:szCs w:val="20"/>
        </w:rPr>
      </w:pPr>
      <w:r w:rsidRPr="00DC5DC8">
        <w:rPr>
          <w:rFonts w:ascii="Cambria" w:hAnsi="Cambria" w:cs="Calibri Light"/>
          <w:sz w:val="20"/>
          <w:szCs w:val="20"/>
        </w:rPr>
        <w:t>In addition, the following requirements are desirable:</w:t>
      </w:r>
    </w:p>
    <w:p w14:paraId="3BBF9F40" w14:textId="77777777" w:rsidR="00630D6B" w:rsidRPr="00DC5DC8" w:rsidRDefault="00630D6B" w:rsidP="00925CAD">
      <w:pPr>
        <w:pStyle w:val="ListParagraph"/>
        <w:numPr>
          <w:ilvl w:val="0"/>
          <w:numId w:val="66"/>
        </w:numPr>
        <w:jc w:val="both"/>
        <w:rPr>
          <w:rFonts w:ascii="Cambria" w:hAnsi="Cambria" w:cs="Calibri Light"/>
          <w:sz w:val="20"/>
          <w:szCs w:val="20"/>
        </w:rPr>
      </w:pPr>
      <w:r w:rsidRPr="00DC5DC8">
        <w:rPr>
          <w:rFonts w:ascii="Cambria" w:hAnsi="Cambria" w:cs="Calibri Light"/>
          <w:sz w:val="20"/>
          <w:szCs w:val="20"/>
        </w:rPr>
        <w:t>Strong networks on the ground with government, parliament, independent institutions justice sector institutions, and civil society partners</w:t>
      </w:r>
    </w:p>
    <w:p w14:paraId="414D26AD" w14:textId="77777777" w:rsidR="00630D6B" w:rsidRPr="00DC5DC8" w:rsidRDefault="00630D6B" w:rsidP="00925CAD">
      <w:pPr>
        <w:pStyle w:val="ListParagraph"/>
        <w:numPr>
          <w:ilvl w:val="0"/>
          <w:numId w:val="66"/>
        </w:numPr>
        <w:jc w:val="both"/>
        <w:rPr>
          <w:rFonts w:ascii="Cambria" w:hAnsi="Cambria" w:cs="Calibri Light"/>
          <w:sz w:val="20"/>
          <w:szCs w:val="20"/>
        </w:rPr>
      </w:pPr>
      <w:r w:rsidRPr="00DC5DC8">
        <w:rPr>
          <w:rFonts w:ascii="Cambria" w:hAnsi="Cambria" w:cs="Calibri Light"/>
          <w:sz w:val="20"/>
          <w:szCs w:val="20"/>
        </w:rPr>
        <w:t>Substantive experience working on legislative and justice related initiatives in Sri Lanka or in peacebuilding contexts, will be an added advantage.</w:t>
      </w:r>
    </w:p>
    <w:p w14:paraId="47D19F2D" w14:textId="77777777" w:rsidR="00630D6B" w:rsidRPr="00DC5DC8" w:rsidRDefault="00630D6B" w:rsidP="00630D6B">
      <w:pPr>
        <w:autoSpaceDE w:val="0"/>
        <w:autoSpaceDN w:val="0"/>
        <w:spacing w:beforeLines="1" w:before="2" w:line="276" w:lineRule="auto"/>
        <w:jc w:val="both"/>
        <w:rPr>
          <w:rFonts w:ascii="Cambria" w:hAnsi="Cambria" w:cs="Calibri Light"/>
          <w:sz w:val="20"/>
          <w:szCs w:val="20"/>
        </w:rPr>
      </w:pPr>
    </w:p>
    <w:p w14:paraId="4FD46381" w14:textId="77777777" w:rsidR="00630D6B" w:rsidRPr="00DC5DC8" w:rsidRDefault="00630D6B" w:rsidP="00630D6B">
      <w:pPr>
        <w:autoSpaceDE w:val="0"/>
        <w:autoSpaceDN w:val="0"/>
        <w:spacing w:beforeLines="1" w:before="2" w:line="276" w:lineRule="auto"/>
        <w:jc w:val="both"/>
        <w:rPr>
          <w:rFonts w:ascii="Cambria" w:hAnsi="Cambria" w:cs="Calibri Light"/>
          <w:sz w:val="20"/>
          <w:szCs w:val="20"/>
        </w:rPr>
      </w:pPr>
    </w:p>
    <w:p w14:paraId="143A7F6E" w14:textId="4A51E127" w:rsidR="00630D6B" w:rsidRPr="00DC5DC8" w:rsidRDefault="00630D6B" w:rsidP="00630D6B">
      <w:pPr>
        <w:autoSpaceDE w:val="0"/>
        <w:autoSpaceDN w:val="0"/>
        <w:spacing w:beforeLines="1" w:before="2" w:line="276" w:lineRule="auto"/>
        <w:jc w:val="both"/>
        <w:rPr>
          <w:rFonts w:ascii="Cambria" w:hAnsi="Cambria" w:cs="Calibri Light"/>
          <w:sz w:val="20"/>
          <w:szCs w:val="20"/>
        </w:rPr>
      </w:pPr>
      <w:r w:rsidRPr="00DC5DC8">
        <w:rPr>
          <w:rFonts w:ascii="Cambria" w:hAnsi="Cambria" w:cs="Calibri Light"/>
          <w:b/>
          <w:sz w:val="20"/>
          <w:szCs w:val="20"/>
        </w:rPr>
        <w:t>Profile of the Consultant</w:t>
      </w:r>
      <w:r w:rsidRPr="00DC5DC8">
        <w:rPr>
          <w:rFonts w:ascii="Cambria" w:hAnsi="Cambria" w:cs="Calibri Light"/>
          <w:sz w:val="20"/>
          <w:szCs w:val="20"/>
        </w:rPr>
        <w:t>:</w:t>
      </w:r>
    </w:p>
    <w:p w14:paraId="23374A0C" w14:textId="77777777" w:rsidR="00630D6B" w:rsidRPr="00DC5DC8" w:rsidRDefault="00630D6B" w:rsidP="00630D6B">
      <w:pPr>
        <w:spacing w:line="220" w:lineRule="atLeast"/>
        <w:rPr>
          <w:rFonts w:ascii="Cambria" w:hAnsi="Cambria" w:cs="Calibri Light"/>
          <w:sz w:val="20"/>
          <w:szCs w:val="20"/>
        </w:rPr>
      </w:pPr>
      <w:r w:rsidRPr="00DC5DC8">
        <w:rPr>
          <w:rFonts w:ascii="Cambria" w:hAnsi="Cambria" w:cs="Calibri Light"/>
          <w:sz w:val="20"/>
          <w:szCs w:val="20"/>
        </w:rPr>
        <w:t xml:space="preserve">The midterm evaluation cum strategic direction setting mission will be led by UNDP’s  Regional Advisor on Access to Justice &amp; Rule of Law based at the Regional Hub in Bangkok to whom the Consultant (including the consultant assigned for pillar 3) would report.. A UN advisor and reconciliation specialist based in Sri Lanka will also inform the strategic direction setting of the portfolio Lanka </w:t>
      </w:r>
    </w:p>
    <w:p w14:paraId="1B2072D9" w14:textId="77777777" w:rsidR="00630D6B" w:rsidRPr="00DC5DC8" w:rsidRDefault="00630D6B" w:rsidP="00630D6B">
      <w:pPr>
        <w:pStyle w:val="ListParagraph"/>
        <w:pBdr>
          <w:top w:val="nil"/>
          <w:left w:val="nil"/>
          <w:bottom w:val="nil"/>
          <w:right w:val="nil"/>
          <w:between w:val="nil"/>
          <w:bar w:val="nil"/>
        </w:pBdr>
        <w:spacing w:after="160"/>
        <w:ind w:left="0"/>
        <w:contextualSpacing w:val="0"/>
        <w:jc w:val="both"/>
        <w:rPr>
          <w:rFonts w:ascii="Cambria" w:hAnsi="Cambria"/>
          <w:b/>
          <w:bCs/>
          <w:sz w:val="20"/>
          <w:szCs w:val="20"/>
        </w:rPr>
      </w:pPr>
    </w:p>
    <w:p w14:paraId="46E2A30F" w14:textId="77777777" w:rsidR="00630D6B" w:rsidRPr="00DC5DC8" w:rsidRDefault="00630D6B" w:rsidP="00630D6B">
      <w:pPr>
        <w:pStyle w:val="ListParagraph"/>
        <w:pBdr>
          <w:top w:val="nil"/>
          <w:left w:val="nil"/>
          <w:bottom w:val="nil"/>
          <w:right w:val="nil"/>
          <w:between w:val="nil"/>
          <w:bar w:val="nil"/>
        </w:pBdr>
        <w:spacing w:after="160"/>
        <w:ind w:left="0"/>
        <w:contextualSpacing w:val="0"/>
        <w:jc w:val="both"/>
        <w:rPr>
          <w:rFonts w:ascii="Cambria" w:hAnsi="Cambria"/>
          <w:b/>
          <w:bCs/>
          <w:sz w:val="20"/>
          <w:szCs w:val="20"/>
        </w:rPr>
      </w:pPr>
      <w:r w:rsidRPr="00DC5DC8">
        <w:rPr>
          <w:rFonts w:ascii="Cambria" w:hAnsi="Cambria"/>
          <w:b/>
          <w:bCs/>
          <w:sz w:val="20"/>
          <w:szCs w:val="20"/>
        </w:rPr>
        <w:t xml:space="preserve">REQUIRED QUALIFICATIONS OF the CONSULTANT </w:t>
      </w:r>
    </w:p>
    <w:p w14:paraId="7F964113" w14:textId="77777777" w:rsidR="00630D6B" w:rsidRPr="00DC5DC8" w:rsidRDefault="00630D6B" w:rsidP="00925CAD">
      <w:pPr>
        <w:pStyle w:val="Body"/>
        <w:numPr>
          <w:ilvl w:val="0"/>
          <w:numId w:val="62"/>
        </w:numPr>
        <w:spacing w:after="0" w:line="240" w:lineRule="auto"/>
        <w:rPr>
          <w:rFonts w:ascii="Cambria" w:hAnsi="Cambria"/>
          <w:b/>
          <w:bCs/>
          <w:sz w:val="20"/>
          <w:szCs w:val="20"/>
        </w:rPr>
      </w:pPr>
      <w:r w:rsidRPr="00DC5DC8">
        <w:rPr>
          <w:rFonts w:ascii="Cambria" w:hAnsi="Cambria"/>
          <w:b/>
          <w:bCs/>
          <w:sz w:val="20"/>
          <w:szCs w:val="20"/>
        </w:rPr>
        <w:t>Education:</w:t>
      </w:r>
    </w:p>
    <w:p w14:paraId="424B72CF" w14:textId="77777777" w:rsidR="00630D6B" w:rsidRPr="00DC5DC8" w:rsidRDefault="00630D6B" w:rsidP="00925CAD">
      <w:pPr>
        <w:pStyle w:val="Body"/>
        <w:numPr>
          <w:ilvl w:val="1"/>
          <w:numId w:val="64"/>
        </w:numPr>
        <w:spacing w:after="0" w:line="240" w:lineRule="auto"/>
        <w:rPr>
          <w:rFonts w:ascii="Cambria" w:hAnsi="Cambria"/>
          <w:sz w:val="20"/>
          <w:szCs w:val="20"/>
        </w:rPr>
      </w:pPr>
      <w:r w:rsidRPr="00DC5DC8">
        <w:rPr>
          <w:rFonts w:ascii="Cambria" w:hAnsi="Cambria"/>
          <w:sz w:val="20"/>
          <w:szCs w:val="20"/>
        </w:rPr>
        <w:t>Minimum education of master’s degree in Law or Law related discipline;</w:t>
      </w:r>
    </w:p>
    <w:p w14:paraId="6380413E" w14:textId="77777777" w:rsidR="00630D6B" w:rsidRPr="00DC5DC8" w:rsidRDefault="00630D6B" w:rsidP="00925CAD">
      <w:pPr>
        <w:pStyle w:val="Body"/>
        <w:numPr>
          <w:ilvl w:val="1"/>
          <w:numId w:val="64"/>
        </w:numPr>
        <w:spacing w:after="0" w:line="240" w:lineRule="auto"/>
        <w:rPr>
          <w:rFonts w:ascii="Cambria" w:hAnsi="Cambria"/>
          <w:sz w:val="20"/>
          <w:szCs w:val="20"/>
        </w:rPr>
      </w:pPr>
      <w:r w:rsidRPr="00DC5DC8">
        <w:rPr>
          <w:rFonts w:ascii="Cambria" w:hAnsi="Cambria"/>
          <w:sz w:val="20"/>
          <w:szCs w:val="20"/>
        </w:rPr>
        <w:t>Qualifications, including specialized trainings or certifications program on evaluation and results-based management;</w:t>
      </w:r>
    </w:p>
    <w:p w14:paraId="4A53E3C1" w14:textId="77777777" w:rsidR="00630D6B" w:rsidRPr="00DC5DC8" w:rsidRDefault="00630D6B" w:rsidP="00630D6B">
      <w:pPr>
        <w:pStyle w:val="Body"/>
        <w:spacing w:after="0" w:line="240" w:lineRule="auto"/>
        <w:ind w:left="1080"/>
        <w:rPr>
          <w:rFonts w:ascii="Cambria" w:hAnsi="Cambria"/>
          <w:sz w:val="20"/>
          <w:szCs w:val="20"/>
        </w:rPr>
      </w:pPr>
    </w:p>
    <w:p w14:paraId="0F55431A" w14:textId="77777777" w:rsidR="00630D6B" w:rsidRPr="00DC5DC8" w:rsidRDefault="00630D6B" w:rsidP="00925CAD">
      <w:pPr>
        <w:pStyle w:val="Body"/>
        <w:numPr>
          <w:ilvl w:val="0"/>
          <w:numId w:val="62"/>
        </w:numPr>
        <w:spacing w:after="0" w:line="240" w:lineRule="auto"/>
        <w:rPr>
          <w:rFonts w:ascii="Cambria" w:hAnsi="Cambria"/>
          <w:b/>
          <w:bCs/>
          <w:sz w:val="20"/>
          <w:szCs w:val="20"/>
        </w:rPr>
      </w:pPr>
      <w:r w:rsidRPr="00DC5DC8">
        <w:rPr>
          <w:rFonts w:ascii="Cambria" w:hAnsi="Cambria"/>
          <w:b/>
          <w:bCs/>
          <w:sz w:val="20"/>
          <w:szCs w:val="20"/>
        </w:rPr>
        <w:t>Professional experience:</w:t>
      </w:r>
    </w:p>
    <w:p w14:paraId="54FBE3B5" w14:textId="77777777" w:rsidR="00630D6B" w:rsidRPr="00DC5DC8" w:rsidRDefault="00630D6B" w:rsidP="00925CAD">
      <w:pPr>
        <w:pStyle w:val="Body"/>
        <w:numPr>
          <w:ilvl w:val="1"/>
          <w:numId w:val="64"/>
        </w:numPr>
        <w:spacing w:after="0" w:line="240" w:lineRule="auto"/>
        <w:rPr>
          <w:rFonts w:ascii="Cambria" w:hAnsi="Cambria"/>
          <w:sz w:val="20"/>
          <w:szCs w:val="20"/>
        </w:rPr>
      </w:pPr>
      <w:r w:rsidRPr="00DC5DC8">
        <w:rPr>
          <w:rFonts w:ascii="Cambria" w:hAnsi="Cambria"/>
          <w:sz w:val="20"/>
          <w:szCs w:val="20"/>
        </w:rPr>
        <w:t xml:space="preserve">At least 7 years of experience in designing and leading program evaluation on Legislative and Justice sector in a peacebuilding context, including with programming in relation to gender equality, </w:t>
      </w:r>
    </w:p>
    <w:p w14:paraId="5E5B777C" w14:textId="77777777" w:rsidR="00630D6B" w:rsidRPr="00DC5DC8" w:rsidRDefault="00630D6B" w:rsidP="00925CAD">
      <w:pPr>
        <w:pStyle w:val="Body"/>
        <w:numPr>
          <w:ilvl w:val="1"/>
          <w:numId w:val="64"/>
        </w:numPr>
        <w:spacing w:after="0" w:line="240" w:lineRule="auto"/>
        <w:rPr>
          <w:rFonts w:ascii="Cambria" w:hAnsi="Cambria"/>
          <w:sz w:val="20"/>
          <w:szCs w:val="20"/>
        </w:rPr>
      </w:pPr>
      <w:r w:rsidRPr="00DC5DC8">
        <w:rPr>
          <w:rFonts w:ascii="Cambria" w:hAnsi="Cambria"/>
          <w:sz w:val="20"/>
          <w:szCs w:val="20"/>
        </w:rPr>
        <w:lastRenderedPageBreak/>
        <w:t>Experience in conducting and managing evaluations of projects in Sri Lanka and/or South Asia highly desirable;</w:t>
      </w:r>
    </w:p>
    <w:p w14:paraId="7603BCFD" w14:textId="77777777" w:rsidR="00630D6B" w:rsidRPr="00DC5DC8" w:rsidRDefault="00630D6B" w:rsidP="00925CAD">
      <w:pPr>
        <w:pStyle w:val="Body"/>
        <w:numPr>
          <w:ilvl w:val="1"/>
          <w:numId w:val="64"/>
        </w:numPr>
        <w:spacing w:after="0" w:line="240" w:lineRule="auto"/>
        <w:rPr>
          <w:rFonts w:ascii="Cambria" w:hAnsi="Cambria"/>
          <w:sz w:val="20"/>
          <w:szCs w:val="20"/>
        </w:rPr>
      </w:pPr>
      <w:r w:rsidRPr="00DC5DC8">
        <w:rPr>
          <w:rFonts w:ascii="Cambria" w:hAnsi="Cambria"/>
          <w:sz w:val="20"/>
          <w:szCs w:val="20"/>
        </w:rPr>
        <w:t>Proven knowledge and understanding of M&amp;E methodologies, including qualitative and quantitative data analysis skills and participatory data collection approaches;</w:t>
      </w:r>
    </w:p>
    <w:p w14:paraId="08763A2A" w14:textId="77777777" w:rsidR="00630D6B" w:rsidRPr="00DC5DC8" w:rsidRDefault="00630D6B" w:rsidP="00925CAD">
      <w:pPr>
        <w:pStyle w:val="Body"/>
        <w:numPr>
          <w:ilvl w:val="1"/>
          <w:numId w:val="64"/>
        </w:numPr>
        <w:spacing w:after="0" w:line="240" w:lineRule="auto"/>
        <w:rPr>
          <w:rFonts w:ascii="Cambria" w:hAnsi="Cambria"/>
          <w:sz w:val="20"/>
          <w:szCs w:val="20"/>
        </w:rPr>
      </w:pPr>
      <w:r w:rsidRPr="00DC5DC8">
        <w:rPr>
          <w:rFonts w:ascii="Cambria" w:hAnsi="Cambria"/>
          <w:sz w:val="20"/>
          <w:szCs w:val="20"/>
        </w:rPr>
        <w:t xml:space="preserve">Proven ability to produce high-quality reports and manage diverse perspectives in communications and consultations with relevant stakeholders and beneficiaries; </w:t>
      </w:r>
    </w:p>
    <w:p w14:paraId="3AA2014D" w14:textId="77777777" w:rsidR="00630D6B" w:rsidRPr="00DC5DC8" w:rsidRDefault="00630D6B" w:rsidP="00925CAD">
      <w:pPr>
        <w:pStyle w:val="Body"/>
        <w:numPr>
          <w:ilvl w:val="1"/>
          <w:numId w:val="64"/>
        </w:numPr>
        <w:spacing w:after="0" w:line="240" w:lineRule="auto"/>
        <w:contextualSpacing/>
        <w:rPr>
          <w:rFonts w:ascii="Cambria" w:hAnsi="Cambria"/>
          <w:sz w:val="20"/>
          <w:szCs w:val="20"/>
        </w:rPr>
      </w:pPr>
      <w:r w:rsidRPr="00DC5DC8">
        <w:rPr>
          <w:rFonts w:ascii="Cambria" w:hAnsi="Cambria"/>
          <w:sz w:val="20"/>
          <w:szCs w:val="20"/>
        </w:rPr>
        <w:t>Knowledge of national and local justice and governance systems and legal and policy frameworks and previous experience engaging with UN agencies, donors and high-level government stakeholders, law enforcement, and CSOs are preferred;</w:t>
      </w:r>
    </w:p>
    <w:p w14:paraId="7418A89B" w14:textId="77777777" w:rsidR="00630D6B" w:rsidRPr="00DC5DC8" w:rsidRDefault="00630D6B" w:rsidP="00925CAD">
      <w:pPr>
        <w:pStyle w:val="ListParagraph"/>
        <w:numPr>
          <w:ilvl w:val="1"/>
          <w:numId w:val="64"/>
        </w:numPr>
        <w:pBdr>
          <w:top w:val="nil"/>
          <w:left w:val="nil"/>
          <w:bottom w:val="nil"/>
          <w:right w:val="nil"/>
          <w:between w:val="nil"/>
          <w:bar w:val="nil"/>
        </w:pBdr>
        <w:spacing w:after="160" w:line="259" w:lineRule="auto"/>
        <w:rPr>
          <w:rFonts w:ascii="Cambria" w:hAnsi="Cambria"/>
          <w:sz w:val="20"/>
          <w:szCs w:val="20"/>
        </w:rPr>
      </w:pPr>
      <w:r w:rsidRPr="00DC5DC8">
        <w:rPr>
          <w:rFonts w:ascii="Cambria" w:hAnsi="Cambria"/>
          <w:sz w:val="20"/>
          <w:szCs w:val="20"/>
        </w:rPr>
        <w:t xml:space="preserve">Demonstrated capacity to work as a team; </w:t>
      </w:r>
    </w:p>
    <w:p w14:paraId="71094701" w14:textId="77777777" w:rsidR="00630D6B" w:rsidRPr="00DC5DC8" w:rsidRDefault="00630D6B" w:rsidP="00925CAD">
      <w:pPr>
        <w:pStyle w:val="ListParagraph"/>
        <w:numPr>
          <w:ilvl w:val="1"/>
          <w:numId w:val="64"/>
        </w:numPr>
        <w:pBdr>
          <w:top w:val="nil"/>
          <w:left w:val="nil"/>
          <w:bottom w:val="nil"/>
          <w:right w:val="nil"/>
          <w:between w:val="nil"/>
          <w:bar w:val="nil"/>
        </w:pBdr>
        <w:spacing w:after="160" w:line="259" w:lineRule="auto"/>
        <w:rPr>
          <w:rFonts w:ascii="Cambria" w:hAnsi="Cambria"/>
          <w:sz w:val="20"/>
          <w:szCs w:val="20"/>
        </w:rPr>
      </w:pPr>
      <w:r w:rsidRPr="00DC5DC8">
        <w:rPr>
          <w:rFonts w:ascii="Cambria" w:hAnsi="Cambria"/>
          <w:sz w:val="20"/>
          <w:szCs w:val="20"/>
        </w:rPr>
        <w:t>Excellent written and spoken English and representational capacities;</w:t>
      </w:r>
    </w:p>
    <w:p w14:paraId="0BF5E595" w14:textId="77777777" w:rsidR="00630D6B" w:rsidRPr="00DC5DC8" w:rsidRDefault="00630D6B" w:rsidP="00925CAD">
      <w:pPr>
        <w:pStyle w:val="ListParagraph"/>
        <w:numPr>
          <w:ilvl w:val="1"/>
          <w:numId w:val="64"/>
        </w:numPr>
        <w:pBdr>
          <w:top w:val="nil"/>
          <w:left w:val="nil"/>
          <w:bottom w:val="nil"/>
          <w:right w:val="nil"/>
          <w:between w:val="nil"/>
          <w:bar w:val="nil"/>
        </w:pBdr>
        <w:spacing w:after="160" w:line="259" w:lineRule="auto"/>
        <w:rPr>
          <w:rFonts w:ascii="Cambria" w:hAnsi="Cambria"/>
          <w:sz w:val="20"/>
          <w:szCs w:val="20"/>
        </w:rPr>
      </w:pPr>
      <w:r w:rsidRPr="00DC5DC8">
        <w:rPr>
          <w:rFonts w:ascii="Cambria" w:hAnsi="Cambria"/>
          <w:sz w:val="20"/>
          <w:szCs w:val="20"/>
        </w:rPr>
        <w:t>Fluency in either of the national languages Sinhala or Tamil.</w:t>
      </w:r>
    </w:p>
    <w:p w14:paraId="73752E1D" w14:textId="77777777" w:rsidR="00630D6B" w:rsidRPr="00DC5DC8" w:rsidRDefault="00630D6B" w:rsidP="00630D6B">
      <w:pPr>
        <w:pStyle w:val="ListParagraph"/>
        <w:ind w:left="1080"/>
        <w:rPr>
          <w:rFonts w:ascii="Cambria" w:hAnsi="Cambria"/>
          <w:sz w:val="20"/>
          <w:szCs w:val="20"/>
        </w:rPr>
      </w:pPr>
    </w:p>
    <w:p w14:paraId="7176F615" w14:textId="77777777" w:rsidR="00630D6B" w:rsidRPr="00DC5DC8" w:rsidRDefault="00630D6B" w:rsidP="00925CAD">
      <w:pPr>
        <w:pStyle w:val="ListParagraph"/>
        <w:numPr>
          <w:ilvl w:val="0"/>
          <w:numId w:val="68"/>
        </w:numPr>
        <w:pBdr>
          <w:top w:val="nil"/>
          <w:left w:val="nil"/>
          <w:bottom w:val="nil"/>
          <w:right w:val="nil"/>
          <w:between w:val="nil"/>
          <w:bar w:val="nil"/>
        </w:pBdr>
        <w:spacing w:after="160"/>
        <w:contextualSpacing w:val="0"/>
        <w:jc w:val="both"/>
        <w:rPr>
          <w:rFonts w:ascii="Cambria" w:hAnsi="Cambria"/>
          <w:b/>
          <w:bCs/>
          <w:sz w:val="20"/>
          <w:szCs w:val="20"/>
        </w:rPr>
      </w:pPr>
      <w:r w:rsidRPr="00DC5DC8">
        <w:rPr>
          <w:rFonts w:ascii="Cambria" w:hAnsi="Cambria"/>
          <w:b/>
          <w:bCs/>
          <w:sz w:val="20"/>
          <w:szCs w:val="20"/>
        </w:rPr>
        <w:t>SUBMISSION OF APPLICATION AND DEADLINE</w:t>
      </w:r>
    </w:p>
    <w:p w14:paraId="7BCB8507" w14:textId="77777777" w:rsidR="00630D6B" w:rsidRPr="00DC5DC8" w:rsidRDefault="00630D6B" w:rsidP="00630D6B">
      <w:pPr>
        <w:pStyle w:val="Body"/>
        <w:spacing w:after="0" w:line="240" w:lineRule="auto"/>
        <w:jc w:val="both"/>
        <w:rPr>
          <w:rFonts w:ascii="Cambria" w:hAnsi="Cambria"/>
          <w:sz w:val="20"/>
          <w:szCs w:val="20"/>
        </w:rPr>
      </w:pPr>
      <w:bookmarkStart w:id="69" w:name="_Hlk48929523"/>
      <w:r w:rsidRPr="00DC5DC8">
        <w:rPr>
          <w:rFonts w:ascii="Cambria" w:hAnsi="Cambria"/>
          <w:sz w:val="20"/>
          <w:szCs w:val="20"/>
        </w:rPr>
        <w:t xml:space="preserve">Interested candidates are requested to submit an electronic application containing the items listed below to </w:t>
      </w:r>
      <w:hyperlink r:id="rId31" w:history="1">
        <w:r w:rsidRPr="00DC5DC8">
          <w:rPr>
            <w:rStyle w:val="Hyperlink"/>
            <w:rFonts w:ascii="Cambria" w:hAnsi="Cambria"/>
            <w:sz w:val="20"/>
            <w:szCs w:val="20"/>
          </w:rPr>
          <w:t>consultants.lk@undp.org</w:t>
        </w:r>
      </w:hyperlink>
      <w:r w:rsidRPr="00DC5DC8">
        <w:rPr>
          <w:rFonts w:ascii="Cambria" w:hAnsi="Cambria"/>
          <w:sz w:val="20"/>
          <w:szCs w:val="20"/>
        </w:rPr>
        <w:t xml:space="preserve">  no later than</w:t>
      </w:r>
      <w:r w:rsidRPr="00DC5DC8">
        <w:rPr>
          <w:rFonts w:ascii="Cambria" w:hAnsi="Cambria"/>
          <w:b/>
          <w:bCs/>
          <w:sz w:val="20"/>
          <w:szCs w:val="20"/>
        </w:rPr>
        <w:t xml:space="preserve"> 31 August 2020</w:t>
      </w:r>
      <w:r w:rsidRPr="00DC5DC8">
        <w:rPr>
          <w:rFonts w:ascii="Cambria" w:hAnsi="Cambria"/>
          <w:sz w:val="20"/>
          <w:szCs w:val="20"/>
        </w:rPr>
        <w:t>. The financial proposal should provide professional fees as a lump sum amount for each deliverable, as well as travel-related costs. The submission package should include:</w:t>
      </w:r>
    </w:p>
    <w:p w14:paraId="49BB520E" w14:textId="77777777" w:rsidR="00630D6B" w:rsidRPr="00DC5DC8" w:rsidRDefault="00630D6B" w:rsidP="00630D6B">
      <w:pPr>
        <w:pStyle w:val="Body"/>
        <w:spacing w:after="0" w:line="240" w:lineRule="auto"/>
        <w:jc w:val="both"/>
        <w:rPr>
          <w:rFonts w:ascii="Cambria" w:hAnsi="Cambria"/>
          <w:sz w:val="20"/>
          <w:szCs w:val="20"/>
        </w:rPr>
      </w:pPr>
    </w:p>
    <w:p w14:paraId="3247CE4F" w14:textId="77777777" w:rsidR="00630D6B" w:rsidRPr="00DC5DC8" w:rsidRDefault="00630D6B" w:rsidP="00925CAD">
      <w:pPr>
        <w:pStyle w:val="Body"/>
        <w:numPr>
          <w:ilvl w:val="1"/>
          <w:numId w:val="64"/>
        </w:numPr>
        <w:spacing w:after="0" w:line="240" w:lineRule="auto"/>
        <w:rPr>
          <w:rFonts w:ascii="Cambria" w:hAnsi="Cambria"/>
          <w:sz w:val="20"/>
          <w:szCs w:val="20"/>
        </w:rPr>
      </w:pPr>
      <w:r w:rsidRPr="00DC5DC8">
        <w:rPr>
          <w:rFonts w:ascii="Cambria" w:hAnsi="Cambria"/>
          <w:sz w:val="20"/>
          <w:szCs w:val="20"/>
        </w:rPr>
        <w:t>Cover letter outlining relevant experience (s)</w:t>
      </w:r>
    </w:p>
    <w:p w14:paraId="07C283C5" w14:textId="77777777" w:rsidR="00630D6B" w:rsidRPr="00DC5DC8" w:rsidRDefault="00630D6B" w:rsidP="00925CAD">
      <w:pPr>
        <w:pStyle w:val="Body"/>
        <w:numPr>
          <w:ilvl w:val="1"/>
          <w:numId w:val="64"/>
        </w:numPr>
        <w:spacing w:after="0" w:line="240" w:lineRule="auto"/>
        <w:rPr>
          <w:rFonts w:ascii="Cambria" w:hAnsi="Cambria"/>
          <w:sz w:val="20"/>
          <w:szCs w:val="20"/>
        </w:rPr>
      </w:pPr>
      <w:r w:rsidRPr="00DC5DC8">
        <w:rPr>
          <w:rFonts w:ascii="Cambria" w:hAnsi="Cambria"/>
          <w:sz w:val="20"/>
          <w:szCs w:val="20"/>
        </w:rPr>
        <w:t xml:space="preserve">Curriculum Vitae </w:t>
      </w:r>
    </w:p>
    <w:p w14:paraId="4C45D297" w14:textId="77777777" w:rsidR="00630D6B" w:rsidRPr="00DC5DC8" w:rsidRDefault="00630D6B" w:rsidP="00925CAD">
      <w:pPr>
        <w:pStyle w:val="Body"/>
        <w:numPr>
          <w:ilvl w:val="1"/>
          <w:numId w:val="64"/>
        </w:numPr>
        <w:spacing w:after="0" w:line="240" w:lineRule="auto"/>
        <w:rPr>
          <w:rFonts w:ascii="Cambria" w:hAnsi="Cambria"/>
          <w:sz w:val="20"/>
          <w:szCs w:val="20"/>
          <w:lang w:val="it-IT"/>
        </w:rPr>
      </w:pPr>
      <w:r w:rsidRPr="00DC5DC8">
        <w:rPr>
          <w:rFonts w:ascii="Cambria" w:hAnsi="Cambria"/>
          <w:sz w:val="20"/>
          <w:szCs w:val="20"/>
        </w:rPr>
        <w:t>Proposed preliminary evaluation methodology based on the criteria and context noted above.</w:t>
      </w:r>
    </w:p>
    <w:p w14:paraId="2DACC346" w14:textId="77777777" w:rsidR="00630D6B" w:rsidRPr="00DC5DC8" w:rsidRDefault="00630D6B" w:rsidP="00925CAD">
      <w:pPr>
        <w:pStyle w:val="Body"/>
        <w:numPr>
          <w:ilvl w:val="1"/>
          <w:numId w:val="64"/>
        </w:numPr>
        <w:spacing w:after="0" w:line="240" w:lineRule="auto"/>
        <w:rPr>
          <w:rFonts w:ascii="Cambria" w:hAnsi="Cambria"/>
          <w:sz w:val="20"/>
          <w:szCs w:val="20"/>
        </w:rPr>
      </w:pPr>
      <w:r w:rsidRPr="00DC5DC8">
        <w:rPr>
          <w:rFonts w:ascii="Cambria" w:hAnsi="Cambria"/>
          <w:sz w:val="20"/>
          <w:szCs w:val="20"/>
        </w:rPr>
        <w:t>Financial proposal specifying proposed fee based on each deliverable, and travel-related costs* as per the following template:</w:t>
      </w:r>
    </w:p>
    <w:bookmarkEnd w:id="69"/>
    <w:p w14:paraId="57CC14CB" w14:textId="77777777" w:rsidR="00630D6B" w:rsidRPr="00DC5DC8" w:rsidRDefault="00630D6B" w:rsidP="00630D6B">
      <w:pPr>
        <w:autoSpaceDE w:val="0"/>
        <w:autoSpaceDN w:val="0"/>
        <w:spacing w:beforeLines="1" w:before="2" w:line="276" w:lineRule="auto"/>
        <w:jc w:val="both"/>
        <w:rPr>
          <w:rFonts w:ascii="Cambria" w:hAnsi="Cambria" w:cs="Calibri Light"/>
          <w:b/>
          <w:sz w:val="20"/>
          <w:szCs w:val="20"/>
        </w:rPr>
      </w:pPr>
    </w:p>
    <w:p w14:paraId="4B468AB5" w14:textId="77777777" w:rsidR="00630D6B" w:rsidRPr="00DC5DC8" w:rsidRDefault="00630D6B" w:rsidP="00630D6B">
      <w:pPr>
        <w:autoSpaceDE w:val="0"/>
        <w:autoSpaceDN w:val="0"/>
        <w:spacing w:beforeLines="1" w:before="2" w:line="276" w:lineRule="auto"/>
        <w:jc w:val="both"/>
        <w:rPr>
          <w:rFonts w:ascii="Cambria" w:hAnsi="Cambria" w:cs="Calibri Light"/>
          <w:b/>
          <w:sz w:val="20"/>
          <w:szCs w:val="20"/>
        </w:rPr>
      </w:pPr>
      <w:r w:rsidRPr="00DC5DC8">
        <w:rPr>
          <w:rFonts w:ascii="Cambria" w:hAnsi="Cambria" w:cs="Calibri Light"/>
          <w:b/>
          <w:sz w:val="20"/>
          <w:szCs w:val="20"/>
        </w:rPr>
        <w:t xml:space="preserve">Required corporate competencies of consultancy: </w:t>
      </w:r>
    </w:p>
    <w:p w14:paraId="6C442F39" w14:textId="77777777" w:rsidR="00630D6B" w:rsidRPr="00DC5DC8" w:rsidRDefault="00630D6B" w:rsidP="00925CAD">
      <w:pPr>
        <w:numPr>
          <w:ilvl w:val="0"/>
          <w:numId w:val="65"/>
        </w:numPr>
        <w:autoSpaceDE w:val="0"/>
        <w:autoSpaceDN w:val="0"/>
        <w:spacing w:beforeLines="1" w:before="2" w:after="0" w:line="276" w:lineRule="auto"/>
        <w:jc w:val="both"/>
        <w:rPr>
          <w:rFonts w:ascii="Cambria" w:hAnsi="Cambria" w:cs="Calibri Light"/>
          <w:sz w:val="20"/>
          <w:szCs w:val="20"/>
        </w:rPr>
      </w:pPr>
      <w:r w:rsidRPr="00DC5DC8">
        <w:rPr>
          <w:rFonts w:ascii="Cambria" w:hAnsi="Cambria" w:cs="Calibri Light"/>
          <w:sz w:val="20"/>
          <w:szCs w:val="20"/>
        </w:rPr>
        <w:t>Comprehensive knowledge on the UN’s norms and standards; and human rights-based approach.</w:t>
      </w:r>
    </w:p>
    <w:p w14:paraId="0ED48603" w14:textId="77777777" w:rsidR="00630D6B" w:rsidRPr="00DC5DC8" w:rsidRDefault="00630D6B" w:rsidP="00925CAD">
      <w:pPr>
        <w:numPr>
          <w:ilvl w:val="0"/>
          <w:numId w:val="65"/>
        </w:numPr>
        <w:autoSpaceDE w:val="0"/>
        <w:autoSpaceDN w:val="0"/>
        <w:spacing w:beforeLines="1" w:before="2" w:after="0" w:line="276" w:lineRule="auto"/>
        <w:jc w:val="both"/>
        <w:rPr>
          <w:rFonts w:ascii="Cambria" w:hAnsi="Cambria" w:cs="Calibri Light"/>
          <w:sz w:val="20"/>
          <w:szCs w:val="20"/>
        </w:rPr>
      </w:pPr>
      <w:r w:rsidRPr="00DC5DC8">
        <w:rPr>
          <w:rFonts w:ascii="Cambria" w:hAnsi="Cambria" w:cs="Calibri Light"/>
          <w:sz w:val="20"/>
          <w:szCs w:val="20"/>
        </w:rPr>
        <w:t>Demonstrates integrity by modeling the UN’s values and ethical standards.</w:t>
      </w:r>
    </w:p>
    <w:p w14:paraId="0A25CE93" w14:textId="77777777" w:rsidR="00630D6B" w:rsidRPr="00DC5DC8" w:rsidRDefault="00630D6B" w:rsidP="00925CAD">
      <w:pPr>
        <w:numPr>
          <w:ilvl w:val="0"/>
          <w:numId w:val="65"/>
        </w:numPr>
        <w:autoSpaceDE w:val="0"/>
        <w:autoSpaceDN w:val="0"/>
        <w:spacing w:beforeLines="1" w:before="2" w:after="0" w:line="276" w:lineRule="auto"/>
        <w:jc w:val="both"/>
        <w:rPr>
          <w:rFonts w:ascii="Cambria" w:hAnsi="Cambria" w:cs="Calibri Light"/>
          <w:sz w:val="20"/>
          <w:szCs w:val="20"/>
        </w:rPr>
      </w:pPr>
      <w:r w:rsidRPr="00DC5DC8">
        <w:rPr>
          <w:rFonts w:ascii="Cambria" w:hAnsi="Cambria" w:cs="Calibri Light"/>
          <w:sz w:val="20"/>
          <w:szCs w:val="20"/>
        </w:rPr>
        <w:t>Displays cultural, gender, religious, race, nationality and age sensitivity and adaptability.</w:t>
      </w:r>
    </w:p>
    <w:p w14:paraId="67729AB1" w14:textId="77777777" w:rsidR="00630D6B" w:rsidRPr="00DC5DC8" w:rsidRDefault="00630D6B" w:rsidP="00925CAD">
      <w:pPr>
        <w:numPr>
          <w:ilvl w:val="0"/>
          <w:numId w:val="65"/>
        </w:numPr>
        <w:autoSpaceDE w:val="0"/>
        <w:autoSpaceDN w:val="0"/>
        <w:spacing w:beforeLines="1" w:before="2" w:after="0" w:line="276" w:lineRule="auto"/>
        <w:jc w:val="both"/>
        <w:rPr>
          <w:rFonts w:ascii="Cambria" w:hAnsi="Cambria" w:cs="Calibri Light"/>
          <w:sz w:val="20"/>
          <w:szCs w:val="20"/>
        </w:rPr>
      </w:pPr>
      <w:r w:rsidRPr="00DC5DC8">
        <w:rPr>
          <w:rFonts w:ascii="Cambria" w:hAnsi="Cambria" w:cs="Calibri Light"/>
          <w:sz w:val="20"/>
          <w:szCs w:val="20"/>
        </w:rPr>
        <w:t>Fulfills all obligations to gender sensitivity and zero tolerance for sexual harassment.</w:t>
      </w:r>
    </w:p>
    <w:p w14:paraId="32A56878" w14:textId="77777777" w:rsidR="00630D6B" w:rsidRPr="00DC5DC8" w:rsidRDefault="00630D6B" w:rsidP="00630D6B">
      <w:pPr>
        <w:pStyle w:val="Default"/>
        <w:jc w:val="both"/>
        <w:rPr>
          <w:rFonts w:ascii="Cambria" w:hAnsi="Cambria" w:cs="Calibri Light"/>
          <w:b/>
          <w:bCs/>
          <w:sz w:val="20"/>
          <w:szCs w:val="20"/>
        </w:rPr>
      </w:pPr>
    </w:p>
    <w:p w14:paraId="0EA59A37" w14:textId="77777777" w:rsidR="00630D6B" w:rsidRPr="00DC5DC8" w:rsidRDefault="00630D6B" w:rsidP="00630D6B">
      <w:pPr>
        <w:pStyle w:val="NoSpacing"/>
        <w:rPr>
          <w:rFonts w:ascii="Cambria" w:hAnsi="Cambria" w:cs="Calibri Light"/>
          <w:b/>
          <w:bCs/>
          <w:sz w:val="20"/>
          <w:szCs w:val="20"/>
          <w:lang w:bidi="ta-LK"/>
        </w:rPr>
      </w:pPr>
      <w:r w:rsidRPr="00DC5DC8">
        <w:rPr>
          <w:rFonts w:ascii="Cambria" w:hAnsi="Cambria" w:cs="Calibri Light"/>
          <w:b/>
          <w:bCs/>
          <w:sz w:val="20"/>
          <w:szCs w:val="20"/>
          <w:lang w:bidi="ta-LK"/>
        </w:rPr>
        <w:t xml:space="preserve">FINANCIAL PROPOSAL   </w:t>
      </w:r>
    </w:p>
    <w:p w14:paraId="0219E290" w14:textId="77777777" w:rsidR="00630D6B" w:rsidRPr="00DC5DC8" w:rsidRDefault="00630D6B" w:rsidP="00630D6B">
      <w:pPr>
        <w:pStyle w:val="NoSpacing"/>
        <w:rPr>
          <w:rFonts w:ascii="Cambria" w:hAnsi="Cambria" w:cs="Calibri Light"/>
          <w:sz w:val="20"/>
          <w:szCs w:val="20"/>
          <w:lang w:bidi="ta-LK"/>
        </w:rPr>
      </w:pPr>
      <w:r w:rsidRPr="00DC5DC8">
        <w:rPr>
          <w:rFonts w:ascii="Cambria" w:hAnsi="Cambria" w:cs="Calibri Light"/>
          <w:sz w:val="20"/>
          <w:szCs w:val="20"/>
          <w:lang w:bidi="ta-LK"/>
        </w:rPr>
        <w:t>All Inclusive Lump Sum Fee: LKR (______________________________________)</w:t>
      </w:r>
    </w:p>
    <w:p w14:paraId="361552BB" w14:textId="77777777" w:rsidR="00630D6B" w:rsidRPr="00DC5DC8" w:rsidRDefault="00630D6B" w:rsidP="00630D6B">
      <w:pPr>
        <w:pStyle w:val="NoSpacing"/>
        <w:rPr>
          <w:rFonts w:ascii="Cambria" w:hAnsi="Cambria" w:cs="Calibri Light"/>
          <w:sz w:val="20"/>
          <w:szCs w:val="20"/>
          <w:lang w:bidi="ta-LK"/>
        </w:rPr>
      </w:pPr>
    </w:p>
    <w:p w14:paraId="6B138E0D" w14:textId="77777777" w:rsidR="00630D6B" w:rsidRPr="00DC5DC8" w:rsidRDefault="00630D6B" w:rsidP="00630D6B">
      <w:pPr>
        <w:pStyle w:val="NoSpacing"/>
        <w:rPr>
          <w:rFonts w:ascii="Cambria" w:hAnsi="Cambria" w:cs="Calibri Light"/>
          <w:sz w:val="20"/>
          <w:szCs w:val="20"/>
          <w:lang w:bidi="ta-LK"/>
        </w:rPr>
      </w:pPr>
      <w:r w:rsidRPr="00DC5DC8">
        <w:rPr>
          <w:rFonts w:ascii="Cambria" w:hAnsi="Cambria" w:cs="Calibri Light"/>
          <w:sz w:val="20"/>
          <w:szCs w:val="20"/>
          <w:lang w:bidi="ta-LK"/>
        </w:rPr>
        <w:t>Amount in words:  (LKR_______________________________________________________________)</w:t>
      </w:r>
    </w:p>
    <w:p w14:paraId="683D6974" w14:textId="77777777" w:rsidR="00630D6B" w:rsidRPr="00DC5DC8" w:rsidRDefault="00630D6B" w:rsidP="00630D6B">
      <w:pPr>
        <w:pStyle w:val="NoSpacing"/>
        <w:rPr>
          <w:rFonts w:ascii="Cambria" w:hAnsi="Cambria" w:cs="Calibri Light"/>
          <w:sz w:val="20"/>
          <w:szCs w:val="20"/>
          <w:lang w:bidi="ta-LK"/>
        </w:rPr>
      </w:pPr>
      <w:r w:rsidRPr="00DC5DC8">
        <w:rPr>
          <w:rFonts w:ascii="Cambria" w:hAnsi="Cambria" w:cs="Calibri Light"/>
          <w:sz w:val="20"/>
          <w:szCs w:val="20"/>
          <w:lang w:bidi="ta-LK"/>
        </w:rPr>
        <w:t> </w:t>
      </w:r>
    </w:p>
    <w:p w14:paraId="1703742A" w14:textId="77777777" w:rsidR="00630D6B" w:rsidRPr="00DC5DC8" w:rsidRDefault="00630D6B" w:rsidP="00630D6B">
      <w:pPr>
        <w:pStyle w:val="NoSpacing"/>
        <w:rPr>
          <w:rFonts w:ascii="Cambria" w:hAnsi="Cambria" w:cs="Calibri Light"/>
          <w:sz w:val="20"/>
          <w:szCs w:val="20"/>
          <w:lang w:bidi="ta-LK"/>
        </w:rPr>
      </w:pPr>
      <w:r w:rsidRPr="00DC5DC8">
        <w:rPr>
          <w:rFonts w:ascii="Cambria" w:hAnsi="Cambria" w:cs="Calibri Light"/>
          <w:sz w:val="20"/>
          <w:szCs w:val="20"/>
          <w:lang w:bidi="ta-LK"/>
        </w:rPr>
        <w:t>Note: Payments will be based on invoices on the achievement of agreed milestones, i.e. upon delivery of the services specified in the TOR and certification of acceptance by the UNDP. The applicant must factor in all possible costs in his/her “</w:t>
      </w:r>
      <w:r w:rsidRPr="00DC5DC8">
        <w:rPr>
          <w:rFonts w:ascii="Cambria" w:hAnsi="Cambria" w:cs="Calibri Light"/>
          <w:i/>
          <w:iCs/>
          <w:sz w:val="20"/>
          <w:szCs w:val="20"/>
          <w:lang w:bidi="ta-LK"/>
        </w:rPr>
        <w:t>All-Inclusive Lump Sum Fee</w:t>
      </w:r>
      <w:r w:rsidRPr="00DC5DC8">
        <w:rPr>
          <w:rFonts w:ascii="Cambria" w:hAnsi="Cambria" w:cs="Calibri Light"/>
          <w:sz w:val="20"/>
          <w:szCs w:val="20"/>
          <w:lang w:bidi="ta-LK"/>
        </w:rPr>
        <w:t>” including his/her consultancy and professional fee, travel (economy class flights is required to and from the Duty Station) honorarium, board and lodging, and any other foreseeable costs in this exercise. No costs other than what has been indicated in the financial proposal will be paid or reimbursed to the consultant. UNDP will only pay for any unplanned travel outside of this TOR and Duty Station on actual basis and submission of original bills/invoices and prior agreement with UNDP officials. Daily perdium and costs for accommodation/meals/incidental expenses for such travel shall not exceed established local UNDP DSA rates.</w:t>
      </w:r>
    </w:p>
    <w:p w14:paraId="7A8C2DBF" w14:textId="77777777" w:rsidR="00630D6B" w:rsidRPr="00DC5DC8" w:rsidRDefault="00630D6B" w:rsidP="00630D6B">
      <w:pPr>
        <w:pStyle w:val="NoSpacing"/>
        <w:rPr>
          <w:rFonts w:ascii="Cambria" w:hAnsi="Cambria" w:cs="Calibri Light"/>
          <w:sz w:val="20"/>
          <w:szCs w:val="20"/>
          <w:lang w:bidi="ta-LK"/>
        </w:rPr>
      </w:pPr>
    </w:p>
    <w:p w14:paraId="6EC3E4F5" w14:textId="77777777" w:rsidR="00630D6B" w:rsidRPr="00DC5DC8" w:rsidRDefault="00630D6B" w:rsidP="00630D6B">
      <w:pPr>
        <w:pStyle w:val="NoSpacing"/>
        <w:rPr>
          <w:rFonts w:ascii="Cambria" w:hAnsi="Cambria" w:cs="Calibri Light"/>
          <w:sz w:val="20"/>
          <w:szCs w:val="20"/>
          <w:lang w:bidi="ta-LK"/>
        </w:rPr>
      </w:pPr>
      <w:r w:rsidRPr="00DC5DC8">
        <w:rPr>
          <w:rFonts w:ascii="Cambria" w:hAnsi="Cambria" w:cs="Calibri Light"/>
          <w:sz w:val="20"/>
          <w:szCs w:val="20"/>
          <w:lang w:bidi="ta-LK"/>
        </w:rPr>
        <w:t xml:space="preserve">For an Individual Contractor who is 65 years of age or older, and on an assignment requiring travel, be it to arrive at the duty station or as an essential duty required travel under the TOR, a full medical examination </w:t>
      </w:r>
      <w:r w:rsidRPr="00DC5DC8">
        <w:rPr>
          <w:rFonts w:ascii="Cambria" w:hAnsi="Cambria" w:cs="Calibri Light"/>
          <w:sz w:val="20"/>
          <w:szCs w:val="20"/>
          <w:lang w:bidi="ta-LK"/>
        </w:rPr>
        <w:lastRenderedPageBreak/>
        <w:t>and statement of fitness to work must be provided.  Such medical examination costs must be factored into the financial proposal above. A medical examination is not a requirement for individuals on RLA contracts. </w:t>
      </w:r>
    </w:p>
    <w:p w14:paraId="6C336C7C" w14:textId="77777777" w:rsidR="00630D6B" w:rsidRPr="00DC5DC8" w:rsidRDefault="00630D6B" w:rsidP="00630D6B">
      <w:pPr>
        <w:pStyle w:val="NoSpacing"/>
        <w:rPr>
          <w:rFonts w:ascii="Cambria" w:hAnsi="Cambria" w:cs="Calibri Light"/>
          <w:sz w:val="20"/>
          <w:szCs w:val="20"/>
          <w:lang w:bidi="ta-LK"/>
        </w:rPr>
      </w:pPr>
    </w:p>
    <w:p w14:paraId="0BD5B707" w14:textId="77777777" w:rsidR="00630D6B" w:rsidRPr="00DC5DC8" w:rsidRDefault="00630D6B" w:rsidP="00630D6B">
      <w:pPr>
        <w:pStyle w:val="NoSpacing"/>
        <w:rPr>
          <w:rFonts w:ascii="Cambria" w:hAnsi="Cambria" w:cs="Calibri Light"/>
          <w:b/>
          <w:bCs/>
          <w:sz w:val="20"/>
          <w:szCs w:val="20"/>
          <w:lang w:bidi="ta-LK"/>
        </w:rPr>
      </w:pPr>
    </w:p>
    <w:p w14:paraId="20DB4343" w14:textId="77777777" w:rsidR="00630D6B" w:rsidRPr="00DC5DC8" w:rsidRDefault="00630D6B" w:rsidP="00630D6B">
      <w:pPr>
        <w:pStyle w:val="NoSpacing"/>
        <w:rPr>
          <w:rFonts w:ascii="Cambria" w:hAnsi="Cambria" w:cs="Calibri Light"/>
          <w:b/>
          <w:bCs/>
          <w:sz w:val="20"/>
          <w:szCs w:val="20"/>
          <w:lang w:bidi="ta-LK"/>
        </w:rPr>
      </w:pPr>
      <w:r w:rsidRPr="00DC5DC8">
        <w:rPr>
          <w:rFonts w:ascii="Cambria" w:hAnsi="Cambria" w:cs="Calibri Light"/>
          <w:b/>
          <w:bCs/>
          <w:sz w:val="20"/>
          <w:szCs w:val="20"/>
          <w:lang w:bidi="ta-LK"/>
        </w:rPr>
        <w:t>PAYMENT FOR SERVICES</w:t>
      </w:r>
    </w:p>
    <w:p w14:paraId="16B03244" w14:textId="77777777" w:rsidR="00630D6B" w:rsidRPr="00DC5DC8" w:rsidRDefault="00630D6B" w:rsidP="00630D6B">
      <w:pPr>
        <w:pStyle w:val="NoSpacing"/>
        <w:rPr>
          <w:rFonts w:ascii="Cambria" w:hAnsi="Cambria" w:cs="Calibri Light"/>
          <w:sz w:val="20"/>
          <w:szCs w:val="20"/>
          <w:lang w:bidi="ta-LK"/>
        </w:rPr>
      </w:pPr>
      <w:r w:rsidRPr="00DC5DC8">
        <w:rPr>
          <w:rFonts w:ascii="Cambria" w:hAnsi="Cambria" w:cs="Calibri Light"/>
          <w:sz w:val="20"/>
          <w:szCs w:val="20"/>
          <w:lang w:bidi="ta-LK"/>
        </w:rPr>
        <w:t>Payment will be made upon completion of the following milestones verified by the B&amp;HR Specialist</w:t>
      </w:r>
    </w:p>
    <w:p w14:paraId="008514C7" w14:textId="77777777" w:rsidR="00630D6B" w:rsidRPr="00DC5DC8" w:rsidRDefault="00630D6B" w:rsidP="00925CAD">
      <w:pPr>
        <w:pStyle w:val="NoSpacing"/>
        <w:numPr>
          <w:ilvl w:val="0"/>
          <w:numId w:val="69"/>
        </w:numPr>
        <w:rPr>
          <w:rFonts w:ascii="Cambria" w:hAnsi="Cambria" w:cs="Calibri Light"/>
          <w:sz w:val="20"/>
          <w:szCs w:val="20"/>
          <w:lang w:bidi="ta-LK"/>
        </w:rPr>
      </w:pPr>
      <w:r w:rsidRPr="00DC5DC8">
        <w:rPr>
          <w:rFonts w:ascii="Cambria" w:hAnsi="Cambria" w:cs="Calibri Light"/>
          <w:b/>
          <w:bCs/>
          <w:sz w:val="20"/>
          <w:szCs w:val="20"/>
          <w:lang w:bidi="ta-LK"/>
        </w:rPr>
        <w:t>Deliverable 1:</w:t>
      </w:r>
      <w:r w:rsidRPr="00DC5DC8">
        <w:rPr>
          <w:rFonts w:ascii="Cambria" w:hAnsi="Cambria" w:cs="Calibri Light"/>
          <w:sz w:val="20"/>
          <w:szCs w:val="20"/>
          <w:lang w:bidi="ta-LK"/>
        </w:rPr>
        <w:t xml:space="preserve"> </w:t>
      </w:r>
      <w:r w:rsidRPr="00DC5DC8">
        <w:rPr>
          <w:rFonts w:ascii="Cambria" w:eastAsia="Calibri" w:hAnsi="Cambria" w:cs="Calibri Light"/>
          <w:color w:val="000000"/>
          <w:sz w:val="20"/>
          <w:szCs w:val="20"/>
        </w:rPr>
        <w:t>Consolidated Inception Report: 25% of the total contract upon the submission of inception report in 2 weeks from the contract starting date.</w:t>
      </w:r>
    </w:p>
    <w:p w14:paraId="0C7AC101" w14:textId="77777777" w:rsidR="00630D6B" w:rsidRPr="00DC5DC8" w:rsidRDefault="00630D6B" w:rsidP="00925CAD">
      <w:pPr>
        <w:pStyle w:val="NoSpacing"/>
        <w:numPr>
          <w:ilvl w:val="0"/>
          <w:numId w:val="69"/>
        </w:numPr>
        <w:rPr>
          <w:rFonts w:ascii="Cambria" w:eastAsia="Calibri" w:hAnsi="Cambria" w:cs="Calibri Light"/>
          <w:color w:val="000000"/>
          <w:sz w:val="20"/>
          <w:szCs w:val="20"/>
        </w:rPr>
      </w:pPr>
      <w:r w:rsidRPr="00DC5DC8">
        <w:rPr>
          <w:rFonts w:ascii="Cambria" w:hAnsi="Cambria" w:cs="Calibri Light"/>
          <w:b/>
          <w:bCs/>
          <w:sz w:val="20"/>
          <w:szCs w:val="20"/>
          <w:lang w:bidi="ta-LK"/>
        </w:rPr>
        <w:t>Deliverable 2:</w:t>
      </w:r>
      <w:r w:rsidRPr="00DC5DC8">
        <w:rPr>
          <w:rFonts w:ascii="Cambria" w:hAnsi="Cambria" w:cs="Calibri Light"/>
          <w:sz w:val="20"/>
          <w:szCs w:val="20"/>
          <w:lang w:bidi="ta-LK"/>
        </w:rPr>
        <w:t xml:space="preserve"> </w:t>
      </w:r>
      <w:r w:rsidRPr="00DC5DC8">
        <w:rPr>
          <w:rFonts w:ascii="Cambria" w:eastAsia="Calibri" w:hAnsi="Cambria" w:cs="Calibri Light"/>
          <w:color w:val="000000"/>
          <w:sz w:val="20"/>
          <w:szCs w:val="20"/>
        </w:rPr>
        <w:t>Presentation of Preliminary Findings</w:t>
      </w:r>
      <w:r w:rsidRPr="00DC5DC8">
        <w:rPr>
          <w:rFonts w:ascii="Cambria" w:hAnsi="Cambria" w:cs="Calibri Light"/>
          <w:sz w:val="20"/>
          <w:szCs w:val="20"/>
          <w:lang w:bidi="ta-LK"/>
        </w:rPr>
        <w:t xml:space="preserve">: </w:t>
      </w:r>
      <w:r w:rsidRPr="00DC5DC8">
        <w:rPr>
          <w:rFonts w:ascii="Cambria" w:eastAsia="Calibri" w:hAnsi="Cambria" w:cs="Calibri Light"/>
          <w:color w:val="000000"/>
          <w:sz w:val="20"/>
          <w:szCs w:val="20"/>
        </w:rPr>
        <w:t>25% of the total contract value upon completion of the presentation of preliminary findings of the evaluation in 4 weeks from the contract starting date.</w:t>
      </w:r>
    </w:p>
    <w:p w14:paraId="5C4B0B5F" w14:textId="77777777" w:rsidR="00630D6B" w:rsidRPr="00DC5DC8" w:rsidRDefault="00630D6B" w:rsidP="00925CAD">
      <w:pPr>
        <w:pStyle w:val="NoSpacing"/>
        <w:numPr>
          <w:ilvl w:val="0"/>
          <w:numId w:val="69"/>
        </w:numPr>
        <w:rPr>
          <w:rFonts w:ascii="Cambria" w:hAnsi="Cambria" w:cs="Calibri Light"/>
          <w:sz w:val="20"/>
          <w:szCs w:val="20"/>
          <w:lang w:bidi="ta-LK"/>
        </w:rPr>
      </w:pPr>
      <w:r w:rsidRPr="00DC5DC8">
        <w:rPr>
          <w:rFonts w:ascii="Cambria" w:hAnsi="Cambria" w:cs="Calibri Light"/>
          <w:b/>
          <w:bCs/>
          <w:sz w:val="20"/>
          <w:szCs w:val="20"/>
          <w:lang w:bidi="ta-LK"/>
        </w:rPr>
        <w:t>Deliverable 3</w:t>
      </w:r>
      <w:r w:rsidRPr="00DC5DC8">
        <w:rPr>
          <w:rFonts w:ascii="Cambria" w:hAnsi="Cambria" w:cs="Calibri Light"/>
          <w:sz w:val="20"/>
          <w:szCs w:val="20"/>
          <w:lang w:bidi="ta-LK"/>
        </w:rPr>
        <w:t xml:space="preserve">: </w:t>
      </w:r>
      <w:r w:rsidRPr="00DC5DC8">
        <w:rPr>
          <w:rFonts w:ascii="Cambria" w:eastAsia="Calibri" w:hAnsi="Cambria" w:cs="Calibri Light"/>
          <w:color w:val="000000"/>
          <w:sz w:val="20"/>
          <w:szCs w:val="20"/>
        </w:rPr>
        <w:t>Consolidated Draft Evaluation Report and Evaluation Brief: 20% of the total contract value upon submission of the consolidated draft evaluation report in 6 weeks from the contract starting date.</w:t>
      </w:r>
    </w:p>
    <w:p w14:paraId="46000FD8" w14:textId="77777777" w:rsidR="00630D6B" w:rsidRPr="00DC5DC8" w:rsidRDefault="00630D6B" w:rsidP="00925CAD">
      <w:pPr>
        <w:pStyle w:val="NoSpacing"/>
        <w:numPr>
          <w:ilvl w:val="0"/>
          <w:numId w:val="69"/>
        </w:numPr>
        <w:rPr>
          <w:rFonts w:ascii="Cambria" w:eastAsia="Calibri" w:hAnsi="Cambria" w:cs="Calibri Light"/>
          <w:color w:val="000000"/>
          <w:sz w:val="20"/>
          <w:szCs w:val="20"/>
        </w:rPr>
      </w:pPr>
      <w:r w:rsidRPr="00DC5DC8">
        <w:rPr>
          <w:rFonts w:ascii="Cambria" w:hAnsi="Cambria" w:cs="Calibri Light"/>
          <w:b/>
          <w:bCs/>
          <w:sz w:val="20"/>
          <w:szCs w:val="20"/>
          <w:lang w:bidi="ta-LK"/>
        </w:rPr>
        <w:t>Deliverable 4</w:t>
      </w:r>
      <w:r w:rsidRPr="00DC5DC8">
        <w:rPr>
          <w:rFonts w:ascii="Cambria" w:hAnsi="Cambria" w:cs="Calibri Light"/>
          <w:sz w:val="20"/>
          <w:szCs w:val="20"/>
          <w:lang w:bidi="ta-LK"/>
        </w:rPr>
        <w:t>:  </w:t>
      </w:r>
      <w:r w:rsidRPr="00DC5DC8">
        <w:rPr>
          <w:rFonts w:ascii="Cambria" w:eastAsia="Calibri" w:hAnsi="Cambria" w:cs="Calibri Light"/>
          <w:color w:val="000000"/>
          <w:sz w:val="20"/>
          <w:szCs w:val="20"/>
        </w:rPr>
        <w:t xml:space="preserve">Consolidated Final Evaluation Report: 20% of the total contract value upon submission of the Consolidated final Evaluation report in 8 weeks from the contract starting date </w:t>
      </w:r>
    </w:p>
    <w:p w14:paraId="0B6CA8D7" w14:textId="77777777" w:rsidR="00630D6B" w:rsidRPr="00DC5DC8" w:rsidRDefault="00630D6B" w:rsidP="00925CAD">
      <w:pPr>
        <w:pStyle w:val="NoSpacing"/>
        <w:numPr>
          <w:ilvl w:val="0"/>
          <w:numId w:val="69"/>
        </w:numPr>
        <w:rPr>
          <w:rFonts w:ascii="Cambria" w:eastAsia="Calibri" w:hAnsi="Cambria" w:cs="Calibri Light"/>
          <w:color w:val="000000"/>
          <w:sz w:val="20"/>
          <w:szCs w:val="20"/>
        </w:rPr>
      </w:pPr>
      <w:r w:rsidRPr="00DC5DC8">
        <w:rPr>
          <w:rFonts w:ascii="Cambria" w:hAnsi="Cambria" w:cs="Calibri Light"/>
          <w:b/>
          <w:bCs/>
          <w:sz w:val="20"/>
          <w:szCs w:val="20"/>
          <w:lang w:bidi="ta-LK"/>
        </w:rPr>
        <w:t>Deliverable 5</w:t>
      </w:r>
      <w:r w:rsidRPr="00DC5DC8">
        <w:rPr>
          <w:rFonts w:ascii="Cambria" w:hAnsi="Cambria" w:cs="Calibri Light"/>
          <w:sz w:val="20"/>
          <w:szCs w:val="20"/>
          <w:lang w:bidi="ta-LK"/>
        </w:rPr>
        <w:t xml:space="preserve">: </w:t>
      </w:r>
      <w:r w:rsidRPr="00DC5DC8">
        <w:rPr>
          <w:rFonts w:ascii="Cambria" w:eastAsia="Calibri" w:hAnsi="Cambria" w:cs="Calibri Light"/>
          <w:color w:val="000000"/>
          <w:sz w:val="20"/>
          <w:szCs w:val="20"/>
        </w:rPr>
        <w:t>Presentation of Findings: 10% of the total contract value upon completion of the final collective presentation on findings in 9 weeks from the contract starting date.</w:t>
      </w:r>
    </w:p>
    <w:p w14:paraId="6295EBA3" w14:textId="77777777" w:rsidR="00630D6B" w:rsidRPr="00DC5DC8" w:rsidRDefault="00630D6B" w:rsidP="00630D6B">
      <w:pPr>
        <w:pStyle w:val="NoSpacing"/>
        <w:rPr>
          <w:rFonts w:ascii="Cambria" w:eastAsia="Calibri" w:hAnsi="Cambria" w:cs="Calibri Light"/>
          <w:color w:val="000000"/>
          <w:sz w:val="20"/>
          <w:szCs w:val="20"/>
        </w:rPr>
      </w:pPr>
    </w:p>
    <w:p w14:paraId="2C7DBA83" w14:textId="77777777" w:rsidR="00630D6B" w:rsidRPr="00DC5DC8" w:rsidRDefault="00630D6B" w:rsidP="00630D6B">
      <w:pPr>
        <w:pStyle w:val="Default"/>
        <w:jc w:val="center"/>
        <w:rPr>
          <w:rFonts w:ascii="Cambria" w:hAnsi="Cambria"/>
          <w:sz w:val="20"/>
          <w:szCs w:val="20"/>
        </w:rPr>
      </w:pPr>
      <w:r w:rsidRPr="00DC5DC8">
        <w:rPr>
          <w:rFonts w:ascii="Cambria" w:hAnsi="Cambria"/>
          <w:b/>
          <w:bCs/>
          <w:i/>
          <w:iCs/>
          <w:color w:val="333333"/>
          <w:sz w:val="20"/>
          <w:szCs w:val="20"/>
        </w:rPr>
        <w:t>UNDP is committed to achieving diversity within its workplace, and encourages all qualified applicants, irrespective of gender, nationality, disabilities, sexual orientation, culture, religious and ethnic backgrounds to apply. All applications will be treated in the strictest confidence.</w:t>
      </w:r>
    </w:p>
    <w:p w14:paraId="6E68F573" w14:textId="77777777" w:rsidR="00630D6B" w:rsidRPr="00DC5DC8" w:rsidRDefault="00630D6B" w:rsidP="00630D6B">
      <w:pPr>
        <w:pStyle w:val="Default"/>
        <w:jc w:val="both"/>
        <w:rPr>
          <w:rFonts w:ascii="Cambria" w:hAnsi="Cambria"/>
          <w:sz w:val="20"/>
          <w:szCs w:val="20"/>
        </w:rPr>
      </w:pPr>
    </w:p>
    <w:p w14:paraId="4B9D3004" w14:textId="77777777" w:rsidR="00630D6B" w:rsidRPr="00DC5DC8" w:rsidRDefault="00630D6B" w:rsidP="00630D6B">
      <w:pPr>
        <w:pStyle w:val="Default"/>
        <w:jc w:val="both"/>
        <w:rPr>
          <w:rFonts w:ascii="Cambria" w:hAnsi="Cambria"/>
          <w:sz w:val="20"/>
          <w:szCs w:val="20"/>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9190"/>
      </w:tblGrid>
      <w:tr w:rsidR="00630D6B" w:rsidRPr="00DC5DC8" w14:paraId="2B03ED9B" w14:textId="77777777" w:rsidTr="00F53B9B">
        <w:trPr>
          <w:trHeight w:val="382"/>
        </w:trPr>
        <w:tc>
          <w:tcPr>
            <w:tcW w:w="9190" w:type="dxa"/>
          </w:tcPr>
          <w:p w14:paraId="6847F160" w14:textId="77777777" w:rsidR="00630D6B" w:rsidRPr="00DC5DC8" w:rsidRDefault="00630D6B" w:rsidP="00F53B9B">
            <w:pPr>
              <w:pStyle w:val="Default"/>
              <w:jc w:val="both"/>
              <w:rPr>
                <w:rFonts w:ascii="Cambria" w:hAnsi="Cambria"/>
                <w:sz w:val="20"/>
                <w:szCs w:val="20"/>
              </w:rPr>
            </w:pPr>
          </w:p>
        </w:tc>
      </w:tr>
    </w:tbl>
    <w:p w14:paraId="50BF2534" w14:textId="77777777" w:rsidR="00630D6B" w:rsidRPr="00DC5DC8" w:rsidRDefault="00630D6B" w:rsidP="00630D6B">
      <w:pPr>
        <w:jc w:val="both"/>
        <w:rPr>
          <w:rFonts w:ascii="Cambria" w:hAnsi="Cambria" w:cs="Calibri"/>
          <w:sz w:val="20"/>
          <w:szCs w:val="20"/>
        </w:rPr>
      </w:pPr>
    </w:p>
    <w:p w14:paraId="50032A2F" w14:textId="77777777" w:rsidR="00630D6B" w:rsidRPr="00DC5DC8" w:rsidRDefault="00630D6B" w:rsidP="00630D6B">
      <w:pPr>
        <w:rPr>
          <w:rFonts w:ascii="Cambria" w:hAnsi="Cambria" w:cs="Calibri"/>
          <w:sz w:val="20"/>
          <w:szCs w:val="20"/>
        </w:rPr>
      </w:pPr>
    </w:p>
    <w:p w14:paraId="63950B00" w14:textId="77777777" w:rsidR="00BD657A" w:rsidRPr="002E7B89" w:rsidRDefault="00BD657A" w:rsidP="00BD657A">
      <w:pPr>
        <w:pStyle w:val="ListParagraph"/>
        <w:tabs>
          <w:tab w:val="left" w:pos="1452"/>
        </w:tabs>
        <w:rPr>
          <w:rFonts w:ascii="Cambria" w:hAnsi="Cambria"/>
          <w:sz w:val="20"/>
          <w:szCs w:val="20"/>
        </w:rPr>
      </w:pPr>
    </w:p>
    <w:sectPr w:rsidR="00BD657A" w:rsidRPr="002E7B89" w:rsidSect="009C4583">
      <w:headerReference w:type="default" r:id="rId32"/>
      <w:footerReference w:type="default" r:id="rId3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8CA651" w14:textId="77777777" w:rsidR="00496492" w:rsidRDefault="00496492" w:rsidP="00331FB6">
      <w:pPr>
        <w:spacing w:after="0"/>
      </w:pPr>
      <w:r>
        <w:separator/>
      </w:r>
    </w:p>
  </w:endnote>
  <w:endnote w:type="continuationSeparator" w:id="0">
    <w:p w14:paraId="5134953C" w14:textId="77777777" w:rsidR="00496492" w:rsidRDefault="00496492" w:rsidP="00331F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atha">
    <w:panose1 w:val="02000400000000000000"/>
    <w:charset w:val="00"/>
    <w:family w:val="swiss"/>
    <w:pitch w:val="variable"/>
    <w:sig w:usb0="001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Iskoola Pota">
    <w:charset w:val="00"/>
    <w:family w:val="swiss"/>
    <w:pitch w:val="variable"/>
    <w:sig w:usb0="00000003" w:usb1="00000000" w:usb2="00000200" w:usb3="00000000" w:csb0="00000001" w:csb1="00000000"/>
  </w:font>
  <w:font w:name="Calibri Light">
    <w:panose1 w:val="020F0302020204030204"/>
    <w:charset w:val="00"/>
    <w:family w:val="swiss"/>
    <w:pitch w:val="variable"/>
    <w:sig w:usb0="A00002EF" w:usb1="4000207B" w:usb2="00000000" w:usb3="00000000" w:csb0="0000009F"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uli">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Baskerville">
    <w:altName w:val="Baskerville Old Face"/>
    <w:charset w:val="00"/>
    <w:family w:val="roman"/>
    <w:pitch w:val="variable"/>
    <w:sig w:usb0="80000067" w:usb1="02000000" w:usb2="00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2437116"/>
      <w:docPartObj>
        <w:docPartGallery w:val="Page Numbers (Bottom of Page)"/>
        <w:docPartUnique/>
      </w:docPartObj>
    </w:sdtPr>
    <w:sdtEndPr>
      <w:rPr>
        <w:noProof/>
      </w:rPr>
    </w:sdtEndPr>
    <w:sdtContent>
      <w:p w14:paraId="25D9CB7F" w14:textId="26380916" w:rsidR="007177F5" w:rsidRDefault="007177F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63F5E3" w14:textId="77777777" w:rsidR="007177F5" w:rsidRDefault="007177F5" w:rsidP="002D4B0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2844211"/>
      <w:docPartObj>
        <w:docPartGallery w:val="Page Numbers (Bottom of Page)"/>
        <w:docPartUnique/>
      </w:docPartObj>
    </w:sdtPr>
    <w:sdtEndPr>
      <w:rPr>
        <w:noProof/>
      </w:rPr>
    </w:sdtEndPr>
    <w:sdtContent>
      <w:p w14:paraId="3842E19F" w14:textId="77777777" w:rsidR="007177F5" w:rsidRDefault="007177F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D65B16" w14:textId="77777777" w:rsidR="007177F5" w:rsidRDefault="007177F5" w:rsidP="002D4B09">
    <w:pPr>
      <w:pStyle w:val="Footer"/>
      <w:ind w:right="360"/>
    </w:pPr>
  </w:p>
  <w:p w14:paraId="7119A033" w14:textId="77777777" w:rsidR="007177F5" w:rsidRDefault="007177F5"/>
  <w:p w14:paraId="41CA1651" w14:textId="77777777" w:rsidR="007177F5" w:rsidRDefault="007177F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C46C0D" w14:textId="77777777" w:rsidR="00496492" w:rsidRDefault="00496492" w:rsidP="00331FB6">
      <w:pPr>
        <w:spacing w:after="0"/>
      </w:pPr>
      <w:r>
        <w:separator/>
      </w:r>
    </w:p>
  </w:footnote>
  <w:footnote w:type="continuationSeparator" w:id="0">
    <w:p w14:paraId="134842CB" w14:textId="77777777" w:rsidR="00496492" w:rsidRDefault="00496492" w:rsidP="00331FB6">
      <w:pPr>
        <w:spacing w:after="0"/>
      </w:pPr>
      <w:r>
        <w:continuationSeparator/>
      </w:r>
    </w:p>
  </w:footnote>
  <w:footnote w:id="1">
    <w:p w14:paraId="507898C6" w14:textId="2BA33A77" w:rsidR="009D003D" w:rsidRDefault="009D003D">
      <w:pPr>
        <w:pStyle w:val="FootnoteText"/>
      </w:pPr>
      <w:r>
        <w:rPr>
          <w:rStyle w:val="FootnoteReference"/>
        </w:rPr>
        <w:footnoteRef/>
      </w:r>
      <w:r>
        <w:t xml:space="preserve"> See Annex One: Approved Inception Evaluation Report for more information on Methodology and Limitations</w:t>
      </w:r>
    </w:p>
  </w:footnote>
  <w:footnote w:id="2">
    <w:p w14:paraId="247648DF" w14:textId="22159C5B" w:rsidR="007177F5" w:rsidRPr="007C79D6" w:rsidRDefault="007177F5" w:rsidP="007C79D6">
      <w:pPr>
        <w:spacing w:line="360" w:lineRule="auto"/>
        <w:jc w:val="both"/>
        <w:rPr>
          <w:rFonts w:ascii="Cambria" w:hAnsi="Cambria" w:cs="Arial"/>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w:t>
      </w:r>
      <w:r w:rsidRPr="007C79D6">
        <w:rPr>
          <w:rFonts w:ascii="Cambria" w:hAnsi="Cambria" w:cs="Arial"/>
          <w:color w:val="000000" w:themeColor="text1"/>
          <w:sz w:val="16"/>
          <w:szCs w:val="16"/>
        </w:rPr>
        <w:t>SDG 16 encapsulates twelve targets which aim at reducing violence, abuse, exploitation and corruption; promoting rule of law and access to justice; curbing illicit financial and arms flows; developing transparency, inclusivity and responsiveness in institutions at all levels; ensuring public access to information; and providing a legal identity for all.   https://www.google.com/url?sa=t&amp;rct=j&amp;q=&amp;esrc=s&amp;source=web&amp;cd=&amp;cad=rja&amp;uact=8&amp;ved=2ahUKEwipwuD_vIftAhWEaCsKHbacBCEQFjAAegQIAhAC&amp;url=https%3A%2F%2Fwww.un.org%2Fruleoflaw%2Fsdg-16%2F&amp;usg=AOvVaw1haXg5GvmqJeHnAoj0g1mx&gt;</w:t>
      </w:r>
    </w:p>
  </w:footnote>
  <w:footnote w:id="3">
    <w:p w14:paraId="61CCE86F" w14:textId="79B890AB" w:rsidR="00D95E58" w:rsidRDefault="00D95E58">
      <w:pPr>
        <w:pStyle w:val="FootnoteText"/>
      </w:pPr>
      <w:r>
        <w:rPr>
          <w:rStyle w:val="FootnoteReference"/>
        </w:rPr>
        <w:footnoteRef/>
      </w:r>
      <w:r>
        <w:t xml:space="preserve"> The MTE will also inform the next generation of the Country Programme Document 2023-2027</w:t>
      </w:r>
    </w:p>
  </w:footnote>
  <w:footnote w:id="4">
    <w:p w14:paraId="0F2C7DA4" w14:textId="77777777"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Goal 1: No Poverty; Goal 2: Zero Hunger; Goal 3: Good Health and Well-Being; Goal 4: Quality Education; Goal 5: Gender Equality; Goal 6: Clean Water; Goal 7: Affordable and Clean Energy; Goal 8: Decent Work and Economic Growth; Goal 9: Industry, Innovation and Infrastructure; Goal 10: Reduces Inequalities; Goal 11: Sustainable Cities and Communities; Goal 12: Responsible Consumption and Production; Goal 13: Climate Action; Goal 14: Life Below Water; Goal 15: Life on Land. https://sdgs.un.org/goals</w:t>
      </w:r>
    </w:p>
  </w:footnote>
  <w:footnote w:id="5">
    <w:p w14:paraId="38DCAA0F" w14:textId="77777777"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w:t>
      </w:r>
      <w:r w:rsidRPr="007C79D6">
        <w:rPr>
          <w:rFonts w:ascii="Cambria" w:hAnsi="Cambria" w:cs="Calibri Light"/>
          <w:color w:val="000000" w:themeColor="text1"/>
          <w:sz w:val="16"/>
          <w:szCs w:val="16"/>
        </w:rPr>
        <w:t>This included the establishment of a dedicated Ministry, establishing a Parliamentary Select Committee on SDGs and the enactment of the Sustainable Development Act No. 19 of 2017 to provide the legal framework for implementing the SDGs. There were also efforts to align the country’s policy and budget frameworks with the SDGs, through the country’s strategic development framework and the ‘Blue Green’ Budget of 2018. Furthermore in 2018 Sri Lanka underwent a Voluntary National Review (VNR) on the status of implementation through a multi stakeholder process to identify trends, gaps and challenges.</w:t>
      </w:r>
    </w:p>
  </w:footnote>
  <w:footnote w:id="6">
    <w:p w14:paraId="0474E51C" w14:textId="77777777"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I</w:t>
      </w:r>
      <w:r w:rsidRPr="007C79D6">
        <w:rPr>
          <w:rFonts w:ascii="Cambria" w:hAnsi="Cambria"/>
          <w:color w:val="000000" w:themeColor="text1"/>
          <w:sz w:val="16"/>
          <w:szCs w:val="16"/>
          <w:shd w:val="clear" w:color="auto" w:fill="FFFFFF"/>
        </w:rPr>
        <w:t>n response to limited implementation, the Human Rights Council (HRC) has since adopted a further two resolutions: </w:t>
      </w:r>
      <w:hyperlink r:id="rId1" w:history="1">
        <w:r w:rsidRPr="007C79D6">
          <w:rPr>
            <w:rStyle w:val="Hyperlink"/>
            <w:rFonts w:ascii="Cambria" w:hAnsi="Cambria"/>
            <w:color w:val="000000" w:themeColor="text1"/>
            <w:sz w:val="16"/>
            <w:szCs w:val="16"/>
            <w:u w:val="none"/>
            <w:bdr w:val="none" w:sz="0" w:space="0" w:color="auto" w:frame="1"/>
            <w:shd w:val="clear" w:color="auto" w:fill="FFFFFF"/>
          </w:rPr>
          <w:t>Resolution 34/1</w:t>
        </w:r>
      </w:hyperlink>
      <w:r w:rsidRPr="007C79D6">
        <w:rPr>
          <w:rFonts w:ascii="Cambria" w:hAnsi="Cambria"/>
          <w:color w:val="000000" w:themeColor="text1"/>
          <w:sz w:val="16"/>
          <w:szCs w:val="16"/>
          <w:shd w:val="clear" w:color="auto" w:fill="FFFFFF"/>
        </w:rPr>
        <w:t> (in March 2017) and </w:t>
      </w:r>
      <w:hyperlink r:id="rId2" w:history="1">
        <w:r w:rsidRPr="007C79D6">
          <w:rPr>
            <w:rStyle w:val="Hyperlink"/>
            <w:rFonts w:ascii="Cambria" w:hAnsi="Cambria"/>
            <w:color w:val="000000" w:themeColor="text1"/>
            <w:sz w:val="16"/>
            <w:szCs w:val="16"/>
            <w:u w:val="none"/>
            <w:bdr w:val="none" w:sz="0" w:space="0" w:color="auto" w:frame="1"/>
            <w:shd w:val="clear" w:color="auto" w:fill="FFFFFF"/>
          </w:rPr>
          <w:t>Resolution 40/1</w:t>
        </w:r>
      </w:hyperlink>
      <w:r w:rsidRPr="007C79D6">
        <w:rPr>
          <w:rFonts w:ascii="Cambria" w:hAnsi="Cambria"/>
          <w:color w:val="000000" w:themeColor="text1"/>
          <w:sz w:val="16"/>
          <w:szCs w:val="16"/>
          <w:shd w:val="clear" w:color="auto" w:fill="FFFFFF"/>
        </w:rPr>
        <w:t> (in March 2019). The effect of these has been to ‘roll over’ the commitments contained in the original resolution, and to extend the monitoring mandate of the UN High Commissioner for Human Rights. Under the terms of the most recent resolution, the High Commissioner is due to present a </w:t>
      </w:r>
      <w:hyperlink r:id="rId3" w:history="1">
        <w:r w:rsidRPr="007C79D6">
          <w:rPr>
            <w:rStyle w:val="Hyperlink"/>
            <w:rFonts w:ascii="Cambria" w:hAnsi="Cambria"/>
            <w:color w:val="000000" w:themeColor="text1"/>
            <w:sz w:val="16"/>
            <w:szCs w:val="16"/>
            <w:u w:val="none"/>
            <w:bdr w:val="none" w:sz="0" w:space="0" w:color="auto" w:frame="1"/>
            <w:shd w:val="clear" w:color="auto" w:fill="FFFFFF"/>
          </w:rPr>
          <w:t>written update</w:t>
        </w:r>
      </w:hyperlink>
      <w:r w:rsidRPr="007C79D6">
        <w:rPr>
          <w:rFonts w:ascii="Cambria" w:hAnsi="Cambria"/>
          <w:color w:val="000000" w:themeColor="text1"/>
          <w:sz w:val="16"/>
          <w:szCs w:val="16"/>
          <w:shd w:val="clear" w:color="auto" w:fill="FFFFFF"/>
        </w:rPr>
        <w:t> to the HRC at the 43</w:t>
      </w:r>
      <w:r w:rsidRPr="007C79D6">
        <w:rPr>
          <w:rFonts w:ascii="Cambria" w:hAnsi="Cambria"/>
          <w:color w:val="000000" w:themeColor="text1"/>
          <w:sz w:val="16"/>
          <w:szCs w:val="16"/>
          <w:bdr w:val="none" w:sz="0" w:space="0" w:color="auto" w:frame="1"/>
          <w:shd w:val="clear" w:color="auto" w:fill="FFFFFF"/>
          <w:vertAlign w:val="superscript"/>
        </w:rPr>
        <w:t>rd</w:t>
      </w:r>
      <w:r w:rsidRPr="007C79D6">
        <w:rPr>
          <w:rFonts w:ascii="Cambria" w:hAnsi="Cambria"/>
          <w:color w:val="000000" w:themeColor="text1"/>
          <w:sz w:val="16"/>
          <w:szCs w:val="16"/>
          <w:shd w:val="clear" w:color="auto" w:fill="FFFFFF"/>
        </w:rPr>
        <w:t> session (in March 2020), as well as a comprehensive report at the 46</w:t>
      </w:r>
      <w:r w:rsidRPr="007C79D6">
        <w:rPr>
          <w:rFonts w:ascii="Cambria" w:hAnsi="Cambria"/>
          <w:color w:val="000000" w:themeColor="text1"/>
          <w:sz w:val="16"/>
          <w:szCs w:val="16"/>
          <w:bdr w:val="none" w:sz="0" w:space="0" w:color="auto" w:frame="1"/>
          <w:shd w:val="clear" w:color="auto" w:fill="FFFFFF"/>
          <w:vertAlign w:val="superscript"/>
        </w:rPr>
        <w:t>th</w:t>
      </w:r>
      <w:r w:rsidRPr="007C79D6">
        <w:rPr>
          <w:rFonts w:ascii="Cambria" w:hAnsi="Cambria"/>
          <w:color w:val="000000" w:themeColor="text1"/>
          <w:sz w:val="16"/>
          <w:szCs w:val="16"/>
          <w:shd w:val="clear" w:color="auto" w:fill="FFFFFF"/>
        </w:rPr>
        <w:t> session (in March 2021).</w:t>
      </w:r>
      <w:r w:rsidRPr="007C79D6">
        <w:rPr>
          <w:rFonts w:ascii="Cambria" w:hAnsi="Cambria"/>
          <w:color w:val="000000" w:themeColor="text1"/>
          <w:sz w:val="16"/>
          <w:szCs w:val="16"/>
        </w:rPr>
        <w:t xml:space="preserve"> </w:t>
      </w:r>
      <w:hyperlink r:id="rId4" w:history="1">
        <w:r w:rsidRPr="007C79D6">
          <w:rPr>
            <w:rStyle w:val="Hyperlink"/>
            <w:rFonts w:ascii="Cambria" w:hAnsi="Cambria"/>
            <w:color w:val="000000" w:themeColor="text1"/>
            <w:sz w:val="16"/>
            <w:szCs w:val="16"/>
            <w:u w:val="none"/>
            <w:shd w:val="clear" w:color="auto" w:fill="FFFFFF"/>
          </w:rPr>
          <w:t>https://www.srilankacampaign.org/take-action/keep-the-promise/</w:t>
        </w:r>
      </w:hyperlink>
    </w:p>
  </w:footnote>
  <w:footnote w:id="7">
    <w:p w14:paraId="1386069E" w14:textId="692DFCBD"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Mid Trm Review, United Nations Development Programme, Country Programme Document 2016, at page 12</w:t>
      </w:r>
    </w:p>
  </w:footnote>
  <w:footnote w:id="8">
    <w:p w14:paraId="17B88BA8" w14:textId="77777777"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w:t>
      </w:r>
      <w:r w:rsidRPr="007C79D6">
        <w:rPr>
          <w:rFonts w:ascii="Cambria" w:hAnsi="Cambria" w:cstheme="minorHAnsi"/>
          <w:color w:val="000000" w:themeColor="text1"/>
          <w:sz w:val="16"/>
          <w:szCs w:val="16"/>
        </w:rPr>
        <w:t>In the Sri Lankan context, UNDP regards particular groups of women, youth and ethnic, caste and class-based minorities; those affected by human conflict, climate change and natural disasters; the urban and rural poor; the disabled; people living with communicable diseases; and those with these intersecting identities; as traditionally excluded and vulnerable groups, among other more issue and location specific groups.  UNDP Sri Lanka Flagship Portfolio on SDG 16 on Peace, Justice and Strong Institutions, 2019</w:t>
      </w:r>
    </w:p>
  </w:footnote>
  <w:footnote w:id="9">
    <w:p w14:paraId="1DD25E9C" w14:textId="77777777"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w:t>
      </w:r>
      <w:r w:rsidRPr="007C79D6">
        <w:rPr>
          <w:rFonts w:ascii="Cambria" w:hAnsi="Cambria" w:cstheme="minorHAnsi"/>
          <w:bCs/>
          <w:color w:val="000000" w:themeColor="text1"/>
          <w:sz w:val="16"/>
          <w:szCs w:val="16"/>
        </w:rPr>
        <w:t xml:space="preserve">Human Rights and Human Rights Based Approaches (HRBA), Gender Equality and Women’s Empowerment (GEWE), Youth empowerment, Innovation, Capacity Development, Conflict sensitivity, Quality data and data management </w:t>
      </w:r>
    </w:p>
  </w:footnote>
  <w:footnote w:id="10">
    <w:p w14:paraId="2A845174" w14:textId="03A54320"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w:t>
      </w:r>
      <w:r w:rsidRPr="007C79D6">
        <w:rPr>
          <w:rFonts w:ascii="Cambria" w:hAnsi="Cambria" w:cstheme="minorHAnsi"/>
          <w:color w:val="000000" w:themeColor="text1"/>
          <w:sz w:val="16"/>
          <w:szCs w:val="16"/>
        </w:rPr>
        <w:t>UNDP Sri Lanka Flagship Portfolio on SDG 16 on Peace, Justice and Strong Institutions 2019, 10.</w:t>
      </w:r>
    </w:p>
  </w:footnote>
  <w:footnote w:id="11">
    <w:p w14:paraId="31358D42" w14:textId="00B6D9DB"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w:t>
      </w:r>
      <w:r w:rsidRPr="007C79D6">
        <w:rPr>
          <w:rFonts w:ascii="Cambria" w:hAnsi="Cambria" w:cstheme="minorHAnsi"/>
          <w:color w:val="000000" w:themeColor="text1"/>
          <w:sz w:val="16"/>
          <w:szCs w:val="16"/>
        </w:rPr>
        <w:t>Gender Inequality Index places Sri Lanka at 80/160 countries in 2018, largely due to low female political representation and labour force participation. Despite equal access to all levels of education, women continue to face barriers in the employment sector. The majority of Sri Lankan women are employed in plantations, free trade zones, stereotypical jobs and foreign employment. There are also mobility restrictions imposed by cultural beliefs and social norms</w:t>
      </w:r>
    </w:p>
  </w:footnote>
  <w:footnote w:id="12">
    <w:p w14:paraId="1FCDB728" w14:textId="3DDD2C8B"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w:t>
      </w:r>
      <w:r w:rsidRPr="007C79D6">
        <w:rPr>
          <w:rFonts w:ascii="Cambria" w:hAnsi="Cambria" w:cstheme="minorHAnsi"/>
          <w:color w:val="000000" w:themeColor="text1"/>
          <w:sz w:val="16"/>
          <w:szCs w:val="16"/>
        </w:rPr>
        <w:t xml:space="preserve">The strategy aims to </w:t>
      </w:r>
      <w:r w:rsidRPr="007C79D6">
        <w:rPr>
          <w:rFonts w:ascii="Cambria" w:hAnsi="Cambria" w:cs="Arial"/>
          <w:color w:val="000000" w:themeColor="text1"/>
          <w:sz w:val="16"/>
          <w:szCs w:val="16"/>
        </w:rPr>
        <w:t>address governance deficits and strengthen the effectiveness of key institutions to deliver people-centred services. It was also expected to build space, capacity and trust for excluded and vulnerable groups, to actively participate and inform policy and decision making to meet their specific needs and interest.</w:t>
      </w:r>
    </w:p>
  </w:footnote>
  <w:footnote w:id="13">
    <w:p w14:paraId="07DAA694" w14:textId="33CBF9B2"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To reduce inequalities governance institutions must develop more inclusive, equitable, evidenced based policies and programmes.</w:t>
      </w:r>
    </w:p>
  </w:footnote>
  <w:footnote w:id="14">
    <w:p w14:paraId="748BD9F5" w14:textId="77777777"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To build trust in public institutions, the quality of governance must be imporved to ensure effective service delivery and inclusive, responsive and accountable governance. </w:t>
      </w:r>
    </w:p>
  </w:footnote>
  <w:footnote w:id="15">
    <w:p w14:paraId="34357009" w14:textId="37AF633E"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Mid Term Review, United Nations Development Programme, Country Programme Document 2016</w:t>
      </w:r>
    </w:p>
  </w:footnote>
  <w:footnote w:id="16">
    <w:p w14:paraId="09851C79" w14:textId="5D95912F"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Mid Term Review, United Nations Development Programme, Country Programme Document 2016, 12-13.</w:t>
      </w:r>
    </w:p>
  </w:footnote>
  <w:footnote w:id="17">
    <w:p w14:paraId="52A1FE49" w14:textId="0F9155F6"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The 10 priorities included Priority to National Security; Friendly, Non-Aligned Foreign Policy; An administration free from corruption; New Constitution that fulfils the people’s wishes; Productive Citizenry and a vibrant Human Resource; People Centric Economic Development; Technology Based Society; Development of Physical Resources; Sustainable Environment Management; Disciplined, Law Abiding and Values based Society. &lt;https://gota.lk/sri-lanka-podujana-peramuna-manifesto-english.pdf&gt; accessed 10 December 2020</w:t>
      </w:r>
    </w:p>
  </w:footnote>
  <w:footnote w:id="18">
    <w:p w14:paraId="2BA521EE" w14:textId="24B8555A"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&lt;http://www.doc.gov.lk/images/pdf/NationalPolicyframeworkEN/FinalDovVer02-English.pdf&gt; accessed 10 December 2020</w:t>
      </w:r>
    </w:p>
  </w:footnote>
  <w:footnote w:id="19">
    <w:p w14:paraId="79137CBA" w14:textId="59815A75"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‘Update: Sri Lankan Government to Withdraw from Co-Sponsoring UNHRC Resolution 30/1’ </w:t>
      </w:r>
      <w:r w:rsidRPr="007C79D6">
        <w:rPr>
          <w:rFonts w:ascii="Cambria" w:hAnsi="Cambria"/>
          <w:i/>
          <w:iCs/>
          <w:color w:val="000000" w:themeColor="text1"/>
          <w:sz w:val="16"/>
          <w:szCs w:val="16"/>
        </w:rPr>
        <w:t xml:space="preserve">News First </w:t>
      </w:r>
      <w:r w:rsidRPr="007C79D6">
        <w:rPr>
          <w:rFonts w:ascii="Cambria" w:hAnsi="Cambria"/>
          <w:color w:val="000000" w:themeColor="text1"/>
          <w:sz w:val="16"/>
          <w:szCs w:val="16"/>
        </w:rPr>
        <w:t>(19 February 2020) &lt;https://www.newsfirst.lk/2020/02/19/sri-lanka-government-to-withdraw-from-co-sponsoring-unhrc-resolution-30-1/&gt; accessed 12</w:t>
      </w:r>
      <w:r w:rsidRPr="007C79D6">
        <w:rPr>
          <w:rFonts w:ascii="Cambria" w:hAnsi="Cambria"/>
          <w:color w:val="000000" w:themeColor="text1"/>
          <w:sz w:val="16"/>
          <w:szCs w:val="16"/>
          <w:vertAlign w:val="superscript"/>
        </w:rPr>
        <w:t>th</w:t>
      </w:r>
      <w:r w:rsidRPr="007C79D6">
        <w:rPr>
          <w:rFonts w:ascii="Cambria" w:hAnsi="Cambria"/>
          <w:color w:val="000000" w:themeColor="text1"/>
          <w:sz w:val="16"/>
          <w:szCs w:val="16"/>
        </w:rPr>
        <w:t xml:space="preserve"> December 2020</w:t>
      </w:r>
    </w:p>
  </w:footnote>
  <w:footnote w:id="20">
    <w:p w14:paraId="0CA2CF7D" w14:textId="43980C53"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‘Sri Lanka: Withdrawal from UN commitments requires robust response by Human Rights Council’ </w:t>
      </w:r>
      <w:r w:rsidRPr="007C79D6">
        <w:rPr>
          <w:rFonts w:ascii="Cambria" w:hAnsi="Cambria"/>
          <w:i/>
          <w:iCs/>
          <w:color w:val="000000" w:themeColor="text1"/>
          <w:sz w:val="16"/>
          <w:szCs w:val="16"/>
        </w:rPr>
        <w:t xml:space="preserve">Amnesty International </w:t>
      </w:r>
      <w:r w:rsidRPr="007C79D6">
        <w:rPr>
          <w:rFonts w:ascii="Cambria" w:hAnsi="Cambria"/>
          <w:color w:val="000000" w:themeColor="text1"/>
          <w:sz w:val="16"/>
          <w:szCs w:val="16"/>
        </w:rPr>
        <w:t>(27 February 2020)</w:t>
      </w:r>
    </w:p>
    <w:p w14:paraId="7BA4E088" w14:textId="5CFE9585"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Fonts w:ascii="Cambria" w:hAnsi="Cambria"/>
          <w:color w:val="000000" w:themeColor="text1"/>
          <w:sz w:val="16"/>
          <w:szCs w:val="16"/>
        </w:rPr>
        <w:t>&lt;https://www.amnesty.org/en/latest/news/2020/02/sri-lanka-withdrawal-from-un-commitments-requires-robust-response-by-human-rights-council/&gt; accessed 12</w:t>
      </w:r>
      <w:r w:rsidRPr="007C79D6">
        <w:rPr>
          <w:rFonts w:ascii="Cambria" w:hAnsi="Cambria"/>
          <w:color w:val="000000" w:themeColor="text1"/>
          <w:sz w:val="16"/>
          <w:szCs w:val="16"/>
          <w:vertAlign w:val="superscript"/>
        </w:rPr>
        <w:t>th</w:t>
      </w:r>
      <w:r w:rsidRPr="007C79D6">
        <w:rPr>
          <w:rFonts w:ascii="Cambria" w:hAnsi="Cambria"/>
          <w:color w:val="000000" w:themeColor="text1"/>
          <w:sz w:val="16"/>
          <w:szCs w:val="16"/>
        </w:rPr>
        <w:t xml:space="preserve"> December 2020</w:t>
      </w:r>
    </w:p>
  </w:footnote>
  <w:footnote w:id="21">
    <w:p w14:paraId="4E97B2BA" w14:textId="7608AB0F" w:rsidR="00B30ADD" w:rsidRPr="005E1147" w:rsidRDefault="00B30ADD" w:rsidP="005E1147">
      <w:pPr>
        <w:pStyle w:val="FootnoteText"/>
        <w:jc w:val="both"/>
        <w:rPr>
          <w:rFonts w:ascii="Cambria" w:hAnsi="Cambria"/>
          <w:sz w:val="16"/>
          <w:szCs w:val="16"/>
        </w:rPr>
      </w:pPr>
      <w:r w:rsidRPr="005E1147">
        <w:rPr>
          <w:rStyle w:val="FootnoteReference"/>
          <w:rFonts w:ascii="Cambria" w:hAnsi="Cambria"/>
        </w:rPr>
        <w:footnoteRef/>
      </w:r>
      <w:r w:rsidRPr="005E1147">
        <w:rPr>
          <w:rFonts w:ascii="Cambria" w:hAnsi="Cambria"/>
          <w:sz w:val="16"/>
          <w:szCs w:val="16"/>
        </w:rPr>
        <w:t>https://www.ohchr.org/EN/HRBodies/HRC/Pages/NewsDetail.aspx?NewsID=26938&amp;LangID=E</w:t>
      </w:r>
    </w:p>
  </w:footnote>
  <w:footnote w:id="22">
    <w:p w14:paraId="7F46B012" w14:textId="77777777" w:rsidR="007177F5" w:rsidRPr="007C79D6" w:rsidRDefault="007177F5" w:rsidP="007C79D6">
      <w:pPr>
        <w:spacing w:line="360" w:lineRule="auto"/>
        <w:jc w:val="both"/>
        <w:rPr>
          <w:rFonts w:ascii="Cambria" w:eastAsia="Times New Roman" w:hAnsi="Cambria" w:cs="Times New Roman"/>
          <w:color w:val="000000" w:themeColor="text1"/>
          <w:sz w:val="16"/>
          <w:szCs w:val="16"/>
          <w:lang w:eastAsia="en-GB"/>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w:t>
      </w:r>
      <w:r w:rsidRPr="007C79D6">
        <w:rPr>
          <w:rFonts w:ascii="Cambria" w:eastAsia="Times New Roman" w:hAnsi="Cambria" w:cs="Times New Roman"/>
          <w:color w:val="000000" w:themeColor="text1"/>
          <w:sz w:val="16"/>
          <w:szCs w:val="16"/>
          <w:shd w:val="clear" w:color="auto" w:fill="FFFFFF"/>
          <w:lang w:eastAsia="en-GB"/>
        </w:rPr>
        <w:t>Presidential Task Force to build a Secure Country, Disciplined, Virtuous and Lawful Society (established by Gazette Extraordinary no. 2178/18) dated 2</w:t>
      </w:r>
      <w:r w:rsidRPr="007C79D6">
        <w:rPr>
          <w:rFonts w:ascii="Cambria" w:eastAsia="Times New Roman" w:hAnsi="Cambria" w:cs="Times New Roman"/>
          <w:color w:val="000000" w:themeColor="text1"/>
          <w:sz w:val="16"/>
          <w:szCs w:val="16"/>
          <w:shd w:val="clear" w:color="auto" w:fill="FFFFFF"/>
          <w:vertAlign w:val="superscript"/>
          <w:lang w:eastAsia="en-GB"/>
        </w:rPr>
        <w:t>nd</w:t>
      </w:r>
      <w:r w:rsidRPr="007C79D6">
        <w:rPr>
          <w:rFonts w:ascii="Cambria" w:eastAsia="Times New Roman" w:hAnsi="Cambria" w:cs="Times New Roman"/>
          <w:color w:val="000000" w:themeColor="text1"/>
          <w:sz w:val="16"/>
          <w:szCs w:val="16"/>
          <w:shd w:val="clear" w:color="auto" w:fill="FFFFFF"/>
          <w:lang w:eastAsia="en-GB"/>
        </w:rPr>
        <w:t xml:space="preserve"> June 2020.</w:t>
      </w:r>
    </w:p>
    <w:p w14:paraId="345CD1E4" w14:textId="559B6F72" w:rsidR="007177F5" w:rsidRPr="007C79D6" w:rsidRDefault="007177F5" w:rsidP="007C79D6">
      <w:pPr>
        <w:spacing w:line="360" w:lineRule="auto"/>
        <w:jc w:val="both"/>
        <w:rPr>
          <w:rFonts w:ascii="Cambria" w:eastAsia="Times New Roman" w:hAnsi="Cambria" w:cs="Times New Roman"/>
          <w:color w:val="000000" w:themeColor="text1"/>
          <w:sz w:val="16"/>
          <w:szCs w:val="16"/>
          <w:lang w:eastAsia="en-GB"/>
        </w:rPr>
      </w:pPr>
      <w:r w:rsidRPr="007C79D6">
        <w:rPr>
          <w:rFonts w:ascii="Cambria" w:eastAsia="Times New Roman" w:hAnsi="Cambria" w:cs="Times New Roman"/>
          <w:color w:val="000000" w:themeColor="text1"/>
          <w:sz w:val="16"/>
          <w:szCs w:val="16"/>
          <w:shd w:val="clear" w:color="auto" w:fill="FFFFFF"/>
          <w:lang w:eastAsia="en-GB"/>
        </w:rPr>
        <w:t>Presidential Task Force for Archaeological Heritage Management in the Eastern Province (established by Gazette Extraordinary no. 2178/17) dated 2</w:t>
      </w:r>
      <w:r w:rsidRPr="007C79D6">
        <w:rPr>
          <w:rFonts w:ascii="Cambria" w:eastAsia="Times New Roman" w:hAnsi="Cambria" w:cs="Times New Roman"/>
          <w:color w:val="000000" w:themeColor="text1"/>
          <w:sz w:val="16"/>
          <w:szCs w:val="16"/>
          <w:shd w:val="clear" w:color="auto" w:fill="FFFFFF"/>
          <w:vertAlign w:val="superscript"/>
          <w:lang w:eastAsia="en-GB"/>
        </w:rPr>
        <w:t>nd</w:t>
      </w:r>
      <w:r w:rsidRPr="007C79D6">
        <w:rPr>
          <w:rFonts w:ascii="Cambria" w:eastAsia="Times New Roman" w:hAnsi="Cambria" w:cs="Times New Roman"/>
          <w:color w:val="000000" w:themeColor="text1"/>
          <w:sz w:val="16"/>
          <w:szCs w:val="16"/>
          <w:shd w:val="clear" w:color="auto" w:fill="FFFFFF"/>
          <w:lang w:eastAsia="en-GB"/>
        </w:rPr>
        <w:t xml:space="preserve"> June 2020</w:t>
      </w:r>
    </w:p>
  </w:footnote>
  <w:footnote w:id="23">
    <w:p w14:paraId="050C00CF" w14:textId="57A68F76" w:rsidR="007177F5" w:rsidRPr="007C79D6" w:rsidRDefault="007177F5" w:rsidP="007C79D6">
      <w:pPr>
        <w:spacing w:line="360" w:lineRule="auto"/>
        <w:jc w:val="both"/>
        <w:rPr>
          <w:rFonts w:ascii="Cambria" w:eastAsia="Times New Roman" w:hAnsi="Cambria" w:cs="Times New Roman"/>
          <w:color w:val="000000" w:themeColor="text1"/>
          <w:sz w:val="16"/>
          <w:szCs w:val="16"/>
          <w:lang w:eastAsia="en-GB"/>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Appointment of a committee to </w:t>
      </w:r>
      <w:r w:rsidRPr="007C79D6">
        <w:rPr>
          <w:rFonts w:ascii="Cambria" w:eastAsia="Times New Roman" w:hAnsi="Cambria" w:cs="Arial"/>
          <w:color w:val="000000" w:themeColor="text1"/>
          <w:sz w:val="16"/>
          <w:szCs w:val="16"/>
          <w:shd w:val="clear" w:color="auto" w:fill="FFFFFF"/>
          <w:lang w:eastAsia="en-GB"/>
        </w:rPr>
        <w:t xml:space="preserve">review all cases completed or yet to be completed by the Commission to Investigate Allegations of Bribery and Corruption (CIABOC), the Financial Crimes investigation Division (FCID) and the Special Investigations Unit (SIU) of </w:t>
      </w:r>
      <w:r w:rsidRPr="007C79D6">
        <w:rPr>
          <w:rFonts w:ascii="Cambria" w:eastAsia="Times New Roman" w:hAnsi="Cambria" w:cs="Times New Roman"/>
          <w:color w:val="000000" w:themeColor="text1"/>
          <w:sz w:val="16"/>
          <w:szCs w:val="16"/>
          <w:shd w:val="clear" w:color="auto" w:fill="FFFFFF"/>
          <w:lang w:eastAsia="en-GB"/>
        </w:rPr>
        <w:t>the Police by Gazette Extraordinary Notification No. 2157/44. If it is determined that the probes were politically motivated, suitable compensation or relief will be offered to the victims.</w:t>
      </w:r>
    </w:p>
    <w:p w14:paraId="4B26269D" w14:textId="788657E3" w:rsidR="007177F5" w:rsidRPr="007C79D6" w:rsidRDefault="007177F5" w:rsidP="007C79D6">
      <w:pPr>
        <w:spacing w:line="360" w:lineRule="auto"/>
        <w:jc w:val="both"/>
        <w:rPr>
          <w:rFonts w:ascii="Cambria" w:eastAsia="Times New Roman" w:hAnsi="Cambria" w:cs="Times New Roman"/>
          <w:color w:val="000000" w:themeColor="text1"/>
          <w:sz w:val="16"/>
          <w:szCs w:val="16"/>
          <w:lang w:eastAsia="en-GB"/>
        </w:rPr>
      </w:pPr>
      <w:r w:rsidRPr="007C79D6">
        <w:rPr>
          <w:rFonts w:ascii="Cambria" w:eastAsia="Times New Roman" w:hAnsi="Cambria" w:cs="Times New Roman"/>
          <w:color w:val="000000" w:themeColor="text1"/>
          <w:sz w:val="16"/>
          <w:szCs w:val="16"/>
          <w:shd w:val="clear" w:color="auto" w:fill="FFFFFF"/>
          <w:lang w:eastAsia="en-GB"/>
        </w:rPr>
        <w:t>Establishment of a Special Presidential Commission of Inquiry (SPCOI), under the SPCOI Law No 7 of 1978 to investigate government officials who had conducted ‘witch hunts’ of other public officials during the time of the Sirisena-Wickremesinghe coalition. </w:t>
      </w:r>
    </w:p>
  </w:footnote>
  <w:footnote w:id="24">
    <w:p w14:paraId="11A42643" w14:textId="3736F6DA"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‘Presidential Task Force appointed to build a “secure country and a disciplined, virtuos and lawful society”’’ </w:t>
      </w:r>
      <w:r w:rsidRPr="007C79D6">
        <w:rPr>
          <w:rFonts w:ascii="Cambria" w:hAnsi="Cambria"/>
          <w:i/>
          <w:iCs/>
          <w:color w:val="000000" w:themeColor="text1"/>
          <w:sz w:val="16"/>
          <w:szCs w:val="16"/>
        </w:rPr>
        <w:t xml:space="preserve">News Wire </w:t>
      </w:r>
      <w:r w:rsidRPr="007C79D6">
        <w:rPr>
          <w:rFonts w:ascii="Cambria" w:hAnsi="Cambria"/>
          <w:color w:val="000000" w:themeColor="text1"/>
          <w:sz w:val="16"/>
          <w:szCs w:val="16"/>
        </w:rPr>
        <w:t xml:space="preserve">(3 June 2020)&lt; </w:t>
      </w:r>
      <w:hyperlink r:id="rId5" w:history="1">
        <w:r w:rsidRPr="007C79D6">
          <w:rPr>
            <w:rStyle w:val="Hyperlink"/>
            <w:rFonts w:ascii="Cambria" w:hAnsi="Cambria"/>
            <w:color w:val="000000" w:themeColor="text1"/>
            <w:sz w:val="16"/>
            <w:szCs w:val="16"/>
          </w:rPr>
          <w:t>http://www.newswire.lk/2020/06/03/presidential-task-force-appointed-to-build-a-secure-country-and-a-disciplined-virtuous-and-lawful-society/</w:t>
        </w:r>
      </w:hyperlink>
      <w:r w:rsidRPr="007C79D6">
        <w:rPr>
          <w:rFonts w:ascii="Cambria" w:hAnsi="Cambria"/>
          <w:color w:val="000000" w:themeColor="text1"/>
          <w:sz w:val="16"/>
          <w:szCs w:val="16"/>
        </w:rPr>
        <w:t>&gt; accessed 12</w:t>
      </w:r>
      <w:r w:rsidRPr="007C79D6">
        <w:rPr>
          <w:rFonts w:ascii="Cambria" w:hAnsi="Cambria"/>
          <w:color w:val="000000" w:themeColor="text1"/>
          <w:sz w:val="16"/>
          <w:szCs w:val="16"/>
          <w:vertAlign w:val="superscript"/>
        </w:rPr>
        <w:t>th</w:t>
      </w:r>
      <w:r w:rsidRPr="007C79D6">
        <w:rPr>
          <w:rFonts w:ascii="Cambria" w:hAnsi="Cambria"/>
          <w:color w:val="000000" w:themeColor="text1"/>
          <w:sz w:val="16"/>
          <w:szCs w:val="16"/>
        </w:rPr>
        <w:t xml:space="preserve"> December 2020</w:t>
      </w:r>
    </w:p>
  </w:footnote>
  <w:footnote w:id="25">
    <w:p w14:paraId="615C87EB" w14:textId="30E8474B"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V Mid Term Review, United Nations Development Programme, Country Programme Document 2016</w:t>
      </w:r>
    </w:p>
  </w:footnote>
  <w:footnote w:id="26">
    <w:p w14:paraId="7492F312" w14:textId="66EC5AE4"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w:t>
      </w:r>
      <w:r w:rsidRPr="007C79D6">
        <w:rPr>
          <w:rFonts w:ascii="Cambria" w:hAnsi="Cambria" w:cs="Segoe UI"/>
          <w:color w:val="000000" w:themeColor="text1"/>
          <w:sz w:val="16"/>
          <w:szCs w:val="16"/>
          <w:shd w:val="clear" w:color="auto" w:fill="FFFFFF"/>
        </w:rPr>
        <w:t>Rajapaksa acknowledged the importance of.  Gotabaya Rajapaksa addresses the nation after being ceremoniously sworn in as the 7th Executive President yesterday at the historic Ruwanweliseya in Anuradhapura - Pic by Chamila Karunarathne, t</w:t>
      </w:r>
      <w:r w:rsidRPr="007C79D6">
        <w:rPr>
          <w:rFonts w:ascii="Cambria" w:hAnsi="Cambria" w:cs="Arial"/>
          <w:color w:val="000000" w:themeColor="text1"/>
          <w:sz w:val="16"/>
          <w:szCs w:val="16"/>
        </w:rPr>
        <w:t>he policy statement made by His Excellency Gotabaya Rajapaksa, President of the Democratic Socialist Republic of Sri Lanka at the inauguration of the Fourth Session of the 8th Parliament of Sri Lanka.</w:t>
      </w:r>
    </w:p>
  </w:footnote>
  <w:footnote w:id="27">
    <w:p w14:paraId="4757817E" w14:textId="0ADFEC12"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&lt;https://www.un.int/srilanka/news/statement-made-hon-dinesh-gunawardena-foreign-minister-sri-lanka-44th-annual-meeting-ministers&gt;</w:t>
      </w:r>
    </w:p>
  </w:footnote>
  <w:footnote w:id="28">
    <w:p w14:paraId="6E84802F" w14:textId="77777777" w:rsidR="002D372D" w:rsidRPr="007C79D6" w:rsidRDefault="002D372D" w:rsidP="002D372D">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Article 12 of the Twentieth Amendment to the Constitution </w:t>
      </w:r>
    </w:p>
  </w:footnote>
  <w:footnote w:id="29">
    <w:p w14:paraId="22A40FF8" w14:textId="66893D7D" w:rsidR="007177F5" w:rsidRPr="007C79D6" w:rsidRDefault="007177F5" w:rsidP="007C79D6">
      <w:pPr>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w:t>
      </w:r>
      <w:r w:rsidRPr="007C79D6">
        <w:rPr>
          <w:rFonts w:ascii="Cambria" w:hAnsi="Cambria" w:cstheme="minorHAnsi"/>
          <w:color w:val="000000" w:themeColor="text1"/>
          <w:sz w:val="16"/>
          <w:szCs w:val="16"/>
        </w:rPr>
        <w:t>Vulnerable groups are defined by the Portfolio strategy and rationale as women, youth, ethnic, class, caste-based minorities, groups affected by human conflict, climate change and natural disasters, the urban and rural poor, the disabled, people living with communicable diseases and groups with intersecting identities as traditional, excluded and vulnerable groups and among other issues and location groups. REPEATED</w:t>
      </w:r>
    </w:p>
  </w:footnote>
  <w:footnote w:id="30">
    <w:p w14:paraId="0B0554EB" w14:textId="77777777" w:rsidR="007177F5" w:rsidRPr="007C79D6" w:rsidRDefault="007177F5" w:rsidP="007C79D6">
      <w:pPr>
        <w:pStyle w:val="FootnoteText"/>
        <w:spacing w:line="360" w:lineRule="auto"/>
        <w:jc w:val="both"/>
        <w:rPr>
          <w:rFonts w:ascii="Cambria" w:hAnsi="Cambria" w:cstheme="minorHAnsi"/>
          <w:color w:val="000000" w:themeColor="text1"/>
          <w:sz w:val="16"/>
          <w:szCs w:val="16"/>
        </w:rPr>
      </w:pPr>
      <w:r w:rsidRPr="007C79D6">
        <w:rPr>
          <w:rStyle w:val="FootnoteReference"/>
          <w:rFonts w:ascii="Cambria" w:hAnsi="Cambria" w:cstheme="minorHAnsi"/>
          <w:color w:val="000000" w:themeColor="text1"/>
          <w:sz w:val="16"/>
          <w:szCs w:val="16"/>
        </w:rPr>
        <w:footnoteRef/>
      </w:r>
      <w:r w:rsidRPr="007C79D6">
        <w:rPr>
          <w:rFonts w:ascii="Cambria" w:hAnsi="Cambria" w:cstheme="minorHAnsi"/>
          <w:color w:val="000000" w:themeColor="text1"/>
          <w:sz w:val="16"/>
          <w:szCs w:val="16"/>
        </w:rPr>
        <w:t xml:space="preserve"> Goal 16. Promote peaceful and inclusive societies for sustainable development, provide access to justice for all and build effective, accountable and inclusive institutions at all levels. </w:t>
      </w:r>
    </w:p>
    <w:p w14:paraId="62E81ADA" w14:textId="3A20B912" w:rsidR="007177F5" w:rsidRPr="007C79D6" w:rsidRDefault="007177F5" w:rsidP="007C79D6">
      <w:pPr>
        <w:pStyle w:val="FootnoteText"/>
        <w:spacing w:line="360" w:lineRule="auto"/>
        <w:jc w:val="both"/>
        <w:rPr>
          <w:rFonts w:ascii="Cambria" w:hAnsi="Cambria" w:cstheme="minorHAnsi"/>
          <w:color w:val="000000" w:themeColor="text1"/>
          <w:sz w:val="16"/>
          <w:szCs w:val="16"/>
        </w:rPr>
      </w:pPr>
      <w:r w:rsidRPr="007C79D6">
        <w:rPr>
          <w:rFonts w:ascii="Cambria" w:hAnsi="Cambria" w:cstheme="minorHAnsi"/>
          <w:i/>
          <w:iCs/>
          <w:color w:val="000000" w:themeColor="text1"/>
          <w:sz w:val="16"/>
          <w:szCs w:val="16"/>
        </w:rPr>
        <w:t>Status of Sustainable Development Goals Indicators in Sri Lanka: 2017</w:t>
      </w:r>
      <w:r w:rsidRPr="007C79D6">
        <w:rPr>
          <w:rFonts w:ascii="Cambria" w:hAnsi="Cambria" w:cstheme="minorHAnsi"/>
          <w:color w:val="000000" w:themeColor="text1"/>
          <w:sz w:val="16"/>
          <w:szCs w:val="16"/>
        </w:rPr>
        <w:t>’ (Department of Census and Statistics, 2017)</w:t>
      </w:r>
    </w:p>
  </w:footnote>
  <w:footnote w:id="31">
    <w:p w14:paraId="00135639" w14:textId="77777777"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stheme="minorHAnsi"/>
          <w:color w:val="000000" w:themeColor="text1"/>
          <w:sz w:val="16"/>
          <w:szCs w:val="16"/>
        </w:rPr>
        <w:t>More specifically, 16.5 Substantially reduce corruption and bribery in all their forms, 16.6 Develop effective, accountable and transparent institutions at all levels, 16.7 Ensure responsive, inclusive, participatory and representative decision-making at all levels , 16.8 Broaden and strengthen the participation of developing countries in the institutions of global governance, 16.9 By 2030, provide legal identity for all, including birth registration , 16.10 Ensure public access to information and protect fundamental freedoms, in accordance with national legislation and international agreements , 16.a Strengthen relevant national institutions, including through international cooperation, for building capacity at all levels, in particular in developing countries, to prevent violence and combat terrorism and crime 16.b Promote and enforce non-discriminatory laws and policies for sustainable development.</w:t>
      </w:r>
      <w:r w:rsidRPr="007C79D6">
        <w:rPr>
          <w:rFonts w:ascii="Cambria" w:hAnsi="Cambria"/>
          <w:color w:val="000000" w:themeColor="text1"/>
          <w:sz w:val="16"/>
          <w:szCs w:val="16"/>
        </w:rPr>
        <w:t xml:space="preserve"> </w:t>
      </w:r>
    </w:p>
    <w:p w14:paraId="11292D5E" w14:textId="6FA7F27E"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Fonts w:ascii="Cambria" w:hAnsi="Cambria"/>
          <w:color w:val="000000" w:themeColor="text1"/>
          <w:sz w:val="16"/>
          <w:szCs w:val="16"/>
        </w:rPr>
        <w:t>‘Sustainable Development Goals’ (United Nations) &lt;https://www.un.org/ruleoflaw/sdg-16/#:~:text=Goal%2016%20Targets&amp;text=End%20abuse%2C%20exploitation%2C%20trafficking%20and,access%20to%20justice%20for%20all.&gt; accessed 10</w:t>
      </w:r>
      <w:r w:rsidRPr="007C79D6">
        <w:rPr>
          <w:rFonts w:ascii="Cambria" w:hAnsi="Cambria"/>
          <w:color w:val="000000" w:themeColor="text1"/>
          <w:sz w:val="16"/>
          <w:szCs w:val="16"/>
          <w:vertAlign w:val="superscript"/>
        </w:rPr>
        <w:t>th</w:t>
      </w:r>
      <w:r w:rsidRPr="007C79D6">
        <w:rPr>
          <w:rFonts w:ascii="Cambria" w:hAnsi="Cambria"/>
          <w:color w:val="000000" w:themeColor="text1"/>
          <w:sz w:val="16"/>
          <w:szCs w:val="16"/>
        </w:rPr>
        <w:t xml:space="preserve"> December 2020</w:t>
      </w:r>
    </w:p>
  </w:footnote>
  <w:footnote w:id="32">
    <w:p w14:paraId="62940F0A" w14:textId="01861993"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Report on Sustainable Sri Lanka 2030 Vision and Strategic Path (Presidential Secretariat, January 2019) &lt;http://www.presidentsoffice.gov.lk/wp-content/uploads/2019/05/Final-v2.4-Typeset-MM-v12F-Cov3.pdf&gt; accessed 10</w:t>
      </w:r>
      <w:r w:rsidRPr="007C79D6">
        <w:rPr>
          <w:rFonts w:ascii="Cambria" w:hAnsi="Cambria"/>
          <w:color w:val="000000" w:themeColor="text1"/>
          <w:sz w:val="16"/>
          <w:szCs w:val="16"/>
          <w:vertAlign w:val="superscript"/>
        </w:rPr>
        <w:t>th</w:t>
      </w:r>
      <w:r w:rsidRPr="007C79D6">
        <w:rPr>
          <w:rFonts w:ascii="Cambria" w:hAnsi="Cambria"/>
          <w:color w:val="000000" w:themeColor="text1"/>
          <w:sz w:val="16"/>
          <w:szCs w:val="16"/>
        </w:rPr>
        <w:t xml:space="preserve"> December 2020</w:t>
      </w:r>
    </w:p>
  </w:footnote>
  <w:footnote w:id="33">
    <w:p w14:paraId="3D20B809" w14:textId="6EC34578"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Nineteenth Amendment to the Constitution of Sri Lanka &lt;https://www.parliament.lk/uploads/acts/gbills/english/5974.pdf&gt;</w:t>
      </w:r>
    </w:p>
  </w:footnote>
  <w:footnote w:id="34">
    <w:p w14:paraId="008D792A" w14:textId="6E53033D"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&lt;https://www.veriteresearch.org/2017/01/08/71-out-of-100-yahapalanayas-100-day-programme-in-retrospect/</w:t>
      </w:r>
    </w:p>
  </w:footnote>
  <w:footnote w:id="35">
    <w:p w14:paraId="0C12BB4B" w14:textId="4E314603" w:rsidR="007177F5" w:rsidRPr="007C79D6" w:rsidRDefault="007177F5" w:rsidP="007C79D6">
      <w:pPr>
        <w:spacing w:line="360" w:lineRule="auto"/>
        <w:jc w:val="both"/>
        <w:rPr>
          <w:rFonts w:ascii="Cambria" w:hAnsi="Cambria" w:cstheme="minorHAnsi"/>
          <w:color w:val="000000" w:themeColor="text1"/>
          <w:sz w:val="16"/>
          <w:szCs w:val="16"/>
        </w:rPr>
      </w:pPr>
    </w:p>
  </w:footnote>
  <w:footnote w:id="36">
    <w:p w14:paraId="0BCBD39E" w14:textId="34609FF4"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stheme="minorHAnsi"/>
          <w:color w:val="000000" w:themeColor="text1"/>
          <w:sz w:val="16"/>
          <w:szCs w:val="16"/>
        </w:rPr>
        <w:t>The PDAP in its goal highlighted the constitutional ideal of parliament as the repository of the legislative power of the people and its role as overseer of inclusive, accountable and responsive governance, national reconciliation and sustainable development recognizing the aspirations of the people and the Global Development Agenda 2030.</w:t>
      </w:r>
    </w:p>
  </w:footnote>
  <w:footnote w:id="37">
    <w:p w14:paraId="0C36C3CC" w14:textId="67026013" w:rsidR="007177F5" w:rsidRPr="007C79D6" w:rsidRDefault="007177F5" w:rsidP="007C79D6">
      <w:pPr>
        <w:spacing w:line="360" w:lineRule="auto"/>
        <w:jc w:val="both"/>
        <w:rPr>
          <w:rFonts w:ascii="Cambria" w:hAnsi="Cambria"/>
          <w:color w:val="000000" w:themeColor="text1"/>
          <w:sz w:val="16"/>
          <w:szCs w:val="16"/>
        </w:rPr>
      </w:pPr>
      <w:r w:rsidRPr="007C79D6">
        <w:rPr>
          <w:rStyle w:val="FootnoteReference"/>
          <w:rFonts w:ascii="Cambria" w:hAnsi="Cambria" w:cstheme="minorHAnsi"/>
          <w:color w:val="000000" w:themeColor="text1"/>
          <w:sz w:val="16"/>
          <w:szCs w:val="16"/>
        </w:rPr>
        <w:footnoteRef/>
      </w:r>
      <w:r w:rsidRPr="007C79D6">
        <w:rPr>
          <w:rFonts w:ascii="Cambria" w:hAnsi="Cambria" w:cstheme="minorHAnsi"/>
          <w:color w:val="000000" w:themeColor="text1"/>
          <w:sz w:val="16"/>
          <w:szCs w:val="16"/>
        </w:rPr>
        <w:t xml:space="preserve"> An Advisory Board consisting of Speaker, Secretary General, cross bench of Members of Parliament and Development Partner Agencies were formed to implement and give strategic direction for the work plan. A Project Board co-chaired by Secretary General and UNDP Resident Representative was formed to discuss progress, challenges and opportunities to report to Advisory Board. </w:t>
      </w:r>
    </w:p>
  </w:footnote>
  <w:footnote w:id="38">
    <w:p w14:paraId="57F1528F" w14:textId="09A77472"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w:t>
      </w:r>
      <w:r w:rsidRPr="007C79D6">
        <w:rPr>
          <w:rFonts w:ascii="Cambria" w:hAnsi="Cambria" w:cstheme="minorHAnsi"/>
          <w:bCs/>
          <w:color w:val="000000" w:themeColor="text1"/>
          <w:sz w:val="16"/>
          <w:szCs w:val="16"/>
        </w:rPr>
        <w:t xml:space="preserve">Human Rights and Human Rights Based Approaches (HRBA), Gender Equality and Women’s Empowerment (GEWE), Youth empowerment, Innovation, Capacity Development, Conflict sensitivity, Quality data and data management, </w:t>
      </w:r>
      <w:r w:rsidRPr="007C79D6">
        <w:rPr>
          <w:rFonts w:ascii="Cambria" w:hAnsi="Cambria"/>
          <w:color w:val="000000" w:themeColor="text1"/>
          <w:sz w:val="16"/>
          <w:szCs w:val="16"/>
        </w:rPr>
        <w:t>Anti-corruption, Climate Change.</w:t>
      </w:r>
    </w:p>
  </w:footnote>
  <w:footnote w:id="39">
    <w:p w14:paraId="6E4C5608" w14:textId="2D64BC62" w:rsidR="007177F5" w:rsidRPr="007C79D6" w:rsidRDefault="007177F5" w:rsidP="007C79D6">
      <w:pPr>
        <w:pStyle w:val="NormalWeb"/>
        <w:shd w:val="clear" w:color="auto" w:fill="FFFFFF"/>
        <w:spacing w:before="0" w:beforeAutospacing="0" w:after="375" w:afterAutospacing="0"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w:t>
      </w:r>
      <w:r w:rsidRPr="007C79D6">
        <w:rPr>
          <w:rFonts w:ascii="Cambria" w:hAnsi="Cambria"/>
          <w:color w:val="000000" w:themeColor="text1"/>
          <w:sz w:val="16"/>
          <w:szCs w:val="16"/>
          <w:lang w:eastAsia="en-US" w:bidi="ar-SA"/>
        </w:rPr>
        <w:t xml:space="preserve">The Maithrimeter on manthri.lk, a Parliamentary monitoring initiative by Verité Research, created a weighted system to measure the progress made under the 100-Day Programme, scoring ‘100 days out of 100’. While scoring less than 50 at the 100-day mark, many promises such as the passage of ‘RTI’ Act were eventually fulfilled, increasing the total score to 71. </w:t>
      </w:r>
      <w:r w:rsidRPr="007C79D6">
        <w:rPr>
          <w:rFonts w:ascii="Cambria" w:hAnsi="Cambria"/>
          <w:color w:val="000000" w:themeColor="text1"/>
          <w:sz w:val="16"/>
          <w:szCs w:val="16"/>
        </w:rPr>
        <w:t>This is in part because some promises, including the campaign’s central promise of abolishing the EP (addressed in part through the 19th Amendment to the Constitution), remain within the ongoing Constitutional reform process. However, two key promises- the National Audit Bill and the Ethical Code of Conduct (ECoC) are notable delays. S</w:t>
      </w:r>
      <w:r w:rsidRPr="007C79D6">
        <w:rPr>
          <w:rFonts w:ascii="Cambria" w:hAnsi="Cambria"/>
          <w:color w:val="000000" w:themeColor="text1"/>
          <w:sz w:val="16"/>
          <w:szCs w:val="16"/>
          <w:lang w:eastAsia="en-US" w:bidi="ar-SA"/>
        </w:rPr>
        <w:t>ee http://www.manthri.lk/en/maithrimeter</w:t>
      </w:r>
    </w:p>
  </w:footnote>
  <w:footnote w:id="40">
    <w:p w14:paraId="0C9F014C" w14:textId="13F672BB" w:rsidR="007177F5" w:rsidRPr="007C79D6" w:rsidRDefault="007177F5" w:rsidP="007C79D6">
      <w:pPr>
        <w:spacing w:line="360" w:lineRule="auto"/>
        <w:jc w:val="both"/>
        <w:rPr>
          <w:rFonts w:ascii="Cambria" w:hAnsi="Cambria" w:cs="Times New Roman"/>
          <w:color w:val="000000" w:themeColor="text1"/>
          <w:sz w:val="16"/>
          <w:szCs w:val="16"/>
          <w:lang w:val="en-CA"/>
        </w:rPr>
      </w:pPr>
      <w:r w:rsidRPr="007C79D6">
        <w:rPr>
          <w:rStyle w:val="FootnoteReference"/>
          <w:rFonts w:ascii="Cambria" w:hAnsi="Cambria" w:cstheme="minorHAnsi"/>
          <w:color w:val="000000" w:themeColor="text1"/>
          <w:sz w:val="16"/>
          <w:szCs w:val="16"/>
        </w:rPr>
        <w:footnoteRef/>
      </w:r>
      <w:r w:rsidRPr="007C79D6">
        <w:rPr>
          <w:rFonts w:ascii="Cambria" w:hAnsi="Cambria" w:cstheme="minorHAnsi"/>
          <w:color w:val="000000" w:themeColor="text1"/>
          <w:sz w:val="16"/>
          <w:szCs w:val="16"/>
        </w:rPr>
        <w:t xml:space="preserve"> Traditionally, access to committee proceedings of the Parliament of Sri Lanka is restricted. However, public access to key information through which public institutions are held accountable was enhanced through provision of broadcasting equipment to enable COPA to conduct live sessions in August 2019. COPA is one of the most active committees and through support for live broadcasting COPA has provided the public with greater insight into public expenditure and a key tool to assess the financial discipline of the Government, Ministries, Departments, Provincial Councils and Local Authorities. </w:t>
      </w:r>
      <w:r w:rsidRPr="007C79D6">
        <w:rPr>
          <w:rFonts w:ascii="Cambria" w:hAnsi="Cambria" w:cs="Times New Roman"/>
          <w:color w:val="000000" w:themeColor="text1"/>
          <w:sz w:val="16"/>
          <w:szCs w:val="16"/>
          <w:lang w:val="en-CA"/>
        </w:rPr>
        <w:t>Consultative Assessment of The Eighth Parliament and Development Priorities for The Ninth Parliament.</w:t>
      </w:r>
    </w:p>
    <w:p w14:paraId="06E9C38C" w14:textId="4B016C98" w:rsidR="007177F5" w:rsidRPr="007C79D6" w:rsidRDefault="007177F5" w:rsidP="007C79D6">
      <w:pPr>
        <w:pStyle w:val="FootnoteText"/>
        <w:spacing w:line="360" w:lineRule="auto"/>
        <w:jc w:val="both"/>
        <w:rPr>
          <w:rFonts w:ascii="Cambria" w:hAnsi="Cambria" w:cstheme="minorHAnsi"/>
          <w:color w:val="000000" w:themeColor="text1"/>
          <w:sz w:val="16"/>
          <w:szCs w:val="16"/>
        </w:rPr>
      </w:pPr>
    </w:p>
  </w:footnote>
  <w:footnote w:id="41">
    <w:p w14:paraId="2DAFB0C4" w14:textId="1A3D7392"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See page 31 of MTE for discussion of Impact of Outputs 1.1. and 1.2.</w:t>
      </w:r>
    </w:p>
  </w:footnote>
  <w:footnote w:id="42">
    <w:p w14:paraId="62DB0FA3" w14:textId="77777777" w:rsidR="007177F5" w:rsidRPr="007C79D6" w:rsidRDefault="007177F5" w:rsidP="007C79D6">
      <w:pPr>
        <w:spacing w:line="360" w:lineRule="auto"/>
        <w:jc w:val="both"/>
        <w:rPr>
          <w:rFonts w:ascii="Cambria" w:hAnsi="Cambria" w:cstheme="minorHAnsi"/>
          <w:color w:val="000000" w:themeColor="text1"/>
          <w:sz w:val="16"/>
          <w:szCs w:val="16"/>
          <w:vertAlign w:val="subscript"/>
        </w:rPr>
      </w:pPr>
      <w:r w:rsidRPr="007C79D6">
        <w:rPr>
          <w:rStyle w:val="FootnoteReference"/>
          <w:rFonts w:ascii="Cambria" w:hAnsi="Cambria" w:cstheme="minorHAnsi"/>
          <w:color w:val="000000" w:themeColor="text1"/>
          <w:sz w:val="16"/>
          <w:szCs w:val="16"/>
          <w:vertAlign w:val="subscript"/>
        </w:rPr>
        <w:footnoteRef/>
      </w:r>
      <w:r w:rsidRPr="007C79D6">
        <w:rPr>
          <w:rFonts w:ascii="Cambria" w:hAnsi="Cambria" w:cstheme="minorHAnsi"/>
          <w:color w:val="000000" w:themeColor="text1"/>
          <w:sz w:val="16"/>
          <w:szCs w:val="16"/>
          <w:vertAlign w:val="subscript"/>
        </w:rPr>
        <w:t xml:space="preserve"> </w:t>
      </w:r>
      <w:r w:rsidRPr="007C79D6">
        <w:rPr>
          <w:rFonts w:ascii="Cambria" w:hAnsi="Cambria" w:cs="Times New Roman"/>
          <w:color w:val="000000" w:themeColor="text1"/>
          <w:sz w:val="16"/>
          <w:szCs w:val="16"/>
        </w:rPr>
        <w:t xml:space="preserve">The Consultative Assessment on Strengthening the Core Functions of Parliament and the formulation of a draft Parliamentary Development Action Plan (2020-2022) </w:t>
      </w:r>
    </w:p>
  </w:footnote>
  <w:footnote w:id="43">
    <w:p w14:paraId="08F3C3E0" w14:textId="77777777" w:rsidR="007177F5" w:rsidRPr="007C79D6" w:rsidRDefault="007177F5" w:rsidP="007C79D6">
      <w:pPr>
        <w:pStyle w:val="FootnoteText"/>
        <w:spacing w:line="360" w:lineRule="auto"/>
        <w:jc w:val="both"/>
        <w:rPr>
          <w:rFonts w:ascii="Cambria" w:hAnsi="Cambria" w:cstheme="minorHAnsi"/>
          <w:color w:val="000000" w:themeColor="text1"/>
          <w:sz w:val="16"/>
          <w:szCs w:val="16"/>
          <w:vertAlign w:val="subscript"/>
        </w:rPr>
      </w:pPr>
      <w:r w:rsidRPr="007C79D6">
        <w:rPr>
          <w:rStyle w:val="FootnoteReference"/>
          <w:rFonts w:ascii="Cambria" w:hAnsi="Cambria" w:cstheme="minorHAnsi"/>
          <w:color w:val="000000" w:themeColor="text1"/>
          <w:sz w:val="16"/>
          <w:szCs w:val="16"/>
          <w:vertAlign w:val="subscript"/>
        </w:rPr>
        <w:footnoteRef/>
      </w:r>
      <w:r w:rsidRPr="007C79D6">
        <w:rPr>
          <w:rFonts w:ascii="Cambria" w:hAnsi="Cambria" w:cstheme="minorHAnsi"/>
          <w:color w:val="000000" w:themeColor="text1"/>
          <w:sz w:val="16"/>
          <w:szCs w:val="16"/>
          <w:vertAlign w:val="subscript"/>
        </w:rPr>
        <w:t xml:space="preserve"> </w:t>
      </w:r>
      <w:r w:rsidRPr="007C79D6">
        <w:rPr>
          <w:rFonts w:ascii="Cambria" w:hAnsi="Cambria"/>
          <w:color w:val="000000" w:themeColor="text1"/>
          <w:sz w:val="16"/>
          <w:szCs w:val="16"/>
        </w:rPr>
        <w:t>Mid Term Review, United Nations Development Programme, Country Programme Document 2016, Verite Research</w:t>
      </w:r>
    </w:p>
  </w:footnote>
  <w:footnote w:id="44">
    <w:p w14:paraId="0AAE0BD2" w14:textId="77777777"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vertAlign w:val="baseline"/>
        </w:rPr>
        <w:footnoteRef/>
      </w:r>
      <w:r w:rsidRPr="007C79D6">
        <w:rPr>
          <w:rFonts w:ascii="Cambria" w:hAnsi="Cambria"/>
          <w:color w:val="000000" w:themeColor="text1"/>
          <w:sz w:val="16"/>
          <w:szCs w:val="16"/>
        </w:rPr>
        <w:t xml:space="preserve"> T</w:t>
      </w:r>
      <w:r w:rsidRPr="007C79D6">
        <w:rPr>
          <w:rFonts w:ascii="Cambria" w:hAnsi="Cambria" w:cstheme="minorHAnsi"/>
          <w:color w:val="000000" w:themeColor="text1"/>
          <w:sz w:val="16"/>
          <w:szCs w:val="16"/>
        </w:rPr>
        <w:t>he Committee on Public Petitions is entrusted with the duty of considering public petitions referred to it under the provisions of Standing Order 30. Where the Committee is of the view that any petition discloses an infringement of a fundamental right or other injustice by a public officer or an officer of a public corporation, local authority or other like institution, it may inquire into such petition or refer such petition to the Parliamentary Commissioner for Administration (Ombudsman) to inquire and report. The Committee thereafter reports to Parliament its opinion on the action to be taken on such petition or report.</w:t>
      </w:r>
    </w:p>
  </w:footnote>
  <w:footnote w:id="45">
    <w:p w14:paraId="58BB216E" w14:textId="77777777" w:rsidR="007177F5" w:rsidRPr="007C79D6" w:rsidRDefault="007177F5" w:rsidP="007C79D6">
      <w:pPr>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Risk Log, </w:t>
      </w:r>
      <w:r w:rsidRPr="007C79D6">
        <w:rPr>
          <w:rFonts w:ascii="Cambria" w:hAnsi="Cambria" w:cs="Times New Roman"/>
          <w:color w:val="000000" w:themeColor="text1"/>
          <w:sz w:val="16"/>
          <w:szCs w:val="16"/>
        </w:rPr>
        <w:t>UNDP Sri Lanka Flagship Portfolio on SDG 16 on Peace, Justice and Strong Institutions: Progress Report (December 2018-October 2019)</w:t>
      </w:r>
    </w:p>
  </w:footnote>
  <w:footnote w:id="46">
    <w:p w14:paraId="1DFE4E15" w14:textId="77777777" w:rsidR="007177F5" w:rsidRPr="007C79D6" w:rsidRDefault="007177F5" w:rsidP="007C79D6">
      <w:pPr>
        <w:pStyle w:val="FootnoteText"/>
        <w:spacing w:line="360" w:lineRule="auto"/>
        <w:jc w:val="both"/>
        <w:rPr>
          <w:rFonts w:ascii="Cambria" w:hAnsi="Cambria" w:cstheme="minorHAnsi"/>
          <w:color w:val="000000" w:themeColor="text1"/>
          <w:sz w:val="16"/>
          <w:szCs w:val="16"/>
        </w:rPr>
      </w:pPr>
      <w:r w:rsidRPr="007C79D6">
        <w:rPr>
          <w:rStyle w:val="FootnoteReference"/>
          <w:rFonts w:ascii="Cambria" w:hAnsi="Cambria" w:cstheme="minorHAnsi"/>
          <w:color w:val="000000" w:themeColor="text1"/>
          <w:sz w:val="16"/>
          <w:szCs w:val="16"/>
          <w:vertAlign w:val="baseline"/>
        </w:rPr>
        <w:footnoteRef/>
      </w:r>
      <w:r w:rsidRPr="007C79D6">
        <w:rPr>
          <w:rFonts w:ascii="Cambria" w:hAnsi="Cambria" w:cstheme="minorHAnsi"/>
          <w:color w:val="000000" w:themeColor="text1"/>
          <w:sz w:val="16"/>
          <w:szCs w:val="16"/>
        </w:rPr>
        <w:t xml:space="preserve"> For example, if there is no continued political and/or administrative buy-in for a particular activity/output and thereby in-built mechanisms to divert funds to the remaining components as long as alternative activities/outputs will nevertheless contribute substantially to the expected outcomes.</w:t>
      </w:r>
    </w:p>
  </w:footnote>
  <w:footnote w:id="47">
    <w:p w14:paraId="2E935084" w14:textId="77777777" w:rsidR="007177F5" w:rsidRPr="00695CB5" w:rsidRDefault="007177F5" w:rsidP="007C79D6">
      <w:pPr>
        <w:pStyle w:val="FootnoteText"/>
        <w:spacing w:line="360" w:lineRule="auto"/>
        <w:jc w:val="both"/>
        <w:rPr>
          <w:rFonts w:ascii="Cambria" w:hAnsi="Cambria" w:cstheme="minorHAnsi"/>
          <w:color w:val="000000" w:themeColor="text1"/>
        </w:rPr>
      </w:pPr>
      <w:r w:rsidRPr="00695CB5">
        <w:rPr>
          <w:rStyle w:val="FootnoteReference"/>
          <w:rFonts w:ascii="Cambria" w:hAnsi="Cambria" w:cstheme="minorHAnsi"/>
          <w:color w:val="000000" w:themeColor="text1"/>
          <w:vertAlign w:val="subscript"/>
        </w:rPr>
        <w:footnoteRef/>
      </w:r>
      <w:r w:rsidRPr="00695CB5">
        <w:rPr>
          <w:rFonts w:ascii="Cambria" w:hAnsi="Cambria" w:cstheme="minorHAnsi"/>
          <w:color w:val="000000" w:themeColor="text1"/>
          <w:vertAlign w:val="subscript"/>
        </w:rPr>
        <w:t xml:space="preserve"> Joint Sub Committee was formed through a joint decision of the SOC on Health and Human Welfare, Social Empowerment, and the SOC on Sustainable Development and Environment and Natural Resources, at a meeting held in February 2019.</w:t>
      </w:r>
    </w:p>
  </w:footnote>
  <w:footnote w:id="48">
    <w:p w14:paraId="5ADCBE5A" w14:textId="4D00000A" w:rsidR="004E6716" w:rsidRPr="005B11FA" w:rsidRDefault="004E6716" w:rsidP="004E6716">
      <w:pPr>
        <w:spacing w:after="200" w:line="360" w:lineRule="auto"/>
        <w:jc w:val="both"/>
        <w:rPr>
          <w:sz w:val="16"/>
          <w:szCs w:val="16"/>
        </w:rPr>
      </w:pPr>
      <w:r w:rsidRPr="005B11FA">
        <w:rPr>
          <w:rStyle w:val="FootnoteReference"/>
        </w:rPr>
        <w:footnoteRef/>
      </w:r>
      <w:r w:rsidRPr="005B11FA">
        <w:t xml:space="preserve"> </w:t>
      </w:r>
      <w:r w:rsidRPr="005B11FA">
        <w:rPr>
          <w:rFonts w:ascii="Cambria" w:hAnsi="Cambria" w:cs="Calibri"/>
          <w:bCs/>
          <w:sz w:val="16"/>
          <w:szCs w:val="16"/>
          <w:lang w:val="en-GB"/>
        </w:rPr>
        <w:t>The 19</w:t>
      </w:r>
      <w:r w:rsidRPr="005B11FA">
        <w:rPr>
          <w:rFonts w:ascii="Cambria" w:hAnsi="Cambria" w:cs="Calibri"/>
          <w:bCs/>
          <w:sz w:val="16"/>
          <w:szCs w:val="16"/>
          <w:vertAlign w:val="superscript"/>
          <w:lang w:val="en-GB"/>
        </w:rPr>
        <w:t>th</w:t>
      </w:r>
      <w:r w:rsidRPr="005B11FA">
        <w:rPr>
          <w:rFonts w:ascii="Cambria" w:hAnsi="Cambria" w:cs="Calibri"/>
          <w:bCs/>
          <w:sz w:val="16"/>
          <w:szCs w:val="16"/>
          <w:lang w:val="en-GB"/>
        </w:rPr>
        <w:t xml:space="preserve"> Amendment was unanimously adopted by parliament in 2015 and replaced the Parliamentary Council to be re substituted by the CC. The CC strengthened the space and capacity of ICs to discharge their core functions, particularly their powers to inquire, investigate and monitor human rights violations according to their mandate.  Further co-sponsorship of the UN Resolution 30/1 and effective role of ICs in implementing and monitoring the National Human Rights Action Plan (NHRAP) 2017-2021, ratification of important international conventions such as the </w:t>
      </w:r>
      <w:r w:rsidRPr="005B11FA">
        <w:rPr>
          <w:rFonts w:ascii="Cambria" w:hAnsi="Cambria" w:cs="Arial"/>
          <w:sz w:val="16"/>
          <w:szCs w:val="16"/>
          <w:shd w:val="clear" w:color="auto" w:fill="FFFFFF"/>
        </w:rPr>
        <w:t xml:space="preserve">International Convention for the Protection of All Persons from Enforced Disappearance (ICPPED), Convention on the Rights of Persons with Disabilities (CRPD) in 2016 and ratification of the Optional Protocol to the Convention Against Torture (OPCAT), whereby HRC was identified as the national preventative mechanism for the monitoring of detention centres in 2017, </w:t>
      </w:r>
      <w:r w:rsidRPr="005B11FA">
        <w:rPr>
          <w:rFonts w:ascii="Cambria" w:hAnsi="Cambria" w:cs="Calibri"/>
          <w:sz w:val="16"/>
          <w:szCs w:val="16"/>
          <w:lang w:val="en-GB"/>
        </w:rPr>
        <w:t>was consider</w:t>
      </w:r>
      <w:r w:rsidRPr="005B11FA">
        <w:rPr>
          <w:rFonts w:ascii="Cambria" w:hAnsi="Cambria" w:cs="Calibri"/>
          <w:bCs/>
          <w:sz w:val="16"/>
          <w:szCs w:val="16"/>
          <w:lang w:val="en-GB"/>
        </w:rPr>
        <w:t>ed</w:t>
      </w:r>
      <w:r w:rsidRPr="005B11FA">
        <w:rPr>
          <w:rFonts w:ascii="Cambria" w:hAnsi="Cambria" w:cs="Calibri"/>
          <w:bCs/>
          <w:sz w:val="20"/>
          <w:szCs w:val="20"/>
          <w:lang w:val="en-GB"/>
        </w:rPr>
        <w:t>.</w:t>
      </w:r>
    </w:p>
  </w:footnote>
  <w:footnote w:id="49">
    <w:p w14:paraId="1A124E44" w14:textId="755F1E93" w:rsidR="007177F5" w:rsidRPr="007C79D6" w:rsidRDefault="007177F5" w:rsidP="007C79D6">
      <w:pPr>
        <w:spacing w:after="200" w:line="360" w:lineRule="auto"/>
        <w:jc w:val="both"/>
        <w:rPr>
          <w:rFonts w:ascii="Cambria" w:hAnsi="Cambria" w:cstheme="minorHAnsi"/>
          <w:color w:val="000000" w:themeColor="text1"/>
          <w:sz w:val="16"/>
          <w:szCs w:val="16"/>
        </w:rPr>
      </w:pPr>
      <w:r w:rsidRPr="007C79D6">
        <w:rPr>
          <w:rStyle w:val="FootnoteReference"/>
          <w:rFonts w:ascii="Cambria" w:hAnsi="Cambria" w:cstheme="minorHAnsi"/>
          <w:color w:val="000000" w:themeColor="text1"/>
          <w:sz w:val="16"/>
          <w:szCs w:val="16"/>
        </w:rPr>
        <w:footnoteRef/>
      </w:r>
      <w:r w:rsidRPr="007C79D6">
        <w:rPr>
          <w:rFonts w:ascii="Cambria" w:hAnsi="Cambria" w:cstheme="minorHAnsi"/>
          <w:color w:val="000000" w:themeColor="text1"/>
          <w:sz w:val="16"/>
          <w:szCs w:val="16"/>
        </w:rPr>
        <w:t xml:space="preserve"> </w:t>
      </w:r>
      <w:r w:rsidRPr="007C79D6">
        <w:rPr>
          <w:rFonts w:ascii="Cambria" w:hAnsi="Cambria" w:cstheme="minorHAnsi"/>
          <w:color w:val="000000" w:themeColor="text1"/>
          <w:sz w:val="16"/>
          <w:szCs w:val="16"/>
          <w:lang w:val="en-GB"/>
        </w:rPr>
        <w:t xml:space="preserve">The Human Rights Commission apart from its crucial role in the investigation and inquiry into violations of fundamental rights of individual petitioners also performs an important function of vetting armed personnel to be eligible to serve in peacebuilding forces.  With the appointment of a new Chairperson and Commission in 2015 subsequent to re-establishment of the CC, greater transparency and independence was availed and in 2018 HRC was </w:t>
      </w:r>
      <w:r w:rsidRPr="007C79D6">
        <w:rPr>
          <w:rFonts w:ascii="Cambria" w:hAnsi="Cambria" w:cstheme="minorHAnsi"/>
          <w:color w:val="000000" w:themeColor="text1"/>
          <w:sz w:val="16"/>
          <w:szCs w:val="16"/>
          <w:shd w:val="clear" w:color="auto" w:fill="FFFFFF"/>
        </w:rPr>
        <w:t xml:space="preserve">re-accredited with ‘A’ status by Global Alliance for National Human Rights Institutions (GANHRI) after a rigorous process of review, ‘A’ status means that the institution is in full compliance with the Paris Principles adopted by the UN General Assembly in 1993. </w:t>
      </w:r>
    </w:p>
  </w:footnote>
  <w:footnote w:id="50">
    <w:p w14:paraId="4B513FB9" w14:textId="62D8A11C" w:rsidR="007177F5" w:rsidRPr="007C79D6" w:rsidRDefault="007177F5" w:rsidP="007C79D6">
      <w:pPr>
        <w:pStyle w:val="FootnoteText"/>
        <w:spacing w:line="360" w:lineRule="auto"/>
        <w:jc w:val="both"/>
        <w:rPr>
          <w:rFonts w:ascii="Cambria" w:hAnsi="Cambria" w:cstheme="minorHAnsi"/>
          <w:color w:val="000000" w:themeColor="text1"/>
          <w:sz w:val="16"/>
          <w:szCs w:val="16"/>
        </w:rPr>
      </w:pPr>
      <w:r w:rsidRPr="007C79D6">
        <w:rPr>
          <w:rStyle w:val="FootnoteReference"/>
          <w:rFonts w:ascii="Cambria" w:hAnsi="Cambria" w:cstheme="minorHAnsi"/>
          <w:color w:val="000000" w:themeColor="text1"/>
          <w:sz w:val="16"/>
          <w:szCs w:val="16"/>
        </w:rPr>
        <w:footnoteRef/>
      </w:r>
      <w:r w:rsidRPr="007C79D6">
        <w:rPr>
          <w:rFonts w:ascii="Cambria" w:hAnsi="Cambria" w:cstheme="minorHAnsi"/>
          <w:color w:val="000000" w:themeColor="text1"/>
          <w:sz w:val="16"/>
          <w:szCs w:val="16"/>
        </w:rPr>
        <w:t xml:space="preserve"> Refer to Annex Five </w:t>
      </w:r>
    </w:p>
  </w:footnote>
  <w:footnote w:id="51">
    <w:p w14:paraId="586B732D" w14:textId="351A7D3F"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w:t>
      </w:r>
      <w:r w:rsidRPr="007C79D6">
        <w:rPr>
          <w:rFonts w:ascii="Cambria" w:hAnsi="Cambria" w:cs="Calibri"/>
          <w:color w:val="000000" w:themeColor="text1"/>
          <w:sz w:val="16"/>
          <w:szCs w:val="16"/>
        </w:rPr>
        <w:t>Human Rights Commission of Sri Lanka Act No. 21 of 1996</w:t>
      </w:r>
    </w:p>
  </w:footnote>
  <w:footnote w:id="52">
    <w:p w14:paraId="07067ED1" w14:textId="77777777" w:rsidR="007177F5" w:rsidRPr="007C79D6" w:rsidRDefault="007177F5" w:rsidP="007C79D6">
      <w:pPr>
        <w:pStyle w:val="FootnoteText"/>
        <w:spacing w:line="360" w:lineRule="auto"/>
        <w:jc w:val="both"/>
        <w:rPr>
          <w:rFonts w:ascii="Cambria" w:hAnsi="Cambria" w:cstheme="minorHAnsi"/>
          <w:color w:val="000000" w:themeColor="text1"/>
          <w:sz w:val="16"/>
          <w:szCs w:val="16"/>
        </w:rPr>
      </w:pPr>
      <w:r w:rsidRPr="007C79D6">
        <w:rPr>
          <w:rStyle w:val="FootnoteReference"/>
          <w:rFonts w:ascii="Cambria" w:hAnsi="Cambria" w:cstheme="minorHAnsi"/>
          <w:color w:val="000000" w:themeColor="text1"/>
          <w:sz w:val="16"/>
          <w:szCs w:val="16"/>
        </w:rPr>
        <w:footnoteRef/>
      </w:r>
      <w:r w:rsidRPr="007C79D6">
        <w:rPr>
          <w:rFonts w:ascii="Cambria" w:hAnsi="Cambria" w:cstheme="minorHAnsi"/>
          <w:color w:val="000000" w:themeColor="text1"/>
          <w:sz w:val="16"/>
          <w:szCs w:val="16"/>
        </w:rPr>
        <w:t xml:space="preserve"> In </w:t>
      </w:r>
      <w:r w:rsidRPr="007C79D6">
        <w:rPr>
          <w:rFonts w:ascii="Cambria" w:hAnsi="Cambria" w:cstheme="minorHAnsi"/>
          <w:color w:val="000000" w:themeColor="text1"/>
          <w:spacing w:val="4"/>
          <w:sz w:val="16"/>
          <w:szCs w:val="16"/>
        </w:rPr>
        <w:t>response to strengthening Right to Information in Sri Lanka, the ‘Right to Information Guiding Manual’ was recently launched by the Ministry of Mass Media. The manual acts as a guide for Information Officers to implement the Right to Information Act in the country. The manual was developed with technical support from the United Nations Development Programme (UNDP) in Sri Lanka.  Further, as part of UNDPs ongoing support, a pilot project was undertaken to develop an online RTI application tracking system for RTI requests for the Central Environment Authority, with the broader aim of developing a central system accessible by all public institutions. In addition, steps have been taken to restructure the websites of the Vocational Training Authority and the Department of Agrarian Services in accordance with the guidelines and internationally acclaimed standards relating to proactive information disclosure on the Right to Information.</w:t>
      </w:r>
    </w:p>
  </w:footnote>
  <w:footnote w:id="53">
    <w:p w14:paraId="5F216339" w14:textId="0141234D"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Mid Term Review 2016 (United Nations Development Programme Country Programme Document 2013-2017)</w:t>
      </w:r>
    </w:p>
  </w:footnote>
  <w:footnote w:id="54">
    <w:p w14:paraId="230389A6" w14:textId="45EB6532"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w:t>
      </w:r>
      <w:r w:rsidRPr="007C79D6">
        <w:rPr>
          <w:rFonts w:ascii="Cambria" w:hAnsi="Cambria" w:cstheme="minorHAnsi"/>
          <w:color w:val="000000" w:themeColor="text1"/>
          <w:sz w:val="16"/>
          <w:szCs w:val="16"/>
          <w:lang w:val="en-GB"/>
        </w:rPr>
        <w:t>Voluntary consultation and observations sought by the Ministry of Foreign Affairs on matters relating to human rights in preparing periodic reports, HRC was also selected as the independent observer to monitor the process, selection of non-government partners for drafting and monitoring and evaluation of the NHRAP in 2016.</w:t>
      </w:r>
    </w:p>
  </w:footnote>
  <w:footnote w:id="55">
    <w:p w14:paraId="0DF13218" w14:textId="77777777" w:rsidR="007177F5" w:rsidRPr="007C79D6" w:rsidRDefault="007177F5" w:rsidP="007C79D6">
      <w:pPr>
        <w:spacing w:after="200" w:line="360" w:lineRule="auto"/>
        <w:jc w:val="both"/>
        <w:rPr>
          <w:rFonts w:ascii="Cambria" w:hAnsi="Cambria" w:cs="Calibri"/>
          <w:bCs/>
          <w:color w:val="000000" w:themeColor="text1"/>
          <w:sz w:val="16"/>
          <w:szCs w:val="16"/>
          <w:lang w:val="en-GB"/>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w:t>
      </w:r>
      <w:r w:rsidRPr="007C79D6">
        <w:rPr>
          <w:rFonts w:ascii="Cambria" w:hAnsi="Cambria" w:cs="Calibri"/>
          <w:bCs/>
          <w:color w:val="000000" w:themeColor="text1"/>
          <w:sz w:val="16"/>
          <w:szCs w:val="16"/>
          <w:lang w:val="en-GB"/>
        </w:rPr>
        <w:t>While the Constitutional Council under the 19</w:t>
      </w:r>
      <w:r w:rsidRPr="007C79D6">
        <w:rPr>
          <w:rFonts w:ascii="Cambria" w:hAnsi="Cambria" w:cs="Calibri"/>
          <w:bCs/>
          <w:color w:val="000000" w:themeColor="text1"/>
          <w:sz w:val="16"/>
          <w:szCs w:val="16"/>
          <w:vertAlign w:val="superscript"/>
          <w:lang w:val="en-GB"/>
        </w:rPr>
        <w:t>th</w:t>
      </w:r>
      <w:r w:rsidRPr="007C79D6">
        <w:rPr>
          <w:rFonts w:ascii="Cambria" w:hAnsi="Cambria" w:cs="Calibri"/>
          <w:bCs/>
          <w:color w:val="000000" w:themeColor="text1"/>
          <w:sz w:val="16"/>
          <w:szCs w:val="16"/>
          <w:lang w:val="en-GB"/>
        </w:rPr>
        <w:t xml:space="preserve"> Amendment was empowered to recommend individuals for appointment to the independent commissions and to approve the names of individuals recommended by the president to key positions (i.e., attorney general, IGP, judges of appellate courts etc.), 5 under the 20</w:t>
      </w:r>
      <w:r w:rsidRPr="007C79D6">
        <w:rPr>
          <w:rFonts w:ascii="Cambria" w:hAnsi="Cambria" w:cs="Calibri"/>
          <w:bCs/>
          <w:color w:val="000000" w:themeColor="text1"/>
          <w:sz w:val="16"/>
          <w:szCs w:val="16"/>
          <w:vertAlign w:val="superscript"/>
          <w:lang w:val="en-GB"/>
        </w:rPr>
        <w:t>th</w:t>
      </w:r>
      <w:r w:rsidRPr="007C79D6">
        <w:rPr>
          <w:rFonts w:ascii="Cambria" w:hAnsi="Cambria" w:cs="Calibri"/>
          <w:bCs/>
          <w:color w:val="000000" w:themeColor="text1"/>
          <w:sz w:val="16"/>
          <w:szCs w:val="16"/>
          <w:lang w:val="en-GB"/>
        </w:rPr>
        <w:t xml:space="preserve"> Amendment, the President is only required to seek the observations of a Parliamentary Council in making such appointments.</w:t>
      </w:r>
    </w:p>
  </w:footnote>
  <w:footnote w:id="56">
    <w:p w14:paraId="791B864D" w14:textId="77777777"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w:t>
      </w:r>
      <w:r w:rsidRPr="007C79D6">
        <w:rPr>
          <w:rFonts w:ascii="Cambria" w:hAnsi="Cambria"/>
          <w:color w:val="000000" w:themeColor="text1"/>
          <w:sz w:val="16"/>
          <w:szCs w:val="16"/>
          <w:shd w:val="clear" w:color="auto" w:fill="FFFFFF"/>
        </w:rPr>
        <w:t>Summary of Changes Under the Proposed 20th Amendment. (Centre for Policy Alternatives, September 2020).</w:t>
      </w:r>
    </w:p>
  </w:footnote>
  <w:footnote w:id="57">
    <w:p w14:paraId="4BA8C569" w14:textId="77777777"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Currently termed as the State Ministry of Women and Child Development </w:t>
      </w:r>
    </w:p>
  </w:footnote>
  <w:footnote w:id="58">
    <w:p w14:paraId="281AF0F3" w14:textId="7A9F72B7"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w:t>
      </w:r>
      <w:r w:rsidRPr="00A64D68">
        <w:rPr>
          <w:rFonts w:ascii="Cambria" w:hAnsi="Cambria" w:cs="Arial"/>
          <w:spacing w:val="4"/>
          <w:sz w:val="16"/>
          <w:szCs w:val="16"/>
          <w:shd w:val="clear" w:color="auto" w:fill="FEFEFE"/>
        </w:rPr>
        <w:t xml:space="preserve">The National Action Plan, developed on the vision of creating “a violence free life for women and children” with Zero Tolerance for Sexual and Gender-based Violence in Sri Lanka, is significant as it was formulated using a multi-sectoral approach with engagement from key ministries representing nine sectors. Some of the lead Ministries include the Ministry of Disaster Management, the Ministry of National Policy and Economic Affairs, the Ministry of Education, the Ministry of Skills Development </w:t>
      </w:r>
      <w:r w:rsidRPr="007C79D6">
        <w:rPr>
          <w:rFonts w:ascii="Cambria" w:hAnsi="Cambria" w:cs="Arial"/>
          <w:color w:val="000000" w:themeColor="text1"/>
          <w:spacing w:val="4"/>
          <w:sz w:val="16"/>
          <w:szCs w:val="16"/>
          <w:shd w:val="clear" w:color="auto" w:fill="FEFEFE"/>
        </w:rPr>
        <w:t xml:space="preserve">and Vocational Training, University Grants Commission, Ministry of Labour and Trade Union Relations, Ministry of Plantation Industries, Department of </w:t>
      </w:r>
      <w:r w:rsidRPr="007C79D6">
        <w:rPr>
          <w:rFonts w:ascii="Cambria" w:hAnsi="Cambria" w:cs="Arial"/>
          <w:i/>
          <w:iCs/>
          <w:color w:val="000000" w:themeColor="text1"/>
          <w:spacing w:val="4"/>
          <w:sz w:val="16"/>
          <w:szCs w:val="16"/>
          <w:shd w:val="clear" w:color="auto" w:fill="FEFEFE"/>
        </w:rPr>
        <w:t>Divineguma</w:t>
      </w:r>
      <w:r w:rsidRPr="007C79D6">
        <w:rPr>
          <w:rFonts w:ascii="Cambria" w:hAnsi="Cambria" w:cs="Arial"/>
          <w:color w:val="000000" w:themeColor="text1"/>
          <w:spacing w:val="4"/>
          <w:sz w:val="16"/>
          <w:szCs w:val="16"/>
          <w:shd w:val="clear" w:color="auto" w:fill="FEFEFE"/>
        </w:rPr>
        <w:t xml:space="preserve">, the Ministry of Foreign Employment, the Ministry of Health, Nutrition and Indigenous Medicine the Ministry of Justice, the Ministry of Parliamentary Affairs and Mass Media, Ministry of Law and Order, Sri Lanka Police and the Ministry of Women and Child Affairs. </w:t>
      </w:r>
    </w:p>
  </w:footnote>
  <w:footnote w:id="59">
    <w:p w14:paraId="3DA7990E" w14:textId="7F8C30A0"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Assistance to and Protection of Victims of Crime and Witnesses Act No. 4 of 2015</w:t>
      </w:r>
    </w:p>
  </w:footnote>
  <w:footnote w:id="60">
    <w:p w14:paraId="6735248B" w14:textId="236CEB06"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w:t>
      </w:r>
      <w:r w:rsidRPr="007C79D6">
        <w:rPr>
          <w:rFonts w:ascii="Cambria" w:hAnsi="Cambria" w:cs="Calibri"/>
          <w:bCs/>
          <w:color w:val="000000" w:themeColor="text1"/>
          <w:sz w:val="16"/>
          <w:szCs w:val="16"/>
        </w:rPr>
        <w:t>The programmes were targeted at police officers, clinical and forensic officers, BASL and child protection officers and GNs at the divisional level supported by a media campaign using traditional forum art to promote the law.</w:t>
      </w:r>
    </w:p>
  </w:footnote>
  <w:footnote w:id="61">
    <w:p w14:paraId="420F9C38" w14:textId="3A090831"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w:t>
      </w:r>
      <w:r>
        <w:rPr>
          <w:rFonts w:ascii="Cambria" w:eastAsia="Times New Roman" w:hAnsi="Cambria" w:cs="Times New Roman"/>
          <w:color w:val="000000" w:themeColor="text1"/>
          <w:sz w:val="16"/>
          <w:szCs w:val="16"/>
          <w:lang w:bidi="ta-LK"/>
        </w:rPr>
        <w:t>T</w:t>
      </w:r>
      <w:r w:rsidRPr="007C79D6">
        <w:rPr>
          <w:rFonts w:ascii="Cambria" w:eastAsia="Times New Roman" w:hAnsi="Cambria" w:cs="Times New Roman"/>
          <w:color w:val="000000" w:themeColor="text1"/>
          <w:sz w:val="16"/>
          <w:szCs w:val="16"/>
          <w:lang w:bidi="ta-LK"/>
        </w:rPr>
        <w:t>rainings for the judges and the Protection Division of the National Authority for the Victims and Witness Protection could not be conducted as planned due to the current context including Covid 19</w:t>
      </w:r>
    </w:p>
  </w:footnote>
  <w:footnote w:id="62">
    <w:p w14:paraId="14589747" w14:textId="77777777"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The pathway provides a forum for all state and non-state actors to meet and identify and address gaps and bottlenecks at the divisional level which feeds into the district level meetings that are connected to the MWCA. </w:t>
      </w:r>
    </w:p>
  </w:footnote>
  <w:footnote w:id="63">
    <w:p w14:paraId="37B81C17" w14:textId="111D3965"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Cabinet paper to provide Rs. 5000 relief packages for those affected by the Covid 19 pandemic was approved in March and since then the government has </w:t>
      </w:r>
      <w:r w:rsidRPr="007C79D6">
        <w:rPr>
          <w:rFonts w:ascii="Cambria" w:hAnsi="Cambria"/>
          <w:color w:val="000000" w:themeColor="text1"/>
          <w:sz w:val="16"/>
          <w:szCs w:val="16"/>
          <w:shd w:val="clear" w:color="auto" w:fill="FFFFFF"/>
        </w:rPr>
        <w:t xml:space="preserve">provided more than Rs. 7.3 billion (Rs 7355.53 million) to provide relief to the people in the quarantine process to control the Covid-19 virus outbreak. https://covid19.gov.lk/news/general/government-allocates-over-7-3-billion-rupees-in-october-to-provide-relief-to-the-people-during-the-quarantine-process.html  </w:t>
      </w:r>
    </w:p>
  </w:footnote>
  <w:footnote w:id="64">
    <w:p w14:paraId="1E980D17" w14:textId="77777777"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vertAlign w:val="baseline"/>
        </w:rPr>
        <w:footnoteRef/>
      </w:r>
      <w:r w:rsidRPr="007C79D6">
        <w:rPr>
          <w:rFonts w:ascii="Cambria" w:hAnsi="Cambria"/>
          <w:color w:val="000000" w:themeColor="text1"/>
          <w:sz w:val="16"/>
          <w:szCs w:val="16"/>
        </w:rPr>
        <w:t xml:space="preserve"> </w:t>
      </w:r>
      <w:r w:rsidRPr="007C79D6">
        <w:rPr>
          <w:rFonts w:ascii="Cambria" w:hAnsi="Cambria" w:cs="Calibri"/>
          <w:bCs/>
          <w:color w:val="000000" w:themeColor="text1"/>
          <w:sz w:val="16"/>
          <w:szCs w:val="16"/>
          <w:lang w:val="en-GB"/>
        </w:rPr>
        <w:t>The Victims and Witness protection law provides for the provision of Victim Impact Statements to be prepared to enhance protection throughout court proceedings and also to assist the court is computing compensation or issuing aggravated sentencing for perpetrators.</w:t>
      </w:r>
    </w:p>
  </w:footnote>
  <w:footnote w:id="65">
    <w:p w14:paraId="20F2D6D4" w14:textId="77777777"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Gazette Extraordinary Notification No 2194/74 dated 25th September 2020. &lt; http://www.cabinetoffice.gov.lk/cab/images/Downloads/functions_2020-09-25_E.pdf&gt; &lt;https://economynext.com/opinion-not-having-a-cabinet-level-ministry-dealing-with-women-and-childrens-needs-is-regressive-73059/&gt; accessed 20</w:t>
      </w:r>
      <w:r w:rsidRPr="007C79D6">
        <w:rPr>
          <w:rFonts w:ascii="Cambria" w:hAnsi="Cambria"/>
          <w:color w:val="000000" w:themeColor="text1"/>
          <w:sz w:val="16"/>
          <w:szCs w:val="16"/>
          <w:vertAlign w:val="superscript"/>
        </w:rPr>
        <w:t>th</w:t>
      </w:r>
      <w:r w:rsidRPr="007C79D6">
        <w:rPr>
          <w:rFonts w:ascii="Cambria" w:hAnsi="Cambria"/>
          <w:color w:val="000000" w:themeColor="text1"/>
          <w:sz w:val="16"/>
          <w:szCs w:val="16"/>
        </w:rPr>
        <w:t xml:space="preserve"> October 2020.</w:t>
      </w:r>
    </w:p>
  </w:footnote>
  <w:footnote w:id="66">
    <w:p w14:paraId="2C0AEE95" w14:textId="47C1F8C0" w:rsidR="007177F5" w:rsidRPr="007C79D6" w:rsidRDefault="007177F5" w:rsidP="007C79D6">
      <w:pPr>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w:t>
      </w:r>
      <w:hyperlink r:id="rId6" w:history="1">
        <w:r w:rsidRPr="007C79D6">
          <w:rPr>
            <w:rFonts w:ascii="Cambria" w:hAnsi="Cambria" w:cs="Arial"/>
            <w:color w:val="000000" w:themeColor="text1"/>
            <w:sz w:val="16"/>
            <w:szCs w:val="16"/>
          </w:rPr>
          <w:t>UN Guiding Principles on Business and Human Rights</w:t>
        </w:r>
      </w:hyperlink>
      <w:r w:rsidRPr="007C79D6">
        <w:rPr>
          <w:rFonts w:ascii="Cambria" w:hAnsi="Cambria" w:cs="Arial"/>
          <w:color w:val="000000" w:themeColor="text1"/>
          <w:sz w:val="16"/>
          <w:szCs w:val="16"/>
        </w:rPr>
        <w:t> </w:t>
      </w:r>
      <w:r w:rsidRPr="007C79D6">
        <w:rPr>
          <w:rFonts w:ascii="Cambria" w:eastAsia="Times New Roman" w:hAnsi="Cambria" w:cs="Arial"/>
          <w:color w:val="000000" w:themeColor="text1"/>
          <w:sz w:val="16"/>
          <w:szCs w:val="16"/>
        </w:rPr>
        <w:t xml:space="preserve">endorsed by the UN Human Rights Council in June 2011.  In the same resolution, the UN Human Rights Council established the UN Working Group on </w:t>
      </w:r>
      <w:r>
        <w:rPr>
          <w:rFonts w:ascii="Cambria" w:eastAsia="Times New Roman" w:hAnsi="Cambria" w:cs="Arial"/>
          <w:color w:val="000000" w:themeColor="text1"/>
          <w:sz w:val="16"/>
          <w:szCs w:val="16"/>
        </w:rPr>
        <w:t>B</w:t>
      </w:r>
      <w:r w:rsidRPr="007C79D6">
        <w:rPr>
          <w:rFonts w:ascii="Cambria" w:eastAsia="Times New Roman" w:hAnsi="Cambria" w:cs="Arial"/>
          <w:color w:val="000000" w:themeColor="text1"/>
          <w:sz w:val="16"/>
          <w:szCs w:val="16"/>
        </w:rPr>
        <w:t xml:space="preserve">usiness &amp; </w:t>
      </w:r>
      <w:r>
        <w:rPr>
          <w:rFonts w:ascii="Cambria" w:eastAsia="Times New Roman" w:hAnsi="Cambria" w:cs="Arial"/>
          <w:color w:val="000000" w:themeColor="text1"/>
          <w:sz w:val="16"/>
          <w:szCs w:val="16"/>
        </w:rPr>
        <w:t>H</w:t>
      </w:r>
      <w:r w:rsidRPr="007C79D6">
        <w:rPr>
          <w:rFonts w:ascii="Cambria" w:eastAsia="Times New Roman" w:hAnsi="Cambria" w:cs="Arial"/>
          <w:color w:val="000000" w:themeColor="text1"/>
          <w:sz w:val="16"/>
          <w:szCs w:val="16"/>
        </w:rPr>
        <w:t xml:space="preserve">uman </w:t>
      </w:r>
      <w:r>
        <w:rPr>
          <w:rFonts w:ascii="Cambria" w:eastAsia="Times New Roman" w:hAnsi="Cambria" w:cs="Arial"/>
          <w:color w:val="000000" w:themeColor="text1"/>
          <w:sz w:val="16"/>
          <w:szCs w:val="16"/>
        </w:rPr>
        <w:t>R</w:t>
      </w:r>
      <w:r w:rsidRPr="007C79D6">
        <w:rPr>
          <w:rFonts w:ascii="Cambria" w:eastAsia="Times New Roman" w:hAnsi="Cambria" w:cs="Arial"/>
          <w:color w:val="000000" w:themeColor="text1"/>
          <w:sz w:val="16"/>
          <w:szCs w:val="16"/>
        </w:rPr>
        <w:t>ights</w:t>
      </w:r>
      <w:r>
        <w:rPr>
          <w:rFonts w:ascii="Cambria" w:eastAsia="Times New Roman" w:hAnsi="Cambria" w:cs="Arial"/>
          <w:color w:val="000000" w:themeColor="text1"/>
          <w:sz w:val="16"/>
          <w:szCs w:val="16"/>
        </w:rPr>
        <w:t xml:space="preserve">. </w:t>
      </w:r>
      <w:r w:rsidRPr="007C79D6">
        <w:rPr>
          <w:rFonts w:ascii="Cambria" w:hAnsi="Cambria" w:cs="Arial"/>
          <w:color w:val="000000" w:themeColor="text1"/>
          <w:sz w:val="16"/>
          <w:szCs w:val="16"/>
        </w:rPr>
        <w:t>The UNGP are a set of guidelines for States and companies to prevent, address and remedy human rights abuses committed in business operations. June 2021 will see the 10-year anniversary of the adoption of the UN Guiding Principles on Business &amp; Human Rights (UNGPs) by the UN Human Rights Council. To mark this occasion, the UN Working Group on Business and Human Rights has launched a new project to further drive and scale up implementation of the UNGPs more widely over the next 10 years. &lt;https://www.ohchr.org/documents/publications/guidingprinciplesbusinesshr_en.pdf&gt; accessed 12</w:t>
      </w:r>
      <w:r w:rsidRPr="007C79D6">
        <w:rPr>
          <w:rFonts w:ascii="Cambria" w:hAnsi="Cambria" w:cs="Arial"/>
          <w:color w:val="000000" w:themeColor="text1"/>
          <w:sz w:val="16"/>
          <w:szCs w:val="16"/>
          <w:vertAlign w:val="superscript"/>
        </w:rPr>
        <w:t xml:space="preserve"> </w:t>
      </w:r>
      <w:r w:rsidRPr="007C79D6">
        <w:rPr>
          <w:rFonts w:ascii="Cambria" w:hAnsi="Cambria" w:cs="Arial"/>
          <w:color w:val="000000" w:themeColor="text1"/>
          <w:sz w:val="16"/>
          <w:szCs w:val="16"/>
        </w:rPr>
        <w:t>December 2020</w:t>
      </w:r>
    </w:p>
  </w:footnote>
  <w:footnote w:id="67">
    <w:p w14:paraId="3A6F92BC" w14:textId="7D0FB982"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Gender Equality; Decent Work and Economic Growth; Reduced Inequality; Peace, Justice and Strong Institutions; Partnerships to achieve the Goal</w:t>
      </w:r>
    </w:p>
  </w:footnote>
  <w:footnote w:id="68">
    <w:p w14:paraId="655D1082" w14:textId="77777777"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w:t>
      </w:r>
      <w:r w:rsidRPr="007C79D6">
        <w:rPr>
          <w:rFonts w:ascii="Cambria" w:hAnsi="Cambria"/>
          <w:color w:val="000000" w:themeColor="text1"/>
          <w:sz w:val="16"/>
          <w:szCs w:val="16"/>
          <w:shd w:val="clear" w:color="auto" w:fill="FFFFFF"/>
        </w:rPr>
        <w:t xml:space="preserve">Therefore </w:t>
      </w:r>
      <w:r w:rsidRPr="007C79D6">
        <w:rPr>
          <w:rFonts w:ascii="Cambria" w:hAnsi="Cambria"/>
          <w:color w:val="000000" w:themeColor="text1"/>
          <w:sz w:val="16"/>
          <w:szCs w:val="16"/>
        </w:rPr>
        <w:t xml:space="preserve">achieving ‘SDGs will require that States meet their duty to protect human rights from business-related human rights abuses and that businesses meet their corporate responsibility to respect human rights.’ </w:t>
      </w:r>
      <w:r w:rsidRPr="007C79D6">
        <w:rPr>
          <w:rFonts w:ascii="Cambria" w:hAnsi="Cambria"/>
          <w:color w:val="000000" w:themeColor="text1"/>
          <w:sz w:val="16"/>
          <w:szCs w:val="16"/>
          <w:shd w:val="clear" w:color="auto" w:fill="FFFFFF"/>
        </w:rPr>
        <w:t>The Working Group on Human Rights issued 10 key recommendations for government and private sector for embedding private sector's contribution to the SDG in June 2017.</w:t>
      </w:r>
      <w:r w:rsidRPr="007C79D6">
        <w:rPr>
          <w:rFonts w:ascii="Cambria" w:hAnsi="Cambria"/>
          <w:color w:val="000000" w:themeColor="text1"/>
          <w:sz w:val="16"/>
          <w:szCs w:val="16"/>
        </w:rPr>
        <w:t xml:space="preserve"> &lt;</w:t>
      </w:r>
      <w:r w:rsidRPr="007C79D6">
        <w:rPr>
          <w:rFonts w:ascii="Cambria" w:hAnsi="Cambria"/>
          <w:color w:val="000000" w:themeColor="text1"/>
          <w:sz w:val="16"/>
          <w:szCs w:val="16"/>
          <w:shd w:val="clear" w:color="auto" w:fill="FFFFFF"/>
        </w:rPr>
        <w:t>https://www.ohchr.org/Documents/Issues/Business/Session18/InfoNoteWGBHR_SDGRecommendations.pdf&gt;</w:t>
      </w:r>
    </w:p>
  </w:footnote>
  <w:footnote w:id="69">
    <w:p w14:paraId="3E4F3FBE" w14:textId="4A616E81"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Therefore, emphasis on Gender equality (improving skilled labour and providing an opportunity to add value to economy and society by not hindering childcare and migration) and environmental protection (reducing emissions, deforestation, renewable energy, etc.) is a good starting point to assess the viability of the agenda</w:t>
      </w:r>
      <w:r>
        <w:rPr>
          <w:rFonts w:ascii="Cambria" w:hAnsi="Cambria"/>
          <w:color w:val="000000" w:themeColor="text1"/>
          <w:sz w:val="16"/>
          <w:szCs w:val="16"/>
        </w:rPr>
        <w:t>.</w:t>
      </w:r>
      <w:r w:rsidRPr="007C79D6">
        <w:rPr>
          <w:rFonts w:ascii="Cambria" w:hAnsi="Cambria"/>
          <w:color w:val="000000" w:themeColor="text1"/>
          <w:sz w:val="16"/>
          <w:szCs w:val="16"/>
        </w:rPr>
        <w:t xml:space="preserve"> The high participation of women in the informal sector and the low participation of women in the formal sector and systematic challenges due to discrimination, sexual harassment and hostile working environments, poor conditions of work, low wages, absence of good work life balance and other cultural and social barriers exacerbate the impact of human rights abuses by companies on women. &lt;</w:t>
      </w:r>
      <w:hyperlink r:id="rId7" w:history="1">
        <w:r w:rsidRPr="007C79D6">
          <w:rPr>
            <w:rStyle w:val="Hyperlink"/>
            <w:rFonts w:ascii="Cambria" w:hAnsi="Cambria"/>
            <w:color w:val="000000" w:themeColor="text1"/>
            <w:sz w:val="16"/>
            <w:szCs w:val="16"/>
            <w:u w:val="none"/>
          </w:rPr>
          <w:t>https://www.mckinsey.com/featured-insights/employment-and-growth/how-advancing-womens-equality-can-add-12-trillion-to-global-growth#</w:t>
        </w:r>
      </w:hyperlink>
      <w:r w:rsidRPr="007C79D6">
        <w:rPr>
          <w:rFonts w:ascii="Cambria" w:hAnsi="Cambria"/>
          <w:color w:val="000000" w:themeColor="text1"/>
          <w:sz w:val="16"/>
          <w:szCs w:val="16"/>
        </w:rPr>
        <w:t>&gt; accessed 15</w:t>
      </w:r>
      <w:r w:rsidRPr="007C79D6">
        <w:rPr>
          <w:rFonts w:ascii="Cambria" w:hAnsi="Cambria"/>
          <w:color w:val="000000" w:themeColor="text1"/>
          <w:sz w:val="16"/>
          <w:szCs w:val="16"/>
          <w:vertAlign w:val="superscript"/>
        </w:rPr>
        <w:t xml:space="preserve"> </w:t>
      </w:r>
      <w:r w:rsidRPr="007C79D6">
        <w:rPr>
          <w:rFonts w:ascii="Cambria" w:hAnsi="Cambria"/>
          <w:color w:val="000000" w:themeColor="text1"/>
          <w:sz w:val="16"/>
          <w:szCs w:val="16"/>
        </w:rPr>
        <w:t>December 2020</w:t>
      </w:r>
    </w:p>
  </w:footnote>
  <w:footnote w:id="70">
    <w:p w14:paraId="27154531" w14:textId="75D72B86"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Human rights integration across business operations of the top 50 companies in Sri Lanka: a preliminary scan, RightsBusiness, 2012. See https://media.business-humanrights.org/media/documents/dcf75d3219ec5d7f56e4e4c9e71c8a3aa2925d15.pdf</w:t>
      </w:r>
    </w:p>
  </w:footnote>
  <w:footnote w:id="71">
    <w:p w14:paraId="760C2484" w14:textId="77777777"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w:t>
      </w:r>
      <w:r w:rsidRPr="007C79D6">
        <w:rPr>
          <w:rFonts w:ascii="Cambria" w:hAnsi="Cambria" w:cs="Arial"/>
          <w:color w:val="000000" w:themeColor="text1"/>
          <w:spacing w:val="4"/>
          <w:sz w:val="16"/>
          <w:szCs w:val="16"/>
          <w:shd w:val="clear" w:color="auto" w:fill="FEFEFE"/>
        </w:rPr>
        <w:t>Human Rights Due Diligence and COVID-19: Rapid Self-Assessment for Business designed by UNDP in 2020 The C19 Rapid Self-Assessment is offered to companies as a partial but informative view of human rights actions in the specific context of COVID-19. The listed actions are based on relevant provisions of UN Human Rights Treaties, the ILO Fundamental Conventions, and the UNGPs. It is organized to present key actions or considerations along three stages of the COVID-19 crisis period: Prepare, Respond and Recover.</w:t>
      </w:r>
    </w:p>
  </w:footnote>
  <w:footnote w:id="72">
    <w:p w14:paraId="4AE1D33D" w14:textId="39851081"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https://www.undp.org/content/undp/en/home/librarypage/democratic-governance/human-rights-due-diligence-and-covid-19-rapid-self-assessment-for-business.html</w:t>
      </w:r>
    </w:p>
  </w:footnote>
  <w:footnote w:id="73">
    <w:p w14:paraId="5471AB98" w14:textId="468BF304"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&lt;https://www.ohchr.org/en/issues/business/pages/nationalactionplans.aspx&gt; accessed 16</w:t>
      </w:r>
      <w:r w:rsidRPr="007C79D6">
        <w:rPr>
          <w:rFonts w:ascii="Cambria" w:hAnsi="Cambria"/>
          <w:color w:val="000000" w:themeColor="text1"/>
          <w:sz w:val="16"/>
          <w:szCs w:val="16"/>
          <w:vertAlign w:val="superscript"/>
        </w:rPr>
        <w:t xml:space="preserve"> </w:t>
      </w:r>
      <w:r w:rsidRPr="007C79D6">
        <w:rPr>
          <w:rFonts w:ascii="Cambria" w:hAnsi="Cambria"/>
          <w:color w:val="000000" w:themeColor="text1"/>
          <w:sz w:val="16"/>
          <w:szCs w:val="16"/>
        </w:rPr>
        <w:t>December 2020</w:t>
      </w:r>
    </w:p>
  </w:footnote>
  <w:footnote w:id="74">
    <w:p w14:paraId="4C957413" w14:textId="43F8DC9F"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w:t>
      </w:r>
      <w:r>
        <w:rPr>
          <w:rFonts w:ascii="Cambria" w:hAnsi="Cambria"/>
          <w:color w:val="000000" w:themeColor="text1"/>
          <w:sz w:val="16"/>
          <w:szCs w:val="16"/>
        </w:rPr>
        <w:t>Establishment/Verification of Baselines and targets for the Results Framework of UNDP Sri Lanka’s Flagship Portfolio on SDG 16, Marga Institute, September 2020</w:t>
      </w:r>
    </w:p>
  </w:footnote>
  <w:footnote w:id="75">
    <w:p w14:paraId="46A20109" w14:textId="77777777" w:rsidR="007177F5" w:rsidRPr="007C79D6" w:rsidRDefault="007177F5" w:rsidP="007C79D6">
      <w:pPr>
        <w:pStyle w:val="FootnoteText"/>
        <w:spacing w:line="360" w:lineRule="auto"/>
        <w:jc w:val="both"/>
        <w:rPr>
          <w:rFonts w:ascii="Cambria" w:hAnsi="Cambria" w:cstheme="minorHAnsi"/>
          <w:color w:val="000000" w:themeColor="text1"/>
          <w:sz w:val="16"/>
          <w:szCs w:val="16"/>
        </w:rPr>
      </w:pPr>
      <w:r w:rsidRPr="007C79D6">
        <w:rPr>
          <w:rStyle w:val="FootnoteReference"/>
          <w:rFonts w:ascii="Cambria" w:hAnsi="Cambria" w:cstheme="minorHAnsi"/>
          <w:color w:val="000000" w:themeColor="text1"/>
          <w:sz w:val="16"/>
          <w:szCs w:val="16"/>
        </w:rPr>
        <w:footnoteRef/>
      </w:r>
      <w:r w:rsidRPr="007C79D6">
        <w:rPr>
          <w:rFonts w:ascii="Cambria" w:hAnsi="Cambria" w:cstheme="minorHAnsi"/>
          <w:color w:val="000000" w:themeColor="text1"/>
          <w:sz w:val="16"/>
          <w:szCs w:val="16"/>
        </w:rPr>
        <w:t xml:space="preserve"> For example, if there is no continued political and/or administrative buy-in for a particular activity/output and thereby in-built mechanisms to divert funds to the remaining components as long as alternative activities/outputs will nevertheless contribute substantially to the expected outcomes.</w:t>
      </w:r>
    </w:p>
  </w:footnote>
  <w:footnote w:id="76">
    <w:p w14:paraId="4D22BC0E" w14:textId="77777777" w:rsidR="007177F5" w:rsidRPr="007C79D6" w:rsidRDefault="007177F5" w:rsidP="007C79D6">
      <w:pPr>
        <w:pStyle w:val="FootnoteText"/>
        <w:spacing w:line="360" w:lineRule="auto"/>
        <w:jc w:val="both"/>
        <w:rPr>
          <w:rFonts w:ascii="Cambria" w:hAnsi="Cambria"/>
          <w:color w:val="000000" w:themeColor="text1"/>
          <w:sz w:val="16"/>
          <w:szCs w:val="16"/>
        </w:rPr>
      </w:pPr>
    </w:p>
  </w:footnote>
  <w:footnote w:id="77">
    <w:p w14:paraId="25FEC1DE" w14:textId="77777777" w:rsidR="001D22FC" w:rsidRDefault="001D22FC" w:rsidP="001D22FC">
      <w:pPr>
        <w:pStyle w:val="FootnoteText"/>
      </w:pPr>
      <w:r w:rsidRPr="00C73B2B">
        <w:rPr>
          <w:rStyle w:val="FootnoteReference"/>
        </w:rPr>
        <w:footnoteRef/>
      </w:r>
      <w:r w:rsidRPr="00C73B2B">
        <w:t xml:space="preserve"> </w:t>
      </w:r>
      <w:r w:rsidRPr="00C73B2B">
        <w:rPr>
          <w:rFonts w:ascii="Cambria" w:hAnsi="Cambria" w:cs="Times New Roman"/>
          <w:color w:val="000000" w:themeColor="text1"/>
          <w:sz w:val="16"/>
          <w:szCs w:val="16"/>
        </w:rPr>
        <w:t>Circular Issued</w:t>
      </w:r>
      <w:r w:rsidRPr="0054764F">
        <w:rPr>
          <w:rFonts w:ascii="Cambria" w:hAnsi="Cambria" w:cs="Times New Roman"/>
          <w:color w:val="000000" w:themeColor="text1"/>
          <w:sz w:val="16"/>
          <w:szCs w:val="16"/>
        </w:rPr>
        <w:t xml:space="preserve"> by the Ministry of Finance No. ERD/AE/GEN/16 dated 2</w:t>
      </w:r>
      <w:r w:rsidRPr="0054764F">
        <w:rPr>
          <w:rFonts w:ascii="Cambria" w:hAnsi="Cambria" w:cs="Times New Roman"/>
          <w:color w:val="000000" w:themeColor="text1"/>
          <w:sz w:val="16"/>
          <w:szCs w:val="16"/>
          <w:vertAlign w:val="superscript"/>
        </w:rPr>
        <w:t>nd</w:t>
      </w:r>
      <w:r w:rsidRPr="0054764F">
        <w:rPr>
          <w:rFonts w:ascii="Cambria" w:hAnsi="Cambria" w:cs="Times New Roman"/>
          <w:color w:val="000000" w:themeColor="text1"/>
          <w:sz w:val="16"/>
          <w:szCs w:val="16"/>
        </w:rPr>
        <w:t xml:space="preserve"> October 2020, </w:t>
      </w:r>
      <w:r w:rsidRPr="0054764F">
        <w:rPr>
          <w:rFonts w:ascii="Cambria" w:hAnsi="Cambria" w:cs="Times New Roman"/>
          <w:i/>
          <w:iCs/>
          <w:color w:val="000000" w:themeColor="text1"/>
          <w:sz w:val="16"/>
          <w:szCs w:val="16"/>
        </w:rPr>
        <w:t>Streamlining the Fund Channeling Mechanism and Implementation of Modalities of Grand Funded Projects</w:t>
      </w:r>
    </w:p>
  </w:footnote>
  <w:footnote w:id="78">
    <w:p w14:paraId="1C83090C" w14:textId="77777777"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w:t>
      </w:r>
      <w:hyperlink r:id="rId8" w:history="1">
        <w:r w:rsidRPr="007C79D6">
          <w:rPr>
            <w:rStyle w:val="Hyperlink"/>
            <w:rFonts w:ascii="Cambria" w:hAnsi="Cambria"/>
            <w:color w:val="000000" w:themeColor="text1"/>
            <w:sz w:val="16"/>
            <w:szCs w:val="16"/>
          </w:rPr>
          <w:t>https://www.undp.org/content/undp/en/home/librarypage/hiv-aids/responding-to-non-communicable-diseases-during-and-beyond-the-co.html</w:t>
        </w:r>
      </w:hyperlink>
      <w:r w:rsidRPr="007C79D6">
        <w:rPr>
          <w:rFonts w:ascii="Cambria" w:hAnsi="Cambria"/>
          <w:color w:val="000000" w:themeColor="text1"/>
          <w:sz w:val="16"/>
          <w:szCs w:val="16"/>
        </w:rPr>
        <w:t>. Also see https://www.undp.org/content/undp/en/home/librarypage/hiv-aids/beyond-recovery--towards-2030.html</w:t>
      </w:r>
    </w:p>
  </w:footnote>
  <w:footnote w:id="79">
    <w:p w14:paraId="69FEDAB6" w14:textId="77777777"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https://www.mckinsey.com/business-functions/organizstion/our-insights/leadership-in-a-crisis-responding-to-the-coronavirus-outbreak-and-future-challenges</w:t>
      </w:r>
    </w:p>
  </w:footnote>
  <w:footnote w:id="80">
    <w:p w14:paraId="7829DEF8" w14:textId="677A621B"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UN A</w:t>
      </w:r>
      <w:r>
        <w:rPr>
          <w:rFonts w:ascii="Cambria" w:hAnsi="Cambria"/>
          <w:color w:val="000000" w:themeColor="text1"/>
          <w:sz w:val="16"/>
          <w:szCs w:val="16"/>
        </w:rPr>
        <w:t xml:space="preserve">dvisory Paper: Immediate Socio-Economic Responses to Covid-19 in Sri Lanka, June 2020 </w:t>
      </w:r>
      <w:r w:rsidRPr="007C79D6">
        <w:rPr>
          <w:rFonts w:ascii="Cambria" w:hAnsi="Cambria"/>
          <w:color w:val="000000" w:themeColor="text1"/>
          <w:sz w:val="16"/>
          <w:szCs w:val="16"/>
        </w:rPr>
        <w:t>(revised July 2020)</w:t>
      </w:r>
    </w:p>
  </w:footnote>
  <w:footnote w:id="81">
    <w:p w14:paraId="795BBF0F" w14:textId="77777777"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https://www.business-humanrights.org/en/latest-news/key-lessons-for-civil-society-to-expand-civic-space-include-adaptation-of-new-business-models-report-says/</w:t>
      </w:r>
    </w:p>
  </w:footnote>
  <w:footnote w:id="82">
    <w:p w14:paraId="25599756" w14:textId="77777777" w:rsidR="007177F5" w:rsidRPr="007C79D6" w:rsidRDefault="007177F5" w:rsidP="00927A7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United Nations Office of Drugs and Crime, Country Review Report of Sri Lanka, </w:t>
      </w:r>
      <w:r w:rsidRPr="007C79D6">
        <w:rPr>
          <w:rFonts w:ascii="Cambria" w:eastAsia="Times New Roman" w:hAnsi="Cambria"/>
          <w:color w:val="000000" w:themeColor="text1"/>
          <w:sz w:val="16"/>
          <w:szCs w:val="16"/>
          <w:lang w:eastAsia="en-GB"/>
        </w:rPr>
        <w:t>Review by Palau and Brunei Darussalam of the implementation by Sri Lanka of articles 5-14 and 51-59 of the United Nations Convention against Corruption for the review cycle 2016-2021</w:t>
      </w:r>
    </w:p>
  </w:footnote>
  <w:footnote w:id="83">
    <w:p w14:paraId="790F73F6" w14:textId="77777777" w:rsidR="007177F5" w:rsidRPr="007C79D6" w:rsidRDefault="007177F5" w:rsidP="00927A76">
      <w:pPr>
        <w:pStyle w:val="FootnoteText"/>
        <w:spacing w:line="360" w:lineRule="auto"/>
        <w:jc w:val="both"/>
        <w:rPr>
          <w:rFonts w:ascii="Cambria" w:hAnsi="Cambria" w:cs="Times New Roman"/>
          <w:color w:val="000000" w:themeColor="text1"/>
          <w:sz w:val="16"/>
          <w:szCs w:val="16"/>
        </w:rPr>
      </w:pPr>
      <w:r w:rsidRPr="007C79D6">
        <w:rPr>
          <w:rStyle w:val="FootnoteReference"/>
          <w:rFonts w:ascii="Cambria" w:hAnsi="Cambria" w:cs="Times New Roman"/>
          <w:color w:val="000000" w:themeColor="text1"/>
          <w:sz w:val="16"/>
          <w:szCs w:val="16"/>
        </w:rPr>
        <w:footnoteRef/>
      </w:r>
      <w:r w:rsidRPr="007C79D6">
        <w:rPr>
          <w:rFonts w:ascii="Cambria" w:hAnsi="Cambria" w:cs="Times New Roman"/>
          <w:color w:val="000000" w:themeColor="text1"/>
          <w:sz w:val="16"/>
          <w:szCs w:val="16"/>
        </w:rPr>
        <w:t xml:space="preserve"> National Action Plan for combatting Bribery and Corruption 2019-2023.</w:t>
      </w:r>
    </w:p>
  </w:footnote>
  <w:footnote w:id="84">
    <w:p w14:paraId="60E0ADA2" w14:textId="77777777" w:rsidR="007177F5" w:rsidRPr="007C79D6" w:rsidRDefault="007177F5" w:rsidP="00927A76">
      <w:pPr>
        <w:pStyle w:val="FootnoteText"/>
        <w:spacing w:line="360" w:lineRule="auto"/>
        <w:jc w:val="both"/>
        <w:rPr>
          <w:rFonts w:ascii="Cambria" w:hAnsi="Cambria" w:cs="Times New Roman"/>
          <w:color w:val="000000" w:themeColor="text1"/>
          <w:sz w:val="16"/>
          <w:szCs w:val="16"/>
        </w:rPr>
      </w:pPr>
      <w:r w:rsidRPr="007C79D6">
        <w:rPr>
          <w:rStyle w:val="FootnoteReference"/>
          <w:rFonts w:ascii="Cambria" w:hAnsi="Cambria" w:cs="Times New Roman"/>
          <w:color w:val="000000" w:themeColor="text1"/>
          <w:sz w:val="16"/>
          <w:szCs w:val="16"/>
        </w:rPr>
        <w:footnoteRef/>
      </w:r>
      <w:r w:rsidRPr="007C79D6">
        <w:rPr>
          <w:rFonts w:ascii="Cambria" w:hAnsi="Cambria" w:cs="Times New Roman"/>
          <w:color w:val="000000" w:themeColor="text1"/>
          <w:sz w:val="16"/>
          <w:szCs w:val="16"/>
        </w:rPr>
        <w:t xml:space="preserve"> National Action Plan for combatting Bribery and Corruption 2019-2023.</w:t>
      </w:r>
    </w:p>
  </w:footnote>
  <w:footnote w:id="85">
    <w:p w14:paraId="26721710" w14:textId="77777777" w:rsidR="007177F5" w:rsidRPr="007C79D6" w:rsidRDefault="007177F5" w:rsidP="00927A76">
      <w:pPr>
        <w:pStyle w:val="FootnoteText"/>
        <w:spacing w:line="360" w:lineRule="auto"/>
        <w:jc w:val="both"/>
        <w:rPr>
          <w:rFonts w:ascii="Cambria" w:hAnsi="Cambria" w:cs="Times New Roman"/>
          <w:color w:val="000000" w:themeColor="text1"/>
          <w:sz w:val="16"/>
          <w:szCs w:val="16"/>
        </w:rPr>
      </w:pPr>
      <w:r w:rsidRPr="007C79D6">
        <w:rPr>
          <w:rStyle w:val="FootnoteReference"/>
          <w:rFonts w:ascii="Cambria" w:hAnsi="Cambria" w:cs="Times New Roman"/>
          <w:color w:val="000000" w:themeColor="text1"/>
          <w:sz w:val="16"/>
          <w:szCs w:val="16"/>
        </w:rPr>
        <w:footnoteRef/>
      </w:r>
      <w:r w:rsidRPr="007C79D6">
        <w:rPr>
          <w:rFonts w:ascii="Cambria" w:hAnsi="Cambria" w:cs="Times New Roman"/>
          <w:color w:val="000000" w:themeColor="text1"/>
          <w:sz w:val="16"/>
          <w:szCs w:val="16"/>
        </w:rPr>
        <w:t xml:space="preserve"> ‘First Special High Court Opens for Operations’ (</w:t>
      </w:r>
      <w:r w:rsidRPr="007C79D6">
        <w:rPr>
          <w:rFonts w:ascii="Cambria" w:hAnsi="Cambria" w:cs="Times New Roman"/>
          <w:i/>
          <w:iCs/>
          <w:color w:val="000000" w:themeColor="text1"/>
          <w:sz w:val="16"/>
          <w:szCs w:val="16"/>
        </w:rPr>
        <w:t>Colombo Page</w:t>
      </w:r>
      <w:r w:rsidRPr="007C79D6">
        <w:rPr>
          <w:rFonts w:ascii="Cambria" w:hAnsi="Cambria" w:cs="Times New Roman"/>
          <w:color w:val="000000" w:themeColor="text1"/>
          <w:sz w:val="16"/>
          <w:szCs w:val="16"/>
        </w:rPr>
        <w:t xml:space="preserve"> 21</w:t>
      </w:r>
      <w:r w:rsidRPr="007C79D6">
        <w:rPr>
          <w:rFonts w:ascii="Cambria" w:hAnsi="Cambria" w:cs="Times New Roman"/>
          <w:color w:val="000000" w:themeColor="text1"/>
          <w:sz w:val="16"/>
          <w:szCs w:val="16"/>
          <w:vertAlign w:val="superscript"/>
        </w:rPr>
        <w:t xml:space="preserve"> </w:t>
      </w:r>
      <w:r w:rsidRPr="007C79D6">
        <w:rPr>
          <w:rFonts w:ascii="Cambria" w:hAnsi="Cambria" w:cs="Times New Roman"/>
          <w:color w:val="000000" w:themeColor="text1"/>
          <w:sz w:val="16"/>
          <w:szCs w:val="16"/>
        </w:rPr>
        <w:t>August 2018) available at &lt;http://www.colombopage.com/archive_18B/Aug21_1534834200CH.php&gt; accessed 12</w:t>
      </w:r>
      <w:r w:rsidRPr="007C79D6">
        <w:rPr>
          <w:rFonts w:ascii="Cambria" w:hAnsi="Cambria" w:cs="Times New Roman"/>
          <w:color w:val="000000" w:themeColor="text1"/>
          <w:sz w:val="16"/>
          <w:szCs w:val="16"/>
          <w:vertAlign w:val="superscript"/>
        </w:rPr>
        <w:t>th</w:t>
      </w:r>
      <w:r w:rsidRPr="007C79D6">
        <w:rPr>
          <w:rFonts w:ascii="Cambria" w:hAnsi="Cambria" w:cs="Times New Roman"/>
          <w:color w:val="000000" w:themeColor="text1"/>
          <w:sz w:val="16"/>
          <w:szCs w:val="16"/>
        </w:rPr>
        <w:t xml:space="preserve"> December 2020</w:t>
      </w:r>
    </w:p>
  </w:footnote>
  <w:footnote w:id="86">
    <w:p w14:paraId="01EB9A48" w14:textId="77777777" w:rsidR="007177F5" w:rsidRPr="007C79D6" w:rsidRDefault="007177F5" w:rsidP="00927A76">
      <w:pPr>
        <w:pStyle w:val="FootnoteText"/>
        <w:spacing w:line="360" w:lineRule="auto"/>
        <w:jc w:val="both"/>
        <w:rPr>
          <w:rFonts w:ascii="Cambria" w:hAnsi="Cambria" w:cs="Times New Roman"/>
          <w:color w:val="000000" w:themeColor="text1"/>
          <w:sz w:val="16"/>
          <w:szCs w:val="16"/>
        </w:rPr>
      </w:pPr>
      <w:r w:rsidRPr="007C79D6">
        <w:rPr>
          <w:rStyle w:val="FootnoteReference"/>
          <w:rFonts w:ascii="Cambria" w:hAnsi="Cambria" w:cs="Times New Roman"/>
          <w:color w:val="000000" w:themeColor="text1"/>
          <w:sz w:val="16"/>
          <w:szCs w:val="16"/>
        </w:rPr>
        <w:footnoteRef/>
      </w:r>
      <w:r w:rsidRPr="007C79D6">
        <w:rPr>
          <w:rFonts w:ascii="Cambria" w:hAnsi="Cambria" w:cs="Times New Roman"/>
          <w:color w:val="000000" w:themeColor="text1"/>
          <w:sz w:val="16"/>
          <w:szCs w:val="16"/>
        </w:rPr>
        <w:t xml:space="preserve"> Verité Research. ‘Overall CSO Sustainability’ &lt;https://www.veriteresearch.org/wp-content/uploads/2019/12/CSOSI-Sri-Lanka-2018.pdf&gt; accessed 12</w:t>
      </w:r>
      <w:r w:rsidRPr="007C79D6">
        <w:rPr>
          <w:rFonts w:ascii="Cambria" w:hAnsi="Cambria" w:cs="Times New Roman"/>
          <w:color w:val="000000" w:themeColor="text1"/>
          <w:sz w:val="16"/>
          <w:szCs w:val="16"/>
          <w:vertAlign w:val="superscript"/>
        </w:rPr>
        <w:t>th</w:t>
      </w:r>
      <w:r w:rsidRPr="007C79D6">
        <w:rPr>
          <w:rFonts w:ascii="Cambria" w:hAnsi="Cambria" w:cs="Times New Roman"/>
          <w:color w:val="000000" w:themeColor="text1"/>
          <w:sz w:val="16"/>
          <w:szCs w:val="16"/>
        </w:rPr>
        <w:t xml:space="preserve"> December 2020.</w:t>
      </w:r>
    </w:p>
  </w:footnote>
  <w:footnote w:id="87">
    <w:p w14:paraId="468A6AFD" w14:textId="77777777" w:rsidR="007177F5" w:rsidRPr="007C79D6" w:rsidRDefault="007177F5" w:rsidP="00927A76">
      <w:pPr>
        <w:pStyle w:val="FootnoteText"/>
        <w:spacing w:line="360" w:lineRule="auto"/>
        <w:jc w:val="both"/>
        <w:rPr>
          <w:rFonts w:ascii="Cambria" w:hAnsi="Cambria" w:cs="Times New Roman"/>
          <w:color w:val="000000" w:themeColor="text1"/>
          <w:sz w:val="16"/>
          <w:szCs w:val="16"/>
        </w:rPr>
      </w:pPr>
      <w:r w:rsidRPr="007C79D6">
        <w:rPr>
          <w:rStyle w:val="FootnoteReference"/>
          <w:rFonts w:ascii="Cambria" w:hAnsi="Cambria" w:cs="Times New Roman"/>
          <w:color w:val="000000" w:themeColor="text1"/>
          <w:sz w:val="16"/>
          <w:szCs w:val="16"/>
        </w:rPr>
        <w:footnoteRef/>
      </w:r>
      <w:r w:rsidRPr="007C79D6">
        <w:rPr>
          <w:rFonts w:ascii="Cambria" w:hAnsi="Cambria" w:cs="Times New Roman"/>
          <w:color w:val="000000" w:themeColor="text1"/>
          <w:sz w:val="16"/>
          <w:szCs w:val="16"/>
        </w:rPr>
        <w:t xml:space="preserve"> Verité Research. ‘Central Bank’s 30-Year Bond Debacle: What is the Loss?’ (</w:t>
      </w:r>
      <w:r w:rsidRPr="007C79D6">
        <w:rPr>
          <w:rFonts w:ascii="Cambria" w:hAnsi="Cambria" w:cs="Times New Roman"/>
          <w:i/>
          <w:iCs/>
          <w:color w:val="000000" w:themeColor="text1"/>
          <w:sz w:val="16"/>
          <w:szCs w:val="16"/>
        </w:rPr>
        <w:t>The Daily Mirror</w:t>
      </w:r>
      <w:r w:rsidRPr="007C79D6">
        <w:rPr>
          <w:rFonts w:ascii="Cambria" w:hAnsi="Cambria" w:cs="Times New Roman"/>
          <w:color w:val="000000" w:themeColor="text1"/>
          <w:sz w:val="16"/>
          <w:szCs w:val="16"/>
        </w:rPr>
        <w:t xml:space="preserve"> 8 July 2015)</w:t>
      </w:r>
      <w:r>
        <w:rPr>
          <w:rFonts w:ascii="Cambria" w:hAnsi="Cambria" w:cs="Times New Roman"/>
          <w:color w:val="000000" w:themeColor="text1"/>
          <w:sz w:val="16"/>
          <w:szCs w:val="16"/>
        </w:rPr>
        <w:t xml:space="preserve"> </w:t>
      </w:r>
      <w:r w:rsidRPr="007C79D6">
        <w:rPr>
          <w:rFonts w:ascii="Cambria" w:hAnsi="Cambria" w:cs="Times New Roman"/>
          <w:color w:val="000000" w:themeColor="text1"/>
          <w:sz w:val="16"/>
          <w:szCs w:val="16"/>
        </w:rPr>
        <w:t>&lt;http://www.dailymirror. lk/78805/central-bank-s-30-year-bond-debacle- what-is-the-loss&gt; accessed 10</w:t>
      </w:r>
      <w:r w:rsidRPr="007C79D6">
        <w:rPr>
          <w:rFonts w:ascii="Cambria" w:hAnsi="Cambria" w:cs="Times New Roman"/>
          <w:color w:val="000000" w:themeColor="text1"/>
          <w:sz w:val="16"/>
          <w:szCs w:val="16"/>
          <w:vertAlign w:val="superscript"/>
        </w:rPr>
        <w:t>th</w:t>
      </w:r>
      <w:r w:rsidRPr="007C79D6">
        <w:rPr>
          <w:rFonts w:ascii="Cambria" w:hAnsi="Cambria" w:cs="Times New Roman"/>
          <w:color w:val="000000" w:themeColor="text1"/>
          <w:sz w:val="16"/>
          <w:szCs w:val="16"/>
        </w:rPr>
        <w:t xml:space="preserve"> December 2020</w:t>
      </w:r>
      <w:r w:rsidRPr="007C79D6">
        <w:rPr>
          <w:rFonts w:ascii="Cambria" w:hAnsi="Cambria" w:cs="Times New Roman"/>
          <w:i/>
          <w:iCs/>
          <w:color w:val="000000" w:themeColor="text1"/>
          <w:sz w:val="16"/>
          <w:szCs w:val="16"/>
        </w:rPr>
        <w:t>.</w:t>
      </w:r>
    </w:p>
  </w:footnote>
  <w:footnote w:id="88">
    <w:p w14:paraId="4737338B" w14:textId="77777777" w:rsidR="007177F5" w:rsidRPr="007C79D6" w:rsidRDefault="007177F5" w:rsidP="00927A76">
      <w:pPr>
        <w:pStyle w:val="FootnoteText"/>
        <w:spacing w:line="360" w:lineRule="auto"/>
        <w:jc w:val="both"/>
        <w:rPr>
          <w:rFonts w:ascii="Cambria" w:hAnsi="Cambria" w:cs="Times New Roman"/>
          <w:color w:val="000000" w:themeColor="text1"/>
          <w:sz w:val="16"/>
          <w:szCs w:val="16"/>
        </w:rPr>
      </w:pPr>
      <w:r w:rsidRPr="007C79D6">
        <w:rPr>
          <w:rStyle w:val="FootnoteReference"/>
          <w:rFonts w:ascii="Cambria" w:hAnsi="Cambria" w:cs="Times New Roman"/>
          <w:color w:val="000000" w:themeColor="text1"/>
          <w:sz w:val="16"/>
          <w:szCs w:val="16"/>
        </w:rPr>
        <w:footnoteRef/>
      </w:r>
      <w:r w:rsidRPr="007C79D6">
        <w:rPr>
          <w:rFonts w:ascii="Cambria" w:hAnsi="Cambria" w:cs="Times New Roman"/>
          <w:color w:val="000000" w:themeColor="text1"/>
          <w:sz w:val="16"/>
          <w:szCs w:val="16"/>
        </w:rPr>
        <w:t xml:space="preserve"> Verité Research. ‘Central Bank’s 30-Year Bond Debacle: What is the Loss?’ (</w:t>
      </w:r>
      <w:r w:rsidRPr="007C79D6">
        <w:rPr>
          <w:rFonts w:ascii="Cambria" w:hAnsi="Cambria" w:cs="Times New Roman"/>
          <w:i/>
          <w:iCs/>
          <w:color w:val="000000" w:themeColor="text1"/>
          <w:sz w:val="16"/>
          <w:szCs w:val="16"/>
        </w:rPr>
        <w:t>The Daily Mirror</w:t>
      </w:r>
      <w:r w:rsidRPr="007C79D6">
        <w:rPr>
          <w:rFonts w:ascii="Cambria" w:hAnsi="Cambria" w:cs="Times New Roman"/>
          <w:color w:val="000000" w:themeColor="text1"/>
          <w:sz w:val="16"/>
          <w:szCs w:val="16"/>
        </w:rPr>
        <w:t xml:space="preserve"> 8 July 2015)</w:t>
      </w:r>
      <w:r>
        <w:rPr>
          <w:rFonts w:ascii="Cambria" w:hAnsi="Cambria" w:cs="Times New Roman"/>
          <w:color w:val="000000" w:themeColor="text1"/>
          <w:sz w:val="16"/>
          <w:szCs w:val="16"/>
        </w:rPr>
        <w:t xml:space="preserve"> </w:t>
      </w:r>
      <w:r w:rsidRPr="007C79D6">
        <w:rPr>
          <w:rFonts w:ascii="Cambria" w:hAnsi="Cambria" w:cs="Times New Roman"/>
          <w:color w:val="000000" w:themeColor="text1"/>
          <w:sz w:val="16"/>
          <w:szCs w:val="16"/>
        </w:rPr>
        <w:t>&lt;http://www.dailymirror. lk/78805/central-bank-s-30-year-bond-debacle- what-is-the-loss&gt; accessed 10</w:t>
      </w:r>
      <w:r w:rsidRPr="007C79D6">
        <w:rPr>
          <w:rFonts w:ascii="Cambria" w:hAnsi="Cambria" w:cs="Times New Roman"/>
          <w:color w:val="000000" w:themeColor="text1"/>
          <w:sz w:val="16"/>
          <w:szCs w:val="16"/>
          <w:vertAlign w:val="superscript"/>
        </w:rPr>
        <w:t>th</w:t>
      </w:r>
      <w:r w:rsidRPr="007C79D6">
        <w:rPr>
          <w:rFonts w:ascii="Cambria" w:hAnsi="Cambria" w:cs="Times New Roman"/>
          <w:color w:val="000000" w:themeColor="text1"/>
          <w:sz w:val="16"/>
          <w:szCs w:val="16"/>
        </w:rPr>
        <w:t xml:space="preserve"> December 2020</w:t>
      </w:r>
      <w:r w:rsidRPr="007C79D6">
        <w:rPr>
          <w:rFonts w:ascii="Cambria" w:hAnsi="Cambria" w:cs="Times New Roman"/>
          <w:i/>
          <w:iCs/>
          <w:color w:val="000000" w:themeColor="text1"/>
          <w:sz w:val="16"/>
          <w:szCs w:val="16"/>
        </w:rPr>
        <w:t>.</w:t>
      </w:r>
    </w:p>
    <w:p w14:paraId="2BC13EDA" w14:textId="77777777" w:rsidR="007177F5" w:rsidRPr="007C79D6" w:rsidRDefault="007177F5" w:rsidP="00927A76">
      <w:pPr>
        <w:pStyle w:val="FootnoteText"/>
        <w:spacing w:line="360" w:lineRule="auto"/>
        <w:jc w:val="both"/>
        <w:rPr>
          <w:rFonts w:ascii="Cambria" w:hAnsi="Cambria" w:cs="Times New Roman"/>
          <w:color w:val="000000" w:themeColor="text1"/>
          <w:sz w:val="16"/>
          <w:szCs w:val="16"/>
        </w:rPr>
      </w:pPr>
    </w:p>
  </w:footnote>
  <w:footnote w:id="89">
    <w:p w14:paraId="2F95057E" w14:textId="77777777" w:rsidR="007177F5" w:rsidRPr="007C79D6" w:rsidRDefault="007177F5" w:rsidP="00927A76">
      <w:pPr>
        <w:pStyle w:val="FootnoteText"/>
        <w:spacing w:line="360" w:lineRule="auto"/>
        <w:jc w:val="both"/>
        <w:rPr>
          <w:rFonts w:ascii="Cambria" w:hAnsi="Cambria" w:cs="Times New Roman"/>
          <w:color w:val="000000" w:themeColor="text1"/>
          <w:sz w:val="16"/>
          <w:szCs w:val="16"/>
        </w:rPr>
      </w:pPr>
      <w:r w:rsidRPr="007C79D6">
        <w:rPr>
          <w:rStyle w:val="FootnoteReference"/>
          <w:rFonts w:ascii="Cambria" w:hAnsi="Cambria" w:cs="Times New Roman"/>
          <w:color w:val="000000" w:themeColor="text1"/>
          <w:sz w:val="16"/>
          <w:szCs w:val="16"/>
        </w:rPr>
        <w:footnoteRef/>
      </w:r>
      <w:r w:rsidRPr="007C79D6">
        <w:rPr>
          <w:rFonts w:ascii="Cambria" w:hAnsi="Cambria" w:cs="Times New Roman"/>
          <w:color w:val="000000" w:themeColor="text1"/>
          <w:sz w:val="16"/>
          <w:szCs w:val="16"/>
        </w:rPr>
        <w:t xml:space="preserve"> Annual Performance Report Accounts 2017, Ministry of Mahaweli Development and Environment</w:t>
      </w:r>
    </w:p>
  </w:footnote>
  <w:footnote w:id="90">
    <w:p w14:paraId="03007384" w14:textId="77777777" w:rsidR="007177F5" w:rsidRPr="007C79D6" w:rsidRDefault="007177F5" w:rsidP="00927A76">
      <w:pPr>
        <w:pStyle w:val="FootnoteText"/>
        <w:spacing w:line="360" w:lineRule="auto"/>
        <w:jc w:val="both"/>
        <w:rPr>
          <w:rFonts w:ascii="Cambria" w:hAnsi="Cambria" w:cs="Times New Roman"/>
          <w:color w:val="000000" w:themeColor="text1"/>
          <w:sz w:val="16"/>
          <w:szCs w:val="16"/>
        </w:rPr>
      </w:pPr>
      <w:r w:rsidRPr="007C79D6">
        <w:rPr>
          <w:rStyle w:val="FootnoteReference"/>
          <w:rFonts w:ascii="Cambria" w:hAnsi="Cambria" w:cs="Times New Roman"/>
          <w:color w:val="000000" w:themeColor="text1"/>
          <w:sz w:val="16"/>
          <w:szCs w:val="16"/>
        </w:rPr>
        <w:footnoteRef/>
      </w:r>
      <w:r w:rsidRPr="007C79D6">
        <w:rPr>
          <w:rFonts w:ascii="Cambria" w:hAnsi="Cambria" w:cs="Times New Roman"/>
          <w:color w:val="000000" w:themeColor="text1"/>
          <w:sz w:val="16"/>
          <w:szCs w:val="16"/>
        </w:rPr>
        <w:t>The Cabinet of Ministers Sri Lanka, ‘Press briefing of Cabinet Decision Taken on 18.10.2016’ &lt;http://www.cabinetoffice.gov.lk/cab/index.php?option=com_content&amp;view=article&amp;id=16&amp;Itemid=49&amp;lang=en&amp;dID=7129&gt;</w:t>
      </w:r>
    </w:p>
  </w:footnote>
  <w:footnote w:id="91">
    <w:p w14:paraId="435C4008" w14:textId="77777777" w:rsidR="007177F5" w:rsidRPr="007C79D6" w:rsidRDefault="007177F5" w:rsidP="00927A76">
      <w:pPr>
        <w:pStyle w:val="FootnoteText"/>
        <w:spacing w:line="360" w:lineRule="auto"/>
        <w:jc w:val="both"/>
        <w:rPr>
          <w:rFonts w:ascii="Cambria" w:hAnsi="Cambria" w:cs="Times New Roman"/>
          <w:color w:val="000000" w:themeColor="text1"/>
          <w:sz w:val="16"/>
          <w:szCs w:val="16"/>
        </w:rPr>
      </w:pPr>
      <w:r w:rsidRPr="007C79D6">
        <w:rPr>
          <w:rStyle w:val="FootnoteReference"/>
          <w:rFonts w:ascii="Cambria" w:hAnsi="Cambria" w:cs="Times New Roman"/>
          <w:color w:val="000000" w:themeColor="text1"/>
          <w:sz w:val="16"/>
          <w:szCs w:val="16"/>
        </w:rPr>
        <w:footnoteRef/>
      </w:r>
      <w:r w:rsidRPr="007C79D6">
        <w:rPr>
          <w:rFonts w:ascii="Cambria" w:hAnsi="Cambria" w:cs="Times New Roman"/>
          <w:color w:val="000000" w:themeColor="text1"/>
          <w:sz w:val="16"/>
          <w:szCs w:val="16"/>
        </w:rPr>
        <w:t xml:space="preserve"> UNDP Project Document on Appropriate Mitigation Actions in the Energy Generation and End-Use Sectors in Sri Lanka</w:t>
      </w:r>
    </w:p>
  </w:footnote>
  <w:footnote w:id="92">
    <w:p w14:paraId="6E2B39DF" w14:textId="77777777" w:rsidR="007177F5" w:rsidRPr="00A6095F" w:rsidRDefault="007177F5" w:rsidP="00A6095F">
      <w:pPr>
        <w:spacing w:line="360" w:lineRule="auto"/>
        <w:jc w:val="both"/>
        <w:rPr>
          <w:rFonts w:ascii="Cambria" w:hAnsi="Cambria" w:cs="Times New Roman"/>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w:t>
      </w:r>
      <w:r w:rsidRPr="00A6095F">
        <w:rPr>
          <w:rFonts w:ascii="Cambria" w:hAnsi="Cambria" w:cs="Times New Roman"/>
          <w:color w:val="000000" w:themeColor="text1"/>
          <w:sz w:val="16"/>
          <w:szCs w:val="16"/>
        </w:rPr>
        <w:t>Establishment/ Verification of Baselines and Targets for the Results framework of UNDP, Marga Institute, September 2020</w:t>
      </w:r>
    </w:p>
    <w:p w14:paraId="4FBDA31A" w14:textId="0B581820" w:rsidR="007177F5" w:rsidRPr="007C79D6" w:rsidRDefault="007177F5" w:rsidP="007C79D6">
      <w:pPr>
        <w:pStyle w:val="FootnoteText"/>
        <w:spacing w:line="360" w:lineRule="auto"/>
        <w:jc w:val="both"/>
        <w:rPr>
          <w:rFonts w:ascii="Cambria" w:hAnsi="Cambria"/>
          <w:color w:val="000000" w:themeColor="text1"/>
          <w:sz w:val="16"/>
          <w:szCs w:val="16"/>
        </w:rPr>
      </w:pPr>
    </w:p>
  </w:footnote>
  <w:footnote w:id="93">
    <w:p w14:paraId="3704D82A" w14:textId="77777777" w:rsidR="007177F5" w:rsidRPr="00F41AE4" w:rsidRDefault="007177F5" w:rsidP="0088379E">
      <w:pPr>
        <w:pStyle w:val="FootnoteText"/>
        <w:spacing w:line="276" w:lineRule="auto"/>
        <w:jc w:val="both"/>
        <w:rPr>
          <w:rFonts w:ascii="Baskerville" w:hAnsi="Baskerville"/>
          <w:color w:val="000000" w:themeColor="text1"/>
        </w:rPr>
      </w:pPr>
      <w:r w:rsidRPr="00F41AE4">
        <w:rPr>
          <w:rStyle w:val="FootnoteReference"/>
          <w:rFonts w:ascii="Baskerville" w:hAnsi="Baskerville"/>
          <w:color w:val="000000" w:themeColor="text1"/>
        </w:rPr>
        <w:footnoteRef/>
      </w:r>
      <w:r w:rsidRPr="00F41AE4">
        <w:rPr>
          <w:rFonts w:ascii="Baskerville" w:hAnsi="Baskerville"/>
          <w:color w:val="000000" w:themeColor="text1"/>
        </w:rPr>
        <w:t>The Constitution of the Democratic Socialist Republic of Sri Lanka (1978), art 62(2).</w:t>
      </w:r>
    </w:p>
  </w:footnote>
  <w:footnote w:id="94">
    <w:p w14:paraId="4FE5A3EA" w14:textId="77777777" w:rsidR="007177F5" w:rsidRPr="00F41AE4" w:rsidRDefault="007177F5" w:rsidP="0088379E">
      <w:pPr>
        <w:pStyle w:val="FootnoteText"/>
        <w:spacing w:line="276" w:lineRule="auto"/>
        <w:jc w:val="both"/>
        <w:rPr>
          <w:rFonts w:ascii="Baskerville" w:hAnsi="Baskerville"/>
          <w:color w:val="000000" w:themeColor="text1"/>
        </w:rPr>
      </w:pPr>
      <w:r w:rsidRPr="00F41AE4">
        <w:rPr>
          <w:rStyle w:val="FootnoteReference"/>
          <w:rFonts w:ascii="Baskerville" w:hAnsi="Baskerville"/>
          <w:color w:val="000000" w:themeColor="text1"/>
        </w:rPr>
        <w:footnoteRef/>
      </w:r>
      <w:r w:rsidRPr="00F41AE4">
        <w:rPr>
          <w:rFonts w:ascii="Baskerville" w:hAnsi="Baskerville"/>
          <w:color w:val="000000" w:themeColor="text1"/>
        </w:rPr>
        <w:t>Ibid: art 70(1).</w:t>
      </w:r>
    </w:p>
  </w:footnote>
  <w:footnote w:id="95">
    <w:p w14:paraId="37CE2DFC" w14:textId="77777777" w:rsidR="007177F5" w:rsidRPr="00F41AE4" w:rsidRDefault="007177F5" w:rsidP="0088379E">
      <w:pPr>
        <w:pStyle w:val="FootnoteText"/>
        <w:spacing w:line="276" w:lineRule="auto"/>
        <w:jc w:val="both"/>
        <w:rPr>
          <w:rFonts w:ascii="Baskerville" w:hAnsi="Baskerville" w:cstheme="minorHAnsi"/>
          <w:color w:val="000000" w:themeColor="text1"/>
        </w:rPr>
      </w:pPr>
      <w:r w:rsidRPr="00F41AE4">
        <w:rPr>
          <w:rStyle w:val="FootnoteReference"/>
          <w:rFonts w:ascii="Baskerville" w:hAnsi="Baskerville" w:cstheme="minorHAnsi"/>
          <w:color w:val="000000" w:themeColor="text1"/>
        </w:rPr>
        <w:footnoteRef/>
      </w:r>
      <w:r w:rsidRPr="00F41AE4">
        <w:rPr>
          <w:rFonts w:ascii="Baskerville" w:hAnsi="Baskerville" w:cstheme="minorHAnsi"/>
          <w:color w:val="000000" w:themeColor="text1"/>
        </w:rPr>
        <w:t>Supreme Court Special Determination 3&amp;4 /2008 [in re the Appropriation Bill]; Supreme Court Special Determination 28 &amp; 29/ 2016 [In re the Fiscal Management (Responsibility) (Amendment) Bill].</w:t>
      </w:r>
    </w:p>
  </w:footnote>
  <w:footnote w:id="96">
    <w:p w14:paraId="7BC6FE8D" w14:textId="77777777" w:rsidR="007177F5" w:rsidRPr="00F41AE4" w:rsidRDefault="007177F5" w:rsidP="0088379E">
      <w:pPr>
        <w:pStyle w:val="FootnoteText"/>
        <w:spacing w:line="276" w:lineRule="auto"/>
        <w:jc w:val="both"/>
        <w:rPr>
          <w:rFonts w:ascii="Baskerville" w:hAnsi="Baskerville"/>
          <w:color w:val="000000" w:themeColor="text1"/>
        </w:rPr>
      </w:pPr>
      <w:r w:rsidRPr="00F41AE4">
        <w:rPr>
          <w:rStyle w:val="FootnoteReference"/>
          <w:rFonts w:ascii="Baskerville" w:hAnsi="Baskerville"/>
          <w:color w:val="000000" w:themeColor="text1"/>
        </w:rPr>
        <w:footnoteRef/>
      </w:r>
      <w:r w:rsidRPr="00F41AE4">
        <w:rPr>
          <w:rFonts w:ascii="Baskerville" w:hAnsi="Baskerville"/>
          <w:color w:val="000000" w:themeColor="text1"/>
        </w:rPr>
        <w:t>Parliament of Sri Lanka, ‘Committee System in Sri Lanka’ &lt;</w:t>
      </w:r>
      <w:hyperlink r:id="rId9" w:history="1">
        <w:r w:rsidRPr="00F41AE4">
          <w:rPr>
            <w:rStyle w:val="Hyperlink"/>
            <w:rFonts w:ascii="Baskerville" w:hAnsi="Baskerville"/>
            <w:color w:val="000000" w:themeColor="text1"/>
          </w:rPr>
          <w:t>https://www.parliament.lk/business-of-parliament/committees</w:t>
        </w:r>
      </w:hyperlink>
      <w:r w:rsidRPr="00F41AE4">
        <w:rPr>
          <w:rFonts w:ascii="Baskerville" w:hAnsi="Baskerville"/>
          <w:color w:val="000000" w:themeColor="text1"/>
        </w:rPr>
        <w:t>&gt; accessed 20</w:t>
      </w:r>
      <w:r w:rsidRPr="00F41AE4">
        <w:rPr>
          <w:rFonts w:ascii="Baskerville" w:hAnsi="Baskerville"/>
          <w:color w:val="000000" w:themeColor="text1"/>
          <w:vertAlign w:val="superscript"/>
        </w:rPr>
        <w:t>th</w:t>
      </w:r>
      <w:r w:rsidRPr="00F41AE4">
        <w:rPr>
          <w:rFonts w:ascii="Baskerville" w:hAnsi="Baskerville"/>
          <w:color w:val="000000" w:themeColor="text1"/>
        </w:rPr>
        <w:t xml:space="preserve"> October 2020. </w:t>
      </w:r>
    </w:p>
  </w:footnote>
  <w:footnote w:id="97">
    <w:p w14:paraId="1C20578B" w14:textId="77777777" w:rsidR="007177F5" w:rsidRPr="00F41AE4" w:rsidRDefault="007177F5" w:rsidP="0088379E">
      <w:pPr>
        <w:pStyle w:val="FootnoteText"/>
        <w:spacing w:line="276" w:lineRule="auto"/>
        <w:rPr>
          <w:rFonts w:ascii="Baskerville" w:hAnsi="Baskerville"/>
          <w:color w:val="000000" w:themeColor="text1"/>
        </w:rPr>
      </w:pPr>
      <w:r w:rsidRPr="00F41AE4">
        <w:rPr>
          <w:rStyle w:val="FootnoteReference"/>
          <w:rFonts w:ascii="Baskerville" w:hAnsi="Baskerville"/>
          <w:color w:val="000000" w:themeColor="text1"/>
        </w:rPr>
        <w:footnoteRef/>
      </w:r>
      <w:r w:rsidRPr="00F41AE4">
        <w:rPr>
          <w:rFonts w:ascii="Baskerville" w:hAnsi="Baskerville"/>
          <w:color w:val="000000" w:themeColor="text1"/>
        </w:rPr>
        <w:t>Parliament of Sri Lanka, ‘Select Committees’ &lt;https://www.parliament.lk/en/component/committees/categories?id=4&amp;Itemid=533&gt; accessed 20</w:t>
      </w:r>
      <w:r w:rsidRPr="00F41AE4">
        <w:rPr>
          <w:rFonts w:ascii="Baskerville" w:hAnsi="Baskerville"/>
          <w:color w:val="000000" w:themeColor="text1"/>
          <w:vertAlign w:val="superscript"/>
        </w:rPr>
        <w:t>th</w:t>
      </w:r>
      <w:r w:rsidRPr="00F41AE4">
        <w:rPr>
          <w:rFonts w:ascii="Baskerville" w:hAnsi="Baskerville"/>
          <w:color w:val="000000" w:themeColor="text1"/>
        </w:rPr>
        <w:t xml:space="preserve"> October 2020. </w:t>
      </w:r>
    </w:p>
  </w:footnote>
  <w:footnote w:id="98">
    <w:p w14:paraId="1FCB2DC4" w14:textId="77777777" w:rsidR="007177F5" w:rsidRPr="00F41AE4" w:rsidRDefault="007177F5" w:rsidP="0088379E">
      <w:pPr>
        <w:pStyle w:val="FootnoteText"/>
        <w:spacing w:line="276" w:lineRule="auto"/>
        <w:rPr>
          <w:rFonts w:ascii="Baskerville" w:hAnsi="Baskerville"/>
          <w:color w:val="000000" w:themeColor="text1"/>
        </w:rPr>
      </w:pPr>
      <w:r w:rsidRPr="00F41AE4">
        <w:rPr>
          <w:rStyle w:val="FootnoteReference"/>
          <w:rFonts w:ascii="Baskerville" w:hAnsi="Baskerville"/>
          <w:color w:val="000000" w:themeColor="text1"/>
        </w:rPr>
        <w:footnoteRef/>
      </w:r>
      <w:r w:rsidRPr="00F41AE4">
        <w:rPr>
          <w:rFonts w:ascii="Baskerville" w:hAnsi="Baskerville"/>
          <w:color w:val="000000" w:themeColor="text1"/>
        </w:rPr>
        <w:t>Parliament of Sri Lanka, ‘Sectoral Oversight Committees’ &lt;https://www.parliament.lk/en/component/committees/categories?id=6&amp;Itemid=106&gt; accessed 20</w:t>
      </w:r>
      <w:r w:rsidRPr="00F41AE4">
        <w:rPr>
          <w:rFonts w:ascii="Baskerville" w:hAnsi="Baskerville"/>
          <w:color w:val="000000" w:themeColor="text1"/>
          <w:vertAlign w:val="superscript"/>
        </w:rPr>
        <w:t>th</w:t>
      </w:r>
      <w:r w:rsidRPr="00F41AE4">
        <w:rPr>
          <w:rFonts w:ascii="Baskerville" w:hAnsi="Baskerville"/>
          <w:color w:val="000000" w:themeColor="text1"/>
        </w:rPr>
        <w:t xml:space="preserve"> October 2020. </w:t>
      </w:r>
    </w:p>
  </w:footnote>
  <w:footnote w:id="99">
    <w:p w14:paraId="50A76981" w14:textId="77777777" w:rsidR="007177F5" w:rsidRPr="00F41AE4" w:rsidRDefault="007177F5" w:rsidP="0088379E">
      <w:pPr>
        <w:pStyle w:val="FootnoteText"/>
        <w:spacing w:line="276" w:lineRule="auto"/>
        <w:rPr>
          <w:rFonts w:ascii="Baskerville" w:hAnsi="Baskerville"/>
          <w:color w:val="000000" w:themeColor="text1"/>
        </w:rPr>
      </w:pPr>
      <w:r w:rsidRPr="00F41AE4">
        <w:rPr>
          <w:rStyle w:val="FootnoteReference"/>
          <w:rFonts w:ascii="Baskerville" w:hAnsi="Baskerville"/>
          <w:color w:val="000000" w:themeColor="text1"/>
        </w:rPr>
        <w:footnoteRef/>
      </w:r>
      <w:r w:rsidRPr="00F41AE4">
        <w:rPr>
          <w:rFonts w:ascii="Baskerville" w:hAnsi="Baskerville"/>
          <w:color w:val="000000" w:themeColor="text1"/>
        </w:rPr>
        <w:t>Parliament of Sri Lanka, ‘Ministerial Consultative Committees’ &lt;https://www.parliament.lk/en/component/committees/categories?id=4&amp;Itemid=533&gt; accessed 20</w:t>
      </w:r>
      <w:r w:rsidRPr="00F41AE4">
        <w:rPr>
          <w:rFonts w:ascii="Baskerville" w:hAnsi="Baskerville"/>
          <w:color w:val="000000" w:themeColor="text1"/>
          <w:vertAlign w:val="superscript"/>
        </w:rPr>
        <w:t>th</w:t>
      </w:r>
      <w:r w:rsidRPr="00F41AE4">
        <w:rPr>
          <w:rFonts w:ascii="Baskerville" w:hAnsi="Baskerville"/>
          <w:color w:val="000000" w:themeColor="text1"/>
        </w:rPr>
        <w:t xml:space="preserve"> October 2020. </w:t>
      </w:r>
    </w:p>
  </w:footnote>
  <w:footnote w:id="100">
    <w:p w14:paraId="418767A2" w14:textId="77777777" w:rsidR="007177F5" w:rsidRPr="00F41AE4" w:rsidRDefault="007177F5" w:rsidP="0088379E">
      <w:pPr>
        <w:pStyle w:val="FootnoteText"/>
        <w:spacing w:line="276" w:lineRule="auto"/>
        <w:rPr>
          <w:rFonts w:ascii="Baskerville" w:hAnsi="Baskerville"/>
          <w:color w:val="000000" w:themeColor="text1"/>
        </w:rPr>
      </w:pPr>
      <w:r w:rsidRPr="00F41AE4">
        <w:rPr>
          <w:rStyle w:val="FootnoteReference"/>
          <w:rFonts w:ascii="Baskerville" w:hAnsi="Baskerville"/>
          <w:color w:val="000000" w:themeColor="text1"/>
        </w:rPr>
        <w:footnoteRef/>
      </w:r>
      <w:r w:rsidRPr="00F41AE4">
        <w:rPr>
          <w:rFonts w:ascii="Baskerville" w:hAnsi="Baskerville"/>
          <w:color w:val="000000" w:themeColor="text1"/>
        </w:rPr>
        <w:t>Parliament of Sri Lanka, ‘Legislative Standing Committees’ &lt;https://www.parliament.lk/component/committees/categories?id=5&amp;Itemid=106&amp;lang=en&gt; accessed 20</w:t>
      </w:r>
      <w:r w:rsidRPr="00F41AE4">
        <w:rPr>
          <w:rFonts w:ascii="Baskerville" w:hAnsi="Baskerville"/>
          <w:color w:val="000000" w:themeColor="text1"/>
          <w:vertAlign w:val="superscript"/>
        </w:rPr>
        <w:t>th</w:t>
      </w:r>
      <w:r w:rsidRPr="00F41AE4">
        <w:rPr>
          <w:rFonts w:ascii="Baskerville" w:hAnsi="Baskerville"/>
          <w:color w:val="000000" w:themeColor="text1"/>
        </w:rPr>
        <w:t xml:space="preserve"> October 2020. </w:t>
      </w:r>
    </w:p>
  </w:footnote>
  <w:footnote w:id="101">
    <w:p w14:paraId="029F8FAA" w14:textId="77777777" w:rsidR="007177F5" w:rsidRPr="00F41AE4" w:rsidRDefault="007177F5" w:rsidP="0088379E">
      <w:pPr>
        <w:pStyle w:val="FootnoteText"/>
        <w:spacing w:line="276" w:lineRule="auto"/>
        <w:jc w:val="both"/>
        <w:rPr>
          <w:rFonts w:ascii="Baskerville" w:hAnsi="Baskerville"/>
          <w:color w:val="000000" w:themeColor="text1"/>
        </w:rPr>
      </w:pPr>
      <w:r w:rsidRPr="00F41AE4">
        <w:rPr>
          <w:rStyle w:val="FootnoteReference"/>
          <w:rFonts w:ascii="Baskerville" w:hAnsi="Baskerville"/>
          <w:color w:val="000000" w:themeColor="text1"/>
        </w:rPr>
        <w:footnoteRef/>
      </w:r>
      <w:r w:rsidRPr="00F41AE4">
        <w:rPr>
          <w:rFonts w:ascii="Baskerville" w:hAnsi="Baskerville"/>
          <w:color w:val="000000" w:themeColor="text1"/>
        </w:rPr>
        <w:t xml:space="preserve"> Standing Orders of the Parliament of the Democratic Socialist Republic of Sri Lanka, approved and adopted by Parliament on 7</w:t>
      </w:r>
      <w:r w:rsidRPr="00F41AE4">
        <w:rPr>
          <w:rFonts w:ascii="Baskerville" w:hAnsi="Baskerville"/>
          <w:color w:val="000000" w:themeColor="text1"/>
          <w:vertAlign w:val="superscript"/>
        </w:rPr>
        <w:t>th</w:t>
      </w:r>
      <w:r w:rsidRPr="00F41AE4">
        <w:rPr>
          <w:rFonts w:ascii="Baskerville" w:hAnsi="Baskerville"/>
          <w:color w:val="000000" w:themeColor="text1"/>
        </w:rPr>
        <w:t xml:space="preserve"> March 2018, No. 114. </w:t>
      </w:r>
    </w:p>
  </w:footnote>
  <w:footnote w:id="102">
    <w:p w14:paraId="3E57301E" w14:textId="77777777" w:rsidR="007177F5" w:rsidRPr="00F41AE4" w:rsidRDefault="007177F5" w:rsidP="0088379E">
      <w:pPr>
        <w:pStyle w:val="FootnoteText"/>
        <w:spacing w:line="276" w:lineRule="auto"/>
        <w:jc w:val="both"/>
        <w:rPr>
          <w:rFonts w:ascii="Baskerville" w:hAnsi="Baskerville"/>
          <w:color w:val="000000" w:themeColor="text1"/>
        </w:rPr>
      </w:pPr>
      <w:r w:rsidRPr="00F41AE4">
        <w:rPr>
          <w:rStyle w:val="FootnoteReference"/>
          <w:rFonts w:ascii="Baskerville" w:hAnsi="Baskerville"/>
          <w:color w:val="000000" w:themeColor="text1"/>
        </w:rPr>
        <w:footnoteRef/>
      </w:r>
      <w:r w:rsidRPr="00F41AE4">
        <w:rPr>
          <w:rFonts w:ascii="Baskerville" w:hAnsi="Baskerville"/>
          <w:color w:val="000000" w:themeColor="text1"/>
        </w:rPr>
        <w:t xml:space="preserve"> Ibid: No 30. </w:t>
      </w:r>
    </w:p>
  </w:footnote>
  <w:footnote w:id="103">
    <w:p w14:paraId="31DDD40E" w14:textId="77777777" w:rsidR="007177F5" w:rsidRPr="00F41AE4" w:rsidRDefault="007177F5" w:rsidP="0088379E">
      <w:pPr>
        <w:pStyle w:val="FootnoteText"/>
        <w:spacing w:line="276" w:lineRule="auto"/>
        <w:rPr>
          <w:rFonts w:ascii="Baskerville" w:hAnsi="Baskerville"/>
          <w:color w:val="000000" w:themeColor="text1"/>
        </w:rPr>
      </w:pPr>
      <w:r w:rsidRPr="00F41AE4">
        <w:rPr>
          <w:rStyle w:val="FootnoteReference"/>
          <w:rFonts w:ascii="Baskerville" w:hAnsi="Baskerville"/>
          <w:color w:val="000000" w:themeColor="text1"/>
        </w:rPr>
        <w:footnoteRef/>
      </w:r>
      <w:r w:rsidRPr="00F41AE4">
        <w:rPr>
          <w:rFonts w:ascii="Baskerville" w:hAnsi="Baskerville"/>
          <w:color w:val="000000" w:themeColor="text1"/>
        </w:rPr>
        <w:t>Parliament of Sri Lanka, ‘Committee on Public Petitions’ &lt;https://parliament.lk/component/committees/commitee/showCommittee?id=211&amp;type=committee&amp;Itemid=106&amp;lang=en&gt; accessed 20</w:t>
      </w:r>
      <w:r w:rsidRPr="00F41AE4">
        <w:rPr>
          <w:rFonts w:ascii="Baskerville" w:hAnsi="Baskerville"/>
          <w:color w:val="000000" w:themeColor="text1"/>
          <w:vertAlign w:val="superscript"/>
        </w:rPr>
        <w:t>th</w:t>
      </w:r>
      <w:r w:rsidRPr="00F41AE4">
        <w:rPr>
          <w:rFonts w:ascii="Baskerville" w:hAnsi="Baskerville"/>
          <w:color w:val="000000" w:themeColor="text1"/>
        </w:rPr>
        <w:t xml:space="preserve"> October 2020. </w:t>
      </w:r>
    </w:p>
  </w:footnote>
  <w:footnote w:id="104">
    <w:p w14:paraId="261CEFCF" w14:textId="77777777" w:rsidR="007177F5" w:rsidRPr="00F41AE4" w:rsidRDefault="007177F5" w:rsidP="0088379E">
      <w:pPr>
        <w:pStyle w:val="FootnoteText"/>
        <w:spacing w:line="276" w:lineRule="auto"/>
        <w:jc w:val="both"/>
        <w:rPr>
          <w:rFonts w:ascii="Baskerville" w:hAnsi="Baskerville"/>
          <w:i/>
          <w:iCs/>
          <w:color w:val="000000" w:themeColor="text1"/>
        </w:rPr>
      </w:pPr>
      <w:r w:rsidRPr="00F41AE4">
        <w:rPr>
          <w:rStyle w:val="FootnoteReference"/>
          <w:rFonts w:ascii="Baskerville" w:hAnsi="Baskerville"/>
          <w:color w:val="000000" w:themeColor="text1"/>
        </w:rPr>
        <w:footnoteRef/>
      </w:r>
      <w:r w:rsidRPr="00F41AE4">
        <w:rPr>
          <w:rFonts w:ascii="Baskerville" w:hAnsi="Baskerville"/>
          <w:color w:val="000000" w:themeColor="text1"/>
        </w:rPr>
        <w:t xml:space="preserve">Dinesha Samarartne, ‘The Constitutional Council and Independent Commissions: The New Framework for Depoliticizing Governance’ in Asanga Welikala (eds), </w:t>
      </w:r>
      <w:r w:rsidRPr="00F41AE4">
        <w:rPr>
          <w:rFonts w:ascii="Baskerville" w:hAnsi="Baskerville"/>
          <w:i/>
          <w:iCs/>
          <w:color w:val="000000" w:themeColor="text1"/>
        </w:rPr>
        <w:t>The Nineteenth Amendment to the Constitution: Content and Context</w:t>
      </w:r>
      <w:r w:rsidRPr="00F41AE4">
        <w:rPr>
          <w:rFonts w:ascii="Baskerville" w:hAnsi="Baskerville"/>
          <w:color w:val="000000" w:themeColor="text1"/>
        </w:rPr>
        <w:t xml:space="preserve"> (Centre for Policy Alternatives 2016)</w:t>
      </w:r>
    </w:p>
  </w:footnote>
  <w:footnote w:id="105">
    <w:p w14:paraId="3F28A00E" w14:textId="77777777" w:rsidR="007177F5" w:rsidRPr="00F41AE4" w:rsidRDefault="007177F5" w:rsidP="0088379E">
      <w:pPr>
        <w:pStyle w:val="FootnoteText"/>
        <w:spacing w:line="276" w:lineRule="auto"/>
        <w:jc w:val="both"/>
        <w:rPr>
          <w:rFonts w:ascii="Baskerville" w:hAnsi="Baskerville" w:cstheme="minorHAnsi"/>
          <w:color w:val="000000" w:themeColor="text1"/>
        </w:rPr>
      </w:pPr>
      <w:r w:rsidRPr="00F41AE4">
        <w:rPr>
          <w:rStyle w:val="FootnoteReference"/>
          <w:rFonts w:ascii="Baskerville" w:hAnsi="Baskerville" w:cstheme="minorHAnsi"/>
          <w:color w:val="000000" w:themeColor="text1"/>
        </w:rPr>
        <w:footnoteRef/>
      </w:r>
      <w:r w:rsidRPr="00F41AE4">
        <w:rPr>
          <w:rFonts w:ascii="Baskerville" w:hAnsi="Baskerville" w:cstheme="minorHAnsi"/>
          <w:color w:val="000000" w:themeColor="text1"/>
        </w:rPr>
        <w:t xml:space="preserve">Laksiri Jayasuriya, </w:t>
      </w:r>
      <w:r w:rsidRPr="00F41AE4">
        <w:rPr>
          <w:rFonts w:ascii="Baskerville" w:hAnsi="Baskerville" w:cstheme="minorHAnsi"/>
          <w:i/>
          <w:iCs/>
          <w:color w:val="000000" w:themeColor="text1"/>
        </w:rPr>
        <w:t>The Changing Face of Electoral Politics in Sri Lanka (1994-2010)</w:t>
      </w:r>
      <w:r w:rsidRPr="00F41AE4">
        <w:rPr>
          <w:rFonts w:ascii="Baskerville" w:hAnsi="Baskerville" w:cstheme="minorHAnsi"/>
          <w:color w:val="000000" w:themeColor="text1"/>
        </w:rPr>
        <w:t xml:space="preserve"> (2</w:t>
      </w:r>
      <w:r w:rsidRPr="00F41AE4">
        <w:rPr>
          <w:rFonts w:ascii="Baskerville" w:hAnsi="Baskerville" w:cstheme="minorHAnsi"/>
          <w:color w:val="000000" w:themeColor="text1"/>
          <w:vertAlign w:val="superscript"/>
        </w:rPr>
        <w:t>nd</w:t>
      </w:r>
      <w:r w:rsidRPr="00F41AE4">
        <w:rPr>
          <w:rFonts w:ascii="Baskerville" w:hAnsi="Baskerville" w:cstheme="minorHAnsi"/>
          <w:color w:val="000000" w:themeColor="text1"/>
        </w:rPr>
        <w:t xml:space="preserve"> edn, Social Scientists Association, Colombo 2012) 46.</w:t>
      </w:r>
    </w:p>
  </w:footnote>
  <w:footnote w:id="106">
    <w:p w14:paraId="14911A59" w14:textId="77777777" w:rsidR="007177F5" w:rsidRPr="00F41AE4" w:rsidRDefault="007177F5" w:rsidP="0088379E">
      <w:pPr>
        <w:pStyle w:val="FootnoteText"/>
        <w:rPr>
          <w:rFonts w:ascii="Baskerville" w:hAnsi="Baskerville"/>
          <w:color w:val="000000" w:themeColor="text1"/>
        </w:rPr>
      </w:pPr>
      <w:r w:rsidRPr="00F41AE4">
        <w:rPr>
          <w:rStyle w:val="FootnoteReference"/>
          <w:rFonts w:ascii="Baskerville" w:hAnsi="Baskerville"/>
          <w:color w:val="000000" w:themeColor="text1"/>
        </w:rPr>
        <w:footnoteRef/>
      </w:r>
      <w:r w:rsidRPr="00F41AE4">
        <w:rPr>
          <w:rFonts w:ascii="Baskerville" w:hAnsi="Baskerville" w:cstheme="minorHAnsi"/>
          <w:color w:val="000000" w:themeColor="text1"/>
        </w:rPr>
        <w:t>Commission to Investigate Allegations of Bribery and Corruptions Act No 19 of 1994, s 2</w:t>
      </w:r>
    </w:p>
  </w:footnote>
  <w:footnote w:id="107">
    <w:p w14:paraId="1DAC72F8" w14:textId="77777777" w:rsidR="007177F5" w:rsidRPr="00F41AE4" w:rsidRDefault="007177F5" w:rsidP="0088379E">
      <w:pPr>
        <w:pStyle w:val="FootnoteText"/>
        <w:spacing w:line="276" w:lineRule="auto"/>
        <w:jc w:val="both"/>
        <w:rPr>
          <w:rFonts w:ascii="Baskerville" w:hAnsi="Baskerville" w:cstheme="minorHAnsi"/>
          <w:color w:val="000000" w:themeColor="text1"/>
        </w:rPr>
      </w:pPr>
      <w:r w:rsidRPr="00F41AE4">
        <w:rPr>
          <w:rStyle w:val="FootnoteReference"/>
          <w:rFonts w:ascii="Baskerville" w:hAnsi="Baskerville" w:cstheme="minorHAnsi"/>
          <w:color w:val="000000" w:themeColor="text1"/>
        </w:rPr>
        <w:footnoteRef/>
      </w:r>
      <w:r w:rsidRPr="00F41AE4">
        <w:rPr>
          <w:rFonts w:ascii="Baskerville" w:hAnsi="Baskerville" w:cstheme="minorHAnsi"/>
          <w:color w:val="000000" w:themeColor="text1"/>
        </w:rPr>
        <w:t xml:space="preserve">Ibid: s 3. </w:t>
      </w:r>
    </w:p>
  </w:footnote>
  <w:footnote w:id="108">
    <w:p w14:paraId="7BC35521" w14:textId="77777777" w:rsidR="007177F5" w:rsidRPr="00F41AE4" w:rsidRDefault="007177F5" w:rsidP="0088379E">
      <w:pPr>
        <w:pStyle w:val="FootnoteText"/>
        <w:rPr>
          <w:rFonts w:ascii="Baskerville" w:hAnsi="Baskerville"/>
          <w:color w:val="000000" w:themeColor="text1"/>
        </w:rPr>
      </w:pPr>
      <w:r w:rsidRPr="00F41AE4">
        <w:rPr>
          <w:rStyle w:val="FootnoteReference"/>
          <w:rFonts w:ascii="Baskerville" w:hAnsi="Baskerville"/>
          <w:color w:val="000000" w:themeColor="text1"/>
        </w:rPr>
        <w:footnoteRef/>
      </w:r>
      <w:r w:rsidRPr="00F41AE4">
        <w:rPr>
          <w:rFonts w:ascii="Baskerville" w:hAnsi="Baskerville"/>
          <w:color w:val="000000" w:themeColor="text1"/>
        </w:rPr>
        <w:t>The Constitution of the Democratic Socialist Republic of Sri Lanka (1978), art 156(A)(1)(c)</w:t>
      </w:r>
    </w:p>
  </w:footnote>
  <w:footnote w:id="109">
    <w:p w14:paraId="0FA5C64E" w14:textId="77777777" w:rsidR="007177F5" w:rsidRPr="00F41AE4" w:rsidRDefault="007177F5" w:rsidP="0088379E">
      <w:pPr>
        <w:pStyle w:val="FootnoteText"/>
        <w:spacing w:line="276" w:lineRule="auto"/>
        <w:jc w:val="both"/>
        <w:rPr>
          <w:rFonts w:ascii="Baskerville" w:hAnsi="Baskerville" w:cstheme="minorHAnsi"/>
          <w:color w:val="000000" w:themeColor="text1"/>
        </w:rPr>
      </w:pPr>
      <w:r w:rsidRPr="00F41AE4">
        <w:rPr>
          <w:rStyle w:val="FootnoteReference"/>
          <w:rFonts w:ascii="Baskerville" w:hAnsi="Baskerville" w:cstheme="minorHAnsi"/>
          <w:color w:val="000000" w:themeColor="text1"/>
        </w:rPr>
        <w:footnoteRef/>
      </w:r>
      <w:r w:rsidRPr="00F41AE4">
        <w:rPr>
          <w:rFonts w:ascii="Baskerville" w:hAnsi="Baskerville" w:cstheme="minorHAnsi"/>
          <w:color w:val="000000" w:themeColor="text1"/>
        </w:rPr>
        <w:t xml:space="preserve"> </w:t>
      </w:r>
      <w:r w:rsidRPr="00F41AE4">
        <w:rPr>
          <w:rFonts w:ascii="Baskerville" w:hAnsi="Baskerville"/>
          <w:color w:val="000000" w:themeColor="text1"/>
        </w:rPr>
        <w:t>Human Rights Commission of Sri Lanka Act No. 21 of 1996, s 10 (a) and (b).</w:t>
      </w:r>
    </w:p>
  </w:footnote>
  <w:footnote w:id="110">
    <w:p w14:paraId="65B566CA" w14:textId="77777777" w:rsidR="007177F5" w:rsidRPr="00F41AE4" w:rsidRDefault="007177F5" w:rsidP="0088379E">
      <w:pPr>
        <w:pStyle w:val="FootnoteText"/>
        <w:jc w:val="both"/>
        <w:rPr>
          <w:rFonts w:ascii="Baskerville" w:hAnsi="Baskerville"/>
          <w:color w:val="000000" w:themeColor="text1"/>
        </w:rPr>
      </w:pPr>
      <w:r w:rsidRPr="00F41AE4">
        <w:rPr>
          <w:rStyle w:val="FootnoteReference"/>
          <w:rFonts w:ascii="Baskerville" w:hAnsi="Baskerville"/>
          <w:color w:val="000000" w:themeColor="text1"/>
        </w:rPr>
        <w:footnoteRef/>
      </w:r>
      <w:r w:rsidRPr="00F41AE4">
        <w:rPr>
          <w:rFonts w:ascii="Baskerville" w:hAnsi="Baskerville"/>
          <w:color w:val="000000" w:themeColor="text1"/>
        </w:rPr>
        <w:t xml:space="preserve"> Human Rights Commission of Sri Lanka Act No. 21 of 1996, s 10 (f); For more information see, Human Rights Commission of Sri Lanka Strategic Plan 2017-2019 &lt;</w:t>
      </w:r>
      <w:hyperlink r:id="rId10" w:history="1">
        <w:r w:rsidRPr="00F41AE4">
          <w:rPr>
            <w:rStyle w:val="Hyperlink"/>
            <w:rFonts w:ascii="Baskerville" w:hAnsi="Baskerville"/>
            <w:color w:val="000000" w:themeColor="text1"/>
          </w:rPr>
          <w:t>https://www.hrcsl.lk/wp-content/uploads/2020/01/Sstrategic-Plan-of-HRCSL-2017-2019-1.pdf</w:t>
        </w:r>
      </w:hyperlink>
      <w:r w:rsidRPr="00F41AE4">
        <w:rPr>
          <w:rFonts w:ascii="Baskerville" w:hAnsi="Baskerville"/>
          <w:color w:val="000000" w:themeColor="text1"/>
        </w:rPr>
        <w:t>&gt; accessed 20</w:t>
      </w:r>
      <w:r w:rsidRPr="00F41AE4">
        <w:rPr>
          <w:rFonts w:ascii="Baskerville" w:hAnsi="Baskerville"/>
          <w:color w:val="000000" w:themeColor="text1"/>
          <w:vertAlign w:val="superscript"/>
        </w:rPr>
        <w:t>th</w:t>
      </w:r>
      <w:r w:rsidRPr="00F41AE4">
        <w:rPr>
          <w:rFonts w:ascii="Baskerville" w:hAnsi="Baskerville"/>
          <w:color w:val="000000" w:themeColor="text1"/>
        </w:rPr>
        <w:t xml:space="preserve"> October 2020</w:t>
      </w:r>
    </w:p>
  </w:footnote>
  <w:footnote w:id="111">
    <w:p w14:paraId="7B354605" w14:textId="77777777" w:rsidR="007177F5" w:rsidRPr="00F41AE4" w:rsidRDefault="007177F5" w:rsidP="0088379E">
      <w:pPr>
        <w:pStyle w:val="FootnoteText"/>
        <w:jc w:val="both"/>
        <w:rPr>
          <w:rFonts w:ascii="Baskerville" w:hAnsi="Baskerville"/>
          <w:color w:val="000000" w:themeColor="text1"/>
        </w:rPr>
      </w:pPr>
      <w:r w:rsidRPr="00F41AE4">
        <w:rPr>
          <w:rStyle w:val="FootnoteReference"/>
          <w:rFonts w:ascii="Baskerville" w:hAnsi="Baskerville"/>
          <w:color w:val="000000" w:themeColor="text1"/>
        </w:rPr>
        <w:footnoteRef/>
      </w:r>
      <w:r w:rsidRPr="00F41AE4">
        <w:rPr>
          <w:rFonts w:ascii="Baskerville" w:hAnsi="Baskerville"/>
          <w:color w:val="000000" w:themeColor="text1"/>
        </w:rPr>
        <w:t xml:space="preserve"> Samaratne n (12).</w:t>
      </w:r>
    </w:p>
  </w:footnote>
  <w:footnote w:id="112">
    <w:p w14:paraId="45CC2A92" w14:textId="77777777" w:rsidR="007177F5" w:rsidRPr="00F41AE4" w:rsidRDefault="007177F5" w:rsidP="0088379E">
      <w:pPr>
        <w:pStyle w:val="FootnoteText"/>
        <w:jc w:val="both"/>
        <w:rPr>
          <w:rFonts w:ascii="Baskerville" w:hAnsi="Baskerville"/>
          <w:color w:val="000000" w:themeColor="text1"/>
        </w:rPr>
      </w:pPr>
      <w:r w:rsidRPr="00F41AE4">
        <w:rPr>
          <w:rStyle w:val="FootnoteReference"/>
          <w:rFonts w:ascii="Baskerville" w:hAnsi="Baskerville"/>
          <w:color w:val="000000" w:themeColor="text1"/>
        </w:rPr>
        <w:footnoteRef/>
      </w:r>
      <w:r w:rsidRPr="00F41AE4">
        <w:rPr>
          <w:rFonts w:ascii="Baskerville" w:hAnsi="Baskerville"/>
          <w:color w:val="000000" w:themeColor="text1"/>
        </w:rPr>
        <w:t xml:space="preserve"> Deepika Udagama ‘The Politics of Domestic Implementation of International Human Rights Law: A Case Study of Sri Lanka’ [2015] 16 Asia Pacific Journal on Human Rights and the Law 104. </w:t>
      </w:r>
    </w:p>
  </w:footnote>
  <w:footnote w:id="113">
    <w:p w14:paraId="448A0D83" w14:textId="77777777" w:rsidR="007177F5" w:rsidRPr="00F41AE4" w:rsidRDefault="007177F5" w:rsidP="0088379E">
      <w:pPr>
        <w:pStyle w:val="FootnoteText"/>
        <w:spacing w:line="276" w:lineRule="auto"/>
        <w:jc w:val="both"/>
        <w:rPr>
          <w:rFonts w:ascii="Baskerville" w:hAnsi="Baskerville" w:cstheme="minorHAnsi"/>
          <w:color w:val="000000" w:themeColor="text1"/>
        </w:rPr>
      </w:pPr>
      <w:r w:rsidRPr="00F41AE4">
        <w:rPr>
          <w:rStyle w:val="FootnoteReference"/>
          <w:rFonts w:ascii="Baskerville" w:hAnsi="Baskerville" w:cstheme="minorHAnsi"/>
          <w:color w:val="000000" w:themeColor="text1"/>
        </w:rPr>
        <w:footnoteRef/>
      </w:r>
      <w:r w:rsidRPr="00F41AE4">
        <w:rPr>
          <w:rFonts w:ascii="Baskerville" w:hAnsi="Baskerville" w:cstheme="minorHAnsi"/>
          <w:color w:val="000000" w:themeColor="text1"/>
        </w:rPr>
        <w:t xml:space="preserve"> The Constitution of the Democratic Socialist Republic of Sri Lanka (1978), art 14A.</w:t>
      </w:r>
    </w:p>
  </w:footnote>
  <w:footnote w:id="114">
    <w:p w14:paraId="7F3538B2" w14:textId="77777777" w:rsidR="007177F5" w:rsidRPr="00F41AE4" w:rsidRDefault="007177F5" w:rsidP="0088379E">
      <w:pPr>
        <w:pStyle w:val="FootnoteText"/>
        <w:rPr>
          <w:rFonts w:ascii="Baskerville" w:hAnsi="Baskerville"/>
          <w:color w:val="000000" w:themeColor="text1"/>
        </w:rPr>
      </w:pPr>
      <w:r w:rsidRPr="00F41AE4">
        <w:rPr>
          <w:rStyle w:val="FootnoteReference"/>
          <w:rFonts w:ascii="Baskerville" w:hAnsi="Baskerville"/>
          <w:color w:val="000000" w:themeColor="text1"/>
        </w:rPr>
        <w:footnoteRef/>
      </w:r>
      <w:r w:rsidRPr="00F41AE4">
        <w:rPr>
          <w:rFonts w:ascii="Baskerville" w:hAnsi="Baskerville"/>
          <w:color w:val="000000" w:themeColor="text1"/>
        </w:rPr>
        <w:t xml:space="preserve"> Right to Information Act No. 12 of 2016, s 22, s 15, s 5, s 38.  </w:t>
      </w:r>
    </w:p>
  </w:footnote>
  <w:footnote w:id="115">
    <w:p w14:paraId="37CD0A43" w14:textId="77777777" w:rsidR="007177F5" w:rsidRPr="00F41AE4" w:rsidRDefault="007177F5" w:rsidP="0088379E">
      <w:pPr>
        <w:pStyle w:val="FootnoteText"/>
        <w:rPr>
          <w:rFonts w:ascii="Baskerville" w:hAnsi="Baskerville"/>
          <w:color w:val="000000" w:themeColor="text1"/>
        </w:rPr>
      </w:pPr>
      <w:r w:rsidRPr="00F41AE4">
        <w:rPr>
          <w:rStyle w:val="FootnoteReference"/>
          <w:rFonts w:ascii="Baskerville" w:hAnsi="Baskerville"/>
          <w:color w:val="000000" w:themeColor="text1"/>
        </w:rPr>
        <w:footnoteRef/>
      </w:r>
      <w:r w:rsidRPr="00F41AE4">
        <w:rPr>
          <w:rFonts w:ascii="Baskerville" w:hAnsi="Baskerville"/>
          <w:color w:val="000000" w:themeColor="text1"/>
        </w:rPr>
        <w:t xml:space="preserve"> Ibid: s 12.</w:t>
      </w:r>
    </w:p>
  </w:footnote>
  <w:footnote w:id="116">
    <w:p w14:paraId="500F8115" w14:textId="77777777" w:rsidR="007177F5" w:rsidRPr="00F41AE4" w:rsidRDefault="007177F5" w:rsidP="0088379E">
      <w:pPr>
        <w:pStyle w:val="FootnoteText"/>
        <w:rPr>
          <w:rFonts w:ascii="Baskerville" w:hAnsi="Baskerville"/>
          <w:color w:val="000000" w:themeColor="text1"/>
        </w:rPr>
      </w:pPr>
      <w:r w:rsidRPr="00F41AE4">
        <w:rPr>
          <w:rStyle w:val="FootnoteReference"/>
          <w:rFonts w:ascii="Baskerville" w:hAnsi="Baskerville"/>
          <w:color w:val="000000" w:themeColor="text1"/>
        </w:rPr>
        <w:footnoteRef/>
      </w:r>
      <w:r w:rsidRPr="00F41AE4">
        <w:rPr>
          <w:rFonts w:ascii="Baskerville" w:hAnsi="Baskerville"/>
          <w:color w:val="000000" w:themeColor="text1"/>
        </w:rPr>
        <w:t xml:space="preserve"> Ibid. </w:t>
      </w:r>
    </w:p>
  </w:footnote>
  <w:footnote w:id="117">
    <w:p w14:paraId="7DD7ED2C" w14:textId="77777777" w:rsidR="007177F5" w:rsidRPr="00F41AE4" w:rsidRDefault="007177F5" w:rsidP="0088379E">
      <w:pPr>
        <w:pStyle w:val="FootnoteText"/>
        <w:rPr>
          <w:rFonts w:ascii="Baskerville" w:hAnsi="Baskerville"/>
          <w:color w:val="000000" w:themeColor="text1"/>
        </w:rPr>
      </w:pPr>
      <w:r w:rsidRPr="00F41AE4">
        <w:rPr>
          <w:rStyle w:val="FootnoteReference"/>
          <w:rFonts w:ascii="Baskerville" w:hAnsi="Baskerville"/>
          <w:color w:val="000000" w:themeColor="text1"/>
        </w:rPr>
        <w:footnoteRef/>
      </w:r>
      <w:r w:rsidRPr="00F41AE4">
        <w:rPr>
          <w:rFonts w:ascii="Baskerville" w:hAnsi="Baskerville"/>
          <w:color w:val="000000" w:themeColor="text1"/>
        </w:rPr>
        <w:t xml:space="preserve"> The National Police Commission &lt; </w:t>
      </w:r>
      <w:hyperlink r:id="rId11" w:history="1">
        <w:r w:rsidRPr="00F41AE4">
          <w:rPr>
            <w:rStyle w:val="Hyperlink"/>
            <w:rFonts w:ascii="Baskerville" w:hAnsi="Baskerville"/>
            <w:color w:val="000000" w:themeColor="text1"/>
          </w:rPr>
          <w:t>https://www.npc.gov.lk/about/the-present-commission/</w:t>
        </w:r>
      </w:hyperlink>
      <w:r w:rsidRPr="00F41AE4">
        <w:rPr>
          <w:rFonts w:ascii="Baskerville" w:hAnsi="Baskerville"/>
          <w:color w:val="000000" w:themeColor="text1"/>
        </w:rPr>
        <w:t>&gt; accessed 20</w:t>
      </w:r>
      <w:r w:rsidRPr="00F41AE4">
        <w:rPr>
          <w:rFonts w:ascii="Baskerville" w:hAnsi="Baskerville"/>
          <w:color w:val="000000" w:themeColor="text1"/>
          <w:vertAlign w:val="superscript"/>
        </w:rPr>
        <w:t>th</w:t>
      </w:r>
      <w:r w:rsidRPr="00F41AE4">
        <w:rPr>
          <w:rFonts w:ascii="Baskerville" w:hAnsi="Baskerville"/>
          <w:color w:val="000000" w:themeColor="text1"/>
        </w:rPr>
        <w:t xml:space="preserve"> October 2020. </w:t>
      </w:r>
    </w:p>
  </w:footnote>
  <w:footnote w:id="118">
    <w:p w14:paraId="5FB2BC6D" w14:textId="77777777" w:rsidR="007177F5" w:rsidRPr="00F41AE4" w:rsidRDefault="007177F5" w:rsidP="0088379E">
      <w:pPr>
        <w:pStyle w:val="FootnoteText"/>
        <w:rPr>
          <w:rFonts w:ascii="Baskerville" w:hAnsi="Baskerville"/>
          <w:color w:val="000000" w:themeColor="text1"/>
        </w:rPr>
      </w:pPr>
      <w:r w:rsidRPr="00F41AE4">
        <w:rPr>
          <w:rStyle w:val="FootnoteReference"/>
          <w:rFonts w:ascii="Baskerville" w:hAnsi="Baskerville"/>
          <w:color w:val="000000" w:themeColor="text1"/>
        </w:rPr>
        <w:footnoteRef/>
      </w:r>
      <w:r w:rsidRPr="00F41AE4">
        <w:rPr>
          <w:rFonts w:ascii="Baskerville" w:hAnsi="Baskerville"/>
          <w:color w:val="000000" w:themeColor="text1"/>
        </w:rPr>
        <w:t xml:space="preserve"> Annual Report of the National Police Commission 2017. </w:t>
      </w:r>
    </w:p>
  </w:footnote>
  <w:footnote w:id="119">
    <w:p w14:paraId="66F37CC9" w14:textId="77777777" w:rsidR="007177F5" w:rsidRPr="00F41AE4" w:rsidRDefault="007177F5" w:rsidP="0088379E">
      <w:pPr>
        <w:pStyle w:val="FootnoteText"/>
        <w:rPr>
          <w:rFonts w:ascii="Baskerville" w:hAnsi="Baskerville"/>
          <w:color w:val="000000" w:themeColor="text1"/>
        </w:rPr>
      </w:pPr>
      <w:r w:rsidRPr="00F41AE4">
        <w:rPr>
          <w:rStyle w:val="FootnoteReference"/>
          <w:rFonts w:ascii="Baskerville" w:hAnsi="Baskerville"/>
          <w:color w:val="000000" w:themeColor="text1"/>
        </w:rPr>
        <w:footnoteRef/>
      </w:r>
      <w:r w:rsidRPr="00F41AE4">
        <w:rPr>
          <w:rFonts w:ascii="Baskerville" w:hAnsi="Baskerville"/>
          <w:color w:val="000000" w:themeColor="text1"/>
        </w:rPr>
        <w:t xml:space="preserve"> </w:t>
      </w:r>
      <w:r w:rsidRPr="00F41AE4">
        <w:rPr>
          <w:rStyle w:val="FootnoteReference"/>
          <w:rFonts w:ascii="Baskerville" w:hAnsi="Baskerville"/>
          <w:color w:val="000000" w:themeColor="text1"/>
        </w:rPr>
        <w:footnoteRef/>
      </w:r>
      <w:r w:rsidRPr="00F41AE4">
        <w:rPr>
          <w:rFonts w:ascii="Baskerville" w:hAnsi="Baskerville"/>
          <w:color w:val="000000" w:themeColor="text1"/>
        </w:rPr>
        <w:t xml:space="preserve"> The National Police Commission &lt; </w:t>
      </w:r>
      <w:hyperlink r:id="rId12" w:history="1">
        <w:r w:rsidRPr="00F41AE4">
          <w:rPr>
            <w:rStyle w:val="Hyperlink"/>
            <w:rFonts w:ascii="Baskerville" w:hAnsi="Baskerville"/>
            <w:color w:val="000000" w:themeColor="text1"/>
          </w:rPr>
          <w:t>https://www.npc.gov.lk/about/the-present-commission/</w:t>
        </w:r>
      </w:hyperlink>
      <w:r w:rsidRPr="00F41AE4">
        <w:rPr>
          <w:rFonts w:ascii="Baskerville" w:hAnsi="Baskerville"/>
          <w:color w:val="000000" w:themeColor="text1"/>
        </w:rPr>
        <w:t>&gt; accessed 20</w:t>
      </w:r>
      <w:r w:rsidRPr="00F41AE4">
        <w:rPr>
          <w:rFonts w:ascii="Baskerville" w:hAnsi="Baskerville"/>
          <w:color w:val="000000" w:themeColor="text1"/>
          <w:vertAlign w:val="superscript"/>
        </w:rPr>
        <w:t>th</w:t>
      </w:r>
      <w:r w:rsidRPr="00F41AE4">
        <w:rPr>
          <w:rFonts w:ascii="Baskerville" w:hAnsi="Baskerville"/>
          <w:color w:val="000000" w:themeColor="text1"/>
        </w:rPr>
        <w:t xml:space="preserve"> October 2020.</w:t>
      </w:r>
    </w:p>
  </w:footnote>
  <w:footnote w:id="120">
    <w:p w14:paraId="26070709" w14:textId="77777777" w:rsidR="007177F5" w:rsidRPr="00F41AE4" w:rsidRDefault="007177F5" w:rsidP="0088379E">
      <w:pPr>
        <w:pStyle w:val="FootnoteText"/>
        <w:rPr>
          <w:rFonts w:ascii="Baskerville" w:hAnsi="Baskerville"/>
          <w:color w:val="000000" w:themeColor="text1"/>
        </w:rPr>
      </w:pPr>
      <w:r w:rsidRPr="00F41AE4">
        <w:rPr>
          <w:rStyle w:val="FootnoteReference"/>
          <w:rFonts w:ascii="Baskerville" w:hAnsi="Baskerville"/>
          <w:color w:val="000000" w:themeColor="text1"/>
        </w:rPr>
        <w:footnoteRef/>
      </w:r>
      <w:r w:rsidRPr="00F41AE4">
        <w:rPr>
          <w:rFonts w:ascii="Baskerville" w:hAnsi="Baskerville"/>
          <w:color w:val="000000" w:themeColor="text1"/>
        </w:rPr>
        <w:t xml:space="preserve"> </w:t>
      </w:r>
      <w:r w:rsidRPr="00F41AE4">
        <w:rPr>
          <w:rFonts w:ascii="Baskerville" w:hAnsi="Baskerville" w:cstheme="minorHAnsi"/>
          <w:color w:val="000000" w:themeColor="text1"/>
        </w:rPr>
        <w:t xml:space="preserve">The Constitution of the Democratic Socialist Republic of Sri Lanka 1978, art 155. </w:t>
      </w:r>
    </w:p>
  </w:footnote>
  <w:footnote w:id="121">
    <w:p w14:paraId="76A599D7" w14:textId="77777777" w:rsidR="007177F5" w:rsidRPr="00F41AE4" w:rsidRDefault="007177F5" w:rsidP="0088379E">
      <w:pPr>
        <w:pStyle w:val="FootnoteText"/>
        <w:rPr>
          <w:rFonts w:ascii="Baskerville" w:hAnsi="Baskerville"/>
          <w:color w:val="000000" w:themeColor="text1"/>
        </w:rPr>
      </w:pPr>
      <w:r w:rsidRPr="00F41AE4">
        <w:rPr>
          <w:rStyle w:val="FootnoteReference"/>
          <w:rFonts w:ascii="Baskerville" w:hAnsi="Baskerville"/>
          <w:color w:val="000000" w:themeColor="text1"/>
        </w:rPr>
        <w:footnoteRef/>
      </w:r>
      <w:r w:rsidRPr="00F41AE4">
        <w:rPr>
          <w:rFonts w:ascii="Baskerville" w:hAnsi="Baskerville"/>
          <w:color w:val="000000" w:themeColor="text1"/>
        </w:rPr>
        <w:t xml:space="preserve"> </w:t>
      </w:r>
      <w:r w:rsidRPr="00F41AE4">
        <w:rPr>
          <w:rFonts w:ascii="Baskerville" w:hAnsi="Baskerville" w:cstheme="minorHAnsi"/>
          <w:color w:val="000000" w:themeColor="text1"/>
        </w:rPr>
        <w:t xml:space="preserve">Ibid: art 104B (1). </w:t>
      </w:r>
    </w:p>
  </w:footnote>
  <w:footnote w:id="122">
    <w:p w14:paraId="4A0BC870" w14:textId="77777777" w:rsidR="007177F5" w:rsidRPr="00F41AE4" w:rsidRDefault="007177F5" w:rsidP="0088379E">
      <w:pPr>
        <w:pStyle w:val="FootnoteText"/>
        <w:rPr>
          <w:rFonts w:ascii="Baskerville" w:hAnsi="Baskerville"/>
          <w:color w:val="000000" w:themeColor="text1"/>
        </w:rPr>
      </w:pPr>
      <w:r w:rsidRPr="00F41AE4">
        <w:rPr>
          <w:rStyle w:val="FootnoteReference"/>
          <w:rFonts w:ascii="Baskerville" w:hAnsi="Baskerville"/>
          <w:color w:val="000000" w:themeColor="text1"/>
        </w:rPr>
        <w:footnoteRef/>
      </w:r>
      <w:r w:rsidRPr="00F41AE4">
        <w:rPr>
          <w:rFonts w:ascii="Baskerville" w:hAnsi="Baskerville"/>
          <w:color w:val="000000" w:themeColor="text1"/>
        </w:rPr>
        <w:t xml:space="preserve"> Ibid. </w:t>
      </w:r>
    </w:p>
  </w:footnote>
  <w:footnote w:id="123">
    <w:p w14:paraId="411549ED" w14:textId="77777777" w:rsidR="007177F5" w:rsidRPr="00F41AE4" w:rsidRDefault="007177F5" w:rsidP="0088379E">
      <w:pPr>
        <w:pStyle w:val="FootnoteText"/>
        <w:spacing w:line="276" w:lineRule="auto"/>
        <w:jc w:val="both"/>
        <w:rPr>
          <w:rFonts w:ascii="Baskerville" w:hAnsi="Baskerville" w:cstheme="minorHAnsi"/>
          <w:color w:val="000000" w:themeColor="text1"/>
        </w:rPr>
      </w:pPr>
      <w:r w:rsidRPr="00F41AE4">
        <w:rPr>
          <w:rStyle w:val="FootnoteReference"/>
          <w:rFonts w:ascii="Baskerville" w:hAnsi="Baskerville" w:cstheme="minorHAnsi"/>
          <w:color w:val="000000" w:themeColor="text1"/>
        </w:rPr>
        <w:footnoteRef/>
      </w:r>
      <w:r w:rsidRPr="00F41AE4">
        <w:rPr>
          <w:rFonts w:ascii="Baskerville" w:hAnsi="Baskerville" w:cstheme="minorHAnsi"/>
          <w:color w:val="000000" w:themeColor="text1"/>
        </w:rPr>
        <w:t xml:space="preserve"> Ibid: art 104B (4).</w:t>
      </w:r>
    </w:p>
  </w:footnote>
  <w:footnote w:id="124">
    <w:p w14:paraId="68C1EFBF" w14:textId="77777777" w:rsidR="007177F5" w:rsidRPr="00F41AE4" w:rsidRDefault="007177F5" w:rsidP="0088379E">
      <w:pPr>
        <w:pStyle w:val="FootnoteText"/>
        <w:spacing w:line="276" w:lineRule="auto"/>
        <w:jc w:val="both"/>
        <w:rPr>
          <w:rFonts w:ascii="Baskerville" w:hAnsi="Baskerville" w:cstheme="minorHAnsi"/>
          <w:color w:val="000000" w:themeColor="text1"/>
        </w:rPr>
      </w:pPr>
      <w:r w:rsidRPr="00F41AE4">
        <w:rPr>
          <w:rStyle w:val="FootnoteReference"/>
          <w:rFonts w:ascii="Baskerville" w:hAnsi="Baskerville" w:cstheme="minorHAnsi"/>
          <w:color w:val="000000" w:themeColor="text1"/>
        </w:rPr>
        <w:footnoteRef/>
      </w:r>
      <w:r w:rsidRPr="00F41AE4">
        <w:rPr>
          <w:rFonts w:ascii="Baskerville" w:hAnsi="Baskerville" w:cstheme="minorHAnsi"/>
          <w:color w:val="000000" w:themeColor="text1"/>
        </w:rPr>
        <w:t xml:space="preserve"> Ibid: art 104GG. </w:t>
      </w:r>
    </w:p>
  </w:footnote>
  <w:footnote w:id="125">
    <w:p w14:paraId="73176CBE" w14:textId="77777777" w:rsidR="007177F5" w:rsidRPr="00F41AE4" w:rsidRDefault="007177F5" w:rsidP="0088379E">
      <w:pPr>
        <w:pStyle w:val="FootnoteText"/>
        <w:rPr>
          <w:rFonts w:ascii="Baskerville" w:hAnsi="Baskerville"/>
          <w:color w:val="000000" w:themeColor="text1"/>
        </w:rPr>
      </w:pPr>
      <w:r w:rsidRPr="00F41AE4">
        <w:rPr>
          <w:rStyle w:val="FootnoteReference"/>
          <w:rFonts w:ascii="Baskerville" w:hAnsi="Baskerville"/>
          <w:color w:val="000000" w:themeColor="text1"/>
        </w:rPr>
        <w:footnoteRef/>
      </w:r>
      <w:r w:rsidRPr="00F41AE4">
        <w:rPr>
          <w:rFonts w:ascii="Baskerville" w:hAnsi="Baskerville"/>
          <w:color w:val="000000" w:themeColor="text1"/>
        </w:rPr>
        <w:t xml:space="preserve"> Ibid: art 103 (1).</w:t>
      </w:r>
    </w:p>
  </w:footnote>
  <w:footnote w:id="126">
    <w:p w14:paraId="64B3A69D" w14:textId="77777777" w:rsidR="007177F5" w:rsidRPr="00F41AE4" w:rsidRDefault="007177F5" w:rsidP="0088379E">
      <w:pPr>
        <w:pStyle w:val="FootnoteText"/>
        <w:rPr>
          <w:rFonts w:ascii="Baskerville" w:hAnsi="Baskerville"/>
          <w:color w:val="000000" w:themeColor="text1"/>
        </w:rPr>
      </w:pPr>
      <w:r w:rsidRPr="00F41AE4">
        <w:rPr>
          <w:rStyle w:val="FootnoteReference"/>
          <w:rFonts w:ascii="Baskerville" w:hAnsi="Baskerville"/>
          <w:color w:val="000000" w:themeColor="text1"/>
        </w:rPr>
        <w:footnoteRef/>
      </w:r>
      <w:r w:rsidRPr="00F41AE4">
        <w:rPr>
          <w:rFonts w:ascii="Baskerville" w:hAnsi="Baskerville"/>
          <w:color w:val="000000" w:themeColor="text1"/>
        </w:rPr>
        <w:t xml:space="preserve"> </w:t>
      </w:r>
      <w:r w:rsidRPr="00F41AE4">
        <w:rPr>
          <w:rFonts w:ascii="Baskerville" w:hAnsi="Baskerville" w:cstheme="minorHAnsi"/>
          <w:color w:val="000000" w:themeColor="text1"/>
        </w:rPr>
        <w:t>The Constitution of the Democratic Socialist Republic of Sri Lanka 1978, art 103(1)</w:t>
      </w:r>
      <w:r w:rsidRPr="00F41AE4">
        <w:rPr>
          <w:rFonts w:ascii="Baskerville" w:hAnsi="Baskerville"/>
          <w:color w:val="000000" w:themeColor="text1"/>
        </w:rPr>
        <w:t xml:space="preserve">. </w:t>
      </w:r>
    </w:p>
  </w:footnote>
  <w:footnote w:id="127">
    <w:p w14:paraId="5B0BBCF6" w14:textId="77777777" w:rsidR="007177F5" w:rsidRPr="00F41AE4" w:rsidRDefault="007177F5" w:rsidP="0088379E">
      <w:pPr>
        <w:pStyle w:val="FootnoteText"/>
        <w:rPr>
          <w:rFonts w:ascii="Baskerville" w:hAnsi="Baskerville"/>
          <w:color w:val="000000" w:themeColor="text1"/>
        </w:rPr>
      </w:pPr>
      <w:r w:rsidRPr="00F41AE4">
        <w:rPr>
          <w:rStyle w:val="FootnoteReference"/>
          <w:rFonts w:ascii="Baskerville" w:hAnsi="Baskerville"/>
          <w:color w:val="000000" w:themeColor="text1"/>
        </w:rPr>
        <w:footnoteRef/>
      </w:r>
      <w:r w:rsidRPr="00F41AE4">
        <w:rPr>
          <w:rFonts w:ascii="Baskerville" w:hAnsi="Baskerville"/>
          <w:color w:val="000000" w:themeColor="text1"/>
        </w:rPr>
        <w:t xml:space="preserve"> Ibid: art 54. </w:t>
      </w:r>
    </w:p>
  </w:footnote>
  <w:footnote w:id="128">
    <w:p w14:paraId="6C5D00BB" w14:textId="77777777" w:rsidR="007177F5" w:rsidRPr="00F41AE4" w:rsidRDefault="007177F5" w:rsidP="0088379E">
      <w:pPr>
        <w:pStyle w:val="FootnoteText"/>
        <w:rPr>
          <w:rFonts w:ascii="Baskerville" w:hAnsi="Baskerville"/>
          <w:color w:val="000000" w:themeColor="text1"/>
        </w:rPr>
      </w:pPr>
      <w:r w:rsidRPr="00F41AE4">
        <w:rPr>
          <w:rStyle w:val="FootnoteReference"/>
          <w:rFonts w:ascii="Baskerville" w:hAnsi="Baskerville"/>
          <w:color w:val="000000" w:themeColor="text1"/>
        </w:rPr>
        <w:footnoteRef/>
      </w:r>
      <w:r w:rsidRPr="00F41AE4">
        <w:rPr>
          <w:rFonts w:ascii="Baskerville" w:hAnsi="Baskerville"/>
          <w:color w:val="000000" w:themeColor="text1"/>
        </w:rPr>
        <w:t xml:space="preserve"> Ibid. </w:t>
      </w:r>
    </w:p>
  </w:footnote>
  <w:footnote w:id="129">
    <w:p w14:paraId="46F1FE32" w14:textId="77777777" w:rsidR="007177F5" w:rsidRPr="00F41AE4" w:rsidRDefault="007177F5" w:rsidP="0088379E">
      <w:pPr>
        <w:pStyle w:val="FootnoteText"/>
        <w:spacing w:line="276" w:lineRule="auto"/>
        <w:jc w:val="both"/>
        <w:rPr>
          <w:rFonts w:ascii="Baskerville" w:hAnsi="Baskerville" w:cstheme="minorHAnsi"/>
          <w:color w:val="000000" w:themeColor="text1"/>
        </w:rPr>
      </w:pPr>
      <w:r w:rsidRPr="00F41AE4">
        <w:rPr>
          <w:rStyle w:val="FootnoteReference"/>
          <w:rFonts w:ascii="Baskerville" w:hAnsi="Baskerville" w:cstheme="minorHAnsi"/>
          <w:color w:val="000000" w:themeColor="text1"/>
        </w:rPr>
        <w:footnoteRef/>
      </w:r>
      <w:r w:rsidRPr="00F41AE4">
        <w:rPr>
          <w:rFonts w:ascii="Baskerville" w:hAnsi="Baskerville" w:cstheme="minorHAnsi"/>
          <w:color w:val="000000" w:themeColor="text1"/>
        </w:rPr>
        <w:t xml:space="preserve"> Ibid: art 59 (1).</w:t>
      </w:r>
    </w:p>
  </w:footnote>
  <w:footnote w:id="130">
    <w:p w14:paraId="4CB18C2B" w14:textId="77777777" w:rsidR="007177F5" w:rsidRPr="00F41AE4" w:rsidRDefault="007177F5" w:rsidP="0088379E">
      <w:pPr>
        <w:pStyle w:val="FootnoteText"/>
        <w:rPr>
          <w:rFonts w:ascii="Baskerville" w:hAnsi="Baskerville"/>
          <w:color w:val="000000" w:themeColor="text1"/>
        </w:rPr>
      </w:pPr>
      <w:r w:rsidRPr="00F41AE4">
        <w:rPr>
          <w:rStyle w:val="FootnoteReference"/>
          <w:rFonts w:ascii="Baskerville" w:hAnsi="Baskerville"/>
          <w:color w:val="000000" w:themeColor="text1"/>
        </w:rPr>
        <w:footnoteRef/>
      </w:r>
      <w:r w:rsidRPr="00F41AE4">
        <w:rPr>
          <w:rFonts w:ascii="Baskerville" w:hAnsi="Baskerville"/>
          <w:color w:val="000000" w:themeColor="text1"/>
        </w:rPr>
        <w:t xml:space="preserve"> Legal Aid Act No. 27 of 1978, s 3. </w:t>
      </w:r>
    </w:p>
  </w:footnote>
  <w:footnote w:id="131">
    <w:p w14:paraId="525B3CD0" w14:textId="77777777" w:rsidR="007177F5" w:rsidRPr="00F41AE4" w:rsidRDefault="007177F5" w:rsidP="0088379E">
      <w:pPr>
        <w:pStyle w:val="FootnoteText"/>
        <w:rPr>
          <w:rFonts w:ascii="Baskerville" w:hAnsi="Baskerville"/>
          <w:color w:val="000000" w:themeColor="text1"/>
        </w:rPr>
      </w:pPr>
      <w:r w:rsidRPr="00F41AE4">
        <w:rPr>
          <w:rStyle w:val="FootnoteReference"/>
          <w:rFonts w:ascii="Baskerville" w:hAnsi="Baskerville"/>
          <w:color w:val="000000" w:themeColor="text1"/>
        </w:rPr>
        <w:footnoteRef/>
      </w:r>
      <w:r w:rsidRPr="00F41AE4">
        <w:rPr>
          <w:rFonts w:ascii="Baskerville" w:hAnsi="Baskerville"/>
          <w:color w:val="000000" w:themeColor="text1"/>
        </w:rPr>
        <w:t xml:space="preserve"> Ibid: s 3. </w:t>
      </w:r>
    </w:p>
  </w:footnote>
  <w:footnote w:id="132">
    <w:p w14:paraId="1138E6AF" w14:textId="77777777" w:rsidR="007177F5" w:rsidRPr="00F41AE4" w:rsidRDefault="007177F5" w:rsidP="0088379E">
      <w:pPr>
        <w:pStyle w:val="FootnoteText"/>
        <w:rPr>
          <w:rFonts w:ascii="Baskerville" w:hAnsi="Baskerville"/>
          <w:color w:val="000000" w:themeColor="text1"/>
        </w:rPr>
      </w:pPr>
      <w:r w:rsidRPr="00F41AE4">
        <w:rPr>
          <w:rStyle w:val="FootnoteReference"/>
          <w:rFonts w:ascii="Baskerville" w:hAnsi="Baskerville"/>
          <w:color w:val="000000" w:themeColor="text1"/>
        </w:rPr>
        <w:footnoteRef/>
      </w:r>
      <w:r w:rsidRPr="00F41AE4">
        <w:rPr>
          <w:rFonts w:ascii="Baskerville" w:hAnsi="Baskerville"/>
          <w:color w:val="000000" w:themeColor="text1"/>
        </w:rPr>
        <w:t xml:space="preserve"> Ibid: s 4. </w:t>
      </w:r>
    </w:p>
  </w:footnote>
  <w:footnote w:id="133">
    <w:p w14:paraId="4EF6895C" w14:textId="77777777" w:rsidR="007177F5" w:rsidRPr="00F41AE4" w:rsidRDefault="007177F5" w:rsidP="0088379E">
      <w:pPr>
        <w:pStyle w:val="FootnoteText"/>
        <w:rPr>
          <w:rFonts w:ascii="Baskerville" w:hAnsi="Baskerville"/>
          <w:color w:val="000000" w:themeColor="text1"/>
        </w:rPr>
      </w:pPr>
      <w:r w:rsidRPr="00F41AE4">
        <w:rPr>
          <w:rStyle w:val="FootnoteReference"/>
          <w:rFonts w:ascii="Baskerville" w:hAnsi="Baskerville"/>
          <w:color w:val="000000" w:themeColor="text1"/>
        </w:rPr>
        <w:footnoteRef/>
      </w:r>
      <w:r w:rsidRPr="00F41AE4">
        <w:rPr>
          <w:rFonts w:ascii="Baskerville" w:hAnsi="Baskerville"/>
          <w:color w:val="000000" w:themeColor="text1"/>
        </w:rPr>
        <w:t xml:space="preserve"> Assistance to and Protection of Victims of Crime and Witnesses Act No. 04 of 2015, s 2. </w:t>
      </w:r>
    </w:p>
  </w:footnote>
  <w:footnote w:id="134">
    <w:p w14:paraId="63007AB1" w14:textId="77777777" w:rsidR="007177F5" w:rsidRPr="00F41AE4" w:rsidRDefault="007177F5" w:rsidP="0088379E">
      <w:pPr>
        <w:pStyle w:val="FootnoteText"/>
        <w:rPr>
          <w:rFonts w:ascii="Baskerville" w:hAnsi="Baskerville"/>
          <w:color w:val="000000" w:themeColor="text1"/>
        </w:rPr>
      </w:pPr>
      <w:r w:rsidRPr="00F41AE4">
        <w:rPr>
          <w:rStyle w:val="FootnoteReference"/>
          <w:rFonts w:ascii="Baskerville" w:hAnsi="Baskerville"/>
          <w:color w:val="000000" w:themeColor="text1"/>
        </w:rPr>
        <w:footnoteRef/>
      </w:r>
      <w:r w:rsidRPr="00F41AE4">
        <w:rPr>
          <w:rFonts w:ascii="Baskerville" w:hAnsi="Baskerville"/>
          <w:color w:val="000000" w:themeColor="text1"/>
        </w:rPr>
        <w:t xml:space="preserve"> Ibid, s 12(1)(b). </w:t>
      </w:r>
    </w:p>
  </w:footnote>
  <w:footnote w:id="135">
    <w:p w14:paraId="246FC433" w14:textId="77777777" w:rsidR="007177F5" w:rsidRPr="00F41AE4" w:rsidRDefault="007177F5" w:rsidP="0088379E">
      <w:pPr>
        <w:pStyle w:val="FootnoteText"/>
        <w:rPr>
          <w:rFonts w:ascii="Baskerville" w:hAnsi="Baskerville"/>
          <w:color w:val="000000" w:themeColor="text1"/>
        </w:rPr>
      </w:pPr>
      <w:r w:rsidRPr="00F41AE4">
        <w:rPr>
          <w:rStyle w:val="FootnoteReference"/>
          <w:rFonts w:ascii="Baskerville" w:hAnsi="Baskerville"/>
          <w:color w:val="000000" w:themeColor="text1"/>
        </w:rPr>
        <w:footnoteRef/>
      </w:r>
      <w:r w:rsidRPr="00F41AE4">
        <w:rPr>
          <w:rFonts w:ascii="Baskerville" w:hAnsi="Baskerville"/>
          <w:color w:val="000000" w:themeColor="text1"/>
        </w:rPr>
        <w:t xml:space="preserve"> Office of Missing Persons Act No 14 of 2016, s 12. </w:t>
      </w:r>
    </w:p>
  </w:footnote>
  <w:footnote w:id="136">
    <w:p w14:paraId="6EC6A194" w14:textId="77777777" w:rsidR="007177F5" w:rsidRPr="00F41AE4" w:rsidRDefault="007177F5" w:rsidP="0088379E">
      <w:pPr>
        <w:pStyle w:val="FootnoteText"/>
        <w:rPr>
          <w:rFonts w:ascii="Baskerville" w:hAnsi="Baskerville"/>
          <w:color w:val="000000" w:themeColor="text1"/>
        </w:rPr>
      </w:pPr>
      <w:r w:rsidRPr="00F41AE4">
        <w:rPr>
          <w:rStyle w:val="FootnoteReference"/>
          <w:rFonts w:ascii="Baskerville" w:hAnsi="Baskerville"/>
          <w:color w:val="000000" w:themeColor="text1"/>
        </w:rPr>
        <w:footnoteRef/>
      </w:r>
      <w:r w:rsidRPr="00F41AE4">
        <w:rPr>
          <w:rFonts w:ascii="Baskerville" w:hAnsi="Baskerville"/>
          <w:color w:val="000000" w:themeColor="text1"/>
        </w:rPr>
        <w:t xml:space="preserve"> Ibid: s 27.</w:t>
      </w:r>
    </w:p>
  </w:footnote>
  <w:footnote w:id="137">
    <w:p w14:paraId="5531AECA" w14:textId="77777777" w:rsidR="007177F5" w:rsidRPr="00F41AE4" w:rsidRDefault="007177F5" w:rsidP="0088379E">
      <w:pPr>
        <w:pStyle w:val="FootnoteText"/>
        <w:rPr>
          <w:rFonts w:ascii="Baskerville" w:hAnsi="Baskerville"/>
          <w:color w:val="000000" w:themeColor="text1"/>
        </w:rPr>
      </w:pPr>
      <w:r w:rsidRPr="00F41AE4">
        <w:rPr>
          <w:rStyle w:val="FootnoteReference"/>
          <w:rFonts w:ascii="Baskerville" w:hAnsi="Baskerville"/>
          <w:color w:val="000000" w:themeColor="text1"/>
        </w:rPr>
        <w:footnoteRef/>
      </w:r>
      <w:r w:rsidRPr="00F41AE4">
        <w:rPr>
          <w:rFonts w:ascii="Baskerville" w:hAnsi="Baskerville"/>
          <w:color w:val="000000" w:themeColor="text1"/>
        </w:rPr>
        <w:t xml:space="preserve"> Ibid. </w:t>
      </w:r>
    </w:p>
  </w:footnote>
  <w:footnote w:id="138">
    <w:p w14:paraId="6E0B5751" w14:textId="77777777" w:rsidR="007177F5" w:rsidRPr="00F41AE4" w:rsidRDefault="007177F5" w:rsidP="0088379E">
      <w:pPr>
        <w:pStyle w:val="FootnoteText"/>
        <w:rPr>
          <w:rFonts w:ascii="Baskerville" w:hAnsi="Baskerville"/>
          <w:color w:val="000000" w:themeColor="text1"/>
        </w:rPr>
      </w:pPr>
      <w:r w:rsidRPr="00F41AE4">
        <w:rPr>
          <w:rStyle w:val="FootnoteReference"/>
          <w:rFonts w:ascii="Baskerville" w:hAnsi="Baskerville"/>
          <w:color w:val="000000" w:themeColor="text1"/>
        </w:rPr>
        <w:footnoteRef/>
      </w:r>
      <w:r w:rsidRPr="00F41AE4">
        <w:rPr>
          <w:rFonts w:ascii="Baskerville" w:hAnsi="Baskerville"/>
          <w:color w:val="000000" w:themeColor="text1"/>
        </w:rPr>
        <w:t xml:space="preserve"> Office of Missing Persons Act No 14 of 2016, s 4(1)(a).</w:t>
      </w:r>
    </w:p>
  </w:footnote>
  <w:footnote w:id="139">
    <w:p w14:paraId="4421B9C2" w14:textId="77777777" w:rsidR="007177F5" w:rsidRPr="00F41AE4" w:rsidRDefault="007177F5" w:rsidP="0088379E">
      <w:pPr>
        <w:pStyle w:val="FootnoteText"/>
        <w:rPr>
          <w:rFonts w:ascii="Baskerville" w:hAnsi="Baskerville"/>
          <w:color w:val="000000" w:themeColor="text1"/>
        </w:rPr>
      </w:pPr>
      <w:r w:rsidRPr="00F41AE4">
        <w:rPr>
          <w:rStyle w:val="FootnoteReference"/>
          <w:rFonts w:ascii="Baskerville" w:hAnsi="Baskerville"/>
          <w:color w:val="000000" w:themeColor="text1"/>
        </w:rPr>
        <w:footnoteRef/>
      </w:r>
      <w:r w:rsidRPr="00F41AE4">
        <w:rPr>
          <w:rFonts w:ascii="Baskerville" w:hAnsi="Baskerville"/>
          <w:color w:val="000000" w:themeColor="text1"/>
        </w:rPr>
        <w:t xml:space="preserve"> Ibid, s 4(2)(a) and (b). </w:t>
      </w:r>
    </w:p>
  </w:footnote>
  <w:footnote w:id="140">
    <w:p w14:paraId="5CE020B7" w14:textId="77777777" w:rsidR="007177F5" w:rsidRPr="000B7CB6" w:rsidRDefault="007177F5" w:rsidP="0088379E">
      <w:pPr>
        <w:pStyle w:val="FootnoteText"/>
        <w:rPr>
          <w:rFonts w:ascii="Baskerville" w:hAnsi="Baskerville"/>
          <w:color w:val="000000" w:themeColor="text1"/>
        </w:rPr>
      </w:pPr>
      <w:r w:rsidRPr="00F41AE4">
        <w:rPr>
          <w:rStyle w:val="FootnoteReference"/>
          <w:rFonts w:ascii="Baskerville" w:hAnsi="Baskerville"/>
          <w:color w:val="000000" w:themeColor="text1"/>
        </w:rPr>
        <w:footnoteRef/>
      </w:r>
      <w:r w:rsidRPr="00F41AE4">
        <w:rPr>
          <w:rFonts w:ascii="Baskerville" w:hAnsi="Baskerville"/>
          <w:color w:val="000000" w:themeColor="text1"/>
        </w:rPr>
        <w:t xml:space="preserve"> </w:t>
      </w:r>
      <w:r>
        <w:rPr>
          <w:rFonts w:ascii="Baskerville" w:hAnsi="Baskerville"/>
          <w:color w:val="000000" w:themeColor="text1"/>
        </w:rPr>
        <w:t>Gazette Extraordinary Notification No 2194/74 dated 25th September 2020. &lt;</w:t>
      </w:r>
      <w:r w:rsidRPr="00A22C1E">
        <w:t xml:space="preserve"> </w:t>
      </w:r>
      <w:r w:rsidRPr="00A22C1E">
        <w:rPr>
          <w:rFonts w:ascii="Baskerville" w:hAnsi="Baskerville"/>
          <w:color w:val="000000" w:themeColor="text1"/>
        </w:rPr>
        <w:t>http://www.cabinetoffice.gov.lk/cab/images/Downloads/functions_2020-09-25_E.pdf</w:t>
      </w:r>
      <w:r>
        <w:rPr>
          <w:rFonts w:ascii="Baskerville" w:hAnsi="Baskerville"/>
          <w:color w:val="000000" w:themeColor="text1"/>
        </w:rPr>
        <w:t>&gt; &lt;</w:t>
      </w:r>
      <w:r w:rsidRPr="00F41AE4">
        <w:rPr>
          <w:rFonts w:ascii="Baskerville" w:hAnsi="Baskerville"/>
          <w:color w:val="000000" w:themeColor="text1"/>
        </w:rPr>
        <w:t>https://economynext.com/opinion-not-having-a-cabinet-level-ministry-dealing-with-women-and-childrens-needs-is-regressive-73059/</w:t>
      </w:r>
      <w:r>
        <w:rPr>
          <w:rFonts w:ascii="Baskerville" w:hAnsi="Baskerville"/>
          <w:color w:val="000000" w:themeColor="text1"/>
        </w:rPr>
        <w:t>&gt; accessed 20</w:t>
      </w:r>
      <w:r w:rsidRPr="000B7CB6">
        <w:rPr>
          <w:rFonts w:ascii="Baskerville" w:hAnsi="Baskerville"/>
          <w:color w:val="000000" w:themeColor="text1"/>
          <w:vertAlign w:val="superscript"/>
        </w:rPr>
        <w:t>th</w:t>
      </w:r>
      <w:r>
        <w:rPr>
          <w:rFonts w:ascii="Baskerville" w:hAnsi="Baskerville"/>
          <w:color w:val="000000" w:themeColor="text1"/>
        </w:rPr>
        <w:t xml:space="preserve"> October 2020. </w:t>
      </w:r>
    </w:p>
  </w:footnote>
  <w:footnote w:id="141">
    <w:p w14:paraId="1D53F322" w14:textId="77777777" w:rsidR="007177F5" w:rsidRPr="00F41AE4" w:rsidRDefault="007177F5" w:rsidP="0088379E">
      <w:pPr>
        <w:pStyle w:val="FootnoteText"/>
        <w:rPr>
          <w:rFonts w:ascii="Baskerville" w:hAnsi="Baskerville"/>
          <w:color w:val="000000" w:themeColor="text1"/>
        </w:rPr>
      </w:pPr>
      <w:r w:rsidRPr="00F41AE4">
        <w:rPr>
          <w:rStyle w:val="FootnoteReference"/>
          <w:rFonts w:ascii="Baskerville" w:hAnsi="Baskerville"/>
          <w:color w:val="000000" w:themeColor="text1"/>
        </w:rPr>
        <w:footnoteRef/>
      </w:r>
      <w:r w:rsidRPr="00F41AE4">
        <w:rPr>
          <w:rFonts w:ascii="Baskerville" w:hAnsi="Baskerville"/>
          <w:color w:val="000000" w:themeColor="text1"/>
        </w:rPr>
        <w:t xml:space="preserve"> State Ministry of Women and Child Development, Pre-schools and Primary Education, School Infrastructure and Education Services &lt;http://www.childwomenmin.gov.lk/about/overview&gt; accessed 20</w:t>
      </w:r>
      <w:r w:rsidRPr="00F41AE4">
        <w:rPr>
          <w:rFonts w:ascii="Baskerville" w:hAnsi="Baskerville"/>
          <w:color w:val="000000" w:themeColor="text1"/>
          <w:vertAlign w:val="superscript"/>
        </w:rPr>
        <w:t>th</w:t>
      </w:r>
      <w:r w:rsidRPr="00F41AE4">
        <w:rPr>
          <w:rFonts w:ascii="Baskerville" w:hAnsi="Baskerville"/>
          <w:color w:val="000000" w:themeColor="text1"/>
        </w:rPr>
        <w:t xml:space="preserve"> October 2020. </w:t>
      </w:r>
    </w:p>
  </w:footnote>
  <w:footnote w:id="142">
    <w:p w14:paraId="38A33359" w14:textId="77777777" w:rsidR="007177F5" w:rsidRPr="00F41AE4" w:rsidRDefault="007177F5" w:rsidP="0088379E">
      <w:pPr>
        <w:pStyle w:val="FootnoteText"/>
        <w:rPr>
          <w:rFonts w:ascii="Baskerville" w:hAnsi="Baskerville"/>
          <w:color w:val="000000" w:themeColor="text1"/>
        </w:rPr>
      </w:pPr>
      <w:r w:rsidRPr="00F41AE4">
        <w:rPr>
          <w:rStyle w:val="FootnoteReference"/>
          <w:rFonts w:ascii="Baskerville" w:hAnsi="Baskerville"/>
          <w:color w:val="000000" w:themeColor="text1"/>
        </w:rPr>
        <w:footnoteRef/>
      </w:r>
      <w:r w:rsidRPr="00F41AE4">
        <w:rPr>
          <w:rFonts w:ascii="Baskerville" w:hAnsi="Baskerville"/>
          <w:color w:val="000000" w:themeColor="text1"/>
        </w:rPr>
        <w:t xml:space="preserve"> Ibid. </w:t>
      </w:r>
    </w:p>
  </w:footnote>
  <w:footnote w:id="143">
    <w:p w14:paraId="67F5A88F" w14:textId="77777777" w:rsidR="007177F5" w:rsidRPr="00F41AE4" w:rsidRDefault="007177F5" w:rsidP="0088379E">
      <w:pPr>
        <w:pStyle w:val="FootnoteText"/>
        <w:rPr>
          <w:rFonts w:ascii="Baskerville" w:hAnsi="Baskerville"/>
          <w:color w:val="000000" w:themeColor="text1"/>
        </w:rPr>
      </w:pPr>
      <w:r w:rsidRPr="00F41AE4">
        <w:rPr>
          <w:rStyle w:val="FootnoteReference"/>
          <w:rFonts w:ascii="Baskerville" w:hAnsi="Baskerville"/>
          <w:color w:val="000000" w:themeColor="text1"/>
        </w:rPr>
        <w:footnoteRef/>
      </w:r>
      <w:r w:rsidRPr="00F41AE4">
        <w:rPr>
          <w:rFonts w:ascii="Baskerville" w:hAnsi="Baskerville"/>
          <w:color w:val="000000" w:themeColor="text1"/>
        </w:rPr>
        <w:t xml:space="preserve"> Ministry of Justice Sri Lanka &lt;https://www.moj.gov.lk/web/index.php?option=com_content&amp;view=article&amp;id=5&amp;Itemid=147&amp;lang=en&gt; accessed 20</w:t>
      </w:r>
      <w:r w:rsidRPr="00F41AE4">
        <w:rPr>
          <w:rFonts w:ascii="Baskerville" w:hAnsi="Baskerville"/>
          <w:color w:val="000000" w:themeColor="text1"/>
          <w:vertAlign w:val="superscript"/>
        </w:rPr>
        <w:t>th</w:t>
      </w:r>
      <w:r w:rsidRPr="00F41AE4">
        <w:rPr>
          <w:rFonts w:ascii="Baskerville" w:hAnsi="Baskerville"/>
          <w:color w:val="000000" w:themeColor="text1"/>
        </w:rPr>
        <w:t xml:space="preserve"> October 2020. </w:t>
      </w:r>
    </w:p>
  </w:footnote>
  <w:footnote w:id="144">
    <w:p w14:paraId="56505DE0" w14:textId="77777777" w:rsidR="007177F5" w:rsidRPr="00F41AE4" w:rsidRDefault="007177F5" w:rsidP="0088379E">
      <w:pPr>
        <w:pStyle w:val="FootnoteText"/>
        <w:rPr>
          <w:rFonts w:ascii="Baskerville" w:hAnsi="Baskerville"/>
          <w:color w:val="000000" w:themeColor="text1"/>
        </w:rPr>
      </w:pPr>
      <w:r w:rsidRPr="00F41AE4">
        <w:rPr>
          <w:rStyle w:val="FootnoteReference"/>
          <w:rFonts w:ascii="Baskerville" w:hAnsi="Baskerville"/>
          <w:color w:val="000000" w:themeColor="text1"/>
        </w:rPr>
        <w:footnoteRef/>
      </w:r>
      <w:r w:rsidRPr="00F41AE4">
        <w:rPr>
          <w:rFonts w:ascii="Baskerville" w:hAnsi="Baskerville"/>
          <w:color w:val="000000" w:themeColor="text1"/>
        </w:rPr>
        <w:t xml:space="preserve"> Ministry of Justice Sri Lanka &lt;https://www.moj.gov.lk/web/index.php?option=com_content&amp;view=article&amp;id=6&amp;Itemid=148&amp;lang=en&gt;</w:t>
      </w:r>
    </w:p>
  </w:footnote>
  <w:footnote w:id="145">
    <w:p w14:paraId="642E31BD" w14:textId="77777777" w:rsidR="007177F5" w:rsidRPr="00F41AE4" w:rsidRDefault="007177F5" w:rsidP="0088379E">
      <w:pPr>
        <w:pStyle w:val="FootnoteText"/>
        <w:rPr>
          <w:rFonts w:ascii="Baskerville" w:hAnsi="Baskerville"/>
          <w:color w:val="000000" w:themeColor="text1"/>
        </w:rPr>
      </w:pPr>
      <w:r w:rsidRPr="00F41AE4">
        <w:rPr>
          <w:rStyle w:val="FootnoteReference"/>
          <w:rFonts w:ascii="Baskerville" w:hAnsi="Baskerville"/>
          <w:color w:val="000000" w:themeColor="text1"/>
        </w:rPr>
        <w:footnoteRef/>
      </w:r>
      <w:r w:rsidRPr="00F41AE4">
        <w:rPr>
          <w:rFonts w:ascii="Baskerville" w:hAnsi="Baskerville"/>
          <w:color w:val="000000" w:themeColor="text1"/>
        </w:rPr>
        <w:t xml:space="preserve"> Annual Report of the Ministry of Justice 2018. </w:t>
      </w:r>
    </w:p>
  </w:footnote>
  <w:footnote w:id="146">
    <w:p w14:paraId="2476354D" w14:textId="77777777" w:rsidR="007177F5" w:rsidRPr="007C79D6" w:rsidRDefault="007177F5" w:rsidP="007C79D6">
      <w:pPr>
        <w:pStyle w:val="FootnoteText"/>
        <w:spacing w:line="360" w:lineRule="auto"/>
        <w:jc w:val="both"/>
        <w:rPr>
          <w:rFonts w:ascii="Cambria" w:hAnsi="Cambria"/>
          <w:color w:val="000000" w:themeColor="text1"/>
          <w:sz w:val="16"/>
          <w:szCs w:val="16"/>
        </w:rPr>
      </w:pPr>
      <w:r w:rsidRPr="007C79D6">
        <w:rPr>
          <w:rStyle w:val="FootnoteReference"/>
          <w:rFonts w:ascii="Cambria" w:hAnsi="Cambria"/>
          <w:color w:val="000000" w:themeColor="text1"/>
          <w:sz w:val="16"/>
          <w:szCs w:val="16"/>
        </w:rPr>
        <w:footnoteRef/>
      </w:r>
      <w:r w:rsidRPr="007C79D6">
        <w:rPr>
          <w:rFonts w:ascii="Cambria" w:hAnsi="Cambria"/>
          <w:color w:val="000000" w:themeColor="text1"/>
          <w:sz w:val="16"/>
          <w:szCs w:val="16"/>
        </w:rPr>
        <w:t xml:space="preserve"> Available at: http://www.unevaluation.org/document/detail/100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DF425" w14:textId="77777777" w:rsidR="007177F5" w:rsidRDefault="007177F5">
    <w:pPr>
      <w:pStyle w:val="Header"/>
    </w:pPr>
  </w:p>
  <w:p w14:paraId="281413F4" w14:textId="77777777" w:rsidR="007177F5" w:rsidRDefault="007177F5"/>
  <w:p w14:paraId="73C21537" w14:textId="77777777" w:rsidR="007177F5" w:rsidRDefault="007177F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35B11"/>
    <w:multiLevelType w:val="hybridMultilevel"/>
    <w:tmpl w:val="ECF8689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E00193"/>
    <w:multiLevelType w:val="hybridMultilevel"/>
    <w:tmpl w:val="C4A6CC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7106A5"/>
    <w:multiLevelType w:val="hybridMultilevel"/>
    <w:tmpl w:val="4A9A52E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CA2D18"/>
    <w:multiLevelType w:val="hybridMultilevel"/>
    <w:tmpl w:val="747ADE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032DFE"/>
    <w:multiLevelType w:val="hybridMultilevel"/>
    <w:tmpl w:val="398AF1F2"/>
    <w:lvl w:ilvl="0" w:tplc="05085C30">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FC66A1D4">
      <w:start w:val="1"/>
      <w:numFmt w:val="bullet"/>
      <w:lvlText w:val="•"/>
      <w:lvlJc w:val="left"/>
      <w:pPr>
        <w:ind w:left="758" w:hanging="158"/>
      </w:pPr>
      <w:rPr>
        <w:rFonts w:hAnsi="Arial Unicode MS"/>
        <w:caps w:val="0"/>
        <w:smallCaps w:val="0"/>
        <w:strike w:val="0"/>
        <w:dstrike w:val="0"/>
        <w:outline w:val="0"/>
        <w:emboss w:val="0"/>
        <w:imprint w:val="0"/>
        <w:spacing w:val="0"/>
        <w:w w:val="100"/>
        <w:kern w:val="0"/>
        <w:position w:val="0"/>
        <w:highlight w:val="none"/>
        <w:vertAlign w:val="baseline"/>
      </w:rPr>
    </w:lvl>
    <w:lvl w:ilvl="2" w:tplc="E9DC3D28">
      <w:start w:val="1"/>
      <w:numFmt w:val="bullet"/>
      <w:lvlText w:val="•"/>
      <w:lvlJc w:val="left"/>
      <w:pPr>
        <w:ind w:left="1358" w:hanging="158"/>
      </w:pPr>
      <w:rPr>
        <w:rFonts w:hAnsi="Arial Unicode MS"/>
        <w:caps w:val="0"/>
        <w:smallCaps w:val="0"/>
        <w:strike w:val="0"/>
        <w:dstrike w:val="0"/>
        <w:outline w:val="0"/>
        <w:emboss w:val="0"/>
        <w:imprint w:val="0"/>
        <w:spacing w:val="0"/>
        <w:w w:val="100"/>
        <w:kern w:val="0"/>
        <w:position w:val="0"/>
        <w:highlight w:val="none"/>
        <w:vertAlign w:val="baseline"/>
      </w:rPr>
    </w:lvl>
    <w:lvl w:ilvl="3" w:tplc="80E2D180">
      <w:start w:val="1"/>
      <w:numFmt w:val="bullet"/>
      <w:lvlText w:val="•"/>
      <w:lvlJc w:val="left"/>
      <w:pPr>
        <w:ind w:left="1958" w:hanging="158"/>
      </w:pPr>
      <w:rPr>
        <w:rFonts w:hAnsi="Arial Unicode MS"/>
        <w:caps w:val="0"/>
        <w:smallCaps w:val="0"/>
        <w:strike w:val="0"/>
        <w:dstrike w:val="0"/>
        <w:outline w:val="0"/>
        <w:emboss w:val="0"/>
        <w:imprint w:val="0"/>
        <w:spacing w:val="0"/>
        <w:w w:val="100"/>
        <w:kern w:val="0"/>
        <w:position w:val="0"/>
        <w:highlight w:val="none"/>
        <w:vertAlign w:val="baseline"/>
      </w:rPr>
    </w:lvl>
    <w:lvl w:ilvl="4" w:tplc="A19E9C3A">
      <w:start w:val="1"/>
      <w:numFmt w:val="bullet"/>
      <w:lvlText w:val="•"/>
      <w:lvlJc w:val="left"/>
      <w:pPr>
        <w:ind w:left="2558" w:hanging="158"/>
      </w:pPr>
      <w:rPr>
        <w:rFonts w:hAnsi="Arial Unicode MS"/>
        <w:caps w:val="0"/>
        <w:smallCaps w:val="0"/>
        <w:strike w:val="0"/>
        <w:dstrike w:val="0"/>
        <w:outline w:val="0"/>
        <w:emboss w:val="0"/>
        <w:imprint w:val="0"/>
        <w:spacing w:val="0"/>
        <w:w w:val="100"/>
        <w:kern w:val="0"/>
        <w:position w:val="0"/>
        <w:highlight w:val="none"/>
        <w:vertAlign w:val="baseline"/>
      </w:rPr>
    </w:lvl>
    <w:lvl w:ilvl="5" w:tplc="D64E2A2E">
      <w:start w:val="1"/>
      <w:numFmt w:val="bullet"/>
      <w:lvlText w:val="•"/>
      <w:lvlJc w:val="left"/>
      <w:pPr>
        <w:ind w:left="3158" w:hanging="158"/>
      </w:pPr>
      <w:rPr>
        <w:rFonts w:hAnsi="Arial Unicode MS"/>
        <w:caps w:val="0"/>
        <w:smallCaps w:val="0"/>
        <w:strike w:val="0"/>
        <w:dstrike w:val="0"/>
        <w:outline w:val="0"/>
        <w:emboss w:val="0"/>
        <w:imprint w:val="0"/>
        <w:spacing w:val="0"/>
        <w:w w:val="100"/>
        <w:kern w:val="0"/>
        <w:position w:val="0"/>
        <w:highlight w:val="none"/>
        <w:vertAlign w:val="baseline"/>
      </w:rPr>
    </w:lvl>
    <w:lvl w:ilvl="6" w:tplc="B33A3966">
      <w:start w:val="1"/>
      <w:numFmt w:val="bullet"/>
      <w:lvlText w:val="•"/>
      <w:lvlJc w:val="left"/>
      <w:pPr>
        <w:ind w:left="3758" w:hanging="158"/>
      </w:pPr>
      <w:rPr>
        <w:rFonts w:hAnsi="Arial Unicode MS"/>
        <w:caps w:val="0"/>
        <w:smallCaps w:val="0"/>
        <w:strike w:val="0"/>
        <w:dstrike w:val="0"/>
        <w:outline w:val="0"/>
        <w:emboss w:val="0"/>
        <w:imprint w:val="0"/>
        <w:spacing w:val="0"/>
        <w:w w:val="100"/>
        <w:kern w:val="0"/>
        <w:position w:val="0"/>
        <w:highlight w:val="none"/>
        <w:vertAlign w:val="baseline"/>
      </w:rPr>
    </w:lvl>
    <w:lvl w:ilvl="7" w:tplc="8F2AC756">
      <w:start w:val="1"/>
      <w:numFmt w:val="bullet"/>
      <w:lvlText w:val="•"/>
      <w:lvlJc w:val="left"/>
      <w:pPr>
        <w:ind w:left="4358" w:hanging="158"/>
      </w:pPr>
      <w:rPr>
        <w:rFonts w:hAnsi="Arial Unicode MS"/>
        <w:caps w:val="0"/>
        <w:smallCaps w:val="0"/>
        <w:strike w:val="0"/>
        <w:dstrike w:val="0"/>
        <w:outline w:val="0"/>
        <w:emboss w:val="0"/>
        <w:imprint w:val="0"/>
        <w:spacing w:val="0"/>
        <w:w w:val="100"/>
        <w:kern w:val="0"/>
        <w:position w:val="0"/>
        <w:highlight w:val="none"/>
        <w:vertAlign w:val="baseline"/>
      </w:rPr>
    </w:lvl>
    <w:lvl w:ilvl="8" w:tplc="A79A4F76">
      <w:start w:val="1"/>
      <w:numFmt w:val="bullet"/>
      <w:lvlText w:val="•"/>
      <w:lvlJc w:val="left"/>
      <w:pPr>
        <w:ind w:left="4958" w:hanging="1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7FD1D04"/>
    <w:multiLevelType w:val="hybridMultilevel"/>
    <w:tmpl w:val="4432A22C"/>
    <w:lvl w:ilvl="0" w:tplc="52DC22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4E0673"/>
    <w:multiLevelType w:val="hybridMultilevel"/>
    <w:tmpl w:val="4D263F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B8C380F"/>
    <w:multiLevelType w:val="hybridMultilevel"/>
    <w:tmpl w:val="9528A4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B9056A1"/>
    <w:multiLevelType w:val="hybridMultilevel"/>
    <w:tmpl w:val="172405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BB41EBE"/>
    <w:multiLevelType w:val="hybridMultilevel"/>
    <w:tmpl w:val="285A7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E57A5F"/>
    <w:multiLevelType w:val="hybridMultilevel"/>
    <w:tmpl w:val="B4F214D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F985DF0"/>
    <w:multiLevelType w:val="hybridMultilevel"/>
    <w:tmpl w:val="2A36D93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2237CFB"/>
    <w:multiLevelType w:val="hybridMultilevel"/>
    <w:tmpl w:val="0ABAFC3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2906247"/>
    <w:multiLevelType w:val="hybridMultilevel"/>
    <w:tmpl w:val="F58EF29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35B2E67"/>
    <w:multiLevelType w:val="hybridMultilevel"/>
    <w:tmpl w:val="8104EA0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631195F"/>
    <w:multiLevelType w:val="multilevel"/>
    <w:tmpl w:val="EC0E531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87D2674"/>
    <w:multiLevelType w:val="hybridMultilevel"/>
    <w:tmpl w:val="2B2A32C2"/>
    <w:lvl w:ilvl="0" w:tplc="516E7FE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961FAF"/>
    <w:multiLevelType w:val="hybridMultilevel"/>
    <w:tmpl w:val="7794E4E4"/>
    <w:lvl w:ilvl="0" w:tplc="907086D0">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BE13A48"/>
    <w:multiLevelType w:val="hybridMultilevel"/>
    <w:tmpl w:val="9AB0BDF4"/>
    <w:lvl w:ilvl="0" w:tplc="C77C53BA">
      <w:start w:val="1"/>
      <w:numFmt w:val="lowerLetter"/>
      <w:lvlText w:val="%1."/>
      <w:lvlJc w:val="left"/>
      <w:pPr>
        <w:ind w:left="720" w:hanging="360"/>
      </w:pPr>
      <w:rPr>
        <w:rFonts w:cstheme="minorHAnsi" w:hint="default"/>
        <w:b/>
        <w:color w:val="4A66AC"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C8002A"/>
    <w:multiLevelType w:val="hybridMultilevel"/>
    <w:tmpl w:val="015A34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096659C"/>
    <w:multiLevelType w:val="hybridMultilevel"/>
    <w:tmpl w:val="B7AA72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15C747D"/>
    <w:multiLevelType w:val="hybridMultilevel"/>
    <w:tmpl w:val="4E7A1D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1B838F0"/>
    <w:multiLevelType w:val="hybridMultilevel"/>
    <w:tmpl w:val="779658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39C53AC"/>
    <w:multiLevelType w:val="hybridMultilevel"/>
    <w:tmpl w:val="84C02D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4DC5604"/>
    <w:multiLevelType w:val="multilevel"/>
    <w:tmpl w:val="02365202"/>
    <w:lvl w:ilvl="0">
      <w:start w:val="1"/>
      <w:numFmt w:val="lowerLetter"/>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28AA35C0"/>
    <w:multiLevelType w:val="hybridMultilevel"/>
    <w:tmpl w:val="8732315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8B3108F"/>
    <w:multiLevelType w:val="hybridMultilevel"/>
    <w:tmpl w:val="E44CBC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9613331"/>
    <w:multiLevelType w:val="hybridMultilevel"/>
    <w:tmpl w:val="37EA54E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C480CB1"/>
    <w:multiLevelType w:val="hybridMultilevel"/>
    <w:tmpl w:val="77DA6228"/>
    <w:lvl w:ilvl="0" w:tplc="04090019">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9" w15:restartNumberingAfterBreak="0">
    <w:nsid w:val="2C5B49B4"/>
    <w:multiLevelType w:val="multilevel"/>
    <w:tmpl w:val="06A43DC0"/>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2DFF45B9"/>
    <w:multiLevelType w:val="hybridMultilevel"/>
    <w:tmpl w:val="48E040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E9010E1"/>
    <w:multiLevelType w:val="multilevel"/>
    <w:tmpl w:val="ECF0364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EFE702C"/>
    <w:multiLevelType w:val="hybridMultilevel"/>
    <w:tmpl w:val="9BE062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1C33E72"/>
    <w:multiLevelType w:val="hybridMultilevel"/>
    <w:tmpl w:val="AC2ECD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2E53EF8"/>
    <w:multiLevelType w:val="hybridMultilevel"/>
    <w:tmpl w:val="677215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3A91F6F"/>
    <w:multiLevelType w:val="hybridMultilevel"/>
    <w:tmpl w:val="EF3A4A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5610B3F"/>
    <w:multiLevelType w:val="hybridMultilevel"/>
    <w:tmpl w:val="2C9A57B2"/>
    <w:lvl w:ilvl="0" w:tplc="163EC33E">
      <w:start w:val="1"/>
      <w:numFmt w:val="decimal"/>
      <w:lvlText w:val="%1."/>
      <w:lvlJc w:val="left"/>
      <w:pPr>
        <w:ind w:left="717"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713117A"/>
    <w:multiLevelType w:val="hybridMultilevel"/>
    <w:tmpl w:val="655615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37D64BEB"/>
    <w:multiLevelType w:val="hybridMultilevel"/>
    <w:tmpl w:val="77DA6228"/>
    <w:lvl w:ilvl="0" w:tplc="04090019">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9" w15:restartNumberingAfterBreak="0">
    <w:nsid w:val="399C5BF6"/>
    <w:multiLevelType w:val="hybridMultilevel"/>
    <w:tmpl w:val="8F042970"/>
    <w:lvl w:ilvl="0" w:tplc="3C26C688">
      <w:start w:val="1"/>
      <w:numFmt w:val="lowerLetter"/>
      <w:lvlText w:val="%1."/>
      <w:lvlJc w:val="left"/>
      <w:pPr>
        <w:ind w:left="408" w:hanging="360"/>
      </w:pPr>
      <w:rPr>
        <w:rFonts w:hint="default"/>
        <w:color w:val="0070C0"/>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40" w15:restartNumberingAfterBreak="0">
    <w:nsid w:val="3A5B6350"/>
    <w:multiLevelType w:val="hybridMultilevel"/>
    <w:tmpl w:val="567C25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3B167E45"/>
    <w:multiLevelType w:val="hybridMultilevel"/>
    <w:tmpl w:val="BCB87B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B9923D8"/>
    <w:multiLevelType w:val="hybridMultilevel"/>
    <w:tmpl w:val="96E8AEEE"/>
    <w:styleLink w:val="ImportedStyle4"/>
    <w:lvl w:ilvl="0" w:tplc="5B74F6EE">
      <w:start w:val="1"/>
      <w:numFmt w:val="bullet"/>
      <w:lvlText w:val="o"/>
      <w:lvlJc w:val="left"/>
      <w:pPr>
        <w:ind w:left="327" w:hanging="32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8AC66D38">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7974B29A">
      <w:start w:val="1"/>
      <w:numFmt w:val="bullet"/>
      <w:lvlText w:val="▪"/>
      <w:lvlJc w:val="left"/>
      <w:pPr>
        <w:ind w:left="1767" w:hanging="32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104C670">
      <w:start w:val="1"/>
      <w:numFmt w:val="bullet"/>
      <w:lvlText w:val="•"/>
      <w:lvlJc w:val="left"/>
      <w:pPr>
        <w:ind w:left="2487" w:hanging="32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6FF8F34E">
      <w:start w:val="1"/>
      <w:numFmt w:val="bullet"/>
      <w:lvlText w:val="o"/>
      <w:lvlJc w:val="left"/>
      <w:pPr>
        <w:ind w:left="3207" w:hanging="32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95A2FDF0">
      <w:start w:val="1"/>
      <w:numFmt w:val="bullet"/>
      <w:lvlText w:val="▪"/>
      <w:lvlJc w:val="left"/>
      <w:pPr>
        <w:ind w:left="3927" w:hanging="32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AE269A0A">
      <w:start w:val="1"/>
      <w:numFmt w:val="bullet"/>
      <w:lvlText w:val="•"/>
      <w:lvlJc w:val="left"/>
      <w:pPr>
        <w:ind w:left="4647" w:hanging="32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E9004D0">
      <w:start w:val="1"/>
      <w:numFmt w:val="bullet"/>
      <w:lvlText w:val="o"/>
      <w:lvlJc w:val="left"/>
      <w:pPr>
        <w:ind w:left="5367" w:hanging="32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8380B4A">
      <w:start w:val="1"/>
      <w:numFmt w:val="bullet"/>
      <w:lvlText w:val="▪"/>
      <w:lvlJc w:val="left"/>
      <w:pPr>
        <w:ind w:left="6087" w:hanging="32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3CD90D63"/>
    <w:multiLevelType w:val="hybridMultilevel"/>
    <w:tmpl w:val="3C6C4F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3EC00A7A"/>
    <w:multiLevelType w:val="hybridMultilevel"/>
    <w:tmpl w:val="92B0EA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F6126C5"/>
    <w:multiLevelType w:val="hybridMultilevel"/>
    <w:tmpl w:val="27BCA12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408325C2"/>
    <w:multiLevelType w:val="hybridMultilevel"/>
    <w:tmpl w:val="1A94273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0D15465"/>
    <w:multiLevelType w:val="hybridMultilevel"/>
    <w:tmpl w:val="88CED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42CA79A9"/>
    <w:multiLevelType w:val="hybridMultilevel"/>
    <w:tmpl w:val="37A2926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43BC38DB"/>
    <w:multiLevelType w:val="hybridMultilevel"/>
    <w:tmpl w:val="28EAE20C"/>
    <w:lvl w:ilvl="0" w:tplc="0F5C7FBA">
      <w:numFmt w:val="bullet"/>
      <w:lvlText w:val="-"/>
      <w:lvlJc w:val="left"/>
      <w:pPr>
        <w:ind w:left="720" w:hanging="360"/>
      </w:pPr>
      <w:rPr>
        <w:rFonts w:ascii="Calibri" w:eastAsia="Calibri" w:hAnsi="Calibri" w:cs="Lath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3EF769D"/>
    <w:multiLevelType w:val="hybridMultilevel"/>
    <w:tmpl w:val="49942E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44792711"/>
    <w:multiLevelType w:val="multilevel"/>
    <w:tmpl w:val="89F86B7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2" w15:restartNumberingAfterBreak="0">
    <w:nsid w:val="474C7834"/>
    <w:multiLevelType w:val="hybridMultilevel"/>
    <w:tmpl w:val="77DA6228"/>
    <w:lvl w:ilvl="0" w:tplc="04090019">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3" w15:restartNumberingAfterBreak="0">
    <w:nsid w:val="48BD4F80"/>
    <w:multiLevelType w:val="hybridMultilevel"/>
    <w:tmpl w:val="395E5AC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4B745C97"/>
    <w:multiLevelType w:val="hybridMultilevel"/>
    <w:tmpl w:val="CB02B99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4BF82CC1"/>
    <w:multiLevelType w:val="multilevel"/>
    <w:tmpl w:val="2850D9EC"/>
    <w:lvl w:ilvl="0">
      <w:start w:val="3"/>
      <w:numFmt w:val="decimal"/>
      <w:lvlText w:val="%1."/>
      <w:lvlJc w:val="left"/>
      <w:pPr>
        <w:ind w:left="460" w:hanging="4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6" w15:restartNumberingAfterBreak="0">
    <w:nsid w:val="4CA760A8"/>
    <w:multiLevelType w:val="hybridMultilevel"/>
    <w:tmpl w:val="B74EAD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4E0A0C2A"/>
    <w:multiLevelType w:val="hybridMultilevel"/>
    <w:tmpl w:val="34507386"/>
    <w:lvl w:ilvl="0" w:tplc="436AA1D4">
      <w:start w:val="1"/>
      <w:numFmt w:val="lowerLetter"/>
      <w:lvlText w:val="%1."/>
      <w:lvlJc w:val="left"/>
      <w:pPr>
        <w:ind w:left="360" w:hanging="360"/>
      </w:pPr>
      <w:rPr>
        <w:rFonts w:ascii="Cambria" w:eastAsiaTheme="minorHAnsi" w:hAnsi="Cambria" w:cstheme="minorHAnsi"/>
        <w:b/>
        <w:bCs w:val="0"/>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E14186A"/>
    <w:multiLevelType w:val="hybridMultilevel"/>
    <w:tmpl w:val="B42A32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505053C1"/>
    <w:multiLevelType w:val="hybridMultilevel"/>
    <w:tmpl w:val="9A901E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088330F"/>
    <w:multiLevelType w:val="hybridMultilevel"/>
    <w:tmpl w:val="1CE61D1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50C13828"/>
    <w:multiLevelType w:val="hybridMultilevel"/>
    <w:tmpl w:val="4EB00D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51DE692E"/>
    <w:multiLevelType w:val="hybridMultilevel"/>
    <w:tmpl w:val="8DFC92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52BD6908"/>
    <w:multiLevelType w:val="hybridMultilevel"/>
    <w:tmpl w:val="37B0DC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543E231D"/>
    <w:multiLevelType w:val="hybridMultilevel"/>
    <w:tmpl w:val="1446431E"/>
    <w:lvl w:ilvl="0" w:tplc="685ABD48">
      <w:start w:val="1"/>
      <w:numFmt w:val="lowerRoman"/>
      <w:lvlText w:val="(%1)"/>
      <w:lvlJc w:val="left"/>
      <w:pPr>
        <w:ind w:left="1440" w:hanging="720"/>
      </w:pPr>
      <w:rPr>
        <w:rFonts w:hint="default"/>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5" w15:restartNumberingAfterBreak="0">
    <w:nsid w:val="574C3575"/>
    <w:multiLevelType w:val="hybridMultilevel"/>
    <w:tmpl w:val="B956B772"/>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8AC1065"/>
    <w:multiLevelType w:val="hybridMultilevel"/>
    <w:tmpl w:val="16BA2B9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5C1305F0"/>
    <w:multiLevelType w:val="hybridMultilevel"/>
    <w:tmpl w:val="14009E54"/>
    <w:lvl w:ilvl="0" w:tplc="04090019">
      <w:start w:val="1"/>
      <w:numFmt w:val="lowerLetter"/>
      <w:lvlText w:val="%1."/>
      <w:lvlJc w:val="left"/>
      <w:pPr>
        <w:ind w:left="360" w:hanging="360"/>
      </w:pPr>
    </w:lvl>
    <w:lvl w:ilvl="1" w:tplc="80828B1C">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5D171660"/>
    <w:multiLevelType w:val="hybridMultilevel"/>
    <w:tmpl w:val="4D0A0CBC"/>
    <w:lvl w:ilvl="0" w:tplc="E0FA82A0">
      <w:start w:val="1"/>
      <w:numFmt w:val="lowerLetter"/>
      <w:lvlText w:val="%1."/>
      <w:lvlJc w:val="left"/>
      <w:pPr>
        <w:ind w:left="360" w:hanging="360"/>
      </w:pPr>
      <w:rPr>
        <w:rFonts w:hint="default"/>
        <w:b/>
        <w:bCs/>
        <w:color w:val="4A66AC" w:themeColor="accen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60B139F9"/>
    <w:multiLevelType w:val="hybridMultilevel"/>
    <w:tmpl w:val="6C86BD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60E90DE2"/>
    <w:multiLevelType w:val="hybridMultilevel"/>
    <w:tmpl w:val="1FFC7CE6"/>
    <w:lvl w:ilvl="0" w:tplc="10365CEC">
      <w:start w:val="1"/>
      <w:numFmt w:val="lowerLetter"/>
      <w:lvlText w:val="%1."/>
      <w:lvlJc w:val="left"/>
      <w:pPr>
        <w:ind w:left="1080" w:hanging="360"/>
      </w:pPr>
      <w:rPr>
        <w:rFonts w:cstheme="minorHAnsi"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627F5DF5"/>
    <w:multiLevelType w:val="multilevel"/>
    <w:tmpl w:val="80663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2B61B89"/>
    <w:multiLevelType w:val="multilevel"/>
    <w:tmpl w:val="4418C9DA"/>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62EC3C78"/>
    <w:multiLevelType w:val="hybridMultilevel"/>
    <w:tmpl w:val="2346A6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6395188B"/>
    <w:multiLevelType w:val="hybridMultilevel"/>
    <w:tmpl w:val="6B58A2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63E5123E"/>
    <w:multiLevelType w:val="hybridMultilevel"/>
    <w:tmpl w:val="0958F6D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665F1323"/>
    <w:multiLevelType w:val="hybridMultilevel"/>
    <w:tmpl w:val="B29A3CAA"/>
    <w:styleLink w:val="ImportedStyle5"/>
    <w:lvl w:ilvl="0" w:tplc="B5983632">
      <w:start w:val="1"/>
      <w:numFmt w:val="bullet"/>
      <w:lvlText w:val="·"/>
      <w:lvlJc w:val="left"/>
      <w:pPr>
        <w:ind w:left="68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A1C12E2">
      <w:start w:val="1"/>
      <w:numFmt w:val="bullet"/>
      <w:lvlText w:val="o"/>
      <w:lvlJc w:val="left"/>
      <w:pPr>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E6E5364">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DA039E8">
      <w:start w:val="1"/>
      <w:numFmt w:val="bullet"/>
      <w:lvlText w:val="·"/>
      <w:lvlJc w:val="left"/>
      <w:pPr>
        <w:ind w:left="284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63ED0EE">
      <w:start w:val="1"/>
      <w:numFmt w:val="bullet"/>
      <w:lvlText w:val="o"/>
      <w:lvlJc w:val="left"/>
      <w:pPr>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E4C92EA">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A16E496">
      <w:start w:val="1"/>
      <w:numFmt w:val="bullet"/>
      <w:lvlText w:val="·"/>
      <w:lvlJc w:val="left"/>
      <w:pPr>
        <w:ind w:left="500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5FC7510">
      <w:start w:val="1"/>
      <w:numFmt w:val="bullet"/>
      <w:lvlText w:val="o"/>
      <w:lvlJc w:val="left"/>
      <w:pPr>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44C6910">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6837446B"/>
    <w:multiLevelType w:val="multilevel"/>
    <w:tmpl w:val="02365202"/>
    <w:lvl w:ilvl="0">
      <w:start w:val="1"/>
      <w:numFmt w:val="lowerLetter"/>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8" w15:restartNumberingAfterBreak="0">
    <w:nsid w:val="6AC72908"/>
    <w:multiLevelType w:val="hybridMultilevel"/>
    <w:tmpl w:val="B4AA646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6C8E5976"/>
    <w:multiLevelType w:val="hybridMultilevel"/>
    <w:tmpl w:val="99CA692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6CD86132"/>
    <w:multiLevelType w:val="hybridMultilevel"/>
    <w:tmpl w:val="EE3E757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6EB96CAA"/>
    <w:multiLevelType w:val="hybridMultilevel"/>
    <w:tmpl w:val="EF1CA4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EE1023D"/>
    <w:multiLevelType w:val="hybridMultilevel"/>
    <w:tmpl w:val="11040330"/>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70AE004C"/>
    <w:multiLevelType w:val="hybridMultilevel"/>
    <w:tmpl w:val="11040330"/>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70E0188E"/>
    <w:multiLevelType w:val="hybridMultilevel"/>
    <w:tmpl w:val="49D4B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71D71FCD"/>
    <w:multiLevelType w:val="hybridMultilevel"/>
    <w:tmpl w:val="2CF2BFF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71EF33C4"/>
    <w:multiLevelType w:val="hybridMultilevel"/>
    <w:tmpl w:val="D04A3C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72D10371"/>
    <w:multiLevelType w:val="hybridMultilevel"/>
    <w:tmpl w:val="840AE378"/>
    <w:styleLink w:val="ImportedStyle1"/>
    <w:lvl w:ilvl="0" w:tplc="36BC21F0">
      <w:start w:val="1"/>
      <w:numFmt w:val="upperRoman"/>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66B83B18">
      <w:start w:val="1"/>
      <w:numFmt w:val="decimal"/>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6E457C4">
      <w:start w:val="1"/>
      <w:numFmt w:val="lowerRoman"/>
      <w:lvlText w:val="%3."/>
      <w:lvlJc w:val="left"/>
      <w:pPr>
        <w:ind w:left="1800" w:hanging="285"/>
      </w:pPr>
      <w:rPr>
        <w:rFonts w:hAnsi="Arial Unicode MS"/>
        <w:b/>
        <w:bCs/>
        <w:caps w:val="0"/>
        <w:smallCaps w:val="0"/>
        <w:strike w:val="0"/>
        <w:dstrike w:val="0"/>
        <w:outline w:val="0"/>
        <w:emboss w:val="0"/>
        <w:imprint w:val="0"/>
        <w:spacing w:val="0"/>
        <w:w w:val="100"/>
        <w:kern w:val="0"/>
        <w:position w:val="0"/>
        <w:highlight w:val="none"/>
        <w:vertAlign w:val="baseline"/>
      </w:rPr>
    </w:lvl>
    <w:lvl w:ilvl="3" w:tplc="78F2729C">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4E4AD5D6">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0801290">
      <w:start w:val="1"/>
      <w:numFmt w:val="lowerRoman"/>
      <w:lvlText w:val="%6."/>
      <w:lvlJc w:val="left"/>
      <w:pPr>
        <w:ind w:left="3960" w:hanging="285"/>
      </w:pPr>
      <w:rPr>
        <w:rFonts w:hAnsi="Arial Unicode MS"/>
        <w:b/>
        <w:bCs/>
        <w:caps w:val="0"/>
        <w:smallCaps w:val="0"/>
        <w:strike w:val="0"/>
        <w:dstrike w:val="0"/>
        <w:outline w:val="0"/>
        <w:emboss w:val="0"/>
        <w:imprint w:val="0"/>
        <w:spacing w:val="0"/>
        <w:w w:val="100"/>
        <w:kern w:val="0"/>
        <w:position w:val="0"/>
        <w:highlight w:val="none"/>
        <w:vertAlign w:val="baseline"/>
      </w:rPr>
    </w:lvl>
    <w:lvl w:ilvl="6" w:tplc="73F8502C">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60E8642">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1BD40B32">
      <w:start w:val="1"/>
      <w:numFmt w:val="lowerRoman"/>
      <w:lvlText w:val="%9."/>
      <w:lvlJc w:val="left"/>
      <w:pPr>
        <w:ind w:left="6120" w:hanging="285"/>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8" w15:restartNumberingAfterBreak="0">
    <w:nsid w:val="73030DBD"/>
    <w:multiLevelType w:val="hybridMultilevel"/>
    <w:tmpl w:val="BF967FF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76323C85"/>
    <w:multiLevelType w:val="hybridMultilevel"/>
    <w:tmpl w:val="073CF6F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76457D6D"/>
    <w:multiLevelType w:val="hybridMultilevel"/>
    <w:tmpl w:val="8A0ED7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784B2621"/>
    <w:multiLevelType w:val="hybridMultilevel"/>
    <w:tmpl w:val="49189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A903F48"/>
    <w:multiLevelType w:val="hybridMultilevel"/>
    <w:tmpl w:val="1ABC089C"/>
    <w:lvl w:ilvl="0" w:tplc="4904AC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B4A2628"/>
    <w:multiLevelType w:val="hybridMultilevel"/>
    <w:tmpl w:val="96E8AEEE"/>
    <w:numStyleLink w:val="ImportedStyle4"/>
  </w:abstractNum>
  <w:abstractNum w:abstractNumId="94" w15:restartNumberingAfterBreak="0">
    <w:nsid w:val="7C2141B7"/>
    <w:multiLevelType w:val="hybridMultilevel"/>
    <w:tmpl w:val="94B8CF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7E3C2B09"/>
    <w:multiLevelType w:val="hybridMultilevel"/>
    <w:tmpl w:val="1E7E1FCE"/>
    <w:lvl w:ilvl="0" w:tplc="0409000F">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6" w15:restartNumberingAfterBreak="0">
    <w:nsid w:val="7EDA5081"/>
    <w:multiLevelType w:val="hybridMultilevel"/>
    <w:tmpl w:val="2A9C147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8"/>
  </w:num>
  <w:num w:numId="2">
    <w:abstractNumId w:val="27"/>
  </w:num>
  <w:num w:numId="3">
    <w:abstractNumId w:val="85"/>
  </w:num>
  <w:num w:numId="4">
    <w:abstractNumId w:val="45"/>
  </w:num>
  <w:num w:numId="5">
    <w:abstractNumId w:val="39"/>
  </w:num>
  <w:num w:numId="6">
    <w:abstractNumId w:val="57"/>
  </w:num>
  <w:num w:numId="7">
    <w:abstractNumId w:val="10"/>
  </w:num>
  <w:num w:numId="8">
    <w:abstractNumId w:val="26"/>
  </w:num>
  <w:num w:numId="9">
    <w:abstractNumId w:val="89"/>
  </w:num>
  <w:num w:numId="10">
    <w:abstractNumId w:val="62"/>
  </w:num>
  <w:num w:numId="11">
    <w:abstractNumId w:val="47"/>
  </w:num>
  <w:num w:numId="12">
    <w:abstractNumId w:val="50"/>
  </w:num>
  <w:num w:numId="13">
    <w:abstractNumId w:val="61"/>
  </w:num>
  <w:num w:numId="14">
    <w:abstractNumId w:val="5"/>
  </w:num>
  <w:num w:numId="15">
    <w:abstractNumId w:val="74"/>
  </w:num>
  <w:num w:numId="16">
    <w:abstractNumId w:val="90"/>
  </w:num>
  <w:num w:numId="17">
    <w:abstractNumId w:val="56"/>
  </w:num>
  <w:num w:numId="18">
    <w:abstractNumId w:val="72"/>
  </w:num>
  <w:num w:numId="19">
    <w:abstractNumId w:val="92"/>
  </w:num>
  <w:num w:numId="20">
    <w:abstractNumId w:val="30"/>
  </w:num>
  <w:num w:numId="21">
    <w:abstractNumId w:val="18"/>
  </w:num>
  <w:num w:numId="22">
    <w:abstractNumId w:val="23"/>
  </w:num>
  <w:num w:numId="23">
    <w:abstractNumId w:val="1"/>
  </w:num>
  <w:num w:numId="24">
    <w:abstractNumId w:val="20"/>
  </w:num>
  <w:num w:numId="25">
    <w:abstractNumId w:val="3"/>
  </w:num>
  <w:num w:numId="26">
    <w:abstractNumId w:val="41"/>
  </w:num>
  <w:num w:numId="27">
    <w:abstractNumId w:val="86"/>
  </w:num>
  <w:num w:numId="28">
    <w:abstractNumId w:val="8"/>
  </w:num>
  <w:num w:numId="29">
    <w:abstractNumId w:val="34"/>
  </w:num>
  <w:num w:numId="30">
    <w:abstractNumId w:val="70"/>
  </w:num>
  <w:num w:numId="31">
    <w:abstractNumId w:val="59"/>
  </w:num>
  <w:num w:numId="32">
    <w:abstractNumId w:val="81"/>
  </w:num>
  <w:num w:numId="33">
    <w:abstractNumId w:val="65"/>
  </w:num>
  <w:num w:numId="34">
    <w:abstractNumId w:val="19"/>
  </w:num>
  <w:num w:numId="35">
    <w:abstractNumId w:val="96"/>
  </w:num>
  <w:num w:numId="36">
    <w:abstractNumId w:val="14"/>
  </w:num>
  <w:num w:numId="37">
    <w:abstractNumId w:val="15"/>
  </w:num>
  <w:num w:numId="38">
    <w:abstractNumId w:val="94"/>
  </w:num>
  <w:num w:numId="39">
    <w:abstractNumId w:val="43"/>
  </w:num>
  <w:num w:numId="40">
    <w:abstractNumId w:val="6"/>
  </w:num>
  <w:num w:numId="41">
    <w:abstractNumId w:val="21"/>
  </w:num>
  <w:num w:numId="42">
    <w:abstractNumId w:val="95"/>
  </w:num>
  <w:num w:numId="43">
    <w:abstractNumId w:val="69"/>
  </w:num>
  <w:num w:numId="44">
    <w:abstractNumId w:val="29"/>
  </w:num>
  <w:num w:numId="45">
    <w:abstractNumId w:val="7"/>
  </w:num>
  <w:num w:numId="46">
    <w:abstractNumId w:val="67"/>
  </w:num>
  <w:num w:numId="47">
    <w:abstractNumId w:val="82"/>
  </w:num>
  <w:num w:numId="48">
    <w:abstractNumId w:val="83"/>
  </w:num>
  <w:num w:numId="49">
    <w:abstractNumId w:val="38"/>
  </w:num>
  <w:num w:numId="50">
    <w:abstractNumId w:val="52"/>
  </w:num>
  <w:num w:numId="51">
    <w:abstractNumId w:val="28"/>
  </w:num>
  <w:num w:numId="52">
    <w:abstractNumId w:val="80"/>
  </w:num>
  <w:num w:numId="53">
    <w:abstractNumId w:val="54"/>
  </w:num>
  <w:num w:numId="54">
    <w:abstractNumId w:val="48"/>
  </w:num>
  <w:num w:numId="55">
    <w:abstractNumId w:val="0"/>
  </w:num>
  <w:num w:numId="56">
    <w:abstractNumId w:val="84"/>
  </w:num>
  <w:num w:numId="57">
    <w:abstractNumId w:val="77"/>
  </w:num>
  <w:num w:numId="58">
    <w:abstractNumId w:val="24"/>
  </w:num>
  <w:num w:numId="59">
    <w:abstractNumId w:val="37"/>
  </w:num>
  <w:num w:numId="60">
    <w:abstractNumId w:val="76"/>
  </w:num>
  <w:num w:numId="61">
    <w:abstractNumId w:val="87"/>
  </w:num>
  <w:num w:numId="62">
    <w:abstractNumId w:val="4"/>
  </w:num>
  <w:num w:numId="63">
    <w:abstractNumId w:val="42"/>
  </w:num>
  <w:num w:numId="64">
    <w:abstractNumId w:val="93"/>
  </w:num>
  <w:num w:numId="65">
    <w:abstractNumId w:val="49"/>
  </w:num>
  <w:num w:numId="66">
    <w:abstractNumId w:val="36"/>
  </w:num>
  <w:num w:numId="67">
    <w:abstractNumId w:val="44"/>
  </w:num>
  <w:num w:numId="68">
    <w:abstractNumId w:val="17"/>
  </w:num>
  <w:num w:numId="69">
    <w:abstractNumId w:val="9"/>
  </w:num>
  <w:num w:numId="70">
    <w:abstractNumId w:val="32"/>
  </w:num>
  <w:num w:numId="71">
    <w:abstractNumId w:val="40"/>
  </w:num>
  <w:num w:numId="72">
    <w:abstractNumId w:val="35"/>
  </w:num>
  <w:num w:numId="73">
    <w:abstractNumId w:val="63"/>
  </w:num>
  <w:num w:numId="74">
    <w:abstractNumId w:val="22"/>
  </w:num>
  <w:num w:numId="75">
    <w:abstractNumId w:val="46"/>
  </w:num>
  <w:num w:numId="76">
    <w:abstractNumId w:val="55"/>
  </w:num>
  <w:num w:numId="77">
    <w:abstractNumId w:val="31"/>
  </w:num>
  <w:num w:numId="78">
    <w:abstractNumId w:val="51"/>
  </w:num>
  <w:num w:numId="79">
    <w:abstractNumId w:val="16"/>
  </w:num>
  <w:num w:numId="80">
    <w:abstractNumId w:val="64"/>
  </w:num>
  <w:num w:numId="81">
    <w:abstractNumId w:val="71"/>
  </w:num>
  <w:num w:numId="82">
    <w:abstractNumId w:val="79"/>
  </w:num>
  <w:num w:numId="83">
    <w:abstractNumId w:val="25"/>
  </w:num>
  <w:num w:numId="84">
    <w:abstractNumId w:val="33"/>
  </w:num>
  <w:num w:numId="85">
    <w:abstractNumId w:val="66"/>
  </w:num>
  <w:num w:numId="86">
    <w:abstractNumId w:val="88"/>
  </w:num>
  <w:num w:numId="87">
    <w:abstractNumId w:val="91"/>
  </w:num>
  <w:num w:numId="88">
    <w:abstractNumId w:val="13"/>
  </w:num>
  <w:num w:numId="89">
    <w:abstractNumId w:val="53"/>
  </w:num>
  <w:num w:numId="90">
    <w:abstractNumId w:val="73"/>
  </w:num>
  <w:num w:numId="91">
    <w:abstractNumId w:val="2"/>
  </w:num>
  <w:num w:numId="92">
    <w:abstractNumId w:val="60"/>
  </w:num>
  <w:num w:numId="93">
    <w:abstractNumId w:val="78"/>
  </w:num>
  <w:num w:numId="94">
    <w:abstractNumId w:val="11"/>
  </w:num>
  <w:num w:numId="95">
    <w:abstractNumId w:val="75"/>
  </w:num>
  <w:num w:numId="96">
    <w:abstractNumId w:val="58"/>
  </w:num>
  <w:num w:numId="97">
    <w:abstractNumId w:val="12"/>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FB6"/>
    <w:rsid w:val="0000163A"/>
    <w:rsid w:val="00004A58"/>
    <w:rsid w:val="00004DCF"/>
    <w:rsid w:val="0000538F"/>
    <w:rsid w:val="00005891"/>
    <w:rsid w:val="00021867"/>
    <w:rsid w:val="000232C7"/>
    <w:rsid w:val="00023626"/>
    <w:rsid w:val="000315E5"/>
    <w:rsid w:val="000328D8"/>
    <w:rsid w:val="0003786E"/>
    <w:rsid w:val="00037906"/>
    <w:rsid w:val="000400E6"/>
    <w:rsid w:val="0005007C"/>
    <w:rsid w:val="000507CA"/>
    <w:rsid w:val="00050EA1"/>
    <w:rsid w:val="0005596E"/>
    <w:rsid w:val="000560FD"/>
    <w:rsid w:val="00056242"/>
    <w:rsid w:val="000607E0"/>
    <w:rsid w:val="00061D3D"/>
    <w:rsid w:val="00062256"/>
    <w:rsid w:val="0006351C"/>
    <w:rsid w:val="0006363D"/>
    <w:rsid w:val="0006374D"/>
    <w:rsid w:val="0006444F"/>
    <w:rsid w:val="0006445A"/>
    <w:rsid w:val="00064E53"/>
    <w:rsid w:val="00075E05"/>
    <w:rsid w:val="00081358"/>
    <w:rsid w:val="00081B4A"/>
    <w:rsid w:val="0008264D"/>
    <w:rsid w:val="000876E1"/>
    <w:rsid w:val="000922C4"/>
    <w:rsid w:val="00095011"/>
    <w:rsid w:val="00095F03"/>
    <w:rsid w:val="00096784"/>
    <w:rsid w:val="00097297"/>
    <w:rsid w:val="00097F48"/>
    <w:rsid w:val="000A2433"/>
    <w:rsid w:val="000B3025"/>
    <w:rsid w:val="000B5AFD"/>
    <w:rsid w:val="000B753D"/>
    <w:rsid w:val="000C0C73"/>
    <w:rsid w:val="000C4336"/>
    <w:rsid w:val="000C4F19"/>
    <w:rsid w:val="000D0190"/>
    <w:rsid w:val="000D02B3"/>
    <w:rsid w:val="000D2DFC"/>
    <w:rsid w:val="000D471A"/>
    <w:rsid w:val="000D71AE"/>
    <w:rsid w:val="000E0CA8"/>
    <w:rsid w:val="000E275D"/>
    <w:rsid w:val="000E2ED3"/>
    <w:rsid w:val="000E5D2C"/>
    <w:rsid w:val="000F6873"/>
    <w:rsid w:val="00101213"/>
    <w:rsid w:val="00106CF8"/>
    <w:rsid w:val="00112893"/>
    <w:rsid w:val="001140AD"/>
    <w:rsid w:val="0011704B"/>
    <w:rsid w:val="00121BCC"/>
    <w:rsid w:val="001316E3"/>
    <w:rsid w:val="00134C20"/>
    <w:rsid w:val="00135D39"/>
    <w:rsid w:val="00136FCD"/>
    <w:rsid w:val="001379A8"/>
    <w:rsid w:val="001411E0"/>
    <w:rsid w:val="001434E0"/>
    <w:rsid w:val="00143DAB"/>
    <w:rsid w:val="00147E51"/>
    <w:rsid w:val="0015285C"/>
    <w:rsid w:val="001568ED"/>
    <w:rsid w:val="00157374"/>
    <w:rsid w:val="00163343"/>
    <w:rsid w:val="001633EF"/>
    <w:rsid w:val="00164406"/>
    <w:rsid w:val="00165EC4"/>
    <w:rsid w:val="00166B1D"/>
    <w:rsid w:val="00173AC8"/>
    <w:rsid w:val="00182E57"/>
    <w:rsid w:val="00191D4B"/>
    <w:rsid w:val="00192A04"/>
    <w:rsid w:val="00192FBA"/>
    <w:rsid w:val="00197A53"/>
    <w:rsid w:val="001A355E"/>
    <w:rsid w:val="001A7EC2"/>
    <w:rsid w:val="001B1F53"/>
    <w:rsid w:val="001B23DA"/>
    <w:rsid w:val="001B5FD2"/>
    <w:rsid w:val="001B62AA"/>
    <w:rsid w:val="001B7E79"/>
    <w:rsid w:val="001C15FC"/>
    <w:rsid w:val="001C501A"/>
    <w:rsid w:val="001C5757"/>
    <w:rsid w:val="001C5EAA"/>
    <w:rsid w:val="001C648F"/>
    <w:rsid w:val="001D22FC"/>
    <w:rsid w:val="001D4014"/>
    <w:rsid w:val="001D52C9"/>
    <w:rsid w:val="001D6B8F"/>
    <w:rsid w:val="001D7116"/>
    <w:rsid w:val="001E2692"/>
    <w:rsid w:val="001E34AE"/>
    <w:rsid w:val="001E49D6"/>
    <w:rsid w:val="00214EC6"/>
    <w:rsid w:val="00223CBF"/>
    <w:rsid w:val="002263E8"/>
    <w:rsid w:val="002274F4"/>
    <w:rsid w:val="00230FA4"/>
    <w:rsid w:val="0023329B"/>
    <w:rsid w:val="0023466F"/>
    <w:rsid w:val="00235E5D"/>
    <w:rsid w:val="00237B8C"/>
    <w:rsid w:val="00243FEC"/>
    <w:rsid w:val="00250B4C"/>
    <w:rsid w:val="00252004"/>
    <w:rsid w:val="0025366B"/>
    <w:rsid w:val="00255898"/>
    <w:rsid w:val="00256434"/>
    <w:rsid w:val="0026378D"/>
    <w:rsid w:val="00266DC0"/>
    <w:rsid w:val="002671E9"/>
    <w:rsid w:val="002737E1"/>
    <w:rsid w:val="00285655"/>
    <w:rsid w:val="00285B53"/>
    <w:rsid w:val="00286237"/>
    <w:rsid w:val="00287419"/>
    <w:rsid w:val="002918B6"/>
    <w:rsid w:val="00292993"/>
    <w:rsid w:val="00294636"/>
    <w:rsid w:val="002966B3"/>
    <w:rsid w:val="00297292"/>
    <w:rsid w:val="002A0B29"/>
    <w:rsid w:val="002A27DC"/>
    <w:rsid w:val="002A3781"/>
    <w:rsid w:val="002A3E68"/>
    <w:rsid w:val="002A4F6F"/>
    <w:rsid w:val="002A56B6"/>
    <w:rsid w:val="002B202B"/>
    <w:rsid w:val="002B2152"/>
    <w:rsid w:val="002B33A5"/>
    <w:rsid w:val="002B470C"/>
    <w:rsid w:val="002D1CCD"/>
    <w:rsid w:val="002D372D"/>
    <w:rsid w:val="002D4B09"/>
    <w:rsid w:val="002E3335"/>
    <w:rsid w:val="002E39A9"/>
    <w:rsid w:val="002E5C0D"/>
    <w:rsid w:val="002E7B89"/>
    <w:rsid w:val="002F08E6"/>
    <w:rsid w:val="002F09BC"/>
    <w:rsid w:val="002F33E0"/>
    <w:rsid w:val="002F3637"/>
    <w:rsid w:val="002F5051"/>
    <w:rsid w:val="002F5059"/>
    <w:rsid w:val="002F7BB1"/>
    <w:rsid w:val="002F7CC1"/>
    <w:rsid w:val="002F7F3B"/>
    <w:rsid w:val="003018D4"/>
    <w:rsid w:val="00303980"/>
    <w:rsid w:val="00310AFC"/>
    <w:rsid w:val="003135DD"/>
    <w:rsid w:val="003138FB"/>
    <w:rsid w:val="003147C7"/>
    <w:rsid w:val="003157DB"/>
    <w:rsid w:val="003169B5"/>
    <w:rsid w:val="003222EC"/>
    <w:rsid w:val="00322792"/>
    <w:rsid w:val="00326425"/>
    <w:rsid w:val="00330DF0"/>
    <w:rsid w:val="003319A1"/>
    <w:rsid w:val="00331FB6"/>
    <w:rsid w:val="00333E3F"/>
    <w:rsid w:val="00336807"/>
    <w:rsid w:val="0034311A"/>
    <w:rsid w:val="003438E5"/>
    <w:rsid w:val="00345AC4"/>
    <w:rsid w:val="00350B43"/>
    <w:rsid w:val="00350B48"/>
    <w:rsid w:val="00351E2E"/>
    <w:rsid w:val="00352DDB"/>
    <w:rsid w:val="00354242"/>
    <w:rsid w:val="003546B6"/>
    <w:rsid w:val="00355008"/>
    <w:rsid w:val="00355A05"/>
    <w:rsid w:val="00355C4A"/>
    <w:rsid w:val="0035773F"/>
    <w:rsid w:val="00362F4C"/>
    <w:rsid w:val="0036418D"/>
    <w:rsid w:val="00382699"/>
    <w:rsid w:val="00385CE2"/>
    <w:rsid w:val="00387B7E"/>
    <w:rsid w:val="00390A99"/>
    <w:rsid w:val="00397F27"/>
    <w:rsid w:val="003A3DD6"/>
    <w:rsid w:val="003A5224"/>
    <w:rsid w:val="003A6400"/>
    <w:rsid w:val="003B2549"/>
    <w:rsid w:val="003B5402"/>
    <w:rsid w:val="003B6567"/>
    <w:rsid w:val="003B7ADE"/>
    <w:rsid w:val="003C0D9F"/>
    <w:rsid w:val="003C29F4"/>
    <w:rsid w:val="003C2C46"/>
    <w:rsid w:val="003C75BA"/>
    <w:rsid w:val="003D4825"/>
    <w:rsid w:val="003E0228"/>
    <w:rsid w:val="003E514D"/>
    <w:rsid w:val="00402442"/>
    <w:rsid w:val="0040281B"/>
    <w:rsid w:val="00402862"/>
    <w:rsid w:val="00403A73"/>
    <w:rsid w:val="004049CD"/>
    <w:rsid w:val="004068A1"/>
    <w:rsid w:val="00417EE6"/>
    <w:rsid w:val="00420101"/>
    <w:rsid w:val="00421D5A"/>
    <w:rsid w:val="004240E8"/>
    <w:rsid w:val="00426C57"/>
    <w:rsid w:val="00430CD8"/>
    <w:rsid w:val="00431E5B"/>
    <w:rsid w:val="00435044"/>
    <w:rsid w:val="00444D72"/>
    <w:rsid w:val="00444FB5"/>
    <w:rsid w:val="00451D32"/>
    <w:rsid w:val="00455326"/>
    <w:rsid w:val="00455AD7"/>
    <w:rsid w:val="00456234"/>
    <w:rsid w:val="00457786"/>
    <w:rsid w:val="004577FA"/>
    <w:rsid w:val="00457A10"/>
    <w:rsid w:val="00460038"/>
    <w:rsid w:val="0046122B"/>
    <w:rsid w:val="00461DC9"/>
    <w:rsid w:val="00462593"/>
    <w:rsid w:val="00463101"/>
    <w:rsid w:val="00470FCA"/>
    <w:rsid w:val="00481166"/>
    <w:rsid w:val="00486A29"/>
    <w:rsid w:val="004871CE"/>
    <w:rsid w:val="00491D38"/>
    <w:rsid w:val="00491E68"/>
    <w:rsid w:val="0049348A"/>
    <w:rsid w:val="00493AC0"/>
    <w:rsid w:val="00494097"/>
    <w:rsid w:val="00496492"/>
    <w:rsid w:val="00496DD5"/>
    <w:rsid w:val="004A1530"/>
    <w:rsid w:val="004A29E4"/>
    <w:rsid w:val="004A3E6D"/>
    <w:rsid w:val="004A5C8F"/>
    <w:rsid w:val="004A5DEE"/>
    <w:rsid w:val="004B2AD5"/>
    <w:rsid w:val="004B72D9"/>
    <w:rsid w:val="004C3D27"/>
    <w:rsid w:val="004C3F55"/>
    <w:rsid w:val="004C40A2"/>
    <w:rsid w:val="004C61AE"/>
    <w:rsid w:val="004D0F4B"/>
    <w:rsid w:val="004D5E7A"/>
    <w:rsid w:val="004D6A3A"/>
    <w:rsid w:val="004D72E6"/>
    <w:rsid w:val="004E17C8"/>
    <w:rsid w:val="004E3738"/>
    <w:rsid w:val="004E5792"/>
    <w:rsid w:val="004E6716"/>
    <w:rsid w:val="004E6BBE"/>
    <w:rsid w:val="004F276F"/>
    <w:rsid w:val="004F307B"/>
    <w:rsid w:val="004F4748"/>
    <w:rsid w:val="004F4DE6"/>
    <w:rsid w:val="004F5AE4"/>
    <w:rsid w:val="00503C65"/>
    <w:rsid w:val="005040AC"/>
    <w:rsid w:val="0051126F"/>
    <w:rsid w:val="00511F40"/>
    <w:rsid w:val="0051679D"/>
    <w:rsid w:val="00522B41"/>
    <w:rsid w:val="0052642C"/>
    <w:rsid w:val="005279BD"/>
    <w:rsid w:val="00542005"/>
    <w:rsid w:val="00543A03"/>
    <w:rsid w:val="00544357"/>
    <w:rsid w:val="00544B3C"/>
    <w:rsid w:val="00544DB5"/>
    <w:rsid w:val="0054661A"/>
    <w:rsid w:val="005477C9"/>
    <w:rsid w:val="00552C5C"/>
    <w:rsid w:val="00554FBF"/>
    <w:rsid w:val="00555276"/>
    <w:rsid w:val="0055598A"/>
    <w:rsid w:val="00555DC7"/>
    <w:rsid w:val="00560F6E"/>
    <w:rsid w:val="005610C0"/>
    <w:rsid w:val="005611DA"/>
    <w:rsid w:val="005642DC"/>
    <w:rsid w:val="00566272"/>
    <w:rsid w:val="005722F8"/>
    <w:rsid w:val="005732AB"/>
    <w:rsid w:val="00573452"/>
    <w:rsid w:val="0057745D"/>
    <w:rsid w:val="00580DDA"/>
    <w:rsid w:val="00587164"/>
    <w:rsid w:val="005877A3"/>
    <w:rsid w:val="005906AF"/>
    <w:rsid w:val="00591298"/>
    <w:rsid w:val="0059171B"/>
    <w:rsid w:val="0059179A"/>
    <w:rsid w:val="00593E1B"/>
    <w:rsid w:val="00595E8F"/>
    <w:rsid w:val="005A0A55"/>
    <w:rsid w:val="005A1817"/>
    <w:rsid w:val="005A1DFA"/>
    <w:rsid w:val="005A4B30"/>
    <w:rsid w:val="005B11FA"/>
    <w:rsid w:val="005B3C3A"/>
    <w:rsid w:val="005B6182"/>
    <w:rsid w:val="005C469A"/>
    <w:rsid w:val="005C789D"/>
    <w:rsid w:val="005C7DD8"/>
    <w:rsid w:val="005D1C52"/>
    <w:rsid w:val="005D39B1"/>
    <w:rsid w:val="005D5F81"/>
    <w:rsid w:val="005E076B"/>
    <w:rsid w:val="005E1147"/>
    <w:rsid w:val="005E3ABF"/>
    <w:rsid w:val="005E3F27"/>
    <w:rsid w:val="005E5293"/>
    <w:rsid w:val="005E58A2"/>
    <w:rsid w:val="005F2102"/>
    <w:rsid w:val="005F4B3D"/>
    <w:rsid w:val="00601246"/>
    <w:rsid w:val="00603B6C"/>
    <w:rsid w:val="00604381"/>
    <w:rsid w:val="00605B39"/>
    <w:rsid w:val="00606C0A"/>
    <w:rsid w:val="006071F2"/>
    <w:rsid w:val="00610038"/>
    <w:rsid w:val="00613068"/>
    <w:rsid w:val="00617D2A"/>
    <w:rsid w:val="00620E25"/>
    <w:rsid w:val="00625590"/>
    <w:rsid w:val="00627BE2"/>
    <w:rsid w:val="00630D6B"/>
    <w:rsid w:val="00631FA4"/>
    <w:rsid w:val="0063388A"/>
    <w:rsid w:val="00636218"/>
    <w:rsid w:val="006439AD"/>
    <w:rsid w:val="00647532"/>
    <w:rsid w:val="006515E4"/>
    <w:rsid w:val="006528B7"/>
    <w:rsid w:val="00655C8B"/>
    <w:rsid w:val="006610B3"/>
    <w:rsid w:val="0066138E"/>
    <w:rsid w:val="00661B8C"/>
    <w:rsid w:val="00662F51"/>
    <w:rsid w:val="00665877"/>
    <w:rsid w:val="00667E28"/>
    <w:rsid w:val="006729FC"/>
    <w:rsid w:val="00673011"/>
    <w:rsid w:val="00680012"/>
    <w:rsid w:val="00680427"/>
    <w:rsid w:val="00682299"/>
    <w:rsid w:val="00683F94"/>
    <w:rsid w:val="00690231"/>
    <w:rsid w:val="0069125E"/>
    <w:rsid w:val="0069189B"/>
    <w:rsid w:val="00693B2A"/>
    <w:rsid w:val="00695CB5"/>
    <w:rsid w:val="006A7BEF"/>
    <w:rsid w:val="006A7F69"/>
    <w:rsid w:val="006B1299"/>
    <w:rsid w:val="006B3006"/>
    <w:rsid w:val="006B3E94"/>
    <w:rsid w:val="006B4A92"/>
    <w:rsid w:val="006B4BFE"/>
    <w:rsid w:val="006B55D3"/>
    <w:rsid w:val="006B563B"/>
    <w:rsid w:val="006B76FA"/>
    <w:rsid w:val="006C4730"/>
    <w:rsid w:val="006C7AA3"/>
    <w:rsid w:val="006D2EC4"/>
    <w:rsid w:val="006D598A"/>
    <w:rsid w:val="006E0DE6"/>
    <w:rsid w:val="006F4F67"/>
    <w:rsid w:val="0070051B"/>
    <w:rsid w:val="0070440C"/>
    <w:rsid w:val="007072D3"/>
    <w:rsid w:val="00710F76"/>
    <w:rsid w:val="00711594"/>
    <w:rsid w:val="00713F6F"/>
    <w:rsid w:val="00716E9C"/>
    <w:rsid w:val="007177F5"/>
    <w:rsid w:val="00723DA2"/>
    <w:rsid w:val="00724429"/>
    <w:rsid w:val="00724DF2"/>
    <w:rsid w:val="007260A1"/>
    <w:rsid w:val="00727847"/>
    <w:rsid w:val="007306D8"/>
    <w:rsid w:val="00735D89"/>
    <w:rsid w:val="00735DF9"/>
    <w:rsid w:val="00743888"/>
    <w:rsid w:val="00745055"/>
    <w:rsid w:val="007470F3"/>
    <w:rsid w:val="00747E4D"/>
    <w:rsid w:val="00750253"/>
    <w:rsid w:val="007505B6"/>
    <w:rsid w:val="0075131E"/>
    <w:rsid w:val="0075136D"/>
    <w:rsid w:val="00757AA0"/>
    <w:rsid w:val="00770C7A"/>
    <w:rsid w:val="00773B2E"/>
    <w:rsid w:val="0077715C"/>
    <w:rsid w:val="007805DE"/>
    <w:rsid w:val="00780616"/>
    <w:rsid w:val="00781560"/>
    <w:rsid w:val="00782BF9"/>
    <w:rsid w:val="0078314D"/>
    <w:rsid w:val="007867FD"/>
    <w:rsid w:val="007877DE"/>
    <w:rsid w:val="00791BE8"/>
    <w:rsid w:val="00793420"/>
    <w:rsid w:val="0079347E"/>
    <w:rsid w:val="00797B2F"/>
    <w:rsid w:val="007A0FCE"/>
    <w:rsid w:val="007A37E3"/>
    <w:rsid w:val="007B1833"/>
    <w:rsid w:val="007B2B09"/>
    <w:rsid w:val="007B3AEF"/>
    <w:rsid w:val="007C3ED2"/>
    <w:rsid w:val="007C766E"/>
    <w:rsid w:val="007C79D6"/>
    <w:rsid w:val="007D5D76"/>
    <w:rsid w:val="007E78D1"/>
    <w:rsid w:val="007F4F15"/>
    <w:rsid w:val="007F5BA5"/>
    <w:rsid w:val="007F5FA7"/>
    <w:rsid w:val="007F63BC"/>
    <w:rsid w:val="007F7704"/>
    <w:rsid w:val="00806852"/>
    <w:rsid w:val="008141CC"/>
    <w:rsid w:val="008145BD"/>
    <w:rsid w:val="00814B3A"/>
    <w:rsid w:val="00814D12"/>
    <w:rsid w:val="00815AA3"/>
    <w:rsid w:val="00815C8B"/>
    <w:rsid w:val="0082348A"/>
    <w:rsid w:val="00827882"/>
    <w:rsid w:val="008315F1"/>
    <w:rsid w:val="00831AA4"/>
    <w:rsid w:val="00831EB7"/>
    <w:rsid w:val="008333B9"/>
    <w:rsid w:val="00833DC0"/>
    <w:rsid w:val="0084098A"/>
    <w:rsid w:val="00840A88"/>
    <w:rsid w:val="0084276A"/>
    <w:rsid w:val="00850748"/>
    <w:rsid w:val="008509EE"/>
    <w:rsid w:val="00851350"/>
    <w:rsid w:val="00853F8E"/>
    <w:rsid w:val="00854A5A"/>
    <w:rsid w:val="00855250"/>
    <w:rsid w:val="00855475"/>
    <w:rsid w:val="00855F51"/>
    <w:rsid w:val="00857092"/>
    <w:rsid w:val="00857C74"/>
    <w:rsid w:val="00857F8E"/>
    <w:rsid w:val="008601F5"/>
    <w:rsid w:val="008627A2"/>
    <w:rsid w:val="008705FC"/>
    <w:rsid w:val="008725C6"/>
    <w:rsid w:val="00876EB2"/>
    <w:rsid w:val="008778D4"/>
    <w:rsid w:val="00877993"/>
    <w:rsid w:val="00880D1A"/>
    <w:rsid w:val="00881E6A"/>
    <w:rsid w:val="0088251D"/>
    <w:rsid w:val="00883092"/>
    <w:rsid w:val="0088379E"/>
    <w:rsid w:val="00886603"/>
    <w:rsid w:val="008867E5"/>
    <w:rsid w:val="00892A5C"/>
    <w:rsid w:val="00894A77"/>
    <w:rsid w:val="00894BCD"/>
    <w:rsid w:val="008A4297"/>
    <w:rsid w:val="008A4AC0"/>
    <w:rsid w:val="008A7DBB"/>
    <w:rsid w:val="008B166E"/>
    <w:rsid w:val="008B443C"/>
    <w:rsid w:val="008C36FB"/>
    <w:rsid w:val="008C638D"/>
    <w:rsid w:val="008D0D92"/>
    <w:rsid w:val="008D2706"/>
    <w:rsid w:val="008D4378"/>
    <w:rsid w:val="008D670D"/>
    <w:rsid w:val="008D77FF"/>
    <w:rsid w:val="008E1659"/>
    <w:rsid w:val="008E663A"/>
    <w:rsid w:val="008E73DB"/>
    <w:rsid w:val="008F0893"/>
    <w:rsid w:val="008F12FA"/>
    <w:rsid w:val="009008D8"/>
    <w:rsid w:val="00901FB2"/>
    <w:rsid w:val="009108C4"/>
    <w:rsid w:val="00915728"/>
    <w:rsid w:val="00916F1F"/>
    <w:rsid w:val="009218E5"/>
    <w:rsid w:val="00923BDE"/>
    <w:rsid w:val="00925CAD"/>
    <w:rsid w:val="00926093"/>
    <w:rsid w:val="009273CB"/>
    <w:rsid w:val="00927A76"/>
    <w:rsid w:val="00934103"/>
    <w:rsid w:val="00935F80"/>
    <w:rsid w:val="009401BB"/>
    <w:rsid w:val="009411DA"/>
    <w:rsid w:val="00943E85"/>
    <w:rsid w:val="00946AA4"/>
    <w:rsid w:val="0096040A"/>
    <w:rsid w:val="0096123E"/>
    <w:rsid w:val="00962783"/>
    <w:rsid w:val="00962F08"/>
    <w:rsid w:val="00964E8D"/>
    <w:rsid w:val="00970DB8"/>
    <w:rsid w:val="00971993"/>
    <w:rsid w:val="00975514"/>
    <w:rsid w:val="00976A8D"/>
    <w:rsid w:val="00985535"/>
    <w:rsid w:val="00985D47"/>
    <w:rsid w:val="00991A2D"/>
    <w:rsid w:val="00991E89"/>
    <w:rsid w:val="00995AF2"/>
    <w:rsid w:val="00997030"/>
    <w:rsid w:val="009A3E26"/>
    <w:rsid w:val="009A4774"/>
    <w:rsid w:val="009A54BC"/>
    <w:rsid w:val="009B6AA1"/>
    <w:rsid w:val="009B6D2F"/>
    <w:rsid w:val="009C1670"/>
    <w:rsid w:val="009C4583"/>
    <w:rsid w:val="009D003D"/>
    <w:rsid w:val="009D173B"/>
    <w:rsid w:val="009D25D0"/>
    <w:rsid w:val="009E1788"/>
    <w:rsid w:val="009E188B"/>
    <w:rsid w:val="009E311C"/>
    <w:rsid w:val="009E6DED"/>
    <w:rsid w:val="009F1DDC"/>
    <w:rsid w:val="009F207A"/>
    <w:rsid w:val="009F399B"/>
    <w:rsid w:val="009F5574"/>
    <w:rsid w:val="009F60E9"/>
    <w:rsid w:val="00A0031E"/>
    <w:rsid w:val="00A01519"/>
    <w:rsid w:val="00A022A9"/>
    <w:rsid w:val="00A033EE"/>
    <w:rsid w:val="00A054FE"/>
    <w:rsid w:val="00A05649"/>
    <w:rsid w:val="00A063F9"/>
    <w:rsid w:val="00A07543"/>
    <w:rsid w:val="00A121C6"/>
    <w:rsid w:val="00A137E6"/>
    <w:rsid w:val="00A1747D"/>
    <w:rsid w:val="00A20250"/>
    <w:rsid w:val="00A31263"/>
    <w:rsid w:val="00A31D22"/>
    <w:rsid w:val="00A3252D"/>
    <w:rsid w:val="00A32BE5"/>
    <w:rsid w:val="00A369CC"/>
    <w:rsid w:val="00A36CD6"/>
    <w:rsid w:val="00A372CD"/>
    <w:rsid w:val="00A4544C"/>
    <w:rsid w:val="00A45928"/>
    <w:rsid w:val="00A54CDA"/>
    <w:rsid w:val="00A573EA"/>
    <w:rsid w:val="00A57E4E"/>
    <w:rsid w:val="00A6095F"/>
    <w:rsid w:val="00A64D68"/>
    <w:rsid w:val="00A654AC"/>
    <w:rsid w:val="00A65CB7"/>
    <w:rsid w:val="00A67511"/>
    <w:rsid w:val="00A71B2A"/>
    <w:rsid w:val="00A71B54"/>
    <w:rsid w:val="00A71C3C"/>
    <w:rsid w:val="00A7472D"/>
    <w:rsid w:val="00A74F1A"/>
    <w:rsid w:val="00A85B8E"/>
    <w:rsid w:val="00A91E97"/>
    <w:rsid w:val="00A95FC9"/>
    <w:rsid w:val="00A972B8"/>
    <w:rsid w:val="00AA1D2D"/>
    <w:rsid w:val="00AB26B5"/>
    <w:rsid w:val="00AB2E57"/>
    <w:rsid w:val="00AB3ECA"/>
    <w:rsid w:val="00AB6553"/>
    <w:rsid w:val="00AB692D"/>
    <w:rsid w:val="00AC1150"/>
    <w:rsid w:val="00AC2D14"/>
    <w:rsid w:val="00AC321E"/>
    <w:rsid w:val="00AD09C7"/>
    <w:rsid w:val="00AD3C7D"/>
    <w:rsid w:val="00AD4AF4"/>
    <w:rsid w:val="00AE0F51"/>
    <w:rsid w:val="00AE5E4B"/>
    <w:rsid w:val="00AE7D3E"/>
    <w:rsid w:val="00AF2809"/>
    <w:rsid w:val="00AF7A54"/>
    <w:rsid w:val="00B02905"/>
    <w:rsid w:val="00B02C22"/>
    <w:rsid w:val="00B0713D"/>
    <w:rsid w:val="00B10E9A"/>
    <w:rsid w:val="00B1263F"/>
    <w:rsid w:val="00B12956"/>
    <w:rsid w:val="00B14B93"/>
    <w:rsid w:val="00B14FAE"/>
    <w:rsid w:val="00B2302F"/>
    <w:rsid w:val="00B24895"/>
    <w:rsid w:val="00B259FF"/>
    <w:rsid w:val="00B30776"/>
    <w:rsid w:val="00B30ADD"/>
    <w:rsid w:val="00B325C3"/>
    <w:rsid w:val="00B438A8"/>
    <w:rsid w:val="00B46630"/>
    <w:rsid w:val="00B5033C"/>
    <w:rsid w:val="00B52C90"/>
    <w:rsid w:val="00B5673E"/>
    <w:rsid w:val="00B647A1"/>
    <w:rsid w:val="00B66C39"/>
    <w:rsid w:val="00B70994"/>
    <w:rsid w:val="00B7167F"/>
    <w:rsid w:val="00B718AA"/>
    <w:rsid w:val="00B72E03"/>
    <w:rsid w:val="00B75956"/>
    <w:rsid w:val="00B81A65"/>
    <w:rsid w:val="00B833C9"/>
    <w:rsid w:val="00B96874"/>
    <w:rsid w:val="00BA0CC5"/>
    <w:rsid w:val="00BA2195"/>
    <w:rsid w:val="00BA3480"/>
    <w:rsid w:val="00BA4DA2"/>
    <w:rsid w:val="00BA606C"/>
    <w:rsid w:val="00BA760C"/>
    <w:rsid w:val="00BB3923"/>
    <w:rsid w:val="00BB79C0"/>
    <w:rsid w:val="00BC2A65"/>
    <w:rsid w:val="00BC7852"/>
    <w:rsid w:val="00BD0AE0"/>
    <w:rsid w:val="00BD657A"/>
    <w:rsid w:val="00BE2D21"/>
    <w:rsid w:val="00BE660A"/>
    <w:rsid w:val="00BF07D3"/>
    <w:rsid w:val="00BF11FF"/>
    <w:rsid w:val="00BF1E11"/>
    <w:rsid w:val="00BF3064"/>
    <w:rsid w:val="00BF72E1"/>
    <w:rsid w:val="00BF7F57"/>
    <w:rsid w:val="00C001BE"/>
    <w:rsid w:val="00C054F0"/>
    <w:rsid w:val="00C0628F"/>
    <w:rsid w:val="00C06449"/>
    <w:rsid w:val="00C06EB4"/>
    <w:rsid w:val="00C17CA3"/>
    <w:rsid w:val="00C20E57"/>
    <w:rsid w:val="00C210D6"/>
    <w:rsid w:val="00C30308"/>
    <w:rsid w:val="00C303B6"/>
    <w:rsid w:val="00C33246"/>
    <w:rsid w:val="00C33D16"/>
    <w:rsid w:val="00C3701E"/>
    <w:rsid w:val="00C433E2"/>
    <w:rsid w:val="00C441E5"/>
    <w:rsid w:val="00C44648"/>
    <w:rsid w:val="00C45939"/>
    <w:rsid w:val="00C53C30"/>
    <w:rsid w:val="00C54552"/>
    <w:rsid w:val="00C73B2B"/>
    <w:rsid w:val="00C7661B"/>
    <w:rsid w:val="00C76A6A"/>
    <w:rsid w:val="00C77E19"/>
    <w:rsid w:val="00C82DF4"/>
    <w:rsid w:val="00C85695"/>
    <w:rsid w:val="00C9650F"/>
    <w:rsid w:val="00CA012E"/>
    <w:rsid w:val="00CA45CF"/>
    <w:rsid w:val="00CA4AF6"/>
    <w:rsid w:val="00CB0FD9"/>
    <w:rsid w:val="00CB25BC"/>
    <w:rsid w:val="00CB40E1"/>
    <w:rsid w:val="00CB6793"/>
    <w:rsid w:val="00CB6D02"/>
    <w:rsid w:val="00CD3073"/>
    <w:rsid w:val="00CD5B95"/>
    <w:rsid w:val="00CE495D"/>
    <w:rsid w:val="00CF10B4"/>
    <w:rsid w:val="00CF1F12"/>
    <w:rsid w:val="00CF3D25"/>
    <w:rsid w:val="00CF4FAC"/>
    <w:rsid w:val="00CF506A"/>
    <w:rsid w:val="00CF650E"/>
    <w:rsid w:val="00CF7049"/>
    <w:rsid w:val="00D00006"/>
    <w:rsid w:val="00D01B47"/>
    <w:rsid w:val="00D03A2B"/>
    <w:rsid w:val="00D20492"/>
    <w:rsid w:val="00D217AB"/>
    <w:rsid w:val="00D2711D"/>
    <w:rsid w:val="00D30578"/>
    <w:rsid w:val="00D33F4E"/>
    <w:rsid w:val="00D40046"/>
    <w:rsid w:val="00D41887"/>
    <w:rsid w:val="00D45EFA"/>
    <w:rsid w:val="00D46208"/>
    <w:rsid w:val="00D5126A"/>
    <w:rsid w:val="00D52E0B"/>
    <w:rsid w:val="00D542DE"/>
    <w:rsid w:val="00D55ABB"/>
    <w:rsid w:val="00D5630F"/>
    <w:rsid w:val="00D61470"/>
    <w:rsid w:val="00D6498E"/>
    <w:rsid w:val="00D702FC"/>
    <w:rsid w:val="00D7366F"/>
    <w:rsid w:val="00D758D7"/>
    <w:rsid w:val="00D7596A"/>
    <w:rsid w:val="00D766B9"/>
    <w:rsid w:val="00D76FAB"/>
    <w:rsid w:val="00D86589"/>
    <w:rsid w:val="00D86FF7"/>
    <w:rsid w:val="00D87F47"/>
    <w:rsid w:val="00D92958"/>
    <w:rsid w:val="00D93931"/>
    <w:rsid w:val="00D94734"/>
    <w:rsid w:val="00D95E58"/>
    <w:rsid w:val="00D96A80"/>
    <w:rsid w:val="00DA0738"/>
    <w:rsid w:val="00DA1F60"/>
    <w:rsid w:val="00DA23FC"/>
    <w:rsid w:val="00DA4802"/>
    <w:rsid w:val="00DA5811"/>
    <w:rsid w:val="00DA6469"/>
    <w:rsid w:val="00DB1F65"/>
    <w:rsid w:val="00DC052A"/>
    <w:rsid w:val="00DC17FC"/>
    <w:rsid w:val="00DC4C84"/>
    <w:rsid w:val="00DC696B"/>
    <w:rsid w:val="00DC6981"/>
    <w:rsid w:val="00DD0A48"/>
    <w:rsid w:val="00DD1879"/>
    <w:rsid w:val="00DD4530"/>
    <w:rsid w:val="00DD732C"/>
    <w:rsid w:val="00DE125A"/>
    <w:rsid w:val="00DE207D"/>
    <w:rsid w:val="00DE2E78"/>
    <w:rsid w:val="00DE4121"/>
    <w:rsid w:val="00DE694B"/>
    <w:rsid w:val="00DE6C9B"/>
    <w:rsid w:val="00DE7F1A"/>
    <w:rsid w:val="00DF0481"/>
    <w:rsid w:val="00DF0BCD"/>
    <w:rsid w:val="00DF2723"/>
    <w:rsid w:val="00DF63F6"/>
    <w:rsid w:val="00E017FC"/>
    <w:rsid w:val="00E02571"/>
    <w:rsid w:val="00E078EF"/>
    <w:rsid w:val="00E121A5"/>
    <w:rsid w:val="00E1275B"/>
    <w:rsid w:val="00E1302F"/>
    <w:rsid w:val="00E15E72"/>
    <w:rsid w:val="00E17FF8"/>
    <w:rsid w:val="00E21B9E"/>
    <w:rsid w:val="00E2269E"/>
    <w:rsid w:val="00E22C98"/>
    <w:rsid w:val="00E23F53"/>
    <w:rsid w:val="00E251E4"/>
    <w:rsid w:val="00E26BD1"/>
    <w:rsid w:val="00E31623"/>
    <w:rsid w:val="00E31784"/>
    <w:rsid w:val="00E34F1C"/>
    <w:rsid w:val="00E356EB"/>
    <w:rsid w:val="00E45488"/>
    <w:rsid w:val="00E4606F"/>
    <w:rsid w:val="00E50382"/>
    <w:rsid w:val="00E50CA1"/>
    <w:rsid w:val="00E5486D"/>
    <w:rsid w:val="00E54A55"/>
    <w:rsid w:val="00E5563B"/>
    <w:rsid w:val="00E56A9B"/>
    <w:rsid w:val="00E57CED"/>
    <w:rsid w:val="00E67F4B"/>
    <w:rsid w:val="00E67FF1"/>
    <w:rsid w:val="00E72C79"/>
    <w:rsid w:val="00E76716"/>
    <w:rsid w:val="00E7754B"/>
    <w:rsid w:val="00E80C3E"/>
    <w:rsid w:val="00E845CA"/>
    <w:rsid w:val="00E84AAF"/>
    <w:rsid w:val="00E87E1D"/>
    <w:rsid w:val="00E90381"/>
    <w:rsid w:val="00E93D22"/>
    <w:rsid w:val="00E947F0"/>
    <w:rsid w:val="00EA2130"/>
    <w:rsid w:val="00EA38CD"/>
    <w:rsid w:val="00EA43D0"/>
    <w:rsid w:val="00EB04DE"/>
    <w:rsid w:val="00EB4092"/>
    <w:rsid w:val="00EB4F8D"/>
    <w:rsid w:val="00EB5FA3"/>
    <w:rsid w:val="00EC0E23"/>
    <w:rsid w:val="00EC2682"/>
    <w:rsid w:val="00EC26DA"/>
    <w:rsid w:val="00EC3AF6"/>
    <w:rsid w:val="00EC6685"/>
    <w:rsid w:val="00EC6FEA"/>
    <w:rsid w:val="00ED2398"/>
    <w:rsid w:val="00ED3F96"/>
    <w:rsid w:val="00ED4136"/>
    <w:rsid w:val="00ED4F73"/>
    <w:rsid w:val="00ED6C35"/>
    <w:rsid w:val="00ED700A"/>
    <w:rsid w:val="00EE1845"/>
    <w:rsid w:val="00EE19A9"/>
    <w:rsid w:val="00EE2E7D"/>
    <w:rsid w:val="00EE325F"/>
    <w:rsid w:val="00EE442B"/>
    <w:rsid w:val="00EE4C88"/>
    <w:rsid w:val="00EE6321"/>
    <w:rsid w:val="00EE79F4"/>
    <w:rsid w:val="00EF1CEE"/>
    <w:rsid w:val="00EF747D"/>
    <w:rsid w:val="00F041A4"/>
    <w:rsid w:val="00F058AB"/>
    <w:rsid w:val="00F05B67"/>
    <w:rsid w:val="00F16AC4"/>
    <w:rsid w:val="00F2220C"/>
    <w:rsid w:val="00F22753"/>
    <w:rsid w:val="00F228B6"/>
    <w:rsid w:val="00F22933"/>
    <w:rsid w:val="00F25DF1"/>
    <w:rsid w:val="00F25E80"/>
    <w:rsid w:val="00F27A43"/>
    <w:rsid w:val="00F339EB"/>
    <w:rsid w:val="00F341BC"/>
    <w:rsid w:val="00F34E52"/>
    <w:rsid w:val="00F35308"/>
    <w:rsid w:val="00F36709"/>
    <w:rsid w:val="00F37048"/>
    <w:rsid w:val="00F40D1B"/>
    <w:rsid w:val="00F41638"/>
    <w:rsid w:val="00F425B2"/>
    <w:rsid w:val="00F44EA4"/>
    <w:rsid w:val="00F452D9"/>
    <w:rsid w:val="00F47C0C"/>
    <w:rsid w:val="00F51133"/>
    <w:rsid w:val="00F537B1"/>
    <w:rsid w:val="00F53B9B"/>
    <w:rsid w:val="00F5551D"/>
    <w:rsid w:val="00F5751A"/>
    <w:rsid w:val="00F67649"/>
    <w:rsid w:val="00F726DD"/>
    <w:rsid w:val="00F736A6"/>
    <w:rsid w:val="00F73A25"/>
    <w:rsid w:val="00F74CDE"/>
    <w:rsid w:val="00F76C0D"/>
    <w:rsid w:val="00F8012A"/>
    <w:rsid w:val="00F826A1"/>
    <w:rsid w:val="00F8751A"/>
    <w:rsid w:val="00F91FAA"/>
    <w:rsid w:val="00F91FDA"/>
    <w:rsid w:val="00F94BCD"/>
    <w:rsid w:val="00F94D13"/>
    <w:rsid w:val="00F97003"/>
    <w:rsid w:val="00FA05F9"/>
    <w:rsid w:val="00FA0E1B"/>
    <w:rsid w:val="00FA29AF"/>
    <w:rsid w:val="00FA3681"/>
    <w:rsid w:val="00FA3B6C"/>
    <w:rsid w:val="00FA57DB"/>
    <w:rsid w:val="00FB2C0F"/>
    <w:rsid w:val="00FB3578"/>
    <w:rsid w:val="00FB50D8"/>
    <w:rsid w:val="00FC1352"/>
    <w:rsid w:val="00FC160F"/>
    <w:rsid w:val="00FC2DC7"/>
    <w:rsid w:val="00FC41E9"/>
    <w:rsid w:val="00FC46D9"/>
    <w:rsid w:val="00FC5E3E"/>
    <w:rsid w:val="00FD3D66"/>
    <w:rsid w:val="00FD3FC0"/>
    <w:rsid w:val="00FD7F03"/>
    <w:rsid w:val="00FE0B3F"/>
    <w:rsid w:val="00FE5905"/>
    <w:rsid w:val="00FE60EF"/>
    <w:rsid w:val="00FF2EF3"/>
    <w:rsid w:val="00FF4CE1"/>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892CA9"/>
  <w15:chartTrackingRefBased/>
  <w15:docId w15:val="{877D6AE0-4FA2-404C-900D-4A06802B5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si-LK"/>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FB6"/>
    <w:pPr>
      <w:spacing w:after="80"/>
    </w:pPr>
    <w:rPr>
      <w:sz w:val="22"/>
      <w:szCs w:val="22"/>
      <w:lang w:bidi="ar-SA"/>
    </w:rPr>
  </w:style>
  <w:style w:type="paragraph" w:styleId="Heading1">
    <w:name w:val="heading 1"/>
    <w:basedOn w:val="Normal"/>
    <w:next w:val="Normal"/>
    <w:link w:val="Heading1Char"/>
    <w:uiPriority w:val="9"/>
    <w:qFormat/>
    <w:rsid w:val="007260A1"/>
    <w:pPr>
      <w:keepNext/>
      <w:keepLines/>
      <w:spacing w:before="240" w:after="0"/>
      <w:outlineLvl w:val="0"/>
    </w:pPr>
    <w:rPr>
      <w:rFonts w:asciiTheme="majorHAnsi" w:eastAsiaTheme="majorEastAsia" w:hAnsiTheme="majorHAnsi" w:cstheme="majorBidi"/>
      <w:color w:val="374C80" w:themeColor="accent1" w:themeShade="BF"/>
      <w:sz w:val="32"/>
      <w:szCs w:val="32"/>
    </w:rPr>
  </w:style>
  <w:style w:type="paragraph" w:styleId="Heading3">
    <w:name w:val="heading 3"/>
    <w:basedOn w:val="Normal"/>
    <w:next w:val="Normal"/>
    <w:link w:val="Heading3Char"/>
    <w:uiPriority w:val="9"/>
    <w:unhideWhenUsed/>
    <w:qFormat/>
    <w:rsid w:val="00630D6B"/>
    <w:pPr>
      <w:keepNext/>
      <w:keepLines/>
      <w:spacing w:before="200" w:after="0" w:line="276" w:lineRule="auto"/>
      <w:outlineLvl w:val="2"/>
    </w:pPr>
    <w:rPr>
      <w:rFonts w:ascii="Times New Roman" w:eastAsia="Calibri" w:hAnsi="Times New Roman" w:cs="Times New Roman"/>
      <w:b/>
      <w:color w:val="00B0F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ferences,Liste 1,List Paragraph nowy,Numbered List Paragraph,List Paragraph (numbered (a)),Medium Grid 1 - Accent 21,Paragraphe de liste2,Paragraphe de liste1,Dot pt,F5 List Paragraph,Indicator Text,Puces,List Paragraph1,Recommendation"/>
    <w:basedOn w:val="Normal"/>
    <w:link w:val="ListParagraphChar"/>
    <w:uiPriority w:val="34"/>
    <w:qFormat/>
    <w:rsid w:val="00331FB6"/>
    <w:pPr>
      <w:spacing w:after="0"/>
      <w:ind w:left="720"/>
      <w:contextualSpacing/>
    </w:pPr>
    <w:rPr>
      <w:sz w:val="24"/>
      <w:szCs w:val="24"/>
    </w:rPr>
  </w:style>
  <w:style w:type="character" w:customStyle="1" w:styleId="ListParagraphChar">
    <w:name w:val="List Paragraph Char"/>
    <w:aliases w:val="References Char,Liste 1 Char,List Paragraph nowy Char,Numbered List Paragraph Char,List Paragraph (numbered (a)) Char,Medium Grid 1 - Accent 21 Char,Paragraphe de liste2 Char,Paragraphe de liste1 Char,Dot pt Char,Indicator Text Char"/>
    <w:link w:val="ListParagraph"/>
    <w:uiPriority w:val="34"/>
    <w:qFormat/>
    <w:locked/>
    <w:rsid w:val="00331FB6"/>
    <w:rPr>
      <w:lang w:val="en-US" w:bidi="ar-SA"/>
    </w:rPr>
  </w:style>
  <w:style w:type="paragraph" w:customStyle="1" w:styleId="Default">
    <w:name w:val="Default"/>
    <w:rsid w:val="00331FB6"/>
    <w:pPr>
      <w:autoSpaceDE w:val="0"/>
      <w:autoSpaceDN w:val="0"/>
      <w:adjustRightInd w:val="0"/>
    </w:pPr>
    <w:rPr>
      <w:rFonts w:ascii="Calibri" w:eastAsia="Calibri" w:hAnsi="Calibri" w:cs="Calibri"/>
      <w:color w:val="000000"/>
      <w:lang w:bidi="ta-LK"/>
    </w:rPr>
  </w:style>
  <w:style w:type="paragraph" w:styleId="NormalWeb">
    <w:name w:val="Normal (Web)"/>
    <w:basedOn w:val="Normal"/>
    <w:uiPriority w:val="99"/>
    <w:unhideWhenUsed/>
    <w:rsid w:val="00331FB6"/>
    <w:pPr>
      <w:spacing w:before="100" w:beforeAutospacing="1" w:after="100" w:afterAutospacing="1"/>
    </w:pPr>
    <w:rPr>
      <w:rFonts w:ascii="Times New Roman" w:eastAsia="Times New Roman" w:hAnsi="Times New Roman" w:cs="Times New Roman"/>
      <w:sz w:val="24"/>
      <w:szCs w:val="24"/>
      <w:lang w:eastAsia="en-GB" w:bidi="si-LK"/>
    </w:rPr>
  </w:style>
  <w:style w:type="paragraph" w:styleId="FootnoteText">
    <w:name w:val="footnote text"/>
    <w:aliases w:val="Footnote Text Char Char,Fußnote,Footnote,Footnote Text Char1 Char Char Char,Footnote Text Char Char Char Char Char,Footnote Text Char1 Char1 Char,Podrozdział,Lábjegyzet-szöveg,Footnote Text Blue,Footnote Text1,Char,single space,ft,Tegn1,fn"/>
    <w:basedOn w:val="Normal"/>
    <w:link w:val="FootnoteTextChar"/>
    <w:uiPriority w:val="99"/>
    <w:unhideWhenUsed/>
    <w:qFormat/>
    <w:rsid w:val="00331FB6"/>
    <w:pPr>
      <w:spacing w:after="0"/>
    </w:pPr>
    <w:rPr>
      <w:sz w:val="20"/>
      <w:szCs w:val="20"/>
    </w:rPr>
  </w:style>
  <w:style w:type="character" w:customStyle="1" w:styleId="FootnoteTextChar">
    <w:name w:val="Footnote Text Char"/>
    <w:aliases w:val="Footnote Text Char Char Char,Fußnote Char,Footnote Char,Footnote Text Char1 Char Char Char Char,Footnote Text Char Char Char Char Char Char,Footnote Text Char1 Char1 Char Char,Podrozdział Char,Lábjegyzet-szöveg Char,Char Char,ft Char"/>
    <w:basedOn w:val="DefaultParagraphFont"/>
    <w:link w:val="FootnoteText"/>
    <w:uiPriority w:val="99"/>
    <w:qFormat/>
    <w:rsid w:val="00331FB6"/>
    <w:rPr>
      <w:sz w:val="20"/>
      <w:szCs w:val="20"/>
      <w:lang w:val="en-US" w:bidi="ar-SA"/>
    </w:rPr>
  </w:style>
  <w:style w:type="character" w:styleId="FootnoteReference">
    <w:name w:val="footnote reference"/>
    <w:aliases w:val="BVI fnr,ftref,16 Point,Superscript 6 Point,Footnote Reference Number,nota pié di pagina,Footnote symbol,Footnote reference number,Times 10 Point,Exposant 3 Point,EN Footnote Reference,note TESI,Footnote Reference Char Char Char,fr,f"/>
    <w:basedOn w:val="DefaultParagraphFont"/>
    <w:link w:val="Char2"/>
    <w:uiPriority w:val="99"/>
    <w:unhideWhenUsed/>
    <w:qFormat/>
    <w:rsid w:val="00331FB6"/>
    <w:rPr>
      <w:vertAlign w:val="superscript"/>
    </w:rPr>
  </w:style>
  <w:style w:type="paragraph" w:customStyle="1" w:styleId="Char2">
    <w:name w:val="Char2"/>
    <w:basedOn w:val="Normal"/>
    <w:link w:val="FootnoteReference"/>
    <w:uiPriority w:val="99"/>
    <w:rsid w:val="00331FB6"/>
    <w:pPr>
      <w:spacing w:line="240" w:lineRule="exact"/>
    </w:pPr>
    <w:rPr>
      <w:sz w:val="24"/>
      <w:szCs w:val="24"/>
      <w:vertAlign w:val="superscript"/>
      <w:lang w:bidi="si-LK"/>
    </w:rPr>
  </w:style>
  <w:style w:type="paragraph" w:styleId="BodyText">
    <w:name w:val="Body Text"/>
    <w:basedOn w:val="Normal"/>
    <w:link w:val="BodyTextChar"/>
    <w:unhideWhenUsed/>
    <w:qFormat/>
    <w:rsid w:val="00331FB6"/>
    <w:pPr>
      <w:spacing w:before="180" w:after="180"/>
    </w:pPr>
    <w:rPr>
      <w:rFonts w:ascii="Calibri" w:eastAsia="Calibri" w:hAnsi="Calibri" w:cs="Cordia New"/>
      <w:sz w:val="24"/>
      <w:szCs w:val="24"/>
    </w:rPr>
  </w:style>
  <w:style w:type="character" w:customStyle="1" w:styleId="BodyTextChar">
    <w:name w:val="Body Text Char"/>
    <w:basedOn w:val="DefaultParagraphFont"/>
    <w:link w:val="BodyText"/>
    <w:rsid w:val="00331FB6"/>
    <w:rPr>
      <w:rFonts w:ascii="Calibri" w:eastAsia="Calibri" w:hAnsi="Calibri" w:cs="Cordia New"/>
      <w:lang w:val="en-US" w:bidi="ar-SA"/>
    </w:rPr>
  </w:style>
  <w:style w:type="character" w:styleId="Emphasis">
    <w:name w:val="Emphasis"/>
    <w:basedOn w:val="DefaultParagraphFont"/>
    <w:uiPriority w:val="20"/>
    <w:qFormat/>
    <w:rsid w:val="00331FB6"/>
    <w:rPr>
      <w:i/>
      <w:iCs/>
    </w:rPr>
  </w:style>
  <w:style w:type="paragraph" w:styleId="NoSpacing">
    <w:name w:val="No Spacing"/>
    <w:link w:val="NoSpacingChar"/>
    <w:uiPriority w:val="1"/>
    <w:qFormat/>
    <w:rsid w:val="00331FB6"/>
    <w:rPr>
      <w:rFonts w:eastAsiaTheme="minorEastAsia"/>
      <w:sz w:val="22"/>
      <w:szCs w:val="22"/>
      <w:lang w:eastAsia="zh-CN" w:bidi="ar-SA"/>
    </w:rPr>
  </w:style>
  <w:style w:type="character" w:customStyle="1" w:styleId="NoSpacingChar">
    <w:name w:val="No Spacing Char"/>
    <w:basedOn w:val="DefaultParagraphFont"/>
    <w:link w:val="NoSpacing"/>
    <w:uiPriority w:val="1"/>
    <w:rsid w:val="00331FB6"/>
    <w:rPr>
      <w:rFonts w:eastAsiaTheme="minorEastAsia"/>
      <w:sz w:val="22"/>
      <w:szCs w:val="22"/>
      <w:lang w:val="en-US" w:eastAsia="zh-CN" w:bidi="ar-SA"/>
    </w:rPr>
  </w:style>
  <w:style w:type="character" w:customStyle="1" w:styleId="Heading1Char">
    <w:name w:val="Heading 1 Char"/>
    <w:basedOn w:val="DefaultParagraphFont"/>
    <w:link w:val="Heading1"/>
    <w:uiPriority w:val="9"/>
    <w:rsid w:val="007260A1"/>
    <w:rPr>
      <w:rFonts w:asciiTheme="majorHAnsi" w:eastAsiaTheme="majorEastAsia" w:hAnsiTheme="majorHAnsi" w:cstheme="majorBidi"/>
      <w:color w:val="374C80" w:themeColor="accent1" w:themeShade="BF"/>
      <w:sz w:val="32"/>
      <w:szCs w:val="32"/>
      <w:lang w:val="en-US" w:bidi="ar-SA"/>
    </w:rPr>
  </w:style>
  <w:style w:type="paragraph" w:styleId="Footer">
    <w:name w:val="footer"/>
    <w:basedOn w:val="Normal"/>
    <w:link w:val="FooterChar"/>
    <w:uiPriority w:val="99"/>
    <w:unhideWhenUsed/>
    <w:rsid w:val="007260A1"/>
    <w:pPr>
      <w:tabs>
        <w:tab w:val="center" w:pos="4680"/>
        <w:tab w:val="right" w:pos="9360"/>
      </w:tabs>
      <w:spacing w:after="0"/>
    </w:pPr>
    <w:rPr>
      <w:sz w:val="24"/>
      <w:szCs w:val="24"/>
    </w:rPr>
  </w:style>
  <w:style w:type="character" w:customStyle="1" w:styleId="FooterChar">
    <w:name w:val="Footer Char"/>
    <w:basedOn w:val="DefaultParagraphFont"/>
    <w:link w:val="Footer"/>
    <w:uiPriority w:val="99"/>
    <w:rsid w:val="007260A1"/>
    <w:rPr>
      <w:lang w:val="en-US" w:bidi="ar-SA"/>
    </w:rPr>
  </w:style>
  <w:style w:type="character" w:styleId="PageNumber">
    <w:name w:val="page number"/>
    <w:basedOn w:val="DefaultParagraphFont"/>
    <w:uiPriority w:val="99"/>
    <w:semiHidden/>
    <w:unhideWhenUsed/>
    <w:rsid w:val="007260A1"/>
  </w:style>
  <w:style w:type="paragraph" w:styleId="Header">
    <w:name w:val="header"/>
    <w:basedOn w:val="Normal"/>
    <w:link w:val="HeaderChar"/>
    <w:uiPriority w:val="99"/>
    <w:unhideWhenUsed/>
    <w:rsid w:val="000B753D"/>
    <w:pPr>
      <w:tabs>
        <w:tab w:val="center" w:pos="4513"/>
        <w:tab w:val="right" w:pos="9026"/>
      </w:tabs>
      <w:spacing w:after="0"/>
    </w:pPr>
  </w:style>
  <w:style w:type="character" w:customStyle="1" w:styleId="HeaderChar">
    <w:name w:val="Header Char"/>
    <w:basedOn w:val="DefaultParagraphFont"/>
    <w:link w:val="Header"/>
    <w:uiPriority w:val="99"/>
    <w:rsid w:val="000B753D"/>
    <w:rPr>
      <w:sz w:val="22"/>
      <w:szCs w:val="22"/>
      <w:lang w:val="en-US" w:bidi="ar-SA"/>
    </w:rPr>
  </w:style>
  <w:style w:type="paragraph" w:styleId="BalloonText">
    <w:name w:val="Balloon Text"/>
    <w:basedOn w:val="Normal"/>
    <w:link w:val="BalloonTextChar"/>
    <w:uiPriority w:val="99"/>
    <w:semiHidden/>
    <w:unhideWhenUsed/>
    <w:rsid w:val="00E72C7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2C79"/>
    <w:rPr>
      <w:rFonts w:ascii="Segoe UI" w:hAnsi="Segoe UI" w:cs="Segoe UI"/>
      <w:sz w:val="18"/>
      <w:szCs w:val="18"/>
      <w:lang w:val="en-US" w:bidi="ar-SA"/>
    </w:rPr>
  </w:style>
  <w:style w:type="character" w:styleId="Hyperlink">
    <w:name w:val="Hyperlink"/>
    <w:basedOn w:val="DefaultParagraphFont"/>
    <w:uiPriority w:val="99"/>
    <w:unhideWhenUsed/>
    <w:rsid w:val="00781560"/>
    <w:rPr>
      <w:color w:val="9454C3" w:themeColor="hyperlink"/>
      <w:u w:val="single"/>
    </w:rPr>
  </w:style>
  <w:style w:type="character" w:styleId="UnresolvedMention">
    <w:name w:val="Unresolved Mention"/>
    <w:basedOn w:val="DefaultParagraphFont"/>
    <w:uiPriority w:val="99"/>
    <w:semiHidden/>
    <w:unhideWhenUsed/>
    <w:rsid w:val="00781560"/>
    <w:rPr>
      <w:color w:val="605E5C"/>
      <w:shd w:val="clear" w:color="auto" w:fill="E1DFDD"/>
    </w:rPr>
  </w:style>
  <w:style w:type="table" w:styleId="TableGrid">
    <w:name w:val="Table Grid"/>
    <w:basedOn w:val="TableNormal"/>
    <w:uiPriority w:val="39"/>
    <w:rsid w:val="00D400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E5905"/>
    <w:rPr>
      <w:color w:val="3EBBF0" w:themeColor="followedHyperlink"/>
      <w:u w:val="single"/>
    </w:rPr>
  </w:style>
  <w:style w:type="paragraph" w:styleId="TOCHeading">
    <w:name w:val="TOC Heading"/>
    <w:basedOn w:val="Heading1"/>
    <w:next w:val="Normal"/>
    <w:uiPriority w:val="39"/>
    <w:unhideWhenUsed/>
    <w:qFormat/>
    <w:rsid w:val="003147C7"/>
    <w:pPr>
      <w:spacing w:before="480" w:line="276" w:lineRule="auto"/>
      <w:outlineLvl w:val="9"/>
    </w:pPr>
    <w:rPr>
      <w:b/>
      <w:bCs/>
      <w:sz w:val="28"/>
      <w:szCs w:val="28"/>
    </w:rPr>
  </w:style>
  <w:style w:type="paragraph" w:styleId="TOC1">
    <w:name w:val="toc 1"/>
    <w:basedOn w:val="Normal"/>
    <w:next w:val="Normal"/>
    <w:autoRedefine/>
    <w:uiPriority w:val="39"/>
    <w:unhideWhenUsed/>
    <w:rsid w:val="003147C7"/>
    <w:pPr>
      <w:spacing w:before="120" w:after="0"/>
    </w:pPr>
    <w:rPr>
      <w:rFonts w:cstheme="minorHAnsi"/>
      <w:b/>
      <w:bCs/>
      <w:i/>
      <w:iCs/>
      <w:sz w:val="24"/>
      <w:szCs w:val="28"/>
    </w:rPr>
  </w:style>
  <w:style w:type="paragraph" w:styleId="TOC2">
    <w:name w:val="toc 2"/>
    <w:basedOn w:val="Normal"/>
    <w:next w:val="Normal"/>
    <w:autoRedefine/>
    <w:uiPriority w:val="39"/>
    <w:unhideWhenUsed/>
    <w:rsid w:val="003147C7"/>
    <w:pPr>
      <w:spacing w:before="120" w:after="0"/>
      <w:ind w:left="220"/>
    </w:pPr>
    <w:rPr>
      <w:rFonts w:cstheme="minorHAnsi"/>
      <w:b/>
      <w:bCs/>
      <w:szCs w:val="26"/>
    </w:rPr>
  </w:style>
  <w:style w:type="paragraph" w:styleId="TOC3">
    <w:name w:val="toc 3"/>
    <w:basedOn w:val="Normal"/>
    <w:next w:val="Normal"/>
    <w:autoRedefine/>
    <w:uiPriority w:val="39"/>
    <w:unhideWhenUsed/>
    <w:rsid w:val="003147C7"/>
    <w:pPr>
      <w:spacing w:after="0"/>
      <w:ind w:left="440"/>
    </w:pPr>
    <w:rPr>
      <w:rFonts w:cstheme="minorHAnsi"/>
      <w:sz w:val="20"/>
      <w:szCs w:val="24"/>
    </w:rPr>
  </w:style>
  <w:style w:type="paragraph" w:styleId="TOC4">
    <w:name w:val="toc 4"/>
    <w:basedOn w:val="Normal"/>
    <w:next w:val="Normal"/>
    <w:autoRedefine/>
    <w:uiPriority w:val="39"/>
    <w:unhideWhenUsed/>
    <w:rsid w:val="003147C7"/>
    <w:pPr>
      <w:spacing w:after="0"/>
      <w:ind w:left="660"/>
    </w:pPr>
    <w:rPr>
      <w:rFonts w:cstheme="minorHAnsi"/>
      <w:sz w:val="20"/>
      <w:szCs w:val="24"/>
    </w:rPr>
  </w:style>
  <w:style w:type="paragraph" w:styleId="TOC5">
    <w:name w:val="toc 5"/>
    <w:basedOn w:val="Normal"/>
    <w:next w:val="Normal"/>
    <w:autoRedefine/>
    <w:uiPriority w:val="39"/>
    <w:unhideWhenUsed/>
    <w:rsid w:val="003147C7"/>
    <w:pPr>
      <w:spacing w:after="0"/>
      <w:ind w:left="880"/>
    </w:pPr>
    <w:rPr>
      <w:rFonts w:cstheme="minorHAnsi"/>
      <w:sz w:val="20"/>
      <w:szCs w:val="24"/>
    </w:rPr>
  </w:style>
  <w:style w:type="paragraph" w:styleId="TOC6">
    <w:name w:val="toc 6"/>
    <w:basedOn w:val="Normal"/>
    <w:next w:val="Normal"/>
    <w:autoRedefine/>
    <w:uiPriority w:val="39"/>
    <w:unhideWhenUsed/>
    <w:rsid w:val="003147C7"/>
    <w:pPr>
      <w:spacing w:after="0"/>
      <w:ind w:left="1100"/>
    </w:pPr>
    <w:rPr>
      <w:rFonts w:cstheme="minorHAnsi"/>
      <w:sz w:val="20"/>
      <w:szCs w:val="24"/>
    </w:rPr>
  </w:style>
  <w:style w:type="paragraph" w:styleId="TOC7">
    <w:name w:val="toc 7"/>
    <w:basedOn w:val="Normal"/>
    <w:next w:val="Normal"/>
    <w:autoRedefine/>
    <w:uiPriority w:val="39"/>
    <w:unhideWhenUsed/>
    <w:rsid w:val="003147C7"/>
    <w:pPr>
      <w:spacing w:after="0"/>
      <w:ind w:left="1320"/>
    </w:pPr>
    <w:rPr>
      <w:rFonts w:cstheme="minorHAnsi"/>
      <w:sz w:val="20"/>
      <w:szCs w:val="24"/>
    </w:rPr>
  </w:style>
  <w:style w:type="paragraph" w:styleId="TOC8">
    <w:name w:val="toc 8"/>
    <w:basedOn w:val="Normal"/>
    <w:next w:val="Normal"/>
    <w:autoRedefine/>
    <w:uiPriority w:val="39"/>
    <w:unhideWhenUsed/>
    <w:rsid w:val="003147C7"/>
    <w:pPr>
      <w:spacing w:after="0"/>
      <w:ind w:left="1540"/>
    </w:pPr>
    <w:rPr>
      <w:rFonts w:cstheme="minorHAnsi"/>
      <w:sz w:val="20"/>
      <w:szCs w:val="24"/>
    </w:rPr>
  </w:style>
  <w:style w:type="paragraph" w:styleId="TOC9">
    <w:name w:val="toc 9"/>
    <w:basedOn w:val="Normal"/>
    <w:next w:val="Normal"/>
    <w:autoRedefine/>
    <w:uiPriority w:val="39"/>
    <w:unhideWhenUsed/>
    <w:rsid w:val="003147C7"/>
    <w:pPr>
      <w:spacing w:after="0"/>
      <w:ind w:left="1760"/>
    </w:pPr>
    <w:rPr>
      <w:rFonts w:cstheme="minorHAnsi"/>
      <w:sz w:val="20"/>
      <w:szCs w:val="24"/>
    </w:rPr>
  </w:style>
  <w:style w:type="character" w:styleId="CommentReference">
    <w:name w:val="annotation reference"/>
    <w:basedOn w:val="DefaultParagraphFont"/>
    <w:uiPriority w:val="99"/>
    <w:semiHidden/>
    <w:unhideWhenUsed/>
    <w:rsid w:val="0096123E"/>
    <w:rPr>
      <w:sz w:val="16"/>
      <w:szCs w:val="16"/>
    </w:rPr>
  </w:style>
  <w:style w:type="paragraph" w:styleId="CommentText">
    <w:name w:val="annotation text"/>
    <w:basedOn w:val="Normal"/>
    <w:link w:val="CommentTextChar"/>
    <w:uiPriority w:val="99"/>
    <w:unhideWhenUsed/>
    <w:rsid w:val="0096123E"/>
    <w:rPr>
      <w:sz w:val="20"/>
      <w:szCs w:val="20"/>
    </w:rPr>
  </w:style>
  <w:style w:type="character" w:customStyle="1" w:styleId="CommentTextChar">
    <w:name w:val="Comment Text Char"/>
    <w:basedOn w:val="DefaultParagraphFont"/>
    <w:link w:val="CommentText"/>
    <w:uiPriority w:val="99"/>
    <w:rsid w:val="0096123E"/>
    <w:rPr>
      <w:sz w:val="20"/>
      <w:szCs w:val="20"/>
      <w:lang w:bidi="ar-SA"/>
    </w:rPr>
  </w:style>
  <w:style w:type="paragraph" w:styleId="CommentSubject">
    <w:name w:val="annotation subject"/>
    <w:basedOn w:val="CommentText"/>
    <w:next w:val="CommentText"/>
    <w:link w:val="CommentSubjectChar"/>
    <w:uiPriority w:val="99"/>
    <w:semiHidden/>
    <w:unhideWhenUsed/>
    <w:rsid w:val="0096123E"/>
    <w:rPr>
      <w:b/>
      <w:bCs/>
    </w:rPr>
  </w:style>
  <w:style w:type="character" w:customStyle="1" w:styleId="CommentSubjectChar">
    <w:name w:val="Comment Subject Char"/>
    <w:basedOn w:val="CommentTextChar"/>
    <w:link w:val="CommentSubject"/>
    <w:uiPriority w:val="99"/>
    <w:semiHidden/>
    <w:rsid w:val="0096123E"/>
    <w:rPr>
      <w:b/>
      <w:bCs/>
      <w:sz w:val="20"/>
      <w:szCs w:val="20"/>
      <w:lang w:bidi="ar-SA"/>
    </w:rPr>
  </w:style>
  <w:style w:type="character" w:styleId="Strong">
    <w:name w:val="Strong"/>
    <w:basedOn w:val="DefaultParagraphFont"/>
    <w:uiPriority w:val="22"/>
    <w:qFormat/>
    <w:rsid w:val="00BA606C"/>
    <w:rPr>
      <w:b/>
      <w:bCs/>
    </w:rPr>
  </w:style>
  <w:style w:type="paragraph" w:styleId="Title">
    <w:name w:val="Title"/>
    <w:basedOn w:val="Normal"/>
    <w:next w:val="Normal"/>
    <w:link w:val="TitleChar"/>
    <w:uiPriority w:val="10"/>
    <w:qFormat/>
    <w:rsid w:val="003138F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38FB"/>
    <w:rPr>
      <w:rFonts w:asciiTheme="majorHAnsi" w:eastAsiaTheme="majorEastAsia" w:hAnsiTheme="majorHAnsi" w:cstheme="majorBidi"/>
      <w:spacing w:val="-10"/>
      <w:kern w:val="28"/>
      <w:sz w:val="56"/>
      <w:szCs w:val="56"/>
      <w:lang w:bidi="ar-SA"/>
    </w:rPr>
  </w:style>
  <w:style w:type="paragraph" w:customStyle="1" w:styleId="Bulletpointslevel1">
    <w:name w:val="Bullet points level 1"/>
    <w:basedOn w:val="Normal"/>
    <w:link w:val="Bulletpointslevel1Char"/>
    <w:qFormat/>
    <w:rsid w:val="00630D6B"/>
    <w:pPr>
      <w:tabs>
        <w:tab w:val="left" w:pos="284"/>
      </w:tabs>
      <w:spacing w:before="20" w:after="20"/>
      <w:jc w:val="both"/>
    </w:pPr>
    <w:rPr>
      <w:rFonts w:ascii="Arial" w:eastAsia="Calibri" w:hAnsi="Arial" w:cs="Times New Roman"/>
      <w:sz w:val="20"/>
      <w:szCs w:val="20"/>
      <w:lang w:val="en-GB"/>
    </w:rPr>
  </w:style>
  <w:style w:type="character" w:customStyle="1" w:styleId="Bulletpointslevel1Char">
    <w:name w:val="Bullet points level 1 Char"/>
    <w:link w:val="Bulletpointslevel1"/>
    <w:rsid w:val="00630D6B"/>
    <w:rPr>
      <w:rFonts w:ascii="Arial" w:eastAsia="Calibri" w:hAnsi="Arial" w:cs="Times New Roman"/>
      <w:sz w:val="20"/>
      <w:szCs w:val="20"/>
      <w:lang w:val="en-GB" w:bidi="ar-SA"/>
    </w:rPr>
  </w:style>
  <w:style w:type="character" w:customStyle="1" w:styleId="Heading3Char">
    <w:name w:val="Heading 3 Char"/>
    <w:basedOn w:val="DefaultParagraphFont"/>
    <w:link w:val="Heading3"/>
    <w:uiPriority w:val="9"/>
    <w:rsid w:val="00630D6B"/>
    <w:rPr>
      <w:rFonts w:ascii="Times New Roman" w:eastAsia="Calibri" w:hAnsi="Times New Roman" w:cs="Times New Roman"/>
      <w:b/>
      <w:color w:val="00B0F0"/>
      <w:sz w:val="22"/>
      <w:szCs w:val="22"/>
      <w:lang w:bidi="ar-SA"/>
    </w:rPr>
  </w:style>
  <w:style w:type="paragraph" w:customStyle="1" w:styleId="BVIfnrZchn">
    <w:name w:val="BVI fnr Zchn"/>
    <w:aliases w:val="BVI fnr Car Car Zchn,BVI fnr Car Zchn,BVI fnr Car Car Car Car Zchn,BVI fnr Car Car Car Car Char Zchn Zchn,BVI fnr Zchn Char Zchn Char1 Zchn, BVI fnr Car Car Zchn, BVI fnr Car Car Car Car Zchn, BVI fnr Car Car Car Car Char Zchn Zchn"/>
    <w:basedOn w:val="Normal"/>
    <w:uiPriority w:val="99"/>
    <w:rsid w:val="00630D6B"/>
    <w:pPr>
      <w:spacing w:after="160" w:line="240" w:lineRule="exact"/>
    </w:pPr>
    <w:rPr>
      <w:rFonts w:ascii="Calibri" w:eastAsia="Calibri" w:hAnsi="Calibri" w:cs="Times New Roman"/>
      <w:sz w:val="20"/>
      <w:szCs w:val="20"/>
      <w:vertAlign w:val="superscript"/>
      <w:lang w:eastAsia="en-GB" w:bidi="si-LK"/>
    </w:rPr>
  </w:style>
  <w:style w:type="paragraph" w:customStyle="1" w:styleId="Body">
    <w:name w:val="Body"/>
    <w:rsid w:val="00630D6B"/>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bidi="th-TH"/>
    </w:rPr>
  </w:style>
  <w:style w:type="numbering" w:customStyle="1" w:styleId="ImportedStyle5">
    <w:name w:val="Imported Style 5"/>
    <w:rsid w:val="00630D6B"/>
    <w:pPr>
      <w:numPr>
        <w:numId w:val="60"/>
      </w:numPr>
    </w:pPr>
  </w:style>
  <w:style w:type="numbering" w:customStyle="1" w:styleId="ImportedStyle1">
    <w:name w:val="Imported Style 1"/>
    <w:rsid w:val="00630D6B"/>
    <w:pPr>
      <w:numPr>
        <w:numId w:val="61"/>
      </w:numPr>
    </w:pPr>
  </w:style>
  <w:style w:type="numbering" w:customStyle="1" w:styleId="ImportedStyle4">
    <w:name w:val="Imported Style 4"/>
    <w:rsid w:val="00630D6B"/>
    <w:pPr>
      <w:numPr>
        <w:numId w:val="63"/>
      </w:numPr>
    </w:pPr>
  </w:style>
  <w:style w:type="paragraph" w:customStyle="1" w:styleId="BVIfnr1">
    <w:name w:val="BVI fnr1"/>
    <w:aliases w:val="BVI fnr Car Car1,BVI fnr Car1,BVI fnr Car Car Car Car1,BVI fnr Car Car Car Car Char Char Char1,BVI fnr Car Car Car Car Char Char"/>
    <w:basedOn w:val="Normal"/>
    <w:uiPriority w:val="99"/>
    <w:rsid w:val="00630D6B"/>
    <w:pPr>
      <w:spacing w:after="160" w:line="240" w:lineRule="exact"/>
    </w:pPr>
    <w:rPr>
      <w:rFonts w:ascii="Calibri" w:eastAsia="Times New Roman" w:hAnsi="Calibri" w:cs="Latha"/>
      <w:sz w:val="24"/>
      <w:szCs w:val="24"/>
      <w:vertAlign w:val="superscript"/>
    </w:rPr>
  </w:style>
  <w:style w:type="character" w:customStyle="1" w:styleId="apple-converted-space">
    <w:name w:val="apple-converted-space"/>
    <w:basedOn w:val="DefaultParagraphFont"/>
    <w:rsid w:val="008837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339809">
      <w:bodyDiv w:val="1"/>
      <w:marLeft w:val="0"/>
      <w:marRight w:val="0"/>
      <w:marTop w:val="0"/>
      <w:marBottom w:val="0"/>
      <w:divBdr>
        <w:top w:val="none" w:sz="0" w:space="0" w:color="auto"/>
        <w:left w:val="none" w:sz="0" w:space="0" w:color="auto"/>
        <w:bottom w:val="none" w:sz="0" w:space="0" w:color="auto"/>
        <w:right w:val="none" w:sz="0" w:space="0" w:color="auto"/>
      </w:divBdr>
      <w:divsChild>
        <w:div w:id="1416630527">
          <w:marLeft w:val="0"/>
          <w:marRight w:val="0"/>
          <w:marTop w:val="0"/>
          <w:marBottom w:val="0"/>
          <w:divBdr>
            <w:top w:val="none" w:sz="0" w:space="0" w:color="auto"/>
            <w:left w:val="none" w:sz="0" w:space="0" w:color="auto"/>
            <w:bottom w:val="none" w:sz="0" w:space="0" w:color="auto"/>
            <w:right w:val="none" w:sz="0" w:space="0" w:color="auto"/>
          </w:divBdr>
        </w:div>
        <w:div w:id="167990573">
          <w:marLeft w:val="0"/>
          <w:marRight w:val="0"/>
          <w:marTop w:val="0"/>
          <w:marBottom w:val="0"/>
          <w:divBdr>
            <w:top w:val="none" w:sz="0" w:space="0" w:color="auto"/>
            <w:left w:val="none" w:sz="0" w:space="0" w:color="auto"/>
            <w:bottom w:val="none" w:sz="0" w:space="0" w:color="auto"/>
            <w:right w:val="none" w:sz="0" w:space="0" w:color="auto"/>
          </w:divBdr>
        </w:div>
        <w:div w:id="1030691022">
          <w:marLeft w:val="0"/>
          <w:marRight w:val="0"/>
          <w:marTop w:val="0"/>
          <w:marBottom w:val="0"/>
          <w:divBdr>
            <w:top w:val="none" w:sz="0" w:space="0" w:color="auto"/>
            <w:left w:val="none" w:sz="0" w:space="0" w:color="auto"/>
            <w:bottom w:val="none" w:sz="0" w:space="0" w:color="auto"/>
            <w:right w:val="none" w:sz="0" w:space="0" w:color="auto"/>
          </w:divBdr>
        </w:div>
        <w:div w:id="753670818">
          <w:marLeft w:val="0"/>
          <w:marRight w:val="0"/>
          <w:marTop w:val="0"/>
          <w:marBottom w:val="0"/>
          <w:divBdr>
            <w:top w:val="none" w:sz="0" w:space="0" w:color="auto"/>
            <w:left w:val="none" w:sz="0" w:space="0" w:color="auto"/>
            <w:bottom w:val="none" w:sz="0" w:space="0" w:color="auto"/>
            <w:right w:val="none" w:sz="0" w:space="0" w:color="auto"/>
          </w:divBdr>
        </w:div>
        <w:div w:id="1423794149">
          <w:marLeft w:val="0"/>
          <w:marRight w:val="0"/>
          <w:marTop w:val="0"/>
          <w:marBottom w:val="0"/>
          <w:divBdr>
            <w:top w:val="none" w:sz="0" w:space="0" w:color="auto"/>
            <w:left w:val="none" w:sz="0" w:space="0" w:color="auto"/>
            <w:bottom w:val="none" w:sz="0" w:space="0" w:color="auto"/>
            <w:right w:val="none" w:sz="0" w:space="0" w:color="auto"/>
          </w:divBdr>
        </w:div>
      </w:divsChild>
    </w:div>
    <w:div w:id="152651041">
      <w:bodyDiv w:val="1"/>
      <w:marLeft w:val="0"/>
      <w:marRight w:val="0"/>
      <w:marTop w:val="0"/>
      <w:marBottom w:val="0"/>
      <w:divBdr>
        <w:top w:val="none" w:sz="0" w:space="0" w:color="auto"/>
        <w:left w:val="none" w:sz="0" w:space="0" w:color="auto"/>
        <w:bottom w:val="none" w:sz="0" w:space="0" w:color="auto"/>
        <w:right w:val="none" w:sz="0" w:space="0" w:color="auto"/>
      </w:divBdr>
    </w:div>
    <w:div w:id="180628576">
      <w:bodyDiv w:val="1"/>
      <w:marLeft w:val="0"/>
      <w:marRight w:val="0"/>
      <w:marTop w:val="0"/>
      <w:marBottom w:val="0"/>
      <w:divBdr>
        <w:top w:val="none" w:sz="0" w:space="0" w:color="auto"/>
        <w:left w:val="none" w:sz="0" w:space="0" w:color="auto"/>
        <w:bottom w:val="none" w:sz="0" w:space="0" w:color="auto"/>
        <w:right w:val="none" w:sz="0" w:space="0" w:color="auto"/>
      </w:divBdr>
    </w:div>
    <w:div w:id="185212686">
      <w:bodyDiv w:val="1"/>
      <w:marLeft w:val="0"/>
      <w:marRight w:val="0"/>
      <w:marTop w:val="0"/>
      <w:marBottom w:val="0"/>
      <w:divBdr>
        <w:top w:val="none" w:sz="0" w:space="0" w:color="auto"/>
        <w:left w:val="none" w:sz="0" w:space="0" w:color="auto"/>
        <w:bottom w:val="none" w:sz="0" w:space="0" w:color="auto"/>
        <w:right w:val="none" w:sz="0" w:space="0" w:color="auto"/>
      </w:divBdr>
    </w:div>
    <w:div w:id="323046467">
      <w:bodyDiv w:val="1"/>
      <w:marLeft w:val="0"/>
      <w:marRight w:val="0"/>
      <w:marTop w:val="0"/>
      <w:marBottom w:val="0"/>
      <w:divBdr>
        <w:top w:val="none" w:sz="0" w:space="0" w:color="auto"/>
        <w:left w:val="none" w:sz="0" w:space="0" w:color="auto"/>
        <w:bottom w:val="none" w:sz="0" w:space="0" w:color="auto"/>
        <w:right w:val="none" w:sz="0" w:space="0" w:color="auto"/>
      </w:divBdr>
    </w:div>
    <w:div w:id="920723291">
      <w:bodyDiv w:val="1"/>
      <w:marLeft w:val="0"/>
      <w:marRight w:val="0"/>
      <w:marTop w:val="0"/>
      <w:marBottom w:val="0"/>
      <w:divBdr>
        <w:top w:val="none" w:sz="0" w:space="0" w:color="auto"/>
        <w:left w:val="none" w:sz="0" w:space="0" w:color="auto"/>
        <w:bottom w:val="none" w:sz="0" w:space="0" w:color="auto"/>
        <w:right w:val="none" w:sz="0" w:space="0" w:color="auto"/>
      </w:divBdr>
    </w:div>
    <w:div w:id="999500812">
      <w:bodyDiv w:val="1"/>
      <w:marLeft w:val="0"/>
      <w:marRight w:val="0"/>
      <w:marTop w:val="0"/>
      <w:marBottom w:val="0"/>
      <w:divBdr>
        <w:top w:val="none" w:sz="0" w:space="0" w:color="auto"/>
        <w:left w:val="none" w:sz="0" w:space="0" w:color="auto"/>
        <w:bottom w:val="none" w:sz="0" w:space="0" w:color="auto"/>
        <w:right w:val="none" w:sz="0" w:space="0" w:color="auto"/>
      </w:divBdr>
    </w:div>
    <w:div w:id="1229269977">
      <w:bodyDiv w:val="1"/>
      <w:marLeft w:val="0"/>
      <w:marRight w:val="0"/>
      <w:marTop w:val="0"/>
      <w:marBottom w:val="0"/>
      <w:divBdr>
        <w:top w:val="none" w:sz="0" w:space="0" w:color="auto"/>
        <w:left w:val="none" w:sz="0" w:space="0" w:color="auto"/>
        <w:bottom w:val="none" w:sz="0" w:space="0" w:color="auto"/>
        <w:right w:val="none" w:sz="0" w:space="0" w:color="auto"/>
      </w:divBdr>
    </w:div>
    <w:div w:id="1311861892">
      <w:bodyDiv w:val="1"/>
      <w:marLeft w:val="0"/>
      <w:marRight w:val="0"/>
      <w:marTop w:val="0"/>
      <w:marBottom w:val="0"/>
      <w:divBdr>
        <w:top w:val="none" w:sz="0" w:space="0" w:color="auto"/>
        <w:left w:val="none" w:sz="0" w:space="0" w:color="auto"/>
        <w:bottom w:val="none" w:sz="0" w:space="0" w:color="auto"/>
        <w:right w:val="none" w:sz="0" w:space="0" w:color="auto"/>
      </w:divBdr>
    </w:div>
    <w:div w:id="1462384167">
      <w:bodyDiv w:val="1"/>
      <w:marLeft w:val="0"/>
      <w:marRight w:val="0"/>
      <w:marTop w:val="0"/>
      <w:marBottom w:val="0"/>
      <w:divBdr>
        <w:top w:val="none" w:sz="0" w:space="0" w:color="auto"/>
        <w:left w:val="none" w:sz="0" w:space="0" w:color="auto"/>
        <w:bottom w:val="none" w:sz="0" w:space="0" w:color="auto"/>
        <w:right w:val="none" w:sz="0" w:space="0" w:color="auto"/>
      </w:divBdr>
    </w:div>
    <w:div w:id="1470702957">
      <w:bodyDiv w:val="1"/>
      <w:marLeft w:val="0"/>
      <w:marRight w:val="0"/>
      <w:marTop w:val="0"/>
      <w:marBottom w:val="0"/>
      <w:divBdr>
        <w:top w:val="none" w:sz="0" w:space="0" w:color="auto"/>
        <w:left w:val="none" w:sz="0" w:space="0" w:color="auto"/>
        <w:bottom w:val="none" w:sz="0" w:space="0" w:color="auto"/>
        <w:right w:val="none" w:sz="0" w:space="0" w:color="auto"/>
      </w:divBdr>
    </w:div>
    <w:div w:id="1577547361">
      <w:bodyDiv w:val="1"/>
      <w:marLeft w:val="0"/>
      <w:marRight w:val="0"/>
      <w:marTop w:val="0"/>
      <w:marBottom w:val="0"/>
      <w:divBdr>
        <w:top w:val="none" w:sz="0" w:space="0" w:color="auto"/>
        <w:left w:val="none" w:sz="0" w:space="0" w:color="auto"/>
        <w:bottom w:val="none" w:sz="0" w:space="0" w:color="auto"/>
        <w:right w:val="none" w:sz="0" w:space="0" w:color="auto"/>
      </w:divBdr>
      <w:divsChild>
        <w:div w:id="1965575539">
          <w:marLeft w:val="446"/>
          <w:marRight w:val="0"/>
          <w:marTop w:val="0"/>
          <w:marBottom w:val="0"/>
          <w:divBdr>
            <w:top w:val="none" w:sz="0" w:space="0" w:color="auto"/>
            <w:left w:val="none" w:sz="0" w:space="0" w:color="auto"/>
            <w:bottom w:val="none" w:sz="0" w:space="0" w:color="auto"/>
            <w:right w:val="none" w:sz="0" w:space="0" w:color="auto"/>
          </w:divBdr>
        </w:div>
      </w:divsChild>
    </w:div>
    <w:div w:id="1627269426">
      <w:bodyDiv w:val="1"/>
      <w:marLeft w:val="0"/>
      <w:marRight w:val="0"/>
      <w:marTop w:val="0"/>
      <w:marBottom w:val="0"/>
      <w:divBdr>
        <w:top w:val="none" w:sz="0" w:space="0" w:color="auto"/>
        <w:left w:val="none" w:sz="0" w:space="0" w:color="auto"/>
        <w:bottom w:val="none" w:sz="0" w:space="0" w:color="auto"/>
        <w:right w:val="none" w:sz="0" w:space="0" w:color="auto"/>
      </w:divBdr>
      <w:divsChild>
        <w:div w:id="2056657481">
          <w:marLeft w:val="0"/>
          <w:marRight w:val="0"/>
          <w:marTop w:val="0"/>
          <w:marBottom w:val="0"/>
          <w:divBdr>
            <w:top w:val="none" w:sz="0" w:space="0" w:color="auto"/>
            <w:left w:val="none" w:sz="0" w:space="0" w:color="auto"/>
            <w:bottom w:val="none" w:sz="0" w:space="0" w:color="auto"/>
            <w:right w:val="none" w:sz="0" w:space="0" w:color="auto"/>
          </w:divBdr>
          <w:divsChild>
            <w:div w:id="1790783147">
              <w:marLeft w:val="0"/>
              <w:marRight w:val="0"/>
              <w:marTop w:val="0"/>
              <w:marBottom w:val="0"/>
              <w:divBdr>
                <w:top w:val="none" w:sz="0" w:space="0" w:color="auto"/>
                <w:left w:val="none" w:sz="0" w:space="0" w:color="auto"/>
                <w:bottom w:val="none" w:sz="0" w:space="0" w:color="auto"/>
                <w:right w:val="none" w:sz="0" w:space="0" w:color="auto"/>
              </w:divBdr>
              <w:divsChild>
                <w:div w:id="1417047918">
                  <w:marLeft w:val="0"/>
                  <w:marRight w:val="0"/>
                  <w:marTop w:val="0"/>
                  <w:marBottom w:val="0"/>
                  <w:divBdr>
                    <w:top w:val="none" w:sz="0" w:space="0" w:color="auto"/>
                    <w:left w:val="none" w:sz="0" w:space="0" w:color="auto"/>
                    <w:bottom w:val="none" w:sz="0" w:space="0" w:color="auto"/>
                    <w:right w:val="none" w:sz="0" w:space="0" w:color="auto"/>
                  </w:divBdr>
                  <w:divsChild>
                    <w:div w:id="13616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216652">
      <w:bodyDiv w:val="1"/>
      <w:marLeft w:val="0"/>
      <w:marRight w:val="0"/>
      <w:marTop w:val="0"/>
      <w:marBottom w:val="0"/>
      <w:divBdr>
        <w:top w:val="none" w:sz="0" w:space="0" w:color="auto"/>
        <w:left w:val="none" w:sz="0" w:space="0" w:color="auto"/>
        <w:bottom w:val="none" w:sz="0" w:space="0" w:color="auto"/>
        <w:right w:val="none" w:sz="0" w:space="0" w:color="auto"/>
      </w:divBdr>
    </w:div>
    <w:div w:id="2050371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diagramQuickStyle" Target="diagrams/quickStyle3.xml"/><Relationship Id="rId3" Type="http://schemas.openxmlformats.org/officeDocument/2006/relationships/numbering" Target="numbering.xml"/><Relationship Id="rId21" Type="http://schemas.microsoft.com/office/2007/relationships/diagramDrawing" Target="diagrams/drawing2.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Layout" Target="diagrams/layout3.xml"/><Relationship Id="rId33" Type="http://schemas.openxmlformats.org/officeDocument/2006/relationships/footer" Target="footer2.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hyperlink" Target="http://www.unevaluation.org/document/detail/10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diagramData" Target="diagrams/data3.xml"/><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image" Target="media/image4.png"/><Relationship Id="rId28" Type="http://schemas.microsoft.com/office/2007/relationships/diagramDrawing" Target="diagrams/drawing3.xml"/><Relationship Id="rId10" Type="http://schemas.openxmlformats.org/officeDocument/2006/relationships/image" Target="media/image2.png"/><Relationship Id="rId19" Type="http://schemas.openxmlformats.org/officeDocument/2006/relationships/diagramQuickStyle" Target="diagrams/quickStyle2.xml"/><Relationship Id="rId31" Type="http://schemas.openxmlformats.org/officeDocument/2006/relationships/hyperlink" Target="mailto:consultants.lk@undp.or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QuickStyle" Target="diagrams/quickStyle1.xml"/><Relationship Id="rId22" Type="http://schemas.openxmlformats.org/officeDocument/2006/relationships/image" Target="media/image3.png"/><Relationship Id="rId27" Type="http://schemas.openxmlformats.org/officeDocument/2006/relationships/diagramColors" Target="diagrams/colors3.xml"/><Relationship Id="rId30" Type="http://schemas.openxmlformats.org/officeDocument/2006/relationships/hyperlink" Target="http://www.unevaluation.org/document/detail/100"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undp.org/content/undp/en/home/librarypage/hiv-aids/responding-to-non-communicable-diseases-during-and-beyond-the-co.html" TargetMode="External"/><Relationship Id="rId3" Type="http://schemas.openxmlformats.org/officeDocument/2006/relationships/hyperlink" Target="https://www.ohchr.org/EN/HRBodies/HRC/RegularSessions/Session43/Pages/ListReports.aspx" TargetMode="External"/><Relationship Id="rId7" Type="http://schemas.openxmlformats.org/officeDocument/2006/relationships/hyperlink" Target="https://www.mckinsey.com/featured-insights/employment-and-growth/how-advancing-womens-equality-can-add-12-trillion-to-global-growth" TargetMode="External"/><Relationship Id="rId12" Type="http://schemas.openxmlformats.org/officeDocument/2006/relationships/hyperlink" Target="https://www.npc.gov.lk/about/the-present-commission/" TargetMode="External"/><Relationship Id="rId2" Type="http://schemas.openxmlformats.org/officeDocument/2006/relationships/hyperlink" Target="https://ap.ohchr.org/documents/dpage_e.aspx?si=A/HRC/40/L.1" TargetMode="External"/><Relationship Id="rId1" Type="http://schemas.openxmlformats.org/officeDocument/2006/relationships/hyperlink" Target="https://ap.ohchr.org/documents/dpage_e.aspx?si=A/HRC/34/L.1" TargetMode="External"/><Relationship Id="rId6" Type="http://schemas.openxmlformats.org/officeDocument/2006/relationships/hyperlink" Target="http://www.ohchr.org/Documents/Publications/GuidingPrinciplesBusinessHR_EN.pdf" TargetMode="External"/><Relationship Id="rId11" Type="http://schemas.openxmlformats.org/officeDocument/2006/relationships/hyperlink" Target="https://www.npc.gov.lk/about/the-present-commission/" TargetMode="External"/><Relationship Id="rId5" Type="http://schemas.openxmlformats.org/officeDocument/2006/relationships/hyperlink" Target="http://www.newswire.lk/2020/06/03/presidential-task-force-appointed-to-build-a-secure-country-and-a-disciplined-virtuous-and-lawful-society/" TargetMode="External"/><Relationship Id="rId10" Type="http://schemas.openxmlformats.org/officeDocument/2006/relationships/hyperlink" Target="https://www.hrcsl.lk/wp-content/uploads/2020/01/Sstrategic-Plan-of-HRCSL-2017-2019-1.pdf" TargetMode="External"/><Relationship Id="rId4" Type="http://schemas.openxmlformats.org/officeDocument/2006/relationships/hyperlink" Target="https://www.srilankacampaign.org/take-action/keep-the-promise/" TargetMode="External"/><Relationship Id="rId9" Type="http://schemas.openxmlformats.org/officeDocument/2006/relationships/hyperlink" Target="https://www.parliament.lk/business-of-parliament/committees"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C3F99B-4A54-014B-8B41-33414C444F11}" type="doc">
      <dgm:prSet loTypeId="urn:microsoft.com/office/officeart/2005/8/layout/chevron2" loCatId="" qsTypeId="urn:microsoft.com/office/officeart/2005/8/quickstyle/simple2" qsCatId="simple" csTypeId="urn:microsoft.com/office/officeart/2005/8/colors/colorful5" csCatId="colorful" phldr="1"/>
      <dgm:spPr/>
      <dgm:t>
        <a:bodyPr/>
        <a:lstStyle/>
        <a:p>
          <a:endParaRPr lang="en-GB"/>
        </a:p>
      </dgm:t>
    </dgm:pt>
    <dgm:pt modelId="{D1A3FB2F-6E63-5E4C-B092-93F3EA56073A}">
      <dgm:prSet phldrT="[Text]"/>
      <dgm:spPr/>
      <dgm:t>
        <a:bodyPr/>
        <a:lstStyle/>
        <a:p>
          <a:r>
            <a:rPr lang="en-GB" b="1">
              <a:latin typeface="Cambria" panose="02040503050406030204" pitchFamily="18" charset="0"/>
            </a:rPr>
            <a:t>Outcome 1</a:t>
          </a:r>
        </a:p>
      </dgm:t>
    </dgm:pt>
    <dgm:pt modelId="{E50B1331-D237-6547-A41B-A3C2D2D89B49}" type="parTrans" cxnId="{768B7FAF-5547-8544-B2D1-1B2DC47DF513}">
      <dgm:prSet/>
      <dgm:spPr/>
      <dgm:t>
        <a:bodyPr/>
        <a:lstStyle/>
        <a:p>
          <a:endParaRPr lang="en-GB"/>
        </a:p>
      </dgm:t>
    </dgm:pt>
    <dgm:pt modelId="{AF3B2A6C-C4DD-ED4C-9513-99EE1C17A3FA}" type="sibTrans" cxnId="{768B7FAF-5547-8544-B2D1-1B2DC47DF513}">
      <dgm:prSet/>
      <dgm:spPr/>
      <dgm:t>
        <a:bodyPr/>
        <a:lstStyle/>
        <a:p>
          <a:endParaRPr lang="en-GB"/>
        </a:p>
      </dgm:t>
    </dgm:pt>
    <dgm:pt modelId="{3E83C857-5F33-C447-A2D9-814FDFABD241}">
      <dgm:prSet phldrT="[Text]" custT="1"/>
      <dgm:spPr/>
      <dgm:t>
        <a:bodyPr/>
        <a:lstStyle/>
        <a:p>
          <a:pPr algn="just"/>
          <a:r>
            <a:rPr lang="en-GB" sz="1300" b="1">
              <a:latin typeface="Cambria" panose="02040503050406030204" pitchFamily="18" charset="0"/>
            </a:rPr>
            <a:t>Select policymaking and oversight structures strengthened to perform core functions for improved accountability and inclusivity</a:t>
          </a:r>
          <a:r>
            <a:rPr lang="en-US" sz="1300">
              <a:latin typeface="Cambria" panose="02040503050406030204" pitchFamily="18" charset="0"/>
            </a:rPr>
            <a:t>  </a:t>
          </a:r>
          <a:endParaRPr lang="en-GB" sz="1300">
            <a:latin typeface="Cambria" panose="02040503050406030204" pitchFamily="18" charset="0"/>
          </a:endParaRPr>
        </a:p>
      </dgm:t>
    </dgm:pt>
    <dgm:pt modelId="{3314E9ED-F547-8640-8B09-AA65057D7BE8}" type="parTrans" cxnId="{0DE96950-554A-FE4A-96D0-047811762AFA}">
      <dgm:prSet/>
      <dgm:spPr/>
      <dgm:t>
        <a:bodyPr/>
        <a:lstStyle/>
        <a:p>
          <a:endParaRPr lang="en-GB"/>
        </a:p>
      </dgm:t>
    </dgm:pt>
    <dgm:pt modelId="{00D5EA89-D3CD-EA4D-AF29-D5536729A38E}" type="sibTrans" cxnId="{0DE96950-554A-FE4A-96D0-047811762AFA}">
      <dgm:prSet/>
      <dgm:spPr/>
      <dgm:t>
        <a:bodyPr/>
        <a:lstStyle/>
        <a:p>
          <a:endParaRPr lang="en-GB"/>
        </a:p>
      </dgm:t>
    </dgm:pt>
    <dgm:pt modelId="{492D29F1-BCDF-EF47-9BAB-A77D12CA55E5}">
      <dgm:prSet phldrT="[Text]"/>
      <dgm:spPr/>
      <dgm:t>
        <a:bodyPr/>
        <a:lstStyle/>
        <a:p>
          <a:r>
            <a:rPr lang="en-GB">
              <a:latin typeface="Cambria" panose="02040503050406030204" pitchFamily="18" charset="0"/>
            </a:rPr>
            <a:t>Output 1.1</a:t>
          </a:r>
        </a:p>
      </dgm:t>
    </dgm:pt>
    <dgm:pt modelId="{2D5906F7-F9CC-794B-9E9C-D19CE6B4E88F}" type="parTrans" cxnId="{DCBBC35E-1407-D943-8F59-E393CA6E8D18}">
      <dgm:prSet/>
      <dgm:spPr/>
      <dgm:t>
        <a:bodyPr/>
        <a:lstStyle/>
        <a:p>
          <a:endParaRPr lang="en-GB"/>
        </a:p>
      </dgm:t>
    </dgm:pt>
    <dgm:pt modelId="{F5C2F8BF-741C-084B-8BEA-24D132541CE1}" type="sibTrans" cxnId="{DCBBC35E-1407-D943-8F59-E393CA6E8D18}">
      <dgm:prSet/>
      <dgm:spPr/>
      <dgm:t>
        <a:bodyPr/>
        <a:lstStyle/>
        <a:p>
          <a:endParaRPr lang="en-GB"/>
        </a:p>
      </dgm:t>
    </dgm:pt>
    <dgm:pt modelId="{0465AF81-7603-F241-8F3F-B056A443D920}">
      <dgm:prSet phldrT="[Text]" custT="1"/>
      <dgm:spPr/>
      <dgm:t>
        <a:bodyPr/>
        <a:lstStyle/>
        <a:p>
          <a:r>
            <a:rPr lang="en-GB" sz="1300">
              <a:latin typeface="Cambria" panose="02040503050406030204" pitchFamily="18" charset="0"/>
            </a:rPr>
            <a:t> The core functions (legislative, oversight, representation and budgetary) of Parliament and its role in the implementation of the 2030 Agenda for Sustainable Development strengthened</a:t>
          </a:r>
        </a:p>
      </dgm:t>
    </dgm:pt>
    <dgm:pt modelId="{03DD4B7F-B971-7A48-8E0F-7D5CBAA264F6}" type="parTrans" cxnId="{EAB808AD-6E98-DA40-9CAC-0DFD832798E6}">
      <dgm:prSet/>
      <dgm:spPr/>
      <dgm:t>
        <a:bodyPr/>
        <a:lstStyle/>
        <a:p>
          <a:endParaRPr lang="en-GB"/>
        </a:p>
      </dgm:t>
    </dgm:pt>
    <dgm:pt modelId="{4C67B9BB-4D7F-A54C-8B46-4EAEDBA110BC}" type="sibTrans" cxnId="{EAB808AD-6E98-DA40-9CAC-0DFD832798E6}">
      <dgm:prSet/>
      <dgm:spPr/>
      <dgm:t>
        <a:bodyPr/>
        <a:lstStyle/>
        <a:p>
          <a:endParaRPr lang="en-GB"/>
        </a:p>
      </dgm:t>
    </dgm:pt>
    <dgm:pt modelId="{E7ACC2E5-1394-944B-B5D9-F57DD98CD7BC}">
      <dgm:prSet phldrT="[Text]"/>
      <dgm:spPr/>
      <dgm:t>
        <a:bodyPr/>
        <a:lstStyle/>
        <a:p>
          <a:r>
            <a:rPr lang="en-GB">
              <a:latin typeface="Cambria" panose="02040503050406030204" pitchFamily="18" charset="0"/>
            </a:rPr>
            <a:t>Output 1.2</a:t>
          </a:r>
        </a:p>
      </dgm:t>
    </dgm:pt>
    <dgm:pt modelId="{32D35A49-0270-5941-B186-E02661B2A3E1}" type="parTrans" cxnId="{A961E99B-4B69-8546-AEEB-424C53792438}">
      <dgm:prSet/>
      <dgm:spPr/>
      <dgm:t>
        <a:bodyPr/>
        <a:lstStyle/>
        <a:p>
          <a:endParaRPr lang="en-GB"/>
        </a:p>
      </dgm:t>
    </dgm:pt>
    <dgm:pt modelId="{C7AE2C4E-54B2-D144-A9FD-491A6B0EEAA7}" type="sibTrans" cxnId="{A961E99B-4B69-8546-AEEB-424C53792438}">
      <dgm:prSet/>
      <dgm:spPr/>
      <dgm:t>
        <a:bodyPr/>
        <a:lstStyle/>
        <a:p>
          <a:endParaRPr lang="en-GB"/>
        </a:p>
      </dgm:t>
    </dgm:pt>
    <dgm:pt modelId="{9B9D46D1-1ADD-2F47-B0A4-1D0CB85A4726}">
      <dgm:prSet phldrT="[Text]" custT="1"/>
      <dgm:spPr/>
      <dgm:t>
        <a:bodyPr/>
        <a:lstStyle/>
        <a:p>
          <a:r>
            <a:rPr lang="en-GB" sz="1300">
              <a:latin typeface="Cambria" panose="02040503050406030204" pitchFamily="18" charset="0"/>
            </a:rPr>
            <a:t>The openness of the Parliament and its ability to obtain public/civil society input to its functions improved</a:t>
          </a:r>
        </a:p>
      </dgm:t>
    </dgm:pt>
    <dgm:pt modelId="{0D8464B2-3820-F34E-8828-EC5893A2F851}" type="parTrans" cxnId="{FC91DF3F-3C04-FD48-BEA9-3FBA2C7D0CDD}">
      <dgm:prSet/>
      <dgm:spPr/>
      <dgm:t>
        <a:bodyPr/>
        <a:lstStyle/>
        <a:p>
          <a:endParaRPr lang="en-GB"/>
        </a:p>
      </dgm:t>
    </dgm:pt>
    <dgm:pt modelId="{ED8F20D8-873A-A043-8725-F6E699C37D02}" type="sibTrans" cxnId="{FC91DF3F-3C04-FD48-BEA9-3FBA2C7D0CDD}">
      <dgm:prSet/>
      <dgm:spPr/>
      <dgm:t>
        <a:bodyPr/>
        <a:lstStyle/>
        <a:p>
          <a:endParaRPr lang="en-GB"/>
        </a:p>
      </dgm:t>
    </dgm:pt>
    <dgm:pt modelId="{66BAFF11-B10C-A74A-BA5B-75E744FCB3A2}">
      <dgm:prSet phldrT="[Text]"/>
      <dgm:spPr/>
      <dgm:t>
        <a:bodyPr/>
        <a:lstStyle/>
        <a:p>
          <a:r>
            <a:rPr lang="en-GB">
              <a:latin typeface="Cambria" panose="02040503050406030204" pitchFamily="18" charset="0"/>
            </a:rPr>
            <a:t>Output 1.3</a:t>
          </a:r>
        </a:p>
      </dgm:t>
    </dgm:pt>
    <dgm:pt modelId="{ED75215E-69CD-4247-924D-72BA2200CDE0}" type="parTrans" cxnId="{A0B0DBB6-A39C-454E-A91E-6B2ADC40C44C}">
      <dgm:prSet/>
      <dgm:spPr/>
      <dgm:t>
        <a:bodyPr/>
        <a:lstStyle/>
        <a:p>
          <a:endParaRPr lang="en-GB"/>
        </a:p>
      </dgm:t>
    </dgm:pt>
    <dgm:pt modelId="{567BC3C7-0C54-0C40-9F74-9A8BC0870F40}" type="sibTrans" cxnId="{A0B0DBB6-A39C-454E-A91E-6B2ADC40C44C}">
      <dgm:prSet/>
      <dgm:spPr/>
      <dgm:t>
        <a:bodyPr/>
        <a:lstStyle/>
        <a:p>
          <a:endParaRPr lang="en-GB"/>
        </a:p>
      </dgm:t>
    </dgm:pt>
    <dgm:pt modelId="{7C5A1571-7715-9A48-8DC1-E77BD90FD69E}">
      <dgm:prSet phldrT="[Text]" custT="1"/>
      <dgm:spPr/>
      <dgm:t>
        <a:bodyPr/>
        <a:lstStyle/>
        <a:p>
          <a:pPr algn="just"/>
          <a:r>
            <a:rPr lang="en-GB" sz="1300">
              <a:latin typeface="Cambria" panose="02040503050406030204" pitchFamily="18" charset="0"/>
            </a:rPr>
            <a:t>Human Rights Commission (HRC) has improved capacities to discharge its core functions.</a:t>
          </a:r>
        </a:p>
      </dgm:t>
    </dgm:pt>
    <dgm:pt modelId="{6828EC88-6C58-C54C-9B73-644312914366}" type="parTrans" cxnId="{3FC2D4E7-0DF2-9B4B-AD80-58E308EFF996}">
      <dgm:prSet/>
      <dgm:spPr/>
      <dgm:t>
        <a:bodyPr/>
        <a:lstStyle/>
        <a:p>
          <a:endParaRPr lang="en-GB"/>
        </a:p>
      </dgm:t>
    </dgm:pt>
    <dgm:pt modelId="{D153FA62-4F92-314D-ACA7-AA2CCA046CB5}" type="sibTrans" cxnId="{3FC2D4E7-0DF2-9B4B-AD80-58E308EFF996}">
      <dgm:prSet/>
      <dgm:spPr/>
      <dgm:t>
        <a:bodyPr/>
        <a:lstStyle/>
        <a:p>
          <a:endParaRPr lang="en-GB"/>
        </a:p>
      </dgm:t>
    </dgm:pt>
    <dgm:pt modelId="{04E0A285-157C-8149-AB6E-FF2F7CED0E53}">
      <dgm:prSet phldrT="[Text]"/>
      <dgm:spPr/>
      <dgm:t>
        <a:bodyPr/>
        <a:lstStyle/>
        <a:p>
          <a:r>
            <a:rPr lang="en-GB">
              <a:latin typeface="Cambria" panose="02040503050406030204" pitchFamily="18" charset="0"/>
            </a:rPr>
            <a:t>Output 1.4</a:t>
          </a:r>
        </a:p>
      </dgm:t>
    </dgm:pt>
    <dgm:pt modelId="{24CC5CB7-832D-374A-A12D-C1C02B131AFD}" type="parTrans" cxnId="{E17A9978-10F4-3E46-A554-C646AA2ECA0B}">
      <dgm:prSet/>
      <dgm:spPr/>
      <dgm:t>
        <a:bodyPr/>
        <a:lstStyle/>
        <a:p>
          <a:endParaRPr lang="en-GB"/>
        </a:p>
      </dgm:t>
    </dgm:pt>
    <dgm:pt modelId="{846D3243-C87F-A447-AFFE-F82680CF3F94}" type="sibTrans" cxnId="{E17A9978-10F4-3E46-A554-C646AA2ECA0B}">
      <dgm:prSet/>
      <dgm:spPr/>
      <dgm:t>
        <a:bodyPr/>
        <a:lstStyle/>
        <a:p>
          <a:endParaRPr lang="en-GB"/>
        </a:p>
      </dgm:t>
    </dgm:pt>
    <dgm:pt modelId="{DD1386F0-0D2A-094F-8939-20945F18D267}">
      <dgm:prSet phldrT="[Text]" custT="1"/>
      <dgm:spPr/>
      <dgm:t>
        <a:bodyPr/>
        <a:lstStyle/>
        <a:p>
          <a:pPr algn="just"/>
          <a:r>
            <a:rPr lang="en-GB" sz="1300">
              <a:latin typeface="Cambria" panose="02040503050406030204" pitchFamily="18" charset="0"/>
            </a:rPr>
            <a:t>National Police Commission (NPC) has improved capacities to discharge its core functions.</a:t>
          </a:r>
        </a:p>
      </dgm:t>
    </dgm:pt>
    <dgm:pt modelId="{8D6DC615-5DEB-EE42-BE30-977A6CE6A457}" type="parTrans" cxnId="{EBDC48D7-8712-4441-92EF-0B2F59321E83}">
      <dgm:prSet/>
      <dgm:spPr/>
      <dgm:t>
        <a:bodyPr/>
        <a:lstStyle/>
        <a:p>
          <a:endParaRPr lang="en-GB"/>
        </a:p>
      </dgm:t>
    </dgm:pt>
    <dgm:pt modelId="{F200EE49-162A-E84E-9DA1-6D231E4081BA}" type="sibTrans" cxnId="{EBDC48D7-8712-4441-92EF-0B2F59321E83}">
      <dgm:prSet/>
      <dgm:spPr/>
      <dgm:t>
        <a:bodyPr/>
        <a:lstStyle/>
        <a:p>
          <a:endParaRPr lang="en-GB"/>
        </a:p>
      </dgm:t>
    </dgm:pt>
    <dgm:pt modelId="{58AA0CDD-8AB9-3B42-910D-398E4B7ED928}">
      <dgm:prSet phldrT="[Text]"/>
      <dgm:spPr/>
      <dgm:t>
        <a:bodyPr/>
        <a:lstStyle/>
        <a:p>
          <a:r>
            <a:rPr lang="en-GB">
              <a:latin typeface="Cambria" panose="02040503050406030204" pitchFamily="18" charset="0"/>
            </a:rPr>
            <a:t>Output 1.5</a:t>
          </a:r>
        </a:p>
      </dgm:t>
    </dgm:pt>
    <dgm:pt modelId="{95CFB4E3-6D91-6947-A2E3-A9B3335210C8}" type="parTrans" cxnId="{898BA331-C2B7-B84A-B83D-D20D31569DA1}">
      <dgm:prSet/>
      <dgm:spPr/>
      <dgm:t>
        <a:bodyPr/>
        <a:lstStyle/>
        <a:p>
          <a:endParaRPr lang="en-GB"/>
        </a:p>
      </dgm:t>
    </dgm:pt>
    <dgm:pt modelId="{34A702D5-F44A-0042-89D2-C0BAE8F94652}" type="sibTrans" cxnId="{898BA331-C2B7-B84A-B83D-D20D31569DA1}">
      <dgm:prSet/>
      <dgm:spPr/>
      <dgm:t>
        <a:bodyPr/>
        <a:lstStyle/>
        <a:p>
          <a:endParaRPr lang="en-GB"/>
        </a:p>
      </dgm:t>
    </dgm:pt>
    <dgm:pt modelId="{A588D595-4F3D-7E42-A143-D34FF324EF23}">
      <dgm:prSet custT="1"/>
      <dgm:spPr/>
      <dgm:t>
        <a:bodyPr/>
        <a:lstStyle/>
        <a:p>
          <a:r>
            <a:rPr lang="en-GB" sz="1300">
              <a:latin typeface="Cambria" panose="02040503050406030204" pitchFamily="18" charset="0"/>
            </a:rPr>
            <a:t>Right to Information Commission (RTIC) has improved capacities to discharge its core functions</a:t>
          </a:r>
        </a:p>
      </dgm:t>
    </dgm:pt>
    <dgm:pt modelId="{4BE178B8-C1E2-5F47-B880-299F6068CDE9}" type="parTrans" cxnId="{97B48F9E-7251-4B4F-976D-C99FE504EEE0}">
      <dgm:prSet/>
      <dgm:spPr/>
      <dgm:t>
        <a:bodyPr/>
        <a:lstStyle/>
        <a:p>
          <a:endParaRPr lang="en-GB"/>
        </a:p>
      </dgm:t>
    </dgm:pt>
    <dgm:pt modelId="{2E2137CF-F046-9141-A261-EFB26DF361D5}" type="sibTrans" cxnId="{97B48F9E-7251-4B4F-976D-C99FE504EEE0}">
      <dgm:prSet/>
      <dgm:spPr/>
      <dgm:t>
        <a:bodyPr/>
        <a:lstStyle/>
        <a:p>
          <a:endParaRPr lang="en-GB"/>
        </a:p>
      </dgm:t>
    </dgm:pt>
    <dgm:pt modelId="{73EDD070-C473-C64E-9CAE-6CF5B5442EEB}" type="pres">
      <dgm:prSet presAssocID="{D5C3F99B-4A54-014B-8B41-33414C444F11}" presName="linearFlow" presStyleCnt="0">
        <dgm:presLayoutVars>
          <dgm:dir/>
          <dgm:animLvl val="lvl"/>
          <dgm:resizeHandles val="exact"/>
        </dgm:presLayoutVars>
      </dgm:prSet>
      <dgm:spPr/>
    </dgm:pt>
    <dgm:pt modelId="{BEA4503B-8BFC-BC48-8365-D7519E850E22}" type="pres">
      <dgm:prSet presAssocID="{D1A3FB2F-6E63-5E4C-B092-93F3EA56073A}" presName="composite" presStyleCnt="0"/>
      <dgm:spPr/>
    </dgm:pt>
    <dgm:pt modelId="{3AA5A9CE-1062-C34C-A616-92EBC1E36AEF}" type="pres">
      <dgm:prSet presAssocID="{D1A3FB2F-6E63-5E4C-B092-93F3EA56073A}" presName="parentText" presStyleLbl="alignNode1" presStyleIdx="0" presStyleCnt="6">
        <dgm:presLayoutVars>
          <dgm:chMax val="1"/>
          <dgm:bulletEnabled val="1"/>
        </dgm:presLayoutVars>
      </dgm:prSet>
      <dgm:spPr/>
    </dgm:pt>
    <dgm:pt modelId="{B38B9445-A316-1849-99DC-6B334E67AACE}" type="pres">
      <dgm:prSet presAssocID="{D1A3FB2F-6E63-5E4C-B092-93F3EA56073A}" presName="descendantText" presStyleLbl="alignAcc1" presStyleIdx="0" presStyleCnt="6">
        <dgm:presLayoutVars>
          <dgm:bulletEnabled val="1"/>
        </dgm:presLayoutVars>
      </dgm:prSet>
      <dgm:spPr/>
    </dgm:pt>
    <dgm:pt modelId="{CBA94D94-3EAC-4541-9F2D-E886888D24C5}" type="pres">
      <dgm:prSet presAssocID="{AF3B2A6C-C4DD-ED4C-9513-99EE1C17A3FA}" presName="sp" presStyleCnt="0"/>
      <dgm:spPr/>
    </dgm:pt>
    <dgm:pt modelId="{A5684A23-E4CC-9149-8252-30C24DBBEE9F}" type="pres">
      <dgm:prSet presAssocID="{492D29F1-BCDF-EF47-9BAB-A77D12CA55E5}" presName="composite" presStyleCnt="0"/>
      <dgm:spPr/>
    </dgm:pt>
    <dgm:pt modelId="{A659BF68-96E9-004E-9033-EA7B0BE6991A}" type="pres">
      <dgm:prSet presAssocID="{492D29F1-BCDF-EF47-9BAB-A77D12CA55E5}" presName="parentText" presStyleLbl="alignNode1" presStyleIdx="1" presStyleCnt="6">
        <dgm:presLayoutVars>
          <dgm:chMax val="1"/>
          <dgm:bulletEnabled val="1"/>
        </dgm:presLayoutVars>
      </dgm:prSet>
      <dgm:spPr/>
    </dgm:pt>
    <dgm:pt modelId="{DEBE0074-CC9E-6F44-A19D-0679038D2A67}" type="pres">
      <dgm:prSet presAssocID="{492D29F1-BCDF-EF47-9BAB-A77D12CA55E5}" presName="descendantText" presStyleLbl="alignAcc1" presStyleIdx="1" presStyleCnt="6">
        <dgm:presLayoutVars>
          <dgm:bulletEnabled val="1"/>
        </dgm:presLayoutVars>
      </dgm:prSet>
      <dgm:spPr/>
    </dgm:pt>
    <dgm:pt modelId="{27B17B8D-5A55-0546-BF77-7EC4833AC813}" type="pres">
      <dgm:prSet presAssocID="{F5C2F8BF-741C-084B-8BEA-24D132541CE1}" presName="sp" presStyleCnt="0"/>
      <dgm:spPr/>
    </dgm:pt>
    <dgm:pt modelId="{3A0F826A-5D70-8643-99F9-DE72D1FE713B}" type="pres">
      <dgm:prSet presAssocID="{E7ACC2E5-1394-944B-B5D9-F57DD98CD7BC}" presName="composite" presStyleCnt="0"/>
      <dgm:spPr/>
    </dgm:pt>
    <dgm:pt modelId="{AC4B90AF-77FD-7E46-8DC6-EA021CA20CC0}" type="pres">
      <dgm:prSet presAssocID="{E7ACC2E5-1394-944B-B5D9-F57DD98CD7BC}" presName="parentText" presStyleLbl="alignNode1" presStyleIdx="2" presStyleCnt="6">
        <dgm:presLayoutVars>
          <dgm:chMax val="1"/>
          <dgm:bulletEnabled val="1"/>
        </dgm:presLayoutVars>
      </dgm:prSet>
      <dgm:spPr/>
    </dgm:pt>
    <dgm:pt modelId="{AC962825-BDA0-4C44-B578-FFEB230CF524}" type="pres">
      <dgm:prSet presAssocID="{E7ACC2E5-1394-944B-B5D9-F57DD98CD7BC}" presName="descendantText" presStyleLbl="alignAcc1" presStyleIdx="2" presStyleCnt="6">
        <dgm:presLayoutVars>
          <dgm:bulletEnabled val="1"/>
        </dgm:presLayoutVars>
      </dgm:prSet>
      <dgm:spPr/>
    </dgm:pt>
    <dgm:pt modelId="{E33553CF-18A1-B14B-A3BA-6D4511495E01}" type="pres">
      <dgm:prSet presAssocID="{C7AE2C4E-54B2-D144-A9FD-491A6B0EEAA7}" presName="sp" presStyleCnt="0"/>
      <dgm:spPr/>
    </dgm:pt>
    <dgm:pt modelId="{A7AABECE-B490-1B48-975F-C8F2D8CC561D}" type="pres">
      <dgm:prSet presAssocID="{66BAFF11-B10C-A74A-BA5B-75E744FCB3A2}" presName="composite" presStyleCnt="0"/>
      <dgm:spPr/>
    </dgm:pt>
    <dgm:pt modelId="{11E68AAF-139B-AA4A-B3EF-83F4CFB8B9CA}" type="pres">
      <dgm:prSet presAssocID="{66BAFF11-B10C-A74A-BA5B-75E744FCB3A2}" presName="parentText" presStyleLbl="alignNode1" presStyleIdx="3" presStyleCnt="6">
        <dgm:presLayoutVars>
          <dgm:chMax val="1"/>
          <dgm:bulletEnabled val="1"/>
        </dgm:presLayoutVars>
      </dgm:prSet>
      <dgm:spPr/>
    </dgm:pt>
    <dgm:pt modelId="{D02E1C3A-C81A-2343-A55D-9AF8FCA57C4F}" type="pres">
      <dgm:prSet presAssocID="{66BAFF11-B10C-A74A-BA5B-75E744FCB3A2}" presName="descendantText" presStyleLbl="alignAcc1" presStyleIdx="3" presStyleCnt="6">
        <dgm:presLayoutVars>
          <dgm:bulletEnabled val="1"/>
        </dgm:presLayoutVars>
      </dgm:prSet>
      <dgm:spPr/>
    </dgm:pt>
    <dgm:pt modelId="{0E18E949-72A8-BC45-8858-729911237180}" type="pres">
      <dgm:prSet presAssocID="{567BC3C7-0C54-0C40-9F74-9A8BC0870F40}" presName="sp" presStyleCnt="0"/>
      <dgm:spPr/>
    </dgm:pt>
    <dgm:pt modelId="{FCC1A906-904D-A644-B865-C37B1282E67E}" type="pres">
      <dgm:prSet presAssocID="{04E0A285-157C-8149-AB6E-FF2F7CED0E53}" presName="composite" presStyleCnt="0"/>
      <dgm:spPr/>
    </dgm:pt>
    <dgm:pt modelId="{ADB291C2-D313-7449-84FA-862853E9A0C6}" type="pres">
      <dgm:prSet presAssocID="{04E0A285-157C-8149-AB6E-FF2F7CED0E53}" presName="parentText" presStyleLbl="alignNode1" presStyleIdx="4" presStyleCnt="6">
        <dgm:presLayoutVars>
          <dgm:chMax val="1"/>
          <dgm:bulletEnabled val="1"/>
        </dgm:presLayoutVars>
      </dgm:prSet>
      <dgm:spPr/>
    </dgm:pt>
    <dgm:pt modelId="{244501BF-8288-A84A-81EB-F5DACB2DC6E6}" type="pres">
      <dgm:prSet presAssocID="{04E0A285-157C-8149-AB6E-FF2F7CED0E53}" presName="descendantText" presStyleLbl="alignAcc1" presStyleIdx="4" presStyleCnt="6">
        <dgm:presLayoutVars>
          <dgm:bulletEnabled val="1"/>
        </dgm:presLayoutVars>
      </dgm:prSet>
      <dgm:spPr/>
    </dgm:pt>
    <dgm:pt modelId="{DDC04646-4510-FF4C-89D7-FE5A503F8BD7}" type="pres">
      <dgm:prSet presAssocID="{846D3243-C87F-A447-AFFE-F82680CF3F94}" presName="sp" presStyleCnt="0"/>
      <dgm:spPr/>
    </dgm:pt>
    <dgm:pt modelId="{1CFDF630-A2C1-8C4A-A428-6121D02B845C}" type="pres">
      <dgm:prSet presAssocID="{58AA0CDD-8AB9-3B42-910D-398E4B7ED928}" presName="composite" presStyleCnt="0"/>
      <dgm:spPr/>
    </dgm:pt>
    <dgm:pt modelId="{6D2077D5-2607-F647-9A31-F3A369ABB4BD}" type="pres">
      <dgm:prSet presAssocID="{58AA0CDD-8AB9-3B42-910D-398E4B7ED928}" presName="parentText" presStyleLbl="alignNode1" presStyleIdx="5" presStyleCnt="6">
        <dgm:presLayoutVars>
          <dgm:chMax val="1"/>
          <dgm:bulletEnabled val="1"/>
        </dgm:presLayoutVars>
      </dgm:prSet>
      <dgm:spPr/>
    </dgm:pt>
    <dgm:pt modelId="{4536E392-21B0-B34F-B74E-49D6ABF2B222}" type="pres">
      <dgm:prSet presAssocID="{58AA0CDD-8AB9-3B42-910D-398E4B7ED928}" presName="descendantText" presStyleLbl="alignAcc1" presStyleIdx="5" presStyleCnt="6">
        <dgm:presLayoutVars>
          <dgm:bulletEnabled val="1"/>
        </dgm:presLayoutVars>
      </dgm:prSet>
      <dgm:spPr/>
    </dgm:pt>
  </dgm:ptLst>
  <dgm:cxnLst>
    <dgm:cxn modelId="{4EFEFE30-F2C9-4540-9A00-53D4BB032F01}" type="presOf" srcId="{7C5A1571-7715-9A48-8DC1-E77BD90FD69E}" destId="{D02E1C3A-C81A-2343-A55D-9AF8FCA57C4F}" srcOrd="0" destOrd="0" presId="urn:microsoft.com/office/officeart/2005/8/layout/chevron2"/>
    <dgm:cxn modelId="{898BA331-C2B7-B84A-B83D-D20D31569DA1}" srcId="{D5C3F99B-4A54-014B-8B41-33414C444F11}" destId="{58AA0CDD-8AB9-3B42-910D-398E4B7ED928}" srcOrd="5" destOrd="0" parTransId="{95CFB4E3-6D91-6947-A2E3-A9B3335210C8}" sibTransId="{34A702D5-F44A-0042-89D2-C0BAE8F94652}"/>
    <dgm:cxn modelId="{E5432138-A132-3841-BE03-96C39E606694}" type="presOf" srcId="{DD1386F0-0D2A-094F-8939-20945F18D267}" destId="{244501BF-8288-A84A-81EB-F5DACB2DC6E6}" srcOrd="0" destOrd="0" presId="urn:microsoft.com/office/officeart/2005/8/layout/chevron2"/>
    <dgm:cxn modelId="{FC91DF3F-3C04-FD48-BEA9-3FBA2C7D0CDD}" srcId="{E7ACC2E5-1394-944B-B5D9-F57DD98CD7BC}" destId="{9B9D46D1-1ADD-2F47-B0A4-1D0CB85A4726}" srcOrd="0" destOrd="0" parTransId="{0D8464B2-3820-F34E-8828-EC5893A2F851}" sibTransId="{ED8F20D8-873A-A043-8725-F6E699C37D02}"/>
    <dgm:cxn modelId="{0788F25B-CEED-D742-ACC7-4684A5383215}" type="presOf" srcId="{E7ACC2E5-1394-944B-B5D9-F57DD98CD7BC}" destId="{AC4B90AF-77FD-7E46-8DC6-EA021CA20CC0}" srcOrd="0" destOrd="0" presId="urn:microsoft.com/office/officeart/2005/8/layout/chevron2"/>
    <dgm:cxn modelId="{DCBBC35E-1407-D943-8F59-E393CA6E8D18}" srcId="{D5C3F99B-4A54-014B-8B41-33414C444F11}" destId="{492D29F1-BCDF-EF47-9BAB-A77D12CA55E5}" srcOrd="1" destOrd="0" parTransId="{2D5906F7-F9CC-794B-9E9C-D19CE6B4E88F}" sibTransId="{F5C2F8BF-741C-084B-8BEA-24D132541CE1}"/>
    <dgm:cxn modelId="{64F17165-85F8-5846-BF65-A874070E4ACB}" type="presOf" srcId="{04E0A285-157C-8149-AB6E-FF2F7CED0E53}" destId="{ADB291C2-D313-7449-84FA-862853E9A0C6}" srcOrd="0" destOrd="0" presId="urn:microsoft.com/office/officeart/2005/8/layout/chevron2"/>
    <dgm:cxn modelId="{F5291068-4D60-F642-B173-0AEEBE04C794}" type="presOf" srcId="{D5C3F99B-4A54-014B-8B41-33414C444F11}" destId="{73EDD070-C473-C64E-9CAE-6CF5B5442EEB}" srcOrd="0" destOrd="0" presId="urn:microsoft.com/office/officeart/2005/8/layout/chevron2"/>
    <dgm:cxn modelId="{9038FB69-48D2-7348-9678-8B63DD8347F3}" type="presOf" srcId="{58AA0CDD-8AB9-3B42-910D-398E4B7ED928}" destId="{6D2077D5-2607-F647-9A31-F3A369ABB4BD}" srcOrd="0" destOrd="0" presId="urn:microsoft.com/office/officeart/2005/8/layout/chevron2"/>
    <dgm:cxn modelId="{0DE96950-554A-FE4A-96D0-047811762AFA}" srcId="{D1A3FB2F-6E63-5E4C-B092-93F3EA56073A}" destId="{3E83C857-5F33-C447-A2D9-814FDFABD241}" srcOrd="0" destOrd="0" parTransId="{3314E9ED-F547-8640-8B09-AA65057D7BE8}" sibTransId="{00D5EA89-D3CD-EA4D-AF29-D5536729A38E}"/>
    <dgm:cxn modelId="{17886956-D84C-3F47-99B7-C3B1FF4B3482}" type="presOf" srcId="{492D29F1-BCDF-EF47-9BAB-A77D12CA55E5}" destId="{A659BF68-96E9-004E-9033-EA7B0BE6991A}" srcOrd="0" destOrd="0" presId="urn:microsoft.com/office/officeart/2005/8/layout/chevron2"/>
    <dgm:cxn modelId="{E17A9978-10F4-3E46-A554-C646AA2ECA0B}" srcId="{D5C3F99B-4A54-014B-8B41-33414C444F11}" destId="{04E0A285-157C-8149-AB6E-FF2F7CED0E53}" srcOrd="4" destOrd="0" parTransId="{24CC5CB7-832D-374A-A12D-C1C02B131AFD}" sibTransId="{846D3243-C87F-A447-AFFE-F82680CF3F94}"/>
    <dgm:cxn modelId="{F0AE1C7F-6643-3A4C-A3BB-070AB8843FD6}" type="presOf" srcId="{A588D595-4F3D-7E42-A143-D34FF324EF23}" destId="{4536E392-21B0-B34F-B74E-49D6ABF2B222}" srcOrd="0" destOrd="0" presId="urn:microsoft.com/office/officeart/2005/8/layout/chevron2"/>
    <dgm:cxn modelId="{7C95888A-DFF1-4F46-9ECE-9898CA88F2D3}" type="presOf" srcId="{D1A3FB2F-6E63-5E4C-B092-93F3EA56073A}" destId="{3AA5A9CE-1062-C34C-A616-92EBC1E36AEF}" srcOrd="0" destOrd="0" presId="urn:microsoft.com/office/officeart/2005/8/layout/chevron2"/>
    <dgm:cxn modelId="{A961E99B-4B69-8546-AEEB-424C53792438}" srcId="{D5C3F99B-4A54-014B-8B41-33414C444F11}" destId="{E7ACC2E5-1394-944B-B5D9-F57DD98CD7BC}" srcOrd="2" destOrd="0" parTransId="{32D35A49-0270-5941-B186-E02661B2A3E1}" sibTransId="{C7AE2C4E-54B2-D144-A9FD-491A6B0EEAA7}"/>
    <dgm:cxn modelId="{97B48F9E-7251-4B4F-976D-C99FE504EEE0}" srcId="{58AA0CDD-8AB9-3B42-910D-398E4B7ED928}" destId="{A588D595-4F3D-7E42-A143-D34FF324EF23}" srcOrd="0" destOrd="0" parTransId="{4BE178B8-C1E2-5F47-B880-299F6068CDE9}" sibTransId="{2E2137CF-F046-9141-A261-EFB26DF361D5}"/>
    <dgm:cxn modelId="{EAB808AD-6E98-DA40-9CAC-0DFD832798E6}" srcId="{492D29F1-BCDF-EF47-9BAB-A77D12CA55E5}" destId="{0465AF81-7603-F241-8F3F-B056A443D920}" srcOrd="0" destOrd="0" parTransId="{03DD4B7F-B971-7A48-8E0F-7D5CBAA264F6}" sibTransId="{4C67B9BB-4D7F-A54C-8B46-4EAEDBA110BC}"/>
    <dgm:cxn modelId="{C658B8AE-2827-6545-B118-845EEED1ECFF}" type="presOf" srcId="{0465AF81-7603-F241-8F3F-B056A443D920}" destId="{DEBE0074-CC9E-6F44-A19D-0679038D2A67}" srcOrd="0" destOrd="0" presId="urn:microsoft.com/office/officeart/2005/8/layout/chevron2"/>
    <dgm:cxn modelId="{768B7FAF-5547-8544-B2D1-1B2DC47DF513}" srcId="{D5C3F99B-4A54-014B-8B41-33414C444F11}" destId="{D1A3FB2F-6E63-5E4C-B092-93F3EA56073A}" srcOrd="0" destOrd="0" parTransId="{E50B1331-D237-6547-A41B-A3C2D2D89B49}" sibTransId="{AF3B2A6C-C4DD-ED4C-9513-99EE1C17A3FA}"/>
    <dgm:cxn modelId="{204155B5-0C4B-BD48-BF5E-BB4E28DC9AB5}" type="presOf" srcId="{9B9D46D1-1ADD-2F47-B0A4-1D0CB85A4726}" destId="{AC962825-BDA0-4C44-B578-FFEB230CF524}" srcOrd="0" destOrd="0" presId="urn:microsoft.com/office/officeart/2005/8/layout/chevron2"/>
    <dgm:cxn modelId="{A0B0DBB6-A39C-454E-A91E-6B2ADC40C44C}" srcId="{D5C3F99B-4A54-014B-8B41-33414C444F11}" destId="{66BAFF11-B10C-A74A-BA5B-75E744FCB3A2}" srcOrd="3" destOrd="0" parTransId="{ED75215E-69CD-4247-924D-72BA2200CDE0}" sibTransId="{567BC3C7-0C54-0C40-9F74-9A8BC0870F40}"/>
    <dgm:cxn modelId="{C483F1C5-E3BD-C347-AA19-051A107874DA}" type="presOf" srcId="{66BAFF11-B10C-A74A-BA5B-75E744FCB3A2}" destId="{11E68AAF-139B-AA4A-B3EF-83F4CFB8B9CA}" srcOrd="0" destOrd="0" presId="urn:microsoft.com/office/officeart/2005/8/layout/chevron2"/>
    <dgm:cxn modelId="{EBDC48D7-8712-4441-92EF-0B2F59321E83}" srcId="{04E0A285-157C-8149-AB6E-FF2F7CED0E53}" destId="{DD1386F0-0D2A-094F-8939-20945F18D267}" srcOrd="0" destOrd="0" parTransId="{8D6DC615-5DEB-EE42-BE30-977A6CE6A457}" sibTransId="{F200EE49-162A-E84E-9DA1-6D231E4081BA}"/>
    <dgm:cxn modelId="{3FC2D4E7-0DF2-9B4B-AD80-58E308EFF996}" srcId="{66BAFF11-B10C-A74A-BA5B-75E744FCB3A2}" destId="{7C5A1571-7715-9A48-8DC1-E77BD90FD69E}" srcOrd="0" destOrd="0" parTransId="{6828EC88-6C58-C54C-9B73-644312914366}" sibTransId="{D153FA62-4F92-314D-ACA7-AA2CCA046CB5}"/>
    <dgm:cxn modelId="{7F4CC0F4-9E04-6B43-8FD5-5E2F4D3466A2}" type="presOf" srcId="{3E83C857-5F33-C447-A2D9-814FDFABD241}" destId="{B38B9445-A316-1849-99DC-6B334E67AACE}" srcOrd="0" destOrd="0" presId="urn:microsoft.com/office/officeart/2005/8/layout/chevron2"/>
    <dgm:cxn modelId="{7E155522-6CA4-2246-9AF8-1DEE0341B0C0}" type="presParOf" srcId="{73EDD070-C473-C64E-9CAE-6CF5B5442EEB}" destId="{BEA4503B-8BFC-BC48-8365-D7519E850E22}" srcOrd="0" destOrd="0" presId="urn:microsoft.com/office/officeart/2005/8/layout/chevron2"/>
    <dgm:cxn modelId="{6109DBC5-B682-9240-96ED-06E9A7F56B04}" type="presParOf" srcId="{BEA4503B-8BFC-BC48-8365-D7519E850E22}" destId="{3AA5A9CE-1062-C34C-A616-92EBC1E36AEF}" srcOrd="0" destOrd="0" presId="urn:microsoft.com/office/officeart/2005/8/layout/chevron2"/>
    <dgm:cxn modelId="{6AE94997-644A-2F44-89F1-6C3325BA525D}" type="presParOf" srcId="{BEA4503B-8BFC-BC48-8365-D7519E850E22}" destId="{B38B9445-A316-1849-99DC-6B334E67AACE}" srcOrd="1" destOrd="0" presId="urn:microsoft.com/office/officeart/2005/8/layout/chevron2"/>
    <dgm:cxn modelId="{E143B444-2513-5047-9B10-AA32A805D762}" type="presParOf" srcId="{73EDD070-C473-C64E-9CAE-6CF5B5442EEB}" destId="{CBA94D94-3EAC-4541-9F2D-E886888D24C5}" srcOrd="1" destOrd="0" presId="urn:microsoft.com/office/officeart/2005/8/layout/chevron2"/>
    <dgm:cxn modelId="{3886468A-7B45-EE49-A2D8-86F2CE35D384}" type="presParOf" srcId="{73EDD070-C473-C64E-9CAE-6CF5B5442EEB}" destId="{A5684A23-E4CC-9149-8252-30C24DBBEE9F}" srcOrd="2" destOrd="0" presId="urn:microsoft.com/office/officeart/2005/8/layout/chevron2"/>
    <dgm:cxn modelId="{24A2C0A3-FBF7-D143-982B-E101453CEAEC}" type="presParOf" srcId="{A5684A23-E4CC-9149-8252-30C24DBBEE9F}" destId="{A659BF68-96E9-004E-9033-EA7B0BE6991A}" srcOrd="0" destOrd="0" presId="urn:microsoft.com/office/officeart/2005/8/layout/chevron2"/>
    <dgm:cxn modelId="{4BA48A8E-2F6E-9F43-873A-E2A8B6EB47EC}" type="presParOf" srcId="{A5684A23-E4CC-9149-8252-30C24DBBEE9F}" destId="{DEBE0074-CC9E-6F44-A19D-0679038D2A67}" srcOrd="1" destOrd="0" presId="urn:microsoft.com/office/officeart/2005/8/layout/chevron2"/>
    <dgm:cxn modelId="{CC109797-2DE9-0247-8AAF-A60C0F7E1ABD}" type="presParOf" srcId="{73EDD070-C473-C64E-9CAE-6CF5B5442EEB}" destId="{27B17B8D-5A55-0546-BF77-7EC4833AC813}" srcOrd="3" destOrd="0" presId="urn:microsoft.com/office/officeart/2005/8/layout/chevron2"/>
    <dgm:cxn modelId="{8B46CDE5-B130-764F-9DA2-36AC57E055B5}" type="presParOf" srcId="{73EDD070-C473-C64E-9CAE-6CF5B5442EEB}" destId="{3A0F826A-5D70-8643-99F9-DE72D1FE713B}" srcOrd="4" destOrd="0" presId="urn:microsoft.com/office/officeart/2005/8/layout/chevron2"/>
    <dgm:cxn modelId="{42F8E172-50D4-204E-9137-BA0A63B547D6}" type="presParOf" srcId="{3A0F826A-5D70-8643-99F9-DE72D1FE713B}" destId="{AC4B90AF-77FD-7E46-8DC6-EA021CA20CC0}" srcOrd="0" destOrd="0" presId="urn:microsoft.com/office/officeart/2005/8/layout/chevron2"/>
    <dgm:cxn modelId="{2BC069FD-A5F9-6241-BA6A-0CF362BFCFCD}" type="presParOf" srcId="{3A0F826A-5D70-8643-99F9-DE72D1FE713B}" destId="{AC962825-BDA0-4C44-B578-FFEB230CF524}" srcOrd="1" destOrd="0" presId="urn:microsoft.com/office/officeart/2005/8/layout/chevron2"/>
    <dgm:cxn modelId="{6FF6DBF8-A806-D744-983B-3D2DF76E1E5B}" type="presParOf" srcId="{73EDD070-C473-C64E-9CAE-6CF5B5442EEB}" destId="{E33553CF-18A1-B14B-A3BA-6D4511495E01}" srcOrd="5" destOrd="0" presId="urn:microsoft.com/office/officeart/2005/8/layout/chevron2"/>
    <dgm:cxn modelId="{BBEF145D-132B-4B4F-AD2B-804F51E9447F}" type="presParOf" srcId="{73EDD070-C473-C64E-9CAE-6CF5B5442EEB}" destId="{A7AABECE-B490-1B48-975F-C8F2D8CC561D}" srcOrd="6" destOrd="0" presId="urn:microsoft.com/office/officeart/2005/8/layout/chevron2"/>
    <dgm:cxn modelId="{FACB1712-DC2C-8747-88A0-014277F2D010}" type="presParOf" srcId="{A7AABECE-B490-1B48-975F-C8F2D8CC561D}" destId="{11E68AAF-139B-AA4A-B3EF-83F4CFB8B9CA}" srcOrd="0" destOrd="0" presId="urn:microsoft.com/office/officeart/2005/8/layout/chevron2"/>
    <dgm:cxn modelId="{D704577F-B66F-044D-BBA0-9D303E7D8CBB}" type="presParOf" srcId="{A7AABECE-B490-1B48-975F-C8F2D8CC561D}" destId="{D02E1C3A-C81A-2343-A55D-9AF8FCA57C4F}" srcOrd="1" destOrd="0" presId="urn:microsoft.com/office/officeart/2005/8/layout/chevron2"/>
    <dgm:cxn modelId="{A2236068-A638-2C4D-96E1-8B0F572DDEBB}" type="presParOf" srcId="{73EDD070-C473-C64E-9CAE-6CF5B5442EEB}" destId="{0E18E949-72A8-BC45-8858-729911237180}" srcOrd="7" destOrd="0" presId="urn:microsoft.com/office/officeart/2005/8/layout/chevron2"/>
    <dgm:cxn modelId="{DA79A8C2-BF26-6141-8DAF-5BA331A05F86}" type="presParOf" srcId="{73EDD070-C473-C64E-9CAE-6CF5B5442EEB}" destId="{FCC1A906-904D-A644-B865-C37B1282E67E}" srcOrd="8" destOrd="0" presId="urn:microsoft.com/office/officeart/2005/8/layout/chevron2"/>
    <dgm:cxn modelId="{114B390D-94BD-D24D-B6B2-58D984635809}" type="presParOf" srcId="{FCC1A906-904D-A644-B865-C37B1282E67E}" destId="{ADB291C2-D313-7449-84FA-862853E9A0C6}" srcOrd="0" destOrd="0" presId="urn:microsoft.com/office/officeart/2005/8/layout/chevron2"/>
    <dgm:cxn modelId="{02295DC3-936B-1D4C-911F-0B0E867E9555}" type="presParOf" srcId="{FCC1A906-904D-A644-B865-C37B1282E67E}" destId="{244501BF-8288-A84A-81EB-F5DACB2DC6E6}" srcOrd="1" destOrd="0" presId="urn:microsoft.com/office/officeart/2005/8/layout/chevron2"/>
    <dgm:cxn modelId="{9C77A4CE-57BA-3F48-A7E1-E14D9D326404}" type="presParOf" srcId="{73EDD070-C473-C64E-9CAE-6CF5B5442EEB}" destId="{DDC04646-4510-FF4C-89D7-FE5A503F8BD7}" srcOrd="9" destOrd="0" presId="urn:microsoft.com/office/officeart/2005/8/layout/chevron2"/>
    <dgm:cxn modelId="{94FA331A-1EC7-EF41-B270-671E9606508D}" type="presParOf" srcId="{73EDD070-C473-C64E-9CAE-6CF5B5442EEB}" destId="{1CFDF630-A2C1-8C4A-A428-6121D02B845C}" srcOrd="10" destOrd="0" presId="urn:microsoft.com/office/officeart/2005/8/layout/chevron2"/>
    <dgm:cxn modelId="{6AF3551B-1A1E-3D47-9BAE-A1E616DC2804}" type="presParOf" srcId="{1CFDF630-A2C1-8C4A-A428-6121D02B845C}" destId="{6D2077D5-2607-F647-9A31-F3A369ABB4BD}" srcOrd="0" destOrd="0" presId="urn:microsoft.com/office/officeart/2005/8/layout/chevron2"/>
    <dgm:cxn modelId="{EA0D57A3-7DCD-0846-9A79-9167F4DD8943}" type="presParOf" srcId="{1CFDF630-A2C1-8C4A-A428-6121D02B845C}" destId="{4536E392-21B0-B34F-B74E-49D6ABF2B222}" srcOrd="1" destOrd="0" presId="urn:microsoft.com/office/officeart/2005/8/layout/chevron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4BDF356-091E-654D-B53B-B045C0662591}" type="doc">
      <dgm:prSet loTypeId="urn:microsoft.com/office/officeart/2005/8/layout/chevron2" loCatId="" qsTypeId="urn:microsoft.com/office/officeart/2005/8/quickstyle/simple1" qsCatId="simple" csTypeId="urn:microsoft.com/office/officeart/2005/8/colors/colorful5" csCatId="colorful" phldr="1"/>
      <dgm:spPr/>
      <dgm:t>
        <a:bodyPr/>
        <a:lstStyle/>
        <a:p>
          <a:endParaRPr lang="en-GB"/>
        </a:p>
      </dgm:t>
    </dgm:pt>
    <dgm:pt modelId="{C24046FF-A991-9541-8A0F-466740DF6D79}">
      <dgm:prSet phldrT="[Text]" custT="1"/>
      <dgm:spPr/>
      <dgm:t>
        <a:bodyPr/>
        <a:lstStyle/>
        <a:p>
          <a:r>
            <a:rPr lang="en-GB" sz="1300" b="1">
              <a:latin typeface="Cambria" panose="02040503050406030204" pitchFamily="18" charset="0"/>
            </a:rPr>
            <a:t>Outcome 2</a:t>
          </a:r>
        </a:p>
      </dgm:t>
    </dgm:pt>
    <dgm:pt modelId="{D9DD4901-45E1-0D48-92E7-7449713271F5}" type="parTrans" cxnId="{D07FBDA5-15D4-594B-824B-8581DE3860BB}">
      <dgm:prSet/>
      <dgm:spPr/>
      <dgm:t>
        <a:bodyPr/>
        <a:lstStyle/>
        <a:p>
          <a:endParaRPr lang="en-GB"/>
        </a:p>
      </dgm:t>
    </dgm:pt>
    <dgm:pt modelId="{BD6441D5-E079-7846-8554-FD7A21512F97}" type="sibTrans" cxnId="{D07FBDA5-15D4-594B-824B-8581DE3860BB}">
      <dgm:prSet/>
      <dgm:spPr/>
      <dgm:t>
        <a:bodyPr/>
        <a:lstStyle/>
        <a:p>
          <a:endParaRPr lang="en-GB"/>
        </a:p>
      </dgm:t>
    </dgm:pt>
    <dgm:pt modelId="{0B88CE02-9BE2-104C-9512-E5FC6BDB58C9}">
      <dgm:prSet phldrT="[Text]" custT="1"/>
      <dgm:spPr/>
      <dgm:t>
        <a:bodyPr/>
        <a:lstStyle/>
        <a:p>
          <a:pPr algn="just"/>
          <a:r>
            <a:rPr lang="en-GB" sz="1300" b="1">
              <a:latin typeface="Cambria" panose="02040503050406030204" pitchFamily="18" charset="0"/>
            </a:rPr>
            <a:t>Marginalised and vulnerable communities have increased and equitable access to justice, including demand-driven legal protection and gender sensitive services. </a:t>
          </a:r>
          <a:endParaRPr lang="en-GB" sz="1300">
            <a:latin typeface="Cambria" panose="02040503050406030204" pitchFamily="18" charset="0"/>
          </a:endParaRPr>
        </a:p>
      </dgm:t>
    </dgm:pt>
    <dgm:pt modelId="{B747047D-F7DF-6B4F-96E1-8FC5CAC4A2CF}" type="parTrans" cxnId="{F0B1C630-A48B-1D44-B9DC-BCFCBEEA98F3}">
      <dgm:prSet/>
      <dgm:spPr/>
      <dgm:t>
        <a:bodyPr/>
        <a:lstStyle/>
        <a:p>
          <a:endParaRPr lang="en-GB"/>
        </a:p>
      </dgm:t>
    </dgm:pt>
    <dgm:pt modelId="{366CA653-8443-6441-B4B5-92787687A4DA}" type="sibTrans" cxnId="{F0B1C630-A48B-1D44-B9DC-BCFCBEEA98F3}">
      <dgm:prSet/>
      <dgm:spPr/>
      <dgm:t>
        <a:bodyPr/>
        <a:lstStyle/>
        <a:p>
          <a:endParaRPr lang="en-GB"/>
        </a:p>
      </dgm:t>
    </dgm:pt>
    <dgm:pt modelId="{661893DB-ED85-7B4E-87D3-3C552C10ED86}">
      <dgm:prSet phldrT="[Text]" custT="1"/>
      <dgm:spPr/>
      <dgm:t>
        <a:bodyPr/>
        <a:lstStyle/>
        <a:p>
          <a:r>
            <a:rPr lang="en-GB" sz="1200">
              <a:latin typeface="Cambria" panose="02040503050406030204" pitchFamily="18" charset="0"/>
            </a:rPr>
            <a:t>Output 2.1</a:t>
          </a:r>
        </a:p>
      </dgm:t>
    </dgm:pt>
    <dgm:pt modelId="{902C275D-93E2-D144-8148-2FA9AF88EEFE}" type="parTrans" cxnId="{A872BF49-C126-F945-95C9-025A0E16165E}">
      <dgm:prSet/>
      <dgm:spPr/>
      <dgm:t>
        <a:bodyPr/>
        <a:lstStyle/>
        <a:p>
          <a:endParaRPr lang="en-GB"/>
        </a:p>
      </dgm:t>
    </dgm:pt>
    <dgm:pt modelId="{2B4AFCF8-B20F-3143-9224-AD0E56D52BE8}" type="sibTrans" cxnId="{A872BF49-C126-F945-95C9-025A0E16165E}">
      <dgm:prSet/>
      <dgm:spPr/>
      <dgm:t>
        <a:bodyPr/>
        <a:lstStyle/>
        <a:p>
          <a:endParaRPr lang="en-GB"/>
        </a:p>
      </dgm:t>
    </dgm:pt>
    <dgm:pt modelId="{658519BB-D155-0945-9F48-2EB3D7ED7232}">
      <dgm:prSet phldrT="[Text]" custT="1"/>
      <dgm:spPr/>
      <dgm:t>
        <a:bodyPr/>
        <a:lstStyle/>
        <a:p>
          <a:pPr algn="just"/>
          <a:r>
            <a:rPr lang="en-GB" sz="1300">
              <a:latin typeface="Cambria" panose="02040503050406030204" pitchFamily="18" charset="0"/>
            </a:rPr>
            <a:t>Baselines established/updated, and policy dialogue, policy adoption and implementation increased on access to justice, with a focus on excluded and vulnerable groups.</a:t>
          </a:r>
        </a:p>
      </dgm:t>
    </dgm:pt>
    <dgm:pt modelId="{2BDF1B63-2874-644F-86EE-342E5E6297C9}" type="parTrans" cxnId="{0FFEBA05-C954-4B4F-92F6-5DF01D13DE1D}">
      <dgm:prSet/>
      <dgm:spPr/>
      <dgm:t>
        <a:bodyPr/>
        <a:lstStyle/>
        <a:p>
          <a:endParaRPr lang="en-GB"/>
        </a:p>
      </dgm:t>
    </dgm:pt>
    <dgm:pt modelId="{8751B59C-AD36-EA4E-8EC8-2C94237A133E}" type="sibTrans" cxnId="{0FFEBA05-C954-4B4F-92F6-5DF01D13DE1D}">
      <dgm:prSet/>
      <dgm:spPr/>
      <dgm:t>
        <a:bodyPr/>
        <a:lstStyle/>
        <a:p>
          <a:endParaRPr lang="en-GB"/>
        </a:p>
      </dgm:t>
    </dgm:pt>
    <dgm:pt modelId="{D8A0E7CC-E143-7F42-B4BC-46C63AE8D9DF}">
      <dgm:prSet phldrT="[Text]" custT="1"/>
      <dgm:spPr/>
      <dgm:t>
        <a:bodyPr/>
        <a:lstStyle/>
        <a:p>
          <a:r>
            <a:rPr lang="en-GB" sz="1200">
              <a:latin typeface="Cambria" panose="02040503050406030204" pitchFamily="18" charset="0"/>
            </a:rPr>
            <a:t>Output 2.2</a:t>
          </a:r>
        </a:p>
      </dgm:t>
    </dgm:pt>
    <dgm:pt modelId="{3FB57B4E-B948-984B-B3C5-59D75254786D}" type="parTrans" cxnId="{7D18F2B3-6199-6D4F-A75D-54300021BC06}">
      <dgm:prSet/>
      <dgm:spPr/>
      <dgm:t>
        <a:bodyPr/>
        <a:lstStyle/>
        <a:p>
          <a:endParaRPr lang="en-GB"/>
        </a:p>
      </dgm:t>
    </dgm:pt>
    <dgm:pt modelId="{A42FC507-7E52-0F45-929B-561126024DDE}" type="sibTrans" cxnId="{7D18F2B3-6199-6D4F-A75D-54300021BC06}">
      <dgm:prSet/>
      <dgm:spPr/>
      <dgm:t>
        <a:bodyPr/>
        <a:lstStyle/>
        <a:p>
          <a:endParaRPr lang="en-GB"/>
        </a:p>
      </dgm:t>
    </dgm:pt>
    <dgm:pt modelId="{8051EF35-C5B6-0B4D-964E-6207C92A29B1}">
      <dgm:prSet phldrT="[Text]" custT="1"/>
      <dgm:spPr/>
      <dgm:t>
        <a:bodyPr/>
        <a:lstStyle/>
        <a:p>
          <a:pPr algn="just"/>
          <a:r>
            <a:rPr lang="en-GB" sz="1300">
              <a:latin typeface="Cambria" panose="02040503050406030204" pitchFamily="18" charset="0"/>
            </a:rPr>
            <a:t>State and non-state justice sector actors strengthened to deliver victim-centric services on areas including SGBV, victims and witness protection, and transitional justice.</a:t>
          </a:r>
        </a:p>
      </dgm:t>
    </dgm:pt>
    <dgm:pt modelId="{514615CE-3026-A34A-8319-B57051DD6A01}" type="parTrans" cxnId="{2C884068-7A59-5949-8026-ABC48E303CE8}">
      <dgm:prSet/>
      <dgm:spPr/>
      <dgm:t>
        <a:bodyPr/>
        <a:lstStyle/>
        <a:p>
          <a:endParaRPr lang="en-GB"/>
        </a:p>
      </dgm:t>
    </dgm:pt>
    <dgm:pt modelId="{C9D2B13C-6A8C-3145-8FD8-8E0F8D27EC5A}" type="sibTrans" cxnId="{2C884068-7A59-5949-8026-ABC48E303CE8}">
      <dgm:prSet/>
      <dgm:spPr/>
      <dgm:t>
        <a:bodyPr/>
        <a:lstStyle/>
        <a:p>
          <a:endParaRPr lang="en-GB"/>
        </a:p>
      </dgm:t>
    </dgm:pt>
    <dgm:pt modelId="{5281A71E-8AEF-154A-BC52-F87121923734}">
      <dgm:prSet phldrT="[Text]" custT="1"/>
      <dgm:spPr/>
      <dgm:t>
        <a:bodyPr/>
        <a:lstStyle/>
        <a:p>
          <a:r>
            <a:rPr lang="en-GB" sz="1200">
              <a:latin typeface="Cambria" panose="02040503050406030204" pitchFamily="18" charset="0"/>
            </a:rPr>
            <a:t>Output 2.3</a:t>
          </a:r>
        </a:p>
      </dgm:t>
    </dgm:pt>
    <dgm:pt modelId="{04F3B50C-9C7E-6B4D-B57F-86F98FF3D466}" type="parTrans" cxnId="{D902BFFE-FD12-6D4F-8B77-869001AD92C4}">
      <dgm:prSet/>
      <dgm:spPr/>
      <dgm:t>
        <a:bodyPr/>
        <a:lstStyle/>
        <a:p>
          <a:endParaRPr lang="en-GB"/>
        </a:p>
      </dgm:t>
    </dgm:pt>
    <dgm:pt modelId="{7DC2820F-15DF-034B-9441-1508DCEF54E3}" type="sibTrans" cxnId="{D902BFFE-FD12-6D4F-8B77-869001AD92C4}">
      <dgm:prSet/>
      <dgm:spPr/>
      <dgm:t>
        <a:bodyPr/>
        <a:lstStyle/>
        <a:p>
          <a:endParaRPr lang="en-GB"/>
        </a:p>
      </dgm:t>
    </dgm:pt>
    <dgm:pt modelId="{5A47C800-D194-A244-9473-D3E68C3040B6}">
      <dgm:prSet phldrT="[Text]" custT="1"/>
      <dgm:spPr/>
      <dgm:t>
        <a:bodyPr/>
        <a:lstStyle/>
        <a:p>
          <a:pPr algn="just"/>
          <a:r>
            <a:rPr lang="en-GB" sz="1300">
              <a:latin typeface="Cambria" panose="02040503050406030204" pitchFamily="18" charset="0"/>
            </a:rPr>
            <a:t>State and non-state justice sector actors have increased access to progressive international principles, standards and good practices on access to justice</a:t>
          </a:r>
        </a:p>
      </dgm:t>
    </dgm:pt>
    <dgm:pt modelId="{B0C83C4E-CE30-0844-B0A5-CC51C2F40DEE}" type="parTrans" cxnId="{57302DF9-0E5B-8C49-A6B0-CDAA7BCD5B41}">
      <dgm:prSet/>
      <dgm:spPr/>
      <dgm:t>
        <a:bodyPr/>
        <a:lstStyle/>
        <a:p>
          <a:endParaRPr lang="en-GB"/>
        </a:p>
      </dgm:t>
    </dgm:pt>
    <dgm:pt modelId="{A26E5399-13AB-1344-B8C3-A8F45CBB5980}" type="sibTrans" cxnId="{57302DF9-0E5B-8C49-A6B0-CDAA7BCD5B41}">
      <dgm:prSet/>
      <dgm:spPr/>
      <dgm:t>
        <a:bodyPr/>
        <a:lstStyle/>
        <a:p>
          <a:endParaRPr lang="en-GB"/>
        </a:p>
      </dgm:t>
    </dgm:pt>
    <dgm:pt modelId="{DC780E77-ED8A-A240-8B2A-0B4BB2700738}">
      <dgm:prSet phldrT="[Text]"/>
      <dgm:spPr/>
      <dgm:t>
        <a:bodyPr/>
        <a:lstStyle/>
        <a:p>
          <a:r>
            <a:rPr lang="en-GB">
              <a:latin typeface="Cambria" panose="02040503050406030204" pitchFamily="18" charset="0"/>
            </a:rPr>
            <a:t>Output 2.4</a:t>
          </a:r>
        </a:p>
      </dgm:t>
    </dgm:pt>
    <dgm:pt modelId="{DA728319-CE03-3247-97A9-931A84F67C66}" type="parTrans" cxnId="{9012669E-F499-B34F-81CA-7DF5E62BC55E}">
      <dgm:prSet/>
      <dgm:spPr/>
      <dgm:t>
        <a:bodyPr/>
        <a:lstStyle/>
        <a:p>
          <a:endParaRPr lang="en-GB"/>
        </a:p>
      </dgm:t>
    </dgm:pt>
    <dgm:pt modelId="{3A395E09-33BE-2A49-8AB2-E2264CF54319}" type="sibTrans" cxnId="{9012669E-F499-B34F-81CA-7DF5E62BC55E}">
      <dgm:prSet/>
      <dgm:spPr/>
      <dgm:t>
        <a:bodyPr/>
        <a:lstStyle/>
        <a:p>
          <a:endParaRPr lang="en-GB"/>
        </a:p>
      </dgm:t>
    </dgm:pt>
    <dgm:pt modelId="{4161CC70-DEFC-4746-9AE2-410D07963FC5}">
      <dgm:prSet phldrT="[Text]" custT="1"/>
      <dgm:spPr/>
      <dgm:t>
        <a:bodyPr/>
        <a:lstStyle/>
        <a:p>
          <a:pPr algn="just"/>
          <a:r>
            <a:rPr lang="en-GB" sz="1300">
              <a:latin typeface="Cambria" panose="02040503050406030204" pitchFamily="18" charset="0"/>
            </a:rPr>
            <a:t>UN Guiding principles on Business and Human Rights adopted and implemented</a:t>
          </a:r>
        </a:p>
      </dgm:t>
    </dgm:pt>
    <dgm:pt modelId="{CCE3F80F-4F7A-9643-A892-373C816BA6B1}" type="parTrans" cxnId="{F2C3F98C-651A-C148-8D0E-260C7FB2468D}">
      <dgm:prSet/>
      <dgm:spPr/>
      <dgm:t>
        <a:bodyPr/>
        <a:lstStyle/>
        <a:p>
          <a:endParaRPr lang="en-GB"/>
        </a:p>
      </dgm:t>
    </dgm:pt>
    <dgm:pt modelId="{18E82292-B226-5649-B9BF-DF8ED146B13D}" type="sibTrans" cxnId="{F2C3F98C-651A-C148-8D0E-260C7FB2468D}">
      <dgm:prSet/>
      <dgm:spPr/>
      <dgm:t>
        <a:bodyPr/>
        <a:lstStyle/>
        <a:p>
          <a:endParaRPr lang="en-GB"/>
        </a:p>
      </dgm:t>
    </dgm:pt>
    <dgm:pt modelId="{BA3B7515-E292-1941-996D-2837BD3FC086}" type="pres">
      <dgm:prSet presAssocID="{84BDF356-091E-654D-B53B-B045C0662591}" presName="linearFlow" presStyleCnt="0">
        <dgm:presLayoutVars>
          <dgm:dir/>
          <dgm:animLvl val="lvl"/>
          <dgm:resizeHandles val="exact"/>
        </dgm:presLayoutVars>
      </dgm:prSet>
      <dgm:spPr/>
    </dgm:pt>
    <dgm:pt modelId="{3F4FC86B-F909-C646-96B5-73B59B5E0DEF}" type="pres">
      <dgm:prSet presAssocID="{C24046FF-A991-9541-8A0F-466740DF6D79}" presName="composite" presStyleCnt="0"/>
      <dgm:spPr/>
    </dgm:pt>
    <dgm:pt modelId="{1DB7BFC4-F2EF-B64F-8AAB-74FFBEA129F8}" type="pres">
      <dgm:prSet presAssocID="{C24046FF-A991-9541-8A0F-466740DF6D79}" presName="parentText" presStyleLbl="alignNode1" presStyleIdx="0" presStyleCnt="5">
        <dgm:presLayoutVars>
          <dgm:chMax val="1"/>
          <dgm:bulletEnabled val="1"/>
        </dgm:presLayoutVars>
      </dgm:prSet>
      <dgm:spPr/>
    </dgm:pt>
    <dgm:pt modelId="{64261BE5-0DE8-6345-BC4C-55DCFEE4D105}" type="pres">
      <dgm:prSet presAssocID="{C24046FF-A991-9541-8A0F-466740DF6D79}" presName="descendantText" presStyleLbl="alignAcc1" presStyleIdx="0" presStyleCnt="5">
        <dgm:presLayoutVars>
          <dgm:bulletEnabled val="1"/>
        </dgm:presLayoutVars>
      </dgm:prSet>
      <dgm:spPr/>
    </dgm:pt>
    <dgm:pt modelId="{21C88C3E-FE00-A240-AE5D-35BA96D85A78}" type="pres">
      <dgm:prSet presAssocID="{BD6441D5-E079-7846-8554-FD7A21512F97}" presName="sp" presStyleCnt="0"/>
      <dgm:spPr/>
    </dgm:pt>
    <dgm:pt modelId="{CA7AC3CC-8026-0340-8D28-446D2653CF16}" type="pres">
      <dgm:prSet presAssocID="{661893DB-ED85-7B4E-87D3-3C552C10ED86}" presName="composite" presStyleCnt="0"/>
      <dgm:spPr/>
    </dgm:pt>
    <dgm:pt modelId="{BE515A6B-D2C2-EC40-9B22-81DC38317652}" type="pres">
      <dgm:prSet presAssocID="{661893DB-ED85-7B4E-87D3-3C552C10ED86}" presName="parentText" presStyleLbl="alignNode1" presStyleIdx="1" presStyleCnt="5">
        <dgm:presLayoutVars>
          <dgm:chMax val="1"/>
          <dgm:bulletEnabled val="1"/>
        </dgm:presLayoutVars>
      </dgm:prSet>
      <dgm:spPr/>
    </dgm:pt>
    <dgm:pt modelId="{31364C01-E980-EC41-81D0-E9FEE952794B}" type="pres">
      <dgm:prSet presAssocID="{661893DB-ED85-7B4E-87D3-3C552C10ED86}" presName="descendantText" presStyleLbl="alignAcc1" presStyleIdx="1" presStyleCnt="5">
        <dgm:presLayoutVars>
          <dgm:bulletEnabled val="1"/>
        </dgm:presLayoutVars>
      </dgm:prSet>
      <dgm:spPr/>
    </dgm:pt>
    <dgm:pt modelId="{2E879B60-7ADF-1744-B760-8658EC57F3FA}" type="pres">
      <dgm:prSet presAssocID="{2B4AFCF8-B20F-3143-9224-AD0E56D52BE8}" presName="sp" presStyleCnt="0"/>
      <dgm:spPr/>
    </dgm:pt>
    <dgm:pt modelId="{37880F0E-78D3-C54D-B468-86557EB307D1}" type="pres">
      <dgm:prSet presAssocID="{D8A0E7CC-E143-7F42-B4BC-46C63AE8D9DF}" presName="composite" presStyleCnt="0"/>
      <dgm:spPr/>
    </dgm:pt>
    <dgm:pt modelId="{95032D9D-6519-724F-A288-B54805B84E1A}" type="pres">
      <dgm:prSet presAssocID="{D8A0E7CC-E143-7F42-B4BC-46C63AE8D9DF}" presName="parentText" presStyleLbl="alignNode1" presStyleIdx="2" presStyleCnt="5">
        <dgm:presLayoutVars>
          <dgm:chMax val="1"/>
          <dgm:bulletEnabled val="1"/>
        </dgm:presLayoutVars>
      </dgm:prSet>
      <dgm:spPr/>
    </dgm:pt>
    <dgm:pt modelId="{E4B4F818-C5BE-FE40-972B-88AC751B7DB5}" type="pres">
      <dgm:prSet presAssocID="{D8A0E7CC-E143-7F42-B4BC-46C63AE8D9DF}" presName="descendantText" presStyleLbl="alignAcc1" presStyleIdx="2" presStyleCnt="5">
        <dgm:presLayoutVars>
          <dgm:bulletEnabled val="1"/>
        </dgm:presLayoutVars>
      </dgm:prSet>
      <dgm:spPr/>
    </dgm:pt>
    <dgm:pt modelId="{5C7F92F0-AC13-C94F-B901-7CDC59DC2499}" type="pres">
      <dgm:prSet presAssocID="{A42FC507-7E52-0F45-929B-561126024DDE}" presName="sp" presStyleCnt="0"/>
      <dgm:spPr/>
    </dgm:pt>
    <dgm:pt modelId="{C12D8F56-F8D4-D045-93A3-CF7E6AF80C04}" type="pres">
      <dgm:prSet presAssocID="{5281A71E-8AEF-154A-BC52-F87121923734}" presName="composite" presStyleCnt="0"/>
      <dgm:spPr/>
    </dgm:pt>
    <dgm:pt modelId="{5D6EB2BD-B118-F64C-A616-66CE1DB97AFB}" type="pres">
      <dgm:prSet presAssocID="{5281A71E-8AEF-154A-BC52-F87121923734}" presName="parentText" presStyleLbl="alignNode1" presStyleIdx="3" presStyleCnt="5">
        <dgm:presLayoutVars>
          <dgm:chMax val="1"/>
          <dgm:bulletEnabled val="1"/>
        </dgm:presLayoutVars>
      </dgm:prSet>
      <dgm:spPr/>
    </dgm:pt>
    <dgm:pt modelId="{16526534-947B-924D-B6B9-51011D59B5EE}" type="pres">
      <dgm:prSet presAssocID="{5281A71E-8AEF-154A-BC52-F87121923734}" presName="descendantText" presStyleLbl="alignAcc1" presStyleIdx="3" presStyleCnt="5" custScaleY="117570">
        <dgm:presLayoutVars>
          <dgm:bulletEnabled val="1"/>
        </dgm:presLayoutVars>
      </dgm:prSet>
      <dgm:spPr/>
    </dgm:pt>
    <dgm:pt modelId="{403D1FB5-BF52-A342-8B7B-BD7FB2385AED}" type="pres">
      <dgm:prSet presAssocID="{7DC2820F-15DF-034B-9441-1508DCEF54E3}" presName="sp" presStyleCnt="0"/>
      <dgm:spPr/>
    </dgm:pt>
    <dgm:pt modelId="{026C3BCB-16BE-4D45-9BB5-58E18F160934}" type="pres">
      <dgm:prSet presAssocID="{DC780E77-ED8A-A240-8B2A-0B4BB2700738}" presName="composite" presStyleCnt="0"/>
      <dgm:spPr/>
    </dgm:pt>
    <dgm:pt modelId="{566D8170-47A4-A84E-9A65-5EC24CCEE9E7}" type="pres">
      <dgm:prSet presAssocID="{DC780E77-ED8A-A240-8B2A-0B4BB2700738}" presName="parentText" presStyleLbl="alignNode1" presStyleIdx="4" presStyleCnt="5">
        <dgm:presLayoutVars>
          <dgm:chMax val="1"/>
          <dgm:bulletEnabled val="1"/>
        </dgm:presLayoutVars>
      </dgm:prSet>
      <dgm:spPr/>
    </dgm:pt>
    <dgm:pt modelId="{9841BAD5-1BBE-6D4A-AE44-FB497FA4E986}" type="pres">
      <dgm:prSet presAssocID="{DC780E77-ED8A-A240-8B2A-0B4BB2700738}" presName="descendantText" presStyleLbl="alignAcc1" presStyleIdx="4" presStyleCnt="5">
        <dgm:presLayoutVars>
          <dgm:bulletEnabled val="1"/>
        </dgm:presLayoutVars>
      </dgm:prSet>
      <dgm:spPr/>
    </dgm:pt>
  </dgm:ptLst>
  <dgm:cxnLst>
    <dgm:cxn modelId="{0FFEBA05-C954-4B4F-92F6-5DF01D13DE1D}" srcId="{661893DB-ED85-7B4E-87D3-3C552C10ED86}" destId="{658519BB-D155-0945-9F48-2EB3D7ED7232}" srcOrd="0" destOrd="0" parTransId="{2BDF1B63-2874-644F-86EE-342E5E6297C9}" sibTransId="{8751B59C-AD36-EA4E-8EC8-2C94237A133E}"/>
    <dgm:cxn modelId="{F0B1C630-A48B-1D44-B9DC-BCFCBEEA98F3}" srcId="{C24046FF-A991-9541-8A0F-466740DF6D79}" destId="{0B88CE02-9BE2-104C-9512-E5FC6BDB58C9}" srcOrd="0" destOrd="0" parTransId="{B747047D-F7DF-6B4F-96E1-8FC5CAC4A2CF}" sibTransId="{366CA653-8443-6441-B4B5-92787687A4DA}"/>
    <dgm:cxn modelId="{E9949537-CA41-434E-9E4B-FD59F58B61E4}" type="presOf" srcId="{0B88CE02-9BE2-104C-9512-E5FC6BDB58C9}" destId="{64261BE5-0DE8-6345-BC4C-55DCFEE4D105}" srcOrd="0" destOrd="0" presId="urn:microsoft.com/office/officeart/2005/8/layout/chevron2"/>
    <dgm:cxn modelId="{4AD63360-87C2-8D45-B186-EA636D3DF216}" type="presOf" srcId="{DC780E77-ED8A-A240-8B2A-0B4BB2700738}" destId="{566D8170-47A4-A84E-9A65-5EC24CCEE9E7}" srcOrd="0" destOrd="0" presId="urn:microsoft.com/office/officeart/2005/8/layout/chevron2"/>
    <dgm:cxn modelId="{88708943-4FEF-9A4B-B4C7-3AB5D3C70E03}" type="presOf" srcId="{8051EF35-C5B6-0B4D-964E-6207C92A29B1}" destId="{E4B4F818-C5BE-FE40-972B-88AC751B7DB5}" srcOrd="0" destOrd="0" presId="urn:microsoft.com/office/officeart/2005/8/layout/chevron2"/>
    <dgm:cxn modelId="{2C884068-7A59-5949-8026-ABC48E303CE8}" srcId="{D8A0E7CC-E143-7F42-B4BC-46C63AE8D9DF}" destId="{8051EF35-C5B6-0B4D-964E-6207C92A29B1}" srcOrd="0" destOrd="0" parTransId="{514615CE-3026-A34A-8319-B57051DD6A01}" sibTransId="{C9D2B13C-6A8C-3145-8FD8-8E0F8D27EC5A}"/>
    <dgm:cxn modelId="{A872BF49-C126-F945-95C9-025A0E16165E}" srcId="{84BDF356-091E-654D-B53B-B045C0662591}" destId="{661893DB-ED85-7B4E-87D3-3C552C10ED86}" srcOrd="1" destOrd="0" parTransId="{902C275D-93E2-D144-8148-2FA9AF88EEFE}" sibTransId="{2B4AFCF8-B20F-3143-9224-AD0E56D52BE8}"/>
    <dgm:cxn modelId="{EFB60176-983F-6D48-9E80-387FD023D64D}" type="presOf" srcId="{658519BB-D155-0945-9F48-2EB3D7ED7232}" destId="{31364C01-E980-EC41-81D0-E9FEE952794B}" srcOrd="0" destOrd="0" presId="urn:microsoft.com/office/officeart/2005/8/layout/chevron2"/>
    <dgm:cxn modelId="{6005CA83-B08F-4449-83C3-9CEF30220788}" type="presOf" srcId="{D8A0E7CC-E143-7F42-B4BC-46C63AE8D9DF}" destId="{95032D9D-6519-724F-A288-B54805B84E1A}" srcOrd="0" destOrd="0" presId="urn:microsoft.com/office/officeart/2005/8/layout/chevron2"/>
    <dgm:cxn modelId="{F2C3F98C-651A-C148-8D0E-260C7FB2468D}" srcId="{DC780E77-ED8A-A240-8B2A-0B4BB2700738}" destId="{4161CC70-DEFC-4746-9AE2-410D07963FC5}" srcOrd="0" destOrd="0" parTransId="{CCE3F80F-4F7A-9643-A892-373C816BA6B1}" sibTransId="{18E82292-B226-5649-B9BF-DF8ED146B13D}"/>
    <dgm:cxn modelId="{9012669E-F499-B34F-81CA-7DF5E62BC55E}" srcId="{84BDF356-091E-654D-B53B-B045C0662591}" destId="{DC780E77-ED8A-A240-8B2A-0B4BB2700738}" srcOrd="4" destOrd="0" parTransId="{DA728319-CE03-3247-97A9-931A84F67C66}" sibTransId="{3A395E09-33BE-2A49-8AB2-E2264CF54319}"/>
    <dgm:cxn modelId="{D07FBDA5-15D4-594B-824B-8581DE3860BB}" srcId="{84BDF356-091E-654D-B53B-B045C0662591}" destId="{C24046FF-A991-9541-8A0F-466740DF6D79}" srcOrd="0" destOrd="0" parTransId="{D9DD4901-45E1-0D48-92E7-7449713271F5}" sibTransId="{BD6441D5-E079-7846-8554-FD7A21512F97}"/>
    <dgm:cxn modelId="{5953BBA6-FBAA-3A41-A6BD-E624680753E4}" type="presOf" srcId="{5281A71E-8AEF-154A-BC52-F87121923734}" destId="{5D6EB2BD-B118-F64C-A616-66CE1DB97AFB}" srcOrd="0" destOrd="0" presId="urn:microsoft.com/office/officeart/2005/8/layout/chevron2"/>
    <dgm:cxn modelId="{7D18F2B3-6199-6D4F-A75D-54300021BC06}" srcId="{84BDF356-091E-654D-B53B-B045C0662591}" destId="{D8A0E7CC-E143-7F42-B4BC-46C63AE8D9DF}" srcOrd="2" destOrd="0" parTransId="{3FB57B4E-B948-984B-B3C5-59D75254786D}" sibTransId="{A42FC507-7E52-0F45-929B-561126024DDE}"/>
    <dgm:cxn modelId="{F11E32BB-42FA-5A41-93F0-049276E3EC8C}" type="presOf" srcId="{84BDF356-091E-654D-B53B-B045C0662591}" destId="{BA3B7515-E292-1941-996D-2837BD3FC086}" srcOrd="0" destOrd="0" presId="urn:microsoft.com/office/officeart/2005/8/layout/chevron2"/>
    <dgm:cxn modelId="{6C9401D9-A780-0D43-805D-4C882A80B2B3}" type="presOf" srcId="{5A47C800-D194-A244-9473-D3E68C3040B6}" destId="{16526534-947B-924D-B6B9-51011D59B5EE}" srcOrd="0" destOrd="0" presId="urn:microsoft.com/office/officeart/2005/8/layout/chevron2"/>
    <dgm:cxn modelId="{93D65ADD-2F3A-054B-9B3A-BC24238FBEDE}" type="presOf" srcId="{661893DB-ED85-7B4E-87D3-3C552C10ED86}" destId="{BE515A6B-D2C2-EC40-9B22-81DC38317652}" srcOrd="0" destOrd="0" presId="urn:microsoft.com/office/officeart/2005/8/layout/chevron2"/>
    <dgm:cxn modelId="{881D26E5-E292-D449-9209-6CACE2044C93}" type="presOf" srcId="{4161CC70-DEFC-4746-9AE2-410D07963FC5}" destId="{9841BAD5-1BBE-6D4A-AE44-FB497FA4E986}" srcOrd="0" destOrd="0" presId="urn:microsoft.com/office/officeart/2005/8/layout/chevron2"/>
    <dgm:cxn modelId="{57302DF9-0E5B-8C49-A6B0-CDAA7BCD5B41}" srcId="{5281A71E-8AEF-154A-BC52-F87121923734}" destId="{5A47C800-D194-A244-9473-D3E68C3040B6}" srcOrd="0" destOrd="0" parTransId="{B0C83C4E-CE30-0844-B0A5-CC51C2F40DEE}" sibTransId="{A26E5399-13AB-1344-B8C3-A8F45CBB5980}"/>
    <dgm:cxn modelId="{FFD744FE-B23F-9F4A-9C9C-6D130FB99B13}" type="presOf" srcId="{C24046FF-A991-9541-8A0F-466740DF6D79}" destId="{1DB7BFC4-F2EF-B64F-8AAB-74FFBEA129F8}" srcOrd="0" destOrd="0" presId="urn:microsoft.com/office/officeart/2005/8/layout/chevron2"/>
    <dgm:cxn modelId="{D902BFFE-FD12-6D4F-8B77-869001AD92C4}" srcId="{84BDF356-091E-654D-B53B-B045C0662591}" destId="{5281A71E-8AEF-154A-BC52-F87121923734}" srcOrd="3" destOrd="0" parTransId="{04F3B50C-9C7E-6B4D-B57F-86F98FF3D466}" sibTransId="{7DC2820F-15DF-034B-9441-1508DCEF54E3}"/>
    <dgm:cxn modelId="{616E958E-8ED6-7846-A262-F78C65C52F32}" type="presParOf" srcId="{BA3B7515-E292-1941-996D-2837BD3FC086}" destId="{3F4FC86B-F909-C646-96B5-73B59B5E0DEF}" srcOrd="0" destOrd="0" presId="urn:microsoft.com/office/officeart/2005/8/layout/chevron2"/>
    <dgm:cxn modelId="{7780E736-2D63-CC46-ABF4-ECD1BCE8C680}" type="presParOf" srcId="{3F4FC86B-F909-C646-96B5-73B59B5E0DEF}" destId="{1DB7BFC4-F2EF-B64F-8AAB-74FFBEA129F8}" srcOrd="0" destOrd="0" presId="urn:microsoft.com/office/officeart/2005/8/layout/chevron2"/>
    <dgm:cxn modelId="{F0517794-8F6B-514C-B06F-50092BD665BD}" type="presParOf" srcId="{3F4FC86B-F909-C646-96B5-73B59B5E0DEF}" destId="{64261BE5-0DE8-6345-BC4C-55DCFEE4D105}" srcOrd="1" destOrd="0" presId="urn:microsoft.com/office/officeart/2005/8/layout/chevron2"/>
    <dgm:cxn modelId="{74E2CF0D-E870-BF4D-8AE9-8AB0DD0DE4D7}" type="presParOf" srcId="{BA3B7515-E292-1941-996D-2837BD3FC086}" destId="{21C88C3E-FE00-A240-AE5D-35BA96D85A78}" srcOrd="1" destOrd="0" presId="urn:microsoft.com/office/officeart/2005/8/layout/chevron2"/>
    <dgm:cxn modelId="{CE7F4686-1A7A-FE4C-8BAF-133CCA0C6AB9}" type="presParOf" srcId="{BA3B7515-E292-1941-996D-2837BD3FC086}" destId="{CA7AC3CC-8026-0340-8D28-446D2653CF16}" srcOrd="2" destOrd="0" presId="urn:microsoft.com/office/officeart/2005/8/layout/chevron2"/>
    <dgm:cxn modelId="{1E06F4C0-C8ED-E749-A082-BA700EAD8B05}" type="presParOf" srcId="{CA7AC3CC-8026-0340-8D28-446D2653CF16}" destId="{BE515A6B-D2C2-EC40-9B22-81DC38317652}" srcOrd="0" destOrd="0" presId="urn:microsoft.com/office/officeart/2005/8/layout/chevron2"/>
    <dgm:cxn modelId="{82CD7D9B-AFCB-794E-93A7-25B621B2A50C}" type="presParOf" srcId="{CA7AC3CC-8026-0340-8D28-446D2653CF16}" destId="{31364C01-E980-EC41-81D0-E9FEE952794B}" srcOrd="1" destOrd="0" presId="urn:microsoft.com/office/officeart/2005/8/layout/chevron2"/>
    <dgm:cxn modelId="{C2AD32B5-3295-9846-B2AD-B5F8EA62004F}" type="presParOf" srcId="{BA3B7515-E292-1941-996D-2837BD3FC086}" destId="{2E879B60-7ADF-1744-B760-8658EC57F3FA}" srcOrd="3" destOrd="0" presId="urn:microsoft.com/office/officeart/2005/8/layout/chevron2"/>
    <dgm:cxn modelId="{CB2C1EAC-95BC-B846-BE79-011CB2BC7729}" type="presParOf" srcId="{BA3B7515-E292-1941-996D-2837BD3FC086}" destId="{37880F0E-78D3-C54D-B468-86557EB307D1}" srcOrd="4" destOrd="0" presId="urn:microsoft.com/office/officeart/2005/8/layout/chevron2"/>
    <dgm:cxn modelId="{08BE29E3-6078-C341-BAB5-AC5CED513CC7}" type="presParOf" srcId="{37880F0E-78D3-C54D-B468-86557EB307D1}" destId="{95032D9D-6519-724F-A288-B54805B84E1A}" srcOrd="0" destOrd="0" presId="urn:microsoft.com/office/officeart/2005/8/layout/chevron2"/>
    <dgm:cxn modelId="{95ED4792-ACD1-4044-BA69-D48E2712C8C5}" type="presParOf" srcId="{37880F0E-78D3-C54D-B468-86557EB307D1}" destId="{E4B4F818-C5BE-FE40-972B-88AC751B7DB5}" srcOrd="1" destOrd="0" presId="urn:microsoft.com/office/officeart/2005/8/layout/chevron2"/>
    <dgm:cxn modelId="{51F843A5-11C4-7F42-A1F2-43B717B16C5D}" type="presParOf" srcId="{BA3B7515-E292-1941-996D-2837BD3FC086}" destId="{5C7F92F0-AC13-C94F-B901-7CDC59DC2499}" srcOrd="5" destOrd="0" presId="urn:microsoft.com/office/officeart/2005/8/layout/chevron2"/>
    <dgm:cxn modelId="{1CD9BB7E-D8F8-1246-B7F7-52C6744CE73F}" type="presParOf" srcId="{BA3B7515-E292-1941-996D-2837BD3FC086}" destId="{C12D8F56-F8D4-D045-93A3-CF7E6AF80C04}" srcOrd="6" destOrd="0" presId="urn:microsoft.com/office/officeart/2005/8/layout/chevron2"/>
    <dgm:cxn modelId="{60B16683-DAB5-DF4E-AF0C-2A36DBBFE020}" type="presParOf" srcId="{C12D8F56-F8D4-D045-93A3-CF7E6AF80C04}" destId="{5D6EB2BD-B118-F64C-A616-66CE1DB97AFB}" srcOrd="0" destOrd="0" presId="urn:microsoft.com/office/officeart/2005/8/layout/chevron2"/>
    <dgm:cxn modelId="{1C394A00-DADB-0C45-8B4A-465607A260D7}" type="presParOf" srcId="{C12D8F56-F8D4-D045-93A3-CF7E6AF80C04}" destId="{16526534-947B-924D-B6B9-51011D59B5EE}" srcOrd="1" destOrd="0" presId="urn:microsoft.com/office/officeart/2005/8/layout/chevron2"/>
    <dgm:cxn modelId="{FC73C211-E524-5E43-8D49-60CF00AE8936}" type="presParOf" srcId="{BA3B7515-E292-1941-996D-2837BD3FC086}" destId="{403D1FB5-BF52-A342-8B7B-BD7FB2385AED}" srcOrd="7" destOrd="0" presId="urn:microsoft.com/office/officeart/2005/8/layout/chevron2"/>
    <dgm:cxn modelId="{8AA8DF7E-475A-AE4B-B44C-0D377223C1C5}" type="presParOf" srcId="{BA3B7515-E292-1941-996D-2837BD3FC086}" destId="{026C3BCB-16BE-4D45-9BB5-58E18F160934}" srcOrd="8" destOrd="0" presId="urn:microsoft.com/office/officeart/2005/8/layout/chevron2"/>
    <dgm:cxn modelId="{6986DC6F-A5D1-D546-B5A4-68A24ABF22C5}" type="presParOf" srcId="{026C3BCB-16BE-4D45-9BB5-58E18F160934}" destId="{566D8170-47A4-A84E-9A65-5EC24CCEE9E7}" srcOrd="0" destOrd="0" presId="urn:microsoft.com/office/officeart/2005/8/layout/chevron2"/>
    <dgm:cxn modelId="{4BBC7F5D-778C-EA42-ACB3-612978A87520}" type="presParOf" srcId="{026C3BCB-16BE-4D45-9BB5-58E18F160934}" destId="{9841BAD5-1BBE-6D4A-AE44-FB497FA4E986}" srcOrd="1" destOrd="0" presId="urn:microsoft.com/office/officeart/2005/8/layout/chevron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7AB0FE0-EB75-3440-B222-4AE5803C4D5A}"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en-US"/>
        </a:p>
      </dgm:t>
    </dgm:pt>
    <dgm:pt modelId="{82243702-F693-BB45-80B0-DD8BAF1C51DD}">
      <dgm:prSet phldrT="[Text]" custT="1"/>
      <dgm:spPr/>
      <dgm:t>
        <a:bodyPr/>
        <a:lstStyle/>
        <a:p>
          <a:pPr algn="ctr"/>
          <a:r>
            <a:rPr lang="en-US" sz="1100"/>
            <a:t>UNDP Portfolio</a:t>
          </a:r>
        </a:p>
      </dgm:t>
    </dgm:pt>
    <dgm:pt modelId="{E88B61DC-0E4C-9E47-9343-92402FE94389}" type="parTrans" cxnId="{093F7FD1-06C8-3049-9F3F-78FAB89FD3D1}">
      <dgm:prSet/>
      <dgm:spPr/>
      <dgm:t>
        <a:bodyPr/>
        <a:lstStyle/>
        <a:p>
          <a:pPr algn="ctr"/>
          <a:endParaRPr lang="en-US" sz="1400"/>
        </a:p>
      </dgm:t>
    </dgm:pt>
    <dgm:pt modelId="{00BF20BA-0CCB-D343-AE06-8F9A913D00B2}" type="sibTrans" cxnId="{093F7FD1-06C8-3049-9F3F-78FAB89FD3D1}">
      <dgm:prSet/>
      <dgm:spPr/>
      <dgm:t>
        <a:bodyPr/>
        <a:lstStyle/>
        <a:p>
          <a:pPr algn="ctr"/>
          <a:endParaRPr lang="en-US" sz="1400"/>
        </a:p>
      </dgm:t>
    </dgm:pt>
    <dgm:pt modelId="{E1B374EE-C11C-E24E-9E48-F3CC966C8E20}" type="asst">
      <dgm:prSet phldrT="[Text]" custT="1"/>
      <dgm:spPr/>
      <dgm:t>
        <a:bodyPr/>
        <a:lstStyle/>
        <a:p>
          <a:pPr algn="ctr"/>
          <a:r>
            <a:rPr lang="en-US" sz="1100"/>
            <a:t>Strategy</a:t>
          </a:r>
        </a:p>
      </dgm:t>
    </dgm:pt>
    <dgm:pt modelId="{A5C04259-7A66-5945-BC22-85A0FD60F9BF}" type="parTrans" cxnId="{3C81D334-0734-5D49-BB4B-821EAD6F9815}">
      <dgm:prSet/>
      <dgm:spPr/>
      <dgm:t>
        <a:bodyPr/>
        <a:lstStyle/>
        <a:p>
          <a:pPr algn="ctr"/>
          <a:endParaRPr lang="en-US" sz="1400"/>
        </a:p>
      </dgm:t>
    </dgm:pt>
    <dgm:pt modelId="{302E8046-B5D0-B14E-9D29-D4922D95DEA9}" type="sibTrans" cxnId="{3C81D334-0734-5D49-BB4B-821EAD6F9815}">
      <dgm:prSet/>
      <dgm:spPr/>
      <dgm:t>
        <a:bodyPr/>
        <a:lstStyle/>
        <a:p>
          <a:pPr algn="ctr"/>
          <a:endParaRPr lang="en-US" sz="1400"/>
        </a:p>
      </dgm:t>
    </dgm:pt>
    <dgm:pt modelId="{97E88C88-2DE0-4B4E-BB56-0477682F3273}">
      <dgm:prSet phldrT="[Text]" custT="1"/>
      <dgm:spPr/>
      <dgm:t>
        <a:bodyPr/>
        <a:lstStyle/>
        <a:p>
          <a:pPr algn="ctr"/>
          <a:r>
            <a:rPr lang="en-US" sz="1100"/>
            <a:t>Relevance</a:t>
          </a:r>
        </a:p>
      </dgm:t>
    </dgm:pt>
    <dgm:pt modelId="{EA53D669-3B9D-894C-969A-0895D53F37DC}" type="parTrans" cxnId="{9CEA5C70-8D23-2F40-830F-15F3C2211031}">
      <dgm:prSet/>
      <dgm:spPr/>
      <dgm:t>
        <a:bodyPr/>
        <a:lstStyle/>
        <a:p>
          <a:pPr algn="ctr"/>
          <a:endParaRPr lang="en-US" sz="1400"/>
        </a:p>
      </dgm:t>
    </dgm:pt>
    <dgm:pt modelId="{CF5765A4-B6CB-7E40-BECC-1098D25C1437}" type="sibTrans" cxnId="{9CEA5C70-8D23-2F40-830F-15F3C2211031}">
      <dgm:prSet/>
      <dgm:spPr/>
      <dgm:t>
        <a:bodyPr/>
        <a:lstStyle/>
        <a:p>
          <a:pPr algn="ctr"/>
          <a:endParaRPr lang="en-US" sz="1400"/>
        </a:p>
      </dgm:t>
    </dgm:pt>
    <dgm:pt modelId="{549B15B8-67F1-1742-8F7E-432B815CC119}">
      <dgm:prSet phldrT="[Text]" custT="1"/>
      <dgm:spPr/>
      <dgm:t>
        <a:bodyPr/>
        <a:lstStyle/>
        <a:p>
          <a:pPr algn="ctr"/>
          <a:r>
            <a:rPr lang="en-US" sz="1100"/>
            <a:t>Effectiveness</a:t>
          </a:r>
        </a:p>
      </dgm:t>
    </dgm:pt>
    <dgm:pt modelId="{14FF70CE-E169-CF4E-848E-2B2CDAC5F149}" type="parTrans" cxnId="{3996A1F9-DD92-E548-ADF8-518BA374A78F}">
      <dgm:prSet/>
      <dgm:spPr/>
      <dgm:t>
        <a:bodyPr/>
        <a:lstStyle/>
        <a:p>
          <a:pPr algn="ctr"/>
          <a:endParaRPr lang="en-US" sz="1400"/>
        </a:p>
      </dgm:t>
    </dgm:pt>
    <dgm:pt modelId="{B8EAC356-1D00-C642-80DA-E2803D6A8539}" type="sibTrans" cxnId="{3996A1F9-DD92-E548-ADF8-518BA374A78F}">
      <dgm:prSet/>
      <dgm:spPr/>
      <dgm:t>
        <a:bodyPr/>
        <a:lstStyle/>
        <a:p>
          <a:pPr algn="ctr"/>
          <a:endParaRPr lang="en-US" sz="1400"/>
        </a:p>
      </dgm:t>
    </dgm:pt>
    <dgm:pt modelId="{64B9DD5D-0C38-4A4C-B21C-E24348BB3970}">
      <dgm:prSet phldrT="[Text]" custT="1"/>
      <dgm:spPr/>
      <dgm:t>
        <a:bodyPr/>
        <a:lstStyle/>
        <a:p>
          <a:pPr algn="ctr"/>
          <a:r>
            <a:rPr lang="en-US" sz="1100"/>
            <a:t>Efficiency</a:t>
          </a:r>
        </a:p>
      </dgm:t>
    </dgm:pt>
    <dgm:pt modelId="{75FE1DD7-D7D6-8E44-9BFE-64A8D1FC368F}" type="parTrans" cxnId="{FCFAEEC9-EACD-C14C-92BF-5676153AFCD1}">
      <dgm:prSet/>
      <dgm:spPr/>
      <dgm:t>
        <a:bodyPr/>
        <a:lstStyle/>
        <a:p>
          <a:pPr algn="ctr"/>
          <a:endParaRPr lang="en-US" sz="1400"/>
        </a:p>
      </dgm:t>
    </dgm:pt>
    <dgm:pt modelId="{FA402389-734B-6545-A768-5E6FBD15A1AB}" type="sibTrans" cxnId="{FCFAEEC9-EACD-C14C-92BF-5676153AFCD1}">
      <dgm:prSet/>
      <dgm:spPr/>
      <dgm:t>
        <a:bodyPr/>
        <a:lstStyle/>
        <a:p>
          <a:pPr algn="ctr"/>
          <a:endParaRPr lang="en-US" sz="1400"/>
        </a:p>
      </dgm:t>
    </dgm:pt>
    <dgm:pt modelId="{F0E56A4D-11F1-884C-A8DF-F9DF98CC71EF}" type="asst">
      <dgm:prSet phldrT="[Text]" custT="1"/>
      <dgm:spPr/>
      <dgm:t>
        <a:bodyPr/>
        <a:lstStyle/>
        <a:p>
          <a:pPr algn="ctr"/>
          <a:r>
            <a:rPr lang="en-US" sz="1100"/>
            <a:t>Mid term evaluation</a:t>
          </a:r>
        </a:p>
      </dgm:t>
    </dgm:pt>
    <dgm:pt modelId="{91846179-72DA-EE48-B357-2500BBA425D0}" type="parTrans" cxnId="{2CB3E81C-D839-E94F-8D24-70D8B6B0199C}">
      <dgm:prSet/>
      <dgm:spPr/>
      <dgm:t>
        <a:bodyPr/>
        <a:lstStyle/>
        <a:p>
          <a:pPr algn="ctr"/>
          <a:endParaRPr lang="en-US" sz="1400"/>
        </a:p>
      </dgm:t>
    </dgm:pt>
    <dgm:pt modelId="{B5B624D4-3ADD-1F47-BD7C-E4E38D67CA3B}" type="sibTrans" cxnId="{2CB3E81C-D839-E94F-8D24-70D8B6B0199C}">
      <dgm:prSet/>
      <dgm:spPr/>
      <dgm:t>
        <a:bodyPr/>
        <a:lstStyle/>
        <a:p>
          <a:pPr algn="ctr"/>
          <a:endParaRPr lang="en-US" sz="1400"/>
        </a:p>
      </dgm:t>
    </dgm:pt>
    <dgm:pt modelId="{99B9DD77-55EF-9C4E-97FB-F958FA94D7AA}">
      <dgm:prSet phldrT="[Text]" custT="1"/>
      <dgm:spPr/>
      <dgm:t>
        <a:bodyPr/>
        <a:lstStyle/>
        <a:p>
          <a:pPr algn="ctr"/>
          <a:r>
            <a:rPr lang="en-US" sz="1100"/>
            <a:t>Impact</a:t>
          </a:r>
        </a:p>
      </dgm:t>
    </dgm:pt>
    <dgm:pt modelId="{A6E3EABA-88D4-2840-B39E-06E0E4D7E21C}" type="parTrans" cxnId="{448D7222-CAAA-B648-BD1B-48BF94523CEB}">
      <dgm:prSet/>
      <dgm:spPr/>
      <dgm:t>
        <a:bodyPr/>
        <a:lstStyle/>
        <a:p>
          <a:pPr algn="ctr"/>
          <a:endParaRPr lang="en-US" sz="1400"/>
        </a:p>
      </dgm:t>
    </dgm:pt>
    <dgm:pt modelId="{54F903EE-2EC8-BC47-A8D1-495EE0C1B5FC}" type="sibTrans" cxnId="{448D7222-CAAA-B648-BD1B-48BF94523CEB}">
      <dgm:prSet/>
      <dgm:spPr/>
      <dgm:t>
        <a:bodyPr/>
        <a:lstStyle/>
        <a:p>
          <a:pPr algn="ctr"/>
          <a:endParaRPr lang="en-US" sz="1400"/>
        </a:p>
      </dgm:t>
    </dgm:pt>
    <dgm:pt modelId="{2F9AC4D8-0710-CD42-A57A-DE37AE471FCA}">
      <dgm:prSet phldrT="[Text]" custT="1"/>
      <dgm:spPr/>
      <dgm:t>
        <a:bodyPr/>
        <a:lstStyle/>
        <a:p>
          <a:pPr algn="ctr"/>
          <a:r>
            <a:rPr lang="en-US" sz="1100"/>
            <a:t>Sustainability</a:t>
          </a:r>
        </a:p>
      </dgm:t>
    </dgm:pt>
    <dgm:pt modelId="{B9641F22-315F-A64C-AB36-FCDDBFC8E908}" type="parTrans" cxnId="{99FBAF50-C5DC-F445-812F-D132AC8D33B4}">
      <dgm:prSet/>
      <dgm:spPr/>
      <dgm:t>
        <a:bodyPr/>
        <a:lstStyle/>
        <a:p>
          <a:pPr algn="ctr"/>
          <a:endParaRPr lang="en-US" sz="1400"/>
        </a:p>
      </dgm:t>
    </dgm:pt>
    <dgm:pt modelId="{212978CA-CDD7-4941-92CF-8AADCA1BADF1}" type="sibTrans" cxnId="{99FBAF50-C5DC-F445-812F-D132AC8D33B4}">
      <dgm:prSet/>
      <dgm:spPr/>
      <dgm:t>
        <a:bodyPr/>
        <a:lstStyle/>
        <a:p>
          <a:pPr algn="ctr"/>
          <a:endParaRPr lang="en-US" sz="1400"/>
        </a:p>
      </dgm:t>
    </dgm:pt>
    <dgm:pt modelId="{0365AD16-A592-3A44-BD6B-CCFFC19FE346}" type="pres">
      <dgm:prSet presAssocID="{47AB0FE0-EB75-3440-B222-4AE5803C4D5A}" presName="hierChild1" presStyleCnt="0">
        <dgm:presLayoutVars>
          <dgm:orgChart val="1"/>
          <dgm:chPref val="1"/>
          <dgm:dir/>
          <dgm:animOne val="branch"/>
          <dgm:animLvl val="lvl"/>
          <dgm:resizeHandles/>
        </dgm:presLayoutVars>
      </dgm:prSet>
      <dgm:spPr/>
    </dgm:pt>
    <dgm:pt modelId="{37363C98-1B00-F644-8C5D-2C2260877BF5}" type="pres">
      <dgm:prSet presAssocID="{82243702-F693-BB45-80B0-DD8BAF1C51DD}" presName="hierRoot1" presStyleCnt="0">
        <dgm:presLayoutVars>
          <dgm:hierBranch val="init"/>
        </dgm:presLayoutVars>
      </dgm:prSet>
      <dgm:spPr/>
    </dgm:pt>
    <dgm:pt modelId="{5539524A-7364-064B-8D03-9B0381064597}" type="pres">
      <dgm:prSet presAssocID="{82243702-F693-BB45-80B0-DD8BAF1C51DD}" presName="rootComposite1" presStyleCnt="0"/>
      <dgm:spPr/>
    </dgm:pt>
    <dgm:pt modelId="{B3898ECB-8E35-9C47-B384-7EFCEEB4A0AA}" type="pres">
      <dgm:prSet presAssocID="{82243702-F693-BB45-80B0-DD8BAF1C51DD}" presName="rootText1" presStyleLbl="node0" presStyleIdx="0" presStyleCnt="1">
        <dgm:presLayoutVars>
          <dgm:chPref val="3"/>
        </dgm:presLayoutVars>
      </dgm:prSet>
      <dgm:spPr/>
    </dgm:pt>
    <dgm:pt modelId="{2F4C9972-E910-CC46-BD95-3CD9A9CA34D5}" type="pres">
      <dgm:prSet presAssocID="{82243702-F693-BB45-80B0-DD8BAF1C51DD}" presName="rootConnector1" presStyleLbl="node1" presStyleIdx="0" presStyleCnt="0"/>
      <dgm:spPr/>
    </dgm:pt>
    <dgm:pt modelId="{211EDE87-058B-4C4D-87F0-D15008AF8198}" type="pres">
      <dgm:prSet presAssocID="{82243702-F693-BB45-80B0-DD8BAF1C51DD}" presName="hierChild2" presStyleCnt="0"/>
      <dgm:spPr/>
    </dgm:pt>
    <dgm:pt modelId="{FDB096A5-14FD-6A47-A046-597BC9D13727}" type="pres">
      <dgm:prSet presAssocID="{EA53D669-3B9D-894C-969A-0895D53F37DC}" presName="Name37" presStyleLbl="parChTrans1D2" presStyleIdx="0" presStyleCnt="7"/>
      <dgm:spPr/>
    </dgm:pt>
    <dgm:pt modelId="{6A208EC1-4B49-3D4F-B6F9-DD6722A8DE20}" type="pres">
      <dgm:prSet presAssocID="{97E88C88-2DE0-4B4E-BB56-0477682F3273}" presName="hierRoot2" presStyleCnt="0">
        <dgm:presLayoutVars>
          <dgm:hierBranch val="init"/>
        </dgm:presLayoutVars>
      </dgm:prSet>
      <dgm:spPr/>
    </dgm:pt>
    <dgm:pt modelId="{ED2805C8-922D-A74A-8C59-72A10DB59118}" type="pres">
      <dgm:prSet presAssocID="{97E88C88-2DE0-4B4E-BB56-0477682F3273}" presName="rootComposite" presStyleCnt="0"/>
      <dgm:spPr/>
    </dgm:pt>
    <dgm:pt modelId="{467B0AC7-FCC1-4544-BE2D-E0093707E053}" type="pres">
      <dgm:prSet presAssocID="{97E88C88-2DE0-4B4E-BB56-0477682F3273}" presName="rootText" presStyleLbl="node2" presStyleIdx="0" presStyleCnt="5">
        <dgm:presLayoutVars>
          <dgm:chPref val="3"/>
        </dgm:presLayoutVars>
      </dgm:prSet>
      <dgm:spPr/>
    </dgm:pt>
    <dgm:pt modelId="{40F98427-67F8-6A4F-80FC-0BCCC182E7C3}" type="pres">
      <dgm:prSet presAssocID="{97E88C88-2DE0-4B4E-BB56-0477682F3273}" presName="rootConnector" presStyleLbl="node2" presStyleIdx="0" presStyleCnt="5"/>
      <dgm:spPr/>
    </dgm:pt>
    <dgm:pt modelId="{83844868-6500-2348-86B8-244553A8DCE3}" type="pres">
      <dgm:prSet presAssocID="{97E88C88-2DE0-4B4E-BB56-0477682F3273}" presName="hierChild4" presStyleCnt="0"/>
      <dgm:spPr/>
    </dgm:pt>
    <dgm:pt modelId="{BD939345-D19D-E84D-AD63-911C043C3FDF}" type="pres">
      <dgm:prSet presAssocID="{97E88C88-2DE0-4B4E-BB56-0477682F3273}" presName="hierChild5" presStyleCnt="0"/>
      <dgm:spPr/>
    </dgm:pt>
    <dgm:pt modelId="{20394132-B8E5-4F43-9326-23A0A0D4F0C1}" type="pres">
      <dgm:prSet presAssocID="{14FF70CE-E169-CF4E-848E-2B2CDAC5F149}" presName="Name37" presStyleLbl="parChTrans1D2" presStyleIdx="1" presStyleCnt="7"/>
      <dgm:spPr/>
    </dgm:pt>
    <dgm:pt modelId="{048F59B0-DEED-144F-91CB-757D37C3D1A4}" type="pres">
      <dgm:prSet presAssocID="{549B15B8-67F1-1742-8F7E-432B815CC119}" presName="hierRoot2" presStyleCnt="0">
        <dgm:presLayoutVars>
          <dgm:hierBranch val="init"/>
        </dgm:presLayoutVars>
      </dgm:prSet>
      <dgm:spPr/>
    </dgm:pt>
    <dgm:pt modelId="{32BDA246-BB73-2040-A230-AAE1B501C3D9}" type="pres">
      <dgm:prSet presAssocID="{549B15B8-67F1-1742-8F7E-432B815CC119}" presName="rootComposite" presStyleCnt="0"/>
      <dgm:spPr/>
    </dgm:pt>
    <dgm:pt modelId="{F5756610-AC61-4C4F-933D-111225A6AC2F}" type="pres">
      <dgm:prSet presAssocID="{549B15B8-67F1-1742-8F7E-432B815CC119}" presName="rootText" presStyleLbl="node2" presStyleIdx="1" presStyleCnt="5">
        <dgm:presLayoutVars>
          <dgm:chPref val="3"/>
        </dgm:presLayoutVars>
      </dgm:prSet>
      <dgm:spPr/>
    </dgm:pt>
    <dgm:pt modelId="{B7A6CA61-BB49-8942-9CF0-265D0BAC281F}" type="pres">
      <dgm:prSet presAssocID="{549B15B8-67F1-1742-8F7E-432B815CC119}" presName="rootConnector" presStyleLbl="node2" presStyleIdx="1" presStyleCnt="5"/>
      <dgm:spPr/>
    </dgm:pt>
    <dgm:pt modelId="{C74FE904-984C-E544-B300-06629D157679}" type="pres">
      <dgm:prSet presAssocID="{549B15B8-67F1-1742-8F7E-432B815CC119}" presName="hierChild4" presStyleCnt="0"/>
      <dgm:spPr/>
    </dgm:pt>
    <dgm:pt modelId="{456EB2A6-E7C7-614A-A60B-4CE976E30A0E}" type="pres">
      <dgm:prSet presAssocID="{549B15B8-67F1-1742-8F7E-432B815CC119}" presName="hierChild5" presStyleCnt="0"/>
      <dgm:spPr/>
    </dgm:pt>
    <dgm:pt modelId="{CE2762DA-7CE0-5E4B-A6E0-31E61363EE53}" type="pres">
      <dgm:prSet presAssocID="{75FE1DD7-D7D6-8E44-9BFE-64A8D1FC368F}" presName="Name37" presStyleLbl="parChTrans1D2" presStyleIdx="2" presStyleCnt="7"/>
      <dgm:spPr/>
    </dgm:pt>
    <dgm:pt modelId="{E8058A8B-0C36-B34F-BFCC-6CDBB0B6EEF5}" type="pres">
      <dgm:prSet presAssocID="{64B9DD5D-0C38-4A4C-B21C-E24348BB3970}" presName="hierRoot2" presStyleCnt="0">
        <dgm:presLayoutVars>
          <dgm:hierBranch val="init"/>
        </dgm:presLayoutVars>
      </dgm:prSet>
      <dgm:spPr/>
    </dgm:pt>
    <dgm:pt modelId="{23A19E64-CB78-9C4A-B1C3-1B7538DA6212}" type="pres">
      <dgm:prSet presAssocID="{64B9DD5D-0C38-4A4C-B21C-E24348BB3970}" presName="rootComposite" presStyleCnt="0"/>
      <dgm:spPr/>
    </dgm:pt>
    <dgm:pt modelId="{42B630A7-8A85-7842-8464-A8A728B2288B}" type="pres">
      <dgm:prSet presAssocID="{64B9DD5D-0C38-4A4C-B21C-E24348BB3970}" presName="rootText" presStyleLbl="node2" presStyleIdx="2" presStyleCnt="5">
        <dgm:presLayoutVars>
          <dgm:chPref val="3"/>
        </dgm:presLayoutVars>
      </dgm:prSet>
      <dgm:spPr/>
    </dgm:pt>
    <dgm:pt modelId="{91E69698-B7F3-4847-A537-E40F428B8C4A}" type="pres">
      <dgm:prSet presAssocID="{64B9DD5D-0C38-4A4C-B21C-E24348BB3970}" presName="rootConnector" presStyleLbl="node2" presStyleIdx="2" presStyleCnt="5"/>
      <dgm:spPr/>
    </dgm:pt>
    <dgm:pt modelId="{A846392D-A29A-8049-82D2-86A98539C742}" type="pres">
      <dgm:prSet presAssocID="{64B9DD5D-0C38-4A4C-B21C-E24348BB3970}" presName="hierChild4" presStyleCnt="0"/>
      <dgm:spPr/>
    </dgm:pt>
    <dgm:pt modelId="{3A9A29F9-5F2F-0245-A35B-EEA5692E8DA2}" type="pres">
      <dgm:prSet presAssocID="{64B9DD5D-0C38-4A4C-B21C-E24348BB3970}" presName="hierChild5" presStyleCnt="0"/>
      <dgm:spPr/>
    </dgm:pt>
    <dgm:pt modelId="{0BBF3109-B906-C74C-AF5A-8AA7AE38DD24}" type="pres">
      <dgm:prSet presAssocID="{A6E3EABA-88D4-2840-B39E-06E0E4D7E21C}" presName="Name37" presStyleLbl="parChTrans1D2" presStyleIdx="3" presStyleCnt="7"/>
      <dgm:spPr/>
    </dgm:pt>
    <dgm:pt modelId="{C7411F2B-6075-6B48-B6EA-E238FDEE8A7A}" type="pres">
      <dgm:prSet presAssocID="{99B9DD77-55EF-9C4E-97FB-F958FA94D7AA}" presName="hierRoot2" presStyleCnt="0">
        <dgm:presLayoutVars>
          <dgm:hierBranch val="init"/>
        </dgm:presLayoutVars>
      </dgm:prSet>
      <dgm:spPr/>
    </dgm:pt>
    <dgm:pt modelId="{8519324B-91B9-B840-8593-E6F9BFCB17BA}" type="pres">
      <dgm:prSet presAssocID="{99B9DD77-55EF-9C4E-97FB-F958FA94D7AA}" presName="rootComposite" presStyleCnt="0"/>
      <dgm:spPr/>
    </dgm:pt>
    <dgm:pt modelId="{DB2A7A7F-3B97-8D4D-B8A0-F5DC4F733BCF}" type="pres">
      <dgm:prSet presAssocID="{99B9DD77-55EF-9C4E-97FB-F958FA94D7AA}" presName="rootText" presStyleLbl="node2" presStyleIdx="3" presStyleCnt="5">
        <dgm:presLayoutVars>
          <dgm:chPref val="3"/>
        </dgm:presLayoutVars>
      </dgm:prSet>
      <dgm:spPr/>
    </dgm:pt>
    <dgm:pt modelId="{D45ED88F-32FC-064E-A4CD-9015DF903B84}" type="pres">
      <dgm:prSet presAssocID="{99B9DD77-55EF-9C4E-97FB-F958FA94D7AA}" presName="rootConnector" presStyleLbl="node2" presStyleIdx="3" presStyleCnt="5"/>
      <dgm:spPr/>
    </dgm:pt>
    <dgm:pt modelId="{801A7D6A-07FC-564D-AD78-9CBEB711C4EC}" type="pres">
      <dgm:prSet presAssocID="{99B9DD77-55EF-9C4E-97FB-F958FA94D7AA}" presName="hierChild4" presStyleCnt="0"/>
      <dgm:spPr/>
    </dgm:pt>
    <dgm:pt modelId="{C62D4F03-5F61-2E45-AAF1-F9AB5AE694C0}" type="pres">
      <dgm:prSet presAssocID="{99B9DD77-55EF-9C4E-97FB-F958FA94D7AA}" presName="hierChild5" presStyleCnt="0"/>
      <dgm:spPr/>
    </dgm:pt>
    <dgm:pt modelId="{5A12B5AF-7192-904E-8BF3-A57C68561CDC}" type="pres">
      <dgm:prSet presAssocID="{B9641F22-315F-A64C-AB36-FCDDBFC8E908}" presName="Name37" presStyleLbl="parChTrans1D2" presStyleIdx="4" presStyleCnt="7"/>
      <dgm:spPr/>
    </dgm:pt>
    <dgm:pt modelId="{73C6B9FE-135D-7840-8B03-FAFE17035EA2}" type="pres">
      <dgm:prSet presAssocID="{2F9AC4D8-0710-CD42-A57A-DE37AE471FCA}" presName="hierRoot2" presStyleCnt="0">
        <dgm:presLayoutVars>
          <dgm:hierBranch val="init"/>
        </dgm:presLayoutVars>
      </dgm:prSet>
      <dgm:spPr/>
    </dgm:pt>
    <dgm:pt modelId="{F7425148-FC5F-604E-B2EF-EC44A7BE1444}" type="pres">
      <dgm:prSet presAssocID="{2F9AC4D8-0710-CD42-A57A-DE37AE471FCA}" presName="rootComposite" presStyleCnt="0"/>
      <dgm:spPr/>
    </dgm:pt>
    <dgm:pt modelId="{09CEC0EC-C837-024F-BC0F-87C5241AB703}" type="pres">
      <dgm:prSet presAssocID="{2F9AC4D8-0710-CD42-A57A-DE37AE471FCA}" presName="rootText" presStyleLbl="node2" presStyleIdx="4" presStyleCnt="5">
        <dgm:presLayoutVars>
          <dgm:chPref val="3"/>
        </dgm:presLayoutVars>
      </dgm:prSet>
      <dgm:spPr/>
    </dgm:pt>
    <dgm:pt modelId="{CD2AB6C7-58FB-7346-AD37-93253595865C}" type="pres">
      <dgm:prSet presAssocID="{2F9AC4D8-0710-CD42-A57A-DE37AE471FCA}" presName="rootConnector" presStyleLbl="node2" presStyleIdx="4" presStyleCnt="5"/>
      <dgm:spPr/>
    </dgm:pt>
    <dgm:pt modelId="{3173A32D-3D62-E946-AE58-9558F1E6D86C}" type="pres">
      <dgm:prSet presAssocID="{2F9AC4D8-0710-CD42-A57A-DE37AE471FCA}" presName="hierChild4" presStyleCnt="0"/>
      <dgm:spPr/>
    </dgm:pt>
    <dgm:pt modelId="{9EF2C03F-17A5-FD48-B41A-1A88B38FB2D8}" type="pres">
      <dgm:prSet presAssocID="{2F9AC4D8-0710-CD42-A57A-DE37AE471FCA}" presName="hierChild5" presStyleCnt="0"/>
      <dgm:spPr/>
    </dgm:pt>
    <dgm:pt modelId="{D0A4CAFC-498C-574B-BD46-357F49AB4F0A}" type="pres">
      <dgm:prSet presAssocID="{82243702-F693-BB45-80B0-DD8BAF1C51DD}" presName="hierChild3" presStyleCnt="0"/>
      <dgm:spPr/>
    </dgm:pt>
    <dgm:pt modelId="{880D2D23-7B1B-D240-9D10-45487A09DEAB}" type="pres">
      <dgm:prSet presAssocID="{A5C04259-7A66-5945-BC22-85A0FD60F9BF}" presName="Name111" presStyleLbl="parChTrans1D2" presStyleIdx="5" presStyleCnt="7"/>
      <dgm:spPr/>
    </dgm:pt>
    <dgm:pt modelId="{DC4A5CF4-D4BD-B940-B728-9CE1D2D2AAC7}" type="pres">
      <dgm:prSet presAssocID="{E1B374EE-C11C-E24E-9E48-F3CC966C8E20}" presName="hierRoot3" presStyleCnt="0">
        <dgm:presLayoutVars>
          <dgm:hierBranch val="init"/>
        </dgm:presLayoutVars>
      </dgm:prSet>
      <dgm:spPr/>
    </dgm:pt>
    <dgm:pt modelId="{EC832DAC-4178-8B49-A76C-F20BEDDDEA45}" type="pres">
      <dgm:prSet presAssocID="{E1B374EE-C11C-E24E-9E48-F3CC966C8E20}" presName="rootComposite3" presStyleCnt="0"/>
      <dgm:spPr/>
    </dgm:pt>
    <dgm:pt modelId="{4D4CE317-9F3F-7F4A-9587-71C4B7487BCD}" type="pres">
      <dgm:prSet presAssocID="{E1B374EE-C11C-E24E-9E48-F3CC966C8E20}" presName="rootText3" presStyleLbl="asst1" presStyleIdx="0" presStyleCnt="2">
        <dgm:presLayoutVars>
          <dgm:chPref val="3"/>
        </dgm:presLayoutVars>
      </dgm:prSet>
      <dgm:spPr/>
    </dgm:pt>
    <dgm:pt modelId="{FAB20EDF-EBEC-FB4C-A5D4-0594F8031D5F}" type="pres">
      <dgm:prSet presAssocID="{E1B374EE-C11C-E24E-9E48-F3CC966C8E20}" presName="rootConnector3" presStyleLbl="asst1" presStyleIdx="0" presStyleCnt="2"/>
      <dgm:spPr/>
    </dgm:pt>
    <dgm:pt modelId="{7C2943E3-744A-C246-86F8-0554390CBD85}" type="pres">
      <dgm:prSet presAssocID="{E1B374EE-C11C-E24E-9E48-F3CC966C8E20}" presName="hierChild6" presStyleCnt="0"/>
      <dgm:spPr/>
    </dgm:pt>
    <dgm:pt modelId="{03EE3914-3480-B940-A223-EBE1D9429144}" type="pres">
      <dgm:prSet presAssocID="{E1B374EE-C11C-E24E-9E48-F3CC966C8E20}" presName="hierChild7" presStyleCnt="0"/>
      <dgm:spPr/>
    </dgm:pt>
    <dgm:pt modelId="{8BE586B2-EA0C-334A-BB9B-4FFF243BF7E1}" type="pres">
      <dgm:prSet presAssocID="{91846179-72DA-EE48-B357-2500BBA425D0}" presName="Name111" presStyleLbl="parChTrans1D2" presStyleIdx="6" presStyleCnt="7"/>
      <dgm:spPr/>
    </dgm:pt>
    <dgm:pt modelId="{5F8F3EC7-59BC-544F-B1EF-56F38FF9AA6E}" type="pres">
      <dgm:prSet presAssocID="{F0E56A4D-11F1-884C-A8DF-F9DF98CC71EF}" presName="hierRoot3" presStyleCnt="0">
        <dgm:presLayoutVars>
          <dgm:hierBranch val="init"/>
        </dgm:presLayoutVars>
      </dgm:prSet>
      <dgm:spPr/>
    </dgm:pt>
    <dgm:pt modelId="{207C376C-51ED-CF4E-9E0B-7CD20B0DF7F7}" type="pres">
      <dgm:prSet presAssocID="{F0E56A4D-11F1-884C-A8DF-F9DF98CC71EF}" presName="rootComposite3" presStyleCnt="0"/>
      <dgm:spPr/>
    </dgm:pt>
    <dgm:pt modelId="{6441C7BD-4D27-1F48-AF16-29A6B2A26423}" type="pres">
      <dgm:prSet presAssocID="{F0E56A4D-11F1-884C-A8DF-F9DF98CC71EF}" presName="rootText3" presStyleLbl="asst1" presStyleIdx="1" presStyleCnt="2">
        <dgm:presLayoutVars>
          <dgm:chPref val="3"/>
        </dgm:presLayoutVars>
      </dgm:prSet>
      <dgm:spPr/>
    </dgm:pt>
    <dgm:pt modelId="{EFE4E0B6-65EA-4944-AA15-77394BC1898A}" type="pres">
      <dgm:prSet presAssocID="{F0E56A4D-11F1-884C-A8DF-F9DF98CC71EF}" presName="rootConnector3" presStyleLbl="asst1" presStyleIdx="1" presStyleCnt="2"/>
      <dgm:spPr/>
    </dgm:pt>
    <dgm:pt modelId="{023F8123-DE85-3745-95F5-B3E80BE26726}" type="pres">
      <dgm:prSet presAssocID="{F0E56A4D-11F1-884C-A8DF-F9DF98CC71EF}" presName="hierChild6" presStyleCnt="0"/>
      <dgm:spPr/>
    </dgm:pt>
    <dgm:pt modelId="{D5789705-7E14-DC4A-9E93-9873B732E15B}" type="pres">
      <dgm:prSet presAssocID="{F0E56A4D-11F1-884C-A8DF-F9DF98CC71EF}" presName="hierChild7" presStyleCnt="0"/>
      <dgm:spPr/>
    </dgm:pt>
  </dgm:ptLst>
  <dgm:cxnLst>
    <dgm:cxn modelId="{36F0E40A-8E9A-CE42-95DF-3FEA61ED48AC}" type="presOf" srcId="{E1B374EE-C11C-E24E-9E48-F3CC966C8E20}" destId="{FAB20EDF-EBEC-FB4C-A5D4-0594F8031D5F}" srcOrd="1" destOrd="0" presId="urn:microsoft.com/office/officeart/2005/8/layout/orgChart1"/>
    <dgm:cxn modelId="{7D4DBB1C-EB64-2E4B-9604-75356BC002CD}" type="presOf" srcId="{64B9DD5D-0C38-4A4C-B21C-E24348BB3970}" destId="{91E69698-B7F3-4847-A537-E40F428B8C4A}" srcOrd="1" destOrd="0" presId="urn:microsoft.com/office/officeart/2005/8/layout/orgChart1"/>
    <dgm:cxn modelId="{2CB3E81C-D839-E94F-8D24-70D8B6B0199C}" srcId="{82243702-F693-BB45-80B0-DD8BAF1C51DD}" destId="{F0E56A4D-11F1-884C-A8DF-F9DF98CC71EF}" srcOrd="1" destOrd="0" parTransId="{91846179-72DA-EE48-B357-2500BBA425D0}" sibTransId="{B5B624D4-3ADD-1F47-BD7C-E4E38D67CA3B}"/>
    <dgm:cxn modelId="{448D7222-CAAA-B648-BD1B-48BF94523CEB}" srcId="{82243702-F693-BB45-80B0-DD8BAF1C51DD}" destId="{99B9DD77-55EF-9C4E-97FB-F958FA94D7AA}" srcOrd="5" destOrd="0" parTransId="{A6E3EABA-88D4-2840-B39E-06E0E4D7E21C}" sibTransId="{54F903EE-2EC8-BC47-A8D1-495EE0C1B5FC}"/>
    <dgm:cxn modelId="{C795AD30-7B6C-1F4A-A7EF-014409E5A4FF}" type="presOf" srcId="{14FF70CE-E169-CF4E-848E-2B2CDAC5F149}" destId="{20394132-B8E5-4F43-9326-23A0A0D4F0C1}" srcOrd="0" destOrd="0" presId="urn:microsoft.com/office/officeart/2005/8/layout/orgChart1"/>
    <dgm:cxn modelId="{3C81D334-0734-5D49-BB4B-821EAD6F9815}" srcId="{82243702-F693-BB45-80B0-DD8BAF1C51DD}" destId="{E1B374EE-C11C-E24E-9E48-F3CC966C8E20}" srcOrd="0" destOrd="0" parTransId="{A5C04259-7A66-5945-BC22-85A0FD60F9BF}" sibTransId="{302E8046-B5D0-B14E-9D29-D4922D95DEA9}"/>
    <dgm:cxn modelId="{05CFAF35-AC2B-9D4C-81E1-32FE57F11027}" type="presOf" srcId="{EA53D669-3B9D-894C-969A-0895D53F37DC}" destId="{FDB096A5-14FD-6A47-A046-597BC9D13727}" srcOrd="0" destOrd="0" presId="urn:microsoft.com/office/officeart/2005/8/layout/orgChart1"/>
    <dgm:cxn modelId="{95539637-88D1-FF41-A8BB-6346C63AC495}" type="presOf" srcId="{2F9AC4D8-0710-CD42-A57A-DE37AE471FCA}" destId="{09CEC0EC-C837-024F-BC0F-87C5241AB703}" srcOrd="0" destOrd="0" presId="urn:microsoft.com/office/officeart/2005/8/layout/orgChart1"/>
    <dgm:cxn modelId="{6DB74239-EE58-7046-8BAF-B729552C48B0}" type="presOf" srcId="{F0E56A4D-11F1-884C-A8DF-F9DF98CC71EF}" destId="{EFE4E0B6-65EA-4944-AA15-77394BC1898A}" srcOrd="1" destOrd="0" presId="urn:microsoft.com/office/officeart/2005/8/layout/orgChart1"/>
    <dgm:cxn modelId="{0469A03B-854B-174B-AA85-406F899C3974}" type="presOf" srcId="{99B9DD77-55EF-9C4E-97FB-F958FA94D7AA}" destId="{D45ED88F-32FC-064E-A4CD-9015DF903B84}" srcOrd="1" destOrd="0" presId="urn:microsoft.com/office/officeart/2005/8/layout/orgChart1"/>
    <dgm:cxn modelId="{2C7BF83D-09B1-0D42-AE39-6DE99FB50D2A}" type="presOf" srcId="{64B9DD5D-0C38-4A4C-B21C-E24348BB3970}" destId="{42B630A7-8A85-7842-8464-A8A728B2288B}" srcOrd="0" destOrd="0" presId="urn:microsoft.com/office/officeart/2005/8/layout/orgChart1"/>
    <dgm:cxn modelId="{D1B9F55E-448D-8F42-A4C7-4649AD1A99F7}" type="presOf" srcId="{549B15B8-67F1-1742-8F7E-432B815CC119}" destId="{B7A6CA61-BB49-8942-9CF0-265D0BAC281F}" srcOrd="1" destOrd="0" presId="urn:microsoft.com/office/officeart/2005/8/layout/orgChart1"/>
    <dgm:cxn modelId="{C3FD4263-D345-5245-B13E-F3781C34AFF8}" type="presOf" srcId="{A6E3EABA-88D4-2840-B39E-06E0E4D7E21C}" destId="{0BBF3109-B906-C74C-AF5A-8AA7AE38DD24}" srcOrd="0" destOrd="0" presId="urn:microsoft.com/office/officeart/2005/8/layout/orgChart1"/>
    <dgm:cxn modelId="{FC580647-AE86-7A49-BE44-E0518A4314C8}" type="presOf" srcId="{99B9DD77-55EF-9C4E-97FB-F958FA94D7AA}" destId="{DB2A7A7F-3B97-8D4D-B8A0-F5DC4F733BCF}" srcOrd="0" destOrd="0" presId="urn:microsoft.com/office/officeart/2005/8/layout/orgChart1"/>
    <dgm:cxn modelId="{E9230C48-90EE-F049-A0DF-3793DE21AE7A}" type="presOf" srcId="{A5C04259-7A66-5945-BC22-85A0FD60F9BF}" destId="{880D2D23-7B1B-D240-9D10-45487A09DEAB}" srcOrd="0" destOrd="0" presId="urn:microsoft.com/office/officeart/2005/8/layout/orgChart1"/>
    <dgm:cxn modelId="{4C32C548-7C23-DC4D-97DE-F88A17E21AF2}" type="presOf" srcId="{97E88C88-2DE0-4B4E-BB56-0477682F3273}" destId="{40F98427-67F8-6A4F-80FC-0BCCC182E7C3}" srcOrd="1" destOrd="0" presId="urn:microsoft.com/office/officeart/2005/8/layout/orgChart1"/>
    <dgm:cxn modelId="{F88B1D69-7DB0-8949-BC2B-DE84F75B61B3}" type="presOf" srcId="{E1B374EE-C11C-E24E-9E48-F3CC966C8E20}" destId="{4D4CE317-9F3F-7F4A-9587-71C4B7487BCD}" srcOrd="0" destOrd="0" presId="urn:microsoft.com/office/officeart/2005/8/layout/orgChart1"/>
    <dgm:cxn modelId="{0BC39869-422C-A341-AD24-736D72CF68E7}" type="presOf" srcId="{82243702-F693-BB45-80B0-DD8BAF1C51DD}" destId="{2F4C9972-E910-CC46-BD95-3CD9A9CA34D5}" srcOrd="1" destOrd="0" presId="urn:microsoft.com/office/officeart/2005/8/layout/orgChart1"/>
    <dgm:cxn modelId="{9CEA5C70-8D23-2F40-830F-15F3C2211031}" srcId="{82243702-F693-BB45-80B0-DD8BAF1C51DD}" destId="{97E88C88-2DE0-4B4E-BB56-0477682F3273}" srcOrd="2" destOrd="0" parTransId="{EA53D669-3B9D-894C-969A-0895D53F37DC}" sibTransId="{CF5765A4-B6CB-7E40-BECC-1098D25C1437}"/>
    <dgm:cxn modelId="{99FBAF50-C5DC-F445-812F-D132AC8D33B4}" srcId="{82243702-F693-BB45-80B0-DD8BAF1C51DD}" destId="{2F9AC4D8-0710-CD42-A57A-DE37AE471FCA}" srcOrd="6" destOrd="0" parTransId="{B9641F22-315F-A64C-AB36-FCDDBFC8E908}" sibTransId="{212978CA-CDD7-4941-92CF-8AADCA1BADF1}"/>
    <dgm:cxn modelId="{10E6CE88-AC67-0042-B65A-09A2E977031D}" type="presOf" srcId="{F0E56A4D-11F1-884C-A8DF-F9DF98CC71EF}" destId="{6441C7BD-4D27-1F48-AF16-29A6B2A26423}" srcOrd="0" destOrd="0" presId="urn:microsoft.com/office/officeart/2005/8/layout/orgChart1"/>
    <dgm:cxn modelId="{E594958C-5FA4-8E49-ACA3-EE791E46FC5D}" type="presOf" srcId="{75FE1DD7-D7D6-8E44-9BFE-64A8D1FC368F}" destId="{CE2762DA-7CE0-5E4B-A6E0-31E61363EE53}" srcOrd="0" destOrd="0" presId="urn:microsoft.com/office/officeart/2005/8/layout/orgChart1"/>
    <dgm:cxn modelId="{D1AA1BBC-438B-454B-AD5C-98B57BD7DF97}" type="presOf" srcId="{B9641F22-315F-A64C-AB36-FCDDBFC8E908}" destId="{5A12B5AF-7192-904E-8BF3-A57C68561CDC}" srcOrd="0" destOrd="0" presId="urn:microsoft.com/office/officeart/2005/8/layout/orgChart1"/>
    <dgm:cxn modelId="{8C554BC4-45A2-E042-985C-CD32DC6CCC1C}" type="presOf" srcId="{2F9AC4D8-0710-CD42-A57A-DE37AE471FCA}" destId="{CD2AB6C7-58FB-7346-AD37-93253595865C}" srcOrd="1" destOrd="0" presId="urn:microsoft.com/office/officeart/2005/8/layout/orgChart1"/>
    <dgm:cxn modelId="{B953EBC7-8D79-3649-8972-44A50CE80F53}" type="presOf" srcId="{549B15B8-67F1-1742-8F7E-432B815CC119}" destId="{F5756610-AC61-4C4F-933D-111225A6AC2F}" srcOrd="0" destOrd="0" presId="urn:microsoft.com/office/officeart/2005/8/layout/orgChart1"/>
    <dgm:cxn modelId="{FCFAEEC9-EACD-C14C-92BF-5676153AFCD1}" srcId="{82243702-F693-BB45-80B0-DD8BAF1C51DD}" destId="{64B9DD5D-0C38-4A4C-B21C-E24348BB3970}" srcOrd="4" destOrd="0" parTransId="{75FE1DD7-D7D6-8E44-9BFE-64A8D1FC368F}" sibTransId="{FA402389-734B-6545-A768-5E6FBD15A1AB}"/>
    <dgm:cxn modelId="{0B0B78CC-B6EE-FC42-9684-BA6B8B2C61D7}" type="presOf" srcId="{97E88C88-2DE0-4B4E-BB56-0477682F3273}" destId="{467B0AC7-FCC1-4544-BE2D-E0093707E053}" srcOrd="0" destOrd="0" presId="urn:microsoft.com/office/officeart/2005/8/layout/orgChart1"/>
    <dgm:cxn modelId="{093F7FD1-06C8-3049-9F3F-78FAB89FD3D1}" srcId="{47AB0FE0-EB75-3440-B222-4AE5803C4D5A}" destId="{82243702-F693-BB45-80B0-DD8BAF1C51DD}" srcOrd="0" destOrd="0" parTransId="{E88B61DC-0E4C-9E47-9343-92402FE94389}" sibTransId="{00BF20BA-0CCB-D343-AE06-8F9A913D00B2}"/>
    <dgm:cxn modelId="{30D677DC-F132-3C4F-90CC-8509A5FCFE18}" type="presOf" srcId="{91846179-72DA-EE48-B357-2500BBA425D0}" destId="{8BE586B2-EA0C-334A-BB9B-4FFF243BF7E1}" srcOrd="0" destOrd="0" presId="urn:microsoft.com/office/officeart/2005/8/layout/orgChart1"/>
    <dgm:cxn modelId="{E1CE86E7-30C2-2D4A-BB67-5F3E534508CC}" type="presOf" srcId="{82243702-F693-BB45-80B0-DD8BAF1C51DD}" destId="{B3898ECB-8E35-9C47-B384-7EFCEEB4A0AA}" srcOrd="0" destOrd="0" presId="urn:microsoft.com/office/officeart/2005/8/layout/orgChart1"/>
    <dgm:cxn modelId="{4B7EA6EC-9AB1-FC45-B509-23A9F24E7D05}" type="presOf" srcId="{47AB0FE0-EB75-3440-B222-4AE5803C4D5A}" destId="{0365AD16-A592-3A44-BD6B-CCFFC19FE346}" srcOrd="0" destOrd="0" presId="urn:microsoft.com/office/officeart/2005/8/layout/orgChart1"/>
    <dgm:cxn modelId="{3996A1F9-DD92-E548-ADF8-518BA374A78F}" srcId="{82243702-F693-BB45-80B0-DD8BAF1C51DD}" destId="{549B15B8-67F1-1742-8F7E-432B815CC119}" srcOrd="3" destOrd="0" parTransId="{14FF70CE-E169-CF4E-848E-2B2CDAC5F149}" sibTransId="{B8EAC356-1D00-C642-80DA-E2803D6A8539}"/>
    <dgm:cxn modelId="{0CEE6A88-DEA3-874D-AE47-D3CE9E208010}" type="presParOf" srcId="{0365AD16-A592-3A44-BD6B-CCFFC19FE346}" destId="{37363C98-1B00-F644-8C5D-2C2260877BF5}" srcOrd="0" destOrd="0" presId="urn:microsoft.com/office/officeart/2005/8/layout/orgChart1"/>
    <dgm:cxn modelId="{34DDCB8F-56F7-E843-9E59-7657A1342595}" type="presParOf" srcId="{37363C98-1B00-F644-8C5D-2C2260877BF5}" destId="{5539524A-7364-064B-8D03-9B0381064597}" srcOrd="0" destOrd="0" presId="urn:microsoft.com/office/officeart/2005/8/layout/orgChart1"/>
    <dgm:cxn modelId="{E9390D3B-6463-E240-A14D-D61B18829EFF}" type="presParOf" srcId="{5539524A-7364-064B-8D03-9B0381064597}" destId="{B3898ECB-8E35-9C47-B384-7EFCEEB4A0AA}" srcOrd="0" destOrd="0" presId="urn:microsoft.com/office/officeart/2005/8/layout/orgChart1"/>
    <dgm:cxn modelId="{FAEFE9D0-ED44-514B-85B2-A9E0C76FD36D}" type="presParOf" srcId="{5539524A-7364-064B-8D03-9B0381064597}" destId="{2F4C9972-E910-CC46-BD95-3CD9A9CA34D5}" srcOrd="1" destOrd="0" presId="urn:microsoft.com/office/officeart/2005/8/layout/orgChart1"/>
    <dgm:cxn modelId="{FECE15F8-7779-814F-B156-F43C8E203A41}" type="presParOf" srcId="{37363C98-1B00-F644-8C5D-2C2260877BF5}" destId="{211EDE87-058B-4C4D-87F0-D15008AF8198}" srcOrd="1" destOrd="0" presId="urn:microsoft.com/office/officeart/2005/8/layout/orgChart1"/>
    <dgm:cxn modelId="{01B89048-E8E9-5A46-B33C-EE7BD9EBB1F9}" type="presParOf" srcId="{211EDE87-058B-4C4D-87F0-D15008AF8198}" destId="{FDB096A5-14FD-6A47-A046-597BC9D13727}" srcOrd="0" destOrd="0" presId="urn:microsoft.com/office/officeart/2005/8/layout/orgChart1"/>
    <dgm:cxn modelId="{F8F003CF-2C31-1447-9DF5-99395E6C5BDD}" type="presParOf" srcId="{211EDE87-058B-4C4D-87F0-D15008AF8198}" destId="{6A208EC1-4B49-3D4F-B6F9-DD6722A8DE20}" srcOrd="1" destOrd="0" presId="urn:microsoft.com/office/officeart/2005/8/layout/orgChart1"/>
    <dgm:cxn modelId="{2D9184E5-D5D8-C947-8E0A-404562981209}" type="presParOf" srcId="{6A208EC1-4B49-3D4F-B6F9-DD6722A8DE20}" destId="{ED2805C8-922D-A74A-8C59-72A10DB59118}" srcOrd="0" destOrd="0" presId="urn:microsoft.com/office/officeart/2005/8/layout/orgChart1"/>
    <dgm:cxn modelId="{1C19795C-6C8F-4143-8286-19BFC3AC39EF}" type="presParOf" srcId="{ED2805C8-922D-A74A-8C59-72A10DB59118}" destId="{467B0AC7-FCC1-4544-BE2D-E0093707E053}" srcOrd="0" destOrd="0" presId="urn:microsoft.com/office/officeart/2005/8/layout/orgChart1"/>
    <dgm:cxn modelId="{C3DB0E1D-2B33-C54C-9B62-E2A89C457831}" type="presParOf" srcId="{ED2805C8-922D-A74A-8C59-72A10DB59118}" destId="{40F98427-67F8-6A4F-80FC-0BCCC182E7C3}" srcOrd="1" destOrd="0" presId="urn:microsoft.com/office/officeart/2005/8/layout/orgChart1"/>
    <dgm:cxn modelId="{920B36B4-BB17-5049-9F0B-E5C11E3946D8}" type="presParOf" srcId="{6A208EC1-4B49-3D4F-B6F9-DD6722A8DE20}" destId="{83844868-6500-2348-86B8-244553A8DCE3}" srcOrd="1" destOrd="0" presId="urn:microsoft.com/office/officeart/2005/8/layout/orgChart1"/>
    <dgm:cxn modelId="{0C0EDB5F-CD28-0C41-9DD2-FA674DA913EE}" type="presParOf" srcId="{6A208EC1-4B49-3D4F-B6F9-DD6722A8DE20}" destId="{BD939345-D19D-E84D-AD63-911C043C3FDF}" srcOrd="2" destOrd="0" presId="urn:microsoft.com/office/officeart/2005/8/layout/orgChart1"/>
    <dgm:cxn modelId="{5113A83E-193D-7B49-8BCA-D4E216A18319}" type="presParOf" srcId="{211EDE87-058B-4C4D-87F0-D15008AF8198}" destId="{20394132-B8E5-4F43-9326-23A0A0D4F0C1}" srcOrd="2" destOrd="0" presId="urn:microsoft.com/office/officeart/2005/8/layout/orgChart1"/>
    <dgm:cxn modelId="{1A1D1AA1-8448-6A4C-B024-A2BBD5FFDB59}" type="presParOf" srcId="{211EDE87-058B-4C4D-87F0-D15008AF8198}" destId="{048F59B0-DEED-144F-91CB-757D37C3D1A4}" srcOrd="3" destOrd="0" presId="urn:microsoft.com/office/officeart/2005/8/layout/orgChart1"/>
    <dgm:cxn modelId="{E5D9A411-C8F8-DC48-8A4E-50937AA298DE}" type="presParOf" srcId="{048F59B0-DEED-144F-91CB-757D37C3D1A4}" destId="{32BDA246-BB73-2040-A230-AAE1B501C3D9}" srcOrd="0" destOrd="0" presId="urn:microsoft.com/office/officeart/2005/8/layout/orgChart1"/>
    <dgm:cxn modelId="{A4B64023-C629-A942-9D7F-2ED4521E612A}" type="presParOf" srcId="{32BDA246-BB73-2040-A230-AAE1B501C3D9}" destId="{F5756610-AC61-4C4F-933D-111225A6AC2F}" srcOrd="0" destOrd="0" presId="urn:microsoft.com/office/officeart/2005/8/layout/orgChart1"/>
    <dgm:cxn modelId="{42F38019-6F6D-3541-8931-A57796460422}" type="presParOf" srcId="{32BDA246-BB73-2040-A230-AAE1B501C3D9}" destId="{B7A6CA61-BB49-8942-9CF0-265D0BAC281F}" srcOrd="1" destOrd="0" presId="urn:microsoft.com/office/officeart/2005/8/layout/orgChart1"/>
    <dgm:cxn modelId="{EDBAF41B-A0EC-A844-BA00-B7F5230549D9}" type="presParOf" srcId="{048F59B0-DEED-144F-91CB-757D37C3D1A4}" destId="{C74FE904-984C-E544-B300-06629D157679}" srcOrd="1" destOrd="0" presId="urn:microsoft.com/office/officeart/2005/8/layout/orgChart1"/>
    <dgm:cxn modelId="{5DBFF286-CC50-AD40-B1C2-DADE46F2D4DF}" type="presParOf" srcId="{048F59B0-DEED-144F-91CB-757D37C3D1A4}" destId="{456EB2A6-E7C7-614A-A60B-4CE976E30A0E}" srcOrd="2" destOrd="0" presId="urn:microsoft.com/office/officeart/2005/8/layout/orgChart1"/>
    <dgm:cxn modelId="{0C88BC51-F9AC-B142-9663-4A5E19E6273E}" type="presParOf" srcId="{211EDE87-058B-4C4D-87F0-D15008AF8198}" destId="{CE2762DA-7CE0-5E4B-A6E0-31E61363EE53}" srcOrd="4" destOrd="0" presId="urn:microsoft.com/office/officeart/2005/8/layout/orgChart1"/>
    <dgm:cxn modelId="{F46CCBF8-8AEF-B442-9666-B8576B08BB4B}" type="presParOf" srcId="{211EDE87-058B-4C4D-87F0-D15008AF8198}" destId="{E8058A8B-0C36-B34F-BFCC-6CDBB0B6EEF5}" srcOrd="5" destOrd="0" presId="urn:microsoft.com/office/officeart/2005/8/layout/orgChart1"/>
    <dgm:cxn modelId="{6AEB5746-C4FE-BF44-88E8-EAE21E618A8F}" type="presParOf" srcId="{E8058A8B-0C36-B34F-BFCC-6CDBB0B6EEF5}" destId="{23A19E64-CB78-9C4A-B1C3-1B7538DA6212}" srcOrd="0" destOrd="0" presId="urn:microsoft.com/office/officeart/2005/8/layout/orgChart1"/>
    <dgm:cxn modelId="{7F6F9450-79D4-4240-832E-EDA5A0D9CE96}" type="presParOf" srcId="{23A19E64-CB78-9C4A-B1C3-1B7538DA6212}" destId="{42B630A7-8A85-7842-8464-A8A728B2288B}" srcOrd="0" destOrd="0" presId="urn:microsoft.com/office/officeart/2005/8/layout/orgChart1"/>
    <dgm:cxn modelId="{E4AB6CEF-A1E9-1748-ACA1-37DF0E2B3A71}" type="presParOf" srcId="{23A19E64-CB78-9C4A-B1C3-1B7538DA6212}" destId="{91E69698-B7F3-4847-A537-E40F428B8C4A}" srcOrd="1" destOrd="0" presId="urn:microsoft.com/office/officeart/2005/8/layout/orgChart1"/>
    <dgm:cxn modelId="{FFAB524E-8AAB-D44D-B302-3170EB25AC5F}" type="presParOf" srcId="{E8058A8B-0C36-B34F-BFCC-6CDBB0B6EEF5}" destId="{A846392D-A29A-8049-82D2-86A98539C742}" srcOrd="1" destOrd="0" presId="urn:microsoft.com/office/officeart/2005/8/layout/orgChart1"/>
    <dgm:cxn modelId="{CBD78760-C540-9042-A5B1-84BF617012AF}" type="presParOf" srcId="{E8058A8B-0C36-B34F-BFCC-6CDBB0B6EEF5}" destId="{3A9A29F9-5F2F-0245-A35B-EEA5692E8DA2}" srcOrd="2" destOrd="0" presId="urn:microsoft.com/office/officeart/2005/8/layout/orgChart1"/>
    <dgm:cxn modelId="{CF7F2400-C597-A24D-82D7-1070EA296929}" type="presParOf" srcId="{211EDE87-058B-4C4D-87F0-D15008AF8198}" destId="{0BBF3109-B906-C74C-AF5A-8AA7AE38DD24}" srcOrd="6" destOrd="0" presId="urn:microsoft.com/office/officeart/2005/8/layout/orgChart1"/>
    <dgm:cxn modelId="{B6B33C5E-C777-CE49-82F7-2104C79D2C13}" type="presParOf" srcId="{211EDE87-058B-4C4D-87F0-D15008AF8198}" destId="{C7411F2B-6075-6B48-B6EA-E238FDEE8A7A}" srcOrd="7" destOrd="0" presId="urn:microsoft.com/office/officeart/2005/8/layout/orgChart1"/>
    <dgm:cxn modelId="{FABFE549-AE82-594F-A907-83689A0F66D8}" type="presParOf" srcId="{C7411F2B-6075-6B48-B6EA-E238FDEE8A7A}" destId="{8519324B-91B9-B840-8593-E6F9BFCB17BA}" srcOrd="0" destOrd="0" presId="urn:microsoft.com/office/officeart/2005/8/layout/orgChart1"/>
    <dgm:cxn modelId="{0EE3FFC1-FD56-B040-9384-B4DD88413BBD}" type="presParOf" srcId="{8519324B-91B9-B840-8593-E6F9BFCB17BA}" destId="{DB2A7A7F-3B97-8D4D-B8A0-F5DC4F733BCF}" srcOrd="0" destOrd="0" presId="urn:microsoft.com/office/officeart/2005/8/layout/orgChart1"/>
    <dgm:cxn modelId="{9DEB33BA-76F0-9D44-ABE5-E4F59EBC35AE}" type="presParOf" srcId="{8519324B-91B9-B840-8593-E6F9BFCB17BA}" destId="{D45ED88F-32FC-064E-A4CD-9015DF903B84}" srcOrd="1" destOrd="0" presId="urn:microsoft.com/office/officeart/2005/8/layout/orgChart1"/>
    <dgm:cxn modelId="{0215B9FF-F6AB-9F48-A3ED-3397044D5E48}" type="presParOf" srcId="{C7411F2B-6075-6B48-B6EA-E238FDEE8A7A}" destId="{801A7D6A-07FC-564D-AD78-9CBEB711C4EC}" srcOrd="1" destOrd="0" presId="urn:microsoft.com/office/officeart/2005/8/layout/orgChart1"/>
    <dgm:cxn modelId="{CF1DE367-2308-C048-A638-765330C8E556}" type="presParOf" srcId="{C7411F2B-6075-6B48-B6EA-E238FDEE8A7A}" destId="{C62D4F03-5F61-2E45-AAF1-F9AB5AE694C0}" srcOrd="2" destOrd="0" presId="urn:microsoft.com/office/officeart/2005/8/layout/orgChart1"/>
    <dgm:cxn modelId="{E52EE4A2-8214-2947-AA13-100DA0D22E88}" type="presParOf" srcId="{211EDE87-058B-4C4D-87F0-D15008AF8198}" destId="{5A12B5AF-7192-904E-8BF3-A57C68561CDC}" srcOrd="8" destOrd="0" presId="urn:microsoft.com/office/officeart/2005/8/layout/orgChart1"/>
    <dgm:cxn modelId="{6B8058F4-B168-B649-9450-84B99191FA5D}" type="presParOf" srcId="{211EDE87-058B-4C4D-87F0-D15008AF8198}" destId="{73C6B9FE-135D-7840-8B03-FAFE17035EA2}" srcOrd="9" destOrd="0" presId="urn:microsoft.com/office/officeart/2005/8/layout/orgChart1"/>
    <dgm:cxn modelId="{5BBEB54E-5769-764C-9DC6-11FFC05C0411}" type="presParOf" srcId="{73C6B9FE-135D-7840-8B03-FAFE17035EA2}" destId="{F7425148-FC5F-604E-B2EF-EC44A7BE1444}" srcOrd="0" destOrd="0" presId="urn:microsoft.com/office/officeart/2005/8/layout/orgChart1"/>
    <dgm:cxn modelId="{319433A9-0AD0-9343-8822-40EBE36ABAF6}" type="presParOf" srcId="{F7425148-FC5F-604E-B2EF-EC44A7BE1444}" destId="{09CEC0EC-C837-024F-BC0F-87C5241AB703}" srcOrd="0" destOrd="0" presId="urn:microsoft.com/office/officeart/2005/8/layout/orgChart1"/>
    <dgm:cxn modelId="{84126C46-ED7D-A248-9BBB-3BBB1C5037AA}" type="presParOf" srcId="{F7425148-FC5F-604E-B2EF-EC44A7BE1444}" destId="{CD2AB6C7-58FB-7346-AD37-93253595865C}" srcOrd="1" destOrd="0" presId="urn:microsoft.com/office/officeart/2005/8/layout/orgChart1"/>
    <dgm:cxn modelId="{143D922F-43C4-9249-B583-7AD1A966A9D4}" type="presParOf" srcId="{73C6B9FE-135D-7840-8B03-FAFE17035EA2}" destId="{3173A32D-3D62-E946-AE58-9558F1E6D86C}" srcOrd="1" destOrd="0" presId="urn:microsoft.com/office/officeart/2005/8/layout/orgChart1"/>
    <dgm:cxn modelId="{C0EB588A-56C8-F346-95BB-0C338684262D}" type="presParOf" srcId="{73C6B9FE-135D-7840-8B03-FAFE17035EA2}" destId="{9EF2C03F-17A5-FD48-B41A-1A88B38FB2D8}" srcOrd="2" destOrd="0" presId="urn:microsoft.com/office/officeart/2005/8/layout/orgChart1"/>
    <dgm:cxn modelId="{AD71C5B8-111F-9448-A460-7ED2041156B0}" type="presParOf" srcId="{37363C98-1B00-F644-8C5D-2C2260877BF5}" destId="{D0A4CAFC-498C-574B-BD46-357F49AB4F0A}" srcOrd="2" destOrd="0" presId="urn:microsoft.com/office/officeart/2005/8/layout/orgChart1"/>
    <dgm:cxn modelId="{5273EEAD-FFD3-6D4B-83BF-C3824B49019D}" type="presParOf" srcId="{D0A4CAFC-498C-574B-BD46-357F49AB4F0A}" destId="{880D2D23-7B1B-D240-9D10-45487A09DEAB}" srcOrd="0" destOrd="0" presId="urn:microsoft.com/office/officeart/2005/8/layout/orgChart1"/>
    <dgm:cxn modelId="{7AF68693-669B-4942-92D2-06580C1274FE}" type="presParOf" srcId="{D0A4CAFC-498C-574B-BD46-357F49AB4F0A}" destId="{DC4A5CF4-D4BD-B940-B728-9CE1D2D2AAC7}" srcOrd="1" destOrd="0" presId="urn:microsoft.com/office/officeart/2005/8/layout/orgChart1"/>
    <dgm:cxn modelId="{A788D992-F5AD-CA47-8BF8-0110D656A1CB}" type="presParOf" srcId="{DC4A5CF4-D4BD-B940-B728-9CE1D2D2AAC7}" destId="{EC832DAC-4178-8B49-A76C-F20BEDDDEA45}" srcOrd="0" destOrd="0" presId="urn:microsoft.com/office/officeart/2005/8/layout/orgChart1"/>
    <dgm:cxn modelId="{9A2660A4-CC29-BA44-B20B-7CA5440E034E}" type="presParOf" srcId="{EC832DAC-4178-8B49-A76C-F20BEDDDEA45}" destId="{4D4CE317-9F3F-7F4A-9587-71C4B7487BCD}" srcOrd="0" destOrd="0" presId="urn:microsoft.com/office/officeart/2005/8/layout/orgChart1"/>
    <dgm:cxn modelId="{A54021F8-F0E0-BA44-9856-682FD48D927E}" type="presParOf" srcId="{EC832DAC-4178-8B49-A76C-F20BEDDDEA45}" destId="{FAB20EDF-EBEC-FB4C-A5D4-0594F8031D5F}" srcOrd="1" destOrd="0" presId="urn:microsoft.com/office/officeart/2005/8/layout/orgChart1"/>
    <dgm:cxn modelId="{274A3548-F9CD-0D4D-B683-FE03A1EE07F7}" type="presParOf" srcId="{DC4A5CF4-D4BD-B940-B728-9CE1D2D2AAC7}" destId="{7C2943E3-744A-C246-86F8-0554390CBD85}" srcOrd="1" destOrd="0" presId="urn:microsoft.com/office/officeart/2005/8/layout/orgChart1"/>
    <dgm:cxn modelId="{D051C540-36C9-154D-A52C-F61B6391B03D}" type="presParOf" srcId="{DC4A5CF4-D4BD-B940-B728-9CE1D2D2AAC7}" destId="{03EE3914-3480-B940-A223-EBE1D9429144}" srcOrd="2" destOrd="0" presId="urn:microsoft.com/office/officeart/2005/8/layout/orgChart1"/>
    <dgm:cxn modelId="{8348D022-537B-464C-B19C-C6FA864C8365}" type="presParOf" srcId="{D0A4CAFC-498C-574B-BD46-357F49AB4F0A}" destId="{8BE586B2-EA0C-334A-BB9B-4FFF243BF7E1}" srcOrd="2" destOrd="0" presId="urn:microsoft.com/office/officeart/2005/8/layout/orgChart1"/>
    <dgm:cxn modelId="{9CA36C67-21FA-B248-AEE7-2575245A8CD1}" type="presParOf" srcId="{D0A4CAFC-498C-574B-BD46-357F49AB4F0A}" destId="{5F8F3EC7-59BC-544F-B1EF-56F38FF9AA6E}" srcOrd="3" destOrd="0" presId="urn:microsoft.com/office/officeart/2005/8/layout/orgChart1"/>
    <dgm:cxn modelId="{24291A28-0FA8-F74C-93AE-79BD745F61BA}" type="presParOf" srcId="{5F8F3EC7-59BC-544F-B1EF-56F38FF9AA6E}" destId="{207C376C-51ED-CF4E-9E0B-7CD20B0DF7F7}" srcOrd="0" destOrd="0" presId="urn:microsoft.com/office/officeart/2005/8/layout/orgChart1"/>
    <dgm:cxn modelId="{C0FD4AEE-15A8-5E4F-A850-AC9429579884}" type="presParOf" srcId="{207C376C-51ED-CF4E-9E0B-7CD20B0DF7F7}" destId="{6441C7BD-4D27-1F48-AF16-29A6B2A26423}" srcOrd="0" destOrd="0" presId="urn:microsoft.com/office/officeart/2005/8/layout/orgChart1"/>
    <dgm:cxn modelId="{338BB2B3-F4B9-9F4C-B7D7-BEB53E7F013C}" type="presParOf" srcId="{207C376C-51ED-CF4E-9E0B-7CD20B0DF7F7}" destId="{EFE4E0B6-65EA-4944-AA15-77394BC1898A}" srcOrd="1" destOrd="0" presId="urn:microsoft.com/office/officeart/2005/8/layout/orgChart1"/>
    <dgm:cxn modelId="{195969D3-5EA4-3D49-9318-6C0366480E82}" type="presParOf" srcId="{5F8F3EC7-59BC-544F-B1EF-56F38FF9AA6E}" destId="{023F8123-DE85-3745-95F5-B3E80BE26726}" srcOrd="1" destOrd="0" presId="urn:microsoft.com/office/officeart/2005/8/layout/orgChart1"/>
    <dgm:cxn modelId="{F61A44D0-0650-BD4C-9A2A-D88ECD77AFE6}" type="presParOf" srcId="{5F8F3EC7-59BC-544F-B1EF-56F38FF9AA6E}" destId="{D5789705-7E14-DC4A-9E93-9873B732E15B}" srcOrd="2" destOrd="0" presId="urn:microsoft.com/office/officeart/2005/8/layout/orgChar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A5A9CE-1062-C34C-A616-92EBC1E36AEF}">
      <dsp:nvSpPr>
        <dsp:cNvPr id="0" name=""/>
        <dsp:cNvSpPr/>
      </dsp:nvSpPr>
      <dsp:spPr>
        <a:xfrm rot="5400000">
          <a:off x="-166441" y="169733"/>
          <a:ext cx="1109611" cy="776727"/>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1" kern="1200">
              <a:latin typeface="Cambria" panose="02040503050406030204" pitchFamily="18" charset="0"/>
            </a:rPr>
            <a:t>Outcome 1</a:t>
          </a:r>
        </a:p>
      </dsp:txBody>
      <dsp:txXfrm rot="-5400000">
        <a:off x="2" y="391655"/>
        <a:ext cx="776727" cy="332884"/>
      </dsp:txXfrm>
    </dsp:sp>
    <dsp:sp modelId="{B38B9445-A316-1849-99DC-6B334E67AACE}">
      <dsp:nvSpPr>
        <dsp:cNvPr id="0" name=""/>
        <dsp:cNvSpPr/>
      </dsp:nvSpPr>
      <dsp:spPr>
        <a:xfrm rot="5400000">
          <a:off x="2911910" y="-2131890"/>
          <a:ext cx="721247" cy="4991612"/>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just" defTabSz="577850">
            <a:lnSpc>
              <a:spcPct val="90000"/>
            </a:lnSpc>
            <a:spcBef>
              <a:spcPct val="0"/>
            </a:spcBef>
            <a:spcAft>
              <a:spcPct val="15000"/>
            </a:spcAft>
            <a:buChar char="•"/>
          </a:pPr>
          <a:r>
            <a:rPr lang="en-GB" sz="1300" b="1" kern="1200">
              <a:latin typeface="Cambria" panose="02040503050406030204" pitchFamily="18" charset="0"/>
            </a:rPr>
            <a:t>Select policymaking and oversight structures strengthened to perform core functions for improved accountability and inclusivity</a:t>
          </a:r>
          <a:r>
            <a:rPr lang="en-US" sz="1300" kern="1200">
              <a:latin typeface="Cambria" panose="02040503050406030204" pitchFamily="18" charset="0"/>
            </a:rPr>
            <a:t>  </a:t>
          </a:r>
          <a:endParaRPr lang="en-GB" sz="1300" kern="1200">
            <a:latin typeface="Cambria" panose="02040503050406030204" pitchFamily="18" charset="0"/>
          </a:endParaRPr>
        </a:p>
      </dsp:txBody>
      <dsp:txXfrm rot="-5400000">
        <a:off x="776728" y="38500"/>
        <a:ext cx="4956404" cy="650831"/>
      </dsp:txXfrm>
    </dsp:sp>
    <dsp:sp modelId="{A659BF68-96E9-004E-9033-EA7B0BE6991A}">
      <dsp:nvSpPr>
        <dsp:cNvPr id="0" name=""/>
        <dsp:cNvSpPr/>
      </dsp:nvSpPr>
      <dsp:spPr>
        <a:xfrm rot="5400000">
          <a:off x="-166441" y="1183220"/>
          <a:ext cx="1109611" cy="776727"/>
        </a:xfrm>
        <a:prstGeom prst="chevron">
          <a:avLst/>
        </a:prstGeom>
        <a:solidFill>
          <a:schemeClr val="accent5">
            <a:hueOff val="1202141"/>
            <a:satOff val="-5276"/>
            <a:lumOff val="1569"/>
            <a:alphaOff val="0"/>
          </a:schemeClr>
        </a:solidFill>
        <a:ln w="12700" cap="flat" cmpd="sng" algn="ctr">
          <a:solidFill>
            <a:schemeClr val="accent5">
              <a:hueOff val="1202141"/>
              <a:satOff val="-5276"/>
              <a:lumOff val="1569"/>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latin typeface="Cambria" panose="02040503050406030204" pitchFamily="18" charset="0"/>
            </a:rPr>
            <a:t>Output 1.1</a:t>
          </a:r>
        </a:p>
      </dsp:txBody>
      <dsp:txXfrm rot="-5400000">
        <a:off x="2" y="1405142"/>
        <a:ext cx="776727" cy="332884"/>
      </dsp:txXfrm>
    </dsp:sp>
    <dsp:sp modelId="{DEBE0074-CC9E-6F44-A19D-0679038D2A67}">
      <dsp:nvSpPr>
        <dsp:cNvPr id="0" name=""/>
        <dsp:cNvSpPr/>
      </dsp:nvSpPr>
      <dsp:spPr>
        <a:xfrm rot="5400000">
          <a:off x="2911910" y="-1118403"/>
          <a:ext cx="721247" cy="4991612"/>
        </a:xfrm>
        <a:prstGeom prst="round2SameRect">
          <a:avLst/>
        </a:prstGeom>
        <a:solidFill>
          <a:schemeClr val="lt1">
            <a:alpha val="90000"/>
            <a:hueOff val="0"/>
            <a:satOff val="0"/>
            <a:lumOff val="0"/>
            <a:alphaOff val="0"/>
          </a:schemeClr>
        </a:solidFill>
        <a:ln w="12700" cap="flat" cmpd="sng" algn="ctr">
          <a:solidFill>
            <a:schemeClr val="accent5">
              <a:hueOff val="1202141"/>
              <a:satOff val="-5276"/>
              <a:lumOff val="156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GB" sz="1300" kern="1200">
              <a:latin typeface="Cambria" panose="02040503050406030204" pitchFamily="18" charset="0"/>
            </a:rPr>
            <a:t> The core functions (legislative, oversight, representation and budgetary) of Parliament and its role in the implementation of the 2030 Agenda for Sustainable Development strengthened</a:t>
          </a:r>
        </a:p>
      </dsp:txBody>
      <dsp:txXfrm rot="-5400000">
        <a:off x="776728" y="1051987"/>
        <a:ext cx="4956404" cy="650831"/>
      </dsp:txXfrm>
    </dsp:sp>
    <dsp:sp modelId="{AC4B90AF-77FD-7E46-8DC6-EA021CA20CC0}">
      <dsp:nvSpPr>
        <dsp:cNvPr id="0" name=""/>
        <dsp:cNvSpPr/>
      </dsp:nvSpPr>
      <dsp:spPr>
        <a:xfrm rot="5400000">
          <a:off x="-166441" y="2196707"/>
          <a:ext cx="1109611" cy="776727"/>
        </a:xfrm>
        <a:prstGeom prst="chevron">
          <a:avLst/>
        </a:prstGeom>
        <a:solidFill>
          <a:schemeClr val="accent5">
            <a:hueOff val="2404281"/>
            <a:satOff val="-10552"/>
            <a:lumOff val="3137"/>
            <a:alphaOff val="0"/>
          </a:schemeClr>
        </a:solidFill>
        <a:ln w="12700" cap="flat" cmpd="sng" algn="ctr">
          <a:solidFill>
            <a:schemeClr val="accent5">
              <a:hueOff val="2404281"/>
              <a:satOff val="-10552"/>
              <a:lumOff val="3137"/>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latin typeface="Cambria" panose="02040503050406030204" pitchFamily="18" charset="0"/>
            </a:rPr>
            <a:t>Output 1.2</a:t>
          </a:r>
        </a:p>
      </dsp:txBody>
      <dsp:txXfrm rot="-5400000">
        <a:off x="2" y="2418629"/>
        <a:ext cx="776727" cy="332884"/>
      </dsp:txXfrm>
    </dsp:sp>
    <dsp:sp modelId="{AC962825-BDA0-4C44-B578-FFEB230CF524}">
      <dsp:nvSpPr>
        <dsp:cNvPr id="0" name=""/>
        <dsp:cNvSpPr/>
      </dsp:nvSpPr>
      <dsp:spPr>
        <a:xfrm rot="5400000">
          <a:off x="2911910" y="-104916"/>
          <a:ext cx="721247" cy="4991612"/>
        </a:xfrm>
        <a:prstGeom prst="round2SameRect">
          <a:avLst/>
        </a:prstGeom>
        <a:solidFill>
          <a:schemeClr val="lt1">
            <a:alpha val="90000"/>
            <a:hueOff val="0"/>
            <a:satOff val="0"/>
            <a:lumOff val="0"/>
            <a:alphaOff val="0"/>
          </a:schemeClr>
        </a:solidFill>
        <a:ln w="12700" cap="flat" cmpd="sng" algn="ctr">
          <a:solidFill>
            <a:schemeClr val="accent5">
              <a:hueOff val="2404281"/>
              <a:satOff val="-10552"/>
              <a:lumOff val="313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GB" sz="1300" kern="1200">
              <a:latin typeface="Cambria" panose="02040503050406030204" pitchFamily="18" charset="0"/>
            </a:rPr>
            <a:t>The openness of the Parliament and its ability to obtain public/civil society input to its functions improved</a:t>
          </a:r>
        </a:p>
      </dsp:txBody>
      <dsp:txXfrm rot="-5400000">
        <a:off x="776728" y="2065474"/>
        <a:ext cx="4956404" cy="650831"/>
      </dsp:txXfrm>
    </dsp:sp>
    <dsp:sp modelId="{11E68AAF-139B-AA4A-B3EF-83F4CFB8B9CA}">
      <dsp:nvSpPr>
        <dsp:cNvPr id="0" name=""/>
        <dsp:cNvSpPr/>
      </dsp:nvSpPr>
      <dsp:spPr>
        <a:xfrm rot="5400000">
          <a:off x="-166441" y="3210194"/>
          <a:ext cx="1109611" cy="776727"/>
        </a:xfrm>
        <a:prstGeom prst="chevron">
          <a:avLst/>
        </a:prstGeom>
        <a:solidFill>
          <a:schemeClr val="accent5">
            <a:hueOff val="3606422"/>
            <a:satOff val="-15828"/>
            <a:lumOff val="4706"/>
            <a:alphaOff val="0"/>
          </a:schemeClr>
        </a:solidFill>
        <a:ln w="12700" cap="flat" cmpd="sng" algn="ctr">
          <a:solidFill>
            <a:schemeClr val="accent5">
              <a:hueOff val="3606422"/>
              <a:satOff val="-15828"/>
              <a:lumOff val="4706"/>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latin typeface="Cambria" panose="02040503050406030204" pitchFamily="18" charset="0"/>
            </a:rPr>
            <a:t>Output 1.3</a:t>
          </a:r>
        </a:p>
      </dsp:txBody>
      <dsp:txXfrm rot="-5400000">
        <a:off x="2" y="3432116"/>
        <a:ext cx="776727" cy="332884"/>
      </dsp:txXfrm>
    </dsp:sp>
    <dsp:sp modelId="{D02E1C3A-C81A-2343-A55D-9AF8FCA57C4F}">
      <dsp:nvSpPr>
        <dsp:cNvPr id="0" name=""/>
        <dsp:cNvSpPr/>
      </dsp:nvSpPr>
      <dsp:spPr>
        <a:xfrm rot="5400000">
          <a:off x="2911910" y="908570"/>
          <a:ext cx="721247" cy="4991612"/>
        </a:xfrm>
        <a:prstGeom prst="round2SameRect">
          <a:avLst/>
        </a:prstGeom>
        <a:solidFill>
          <a:schemeClr val="lt1">
            <a:alpha val="90000"/>
            <a:hueOff val="0"/>
            <a:satOff val="0"/>
            <a:lumOff val="0"/>
            <a:alphaOff val="0"/>
          </a:schemeClr>
        </a:solidFill>
        <a:ln w="12700" cap="flat" cmpd="sng" algn="ctr">
          <a:solidFill>
            <a:schemeClr val="accent5">
              <a:hueOff val="3606422"/>
              <a:satOff val="-15828"/>
              <a:lumOff val="470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just" defTabSz="577850">
            <a:lnSpc>
              <a:spcPct val="90000"/>
            </a:lnSpc>
            <a:spcBef>
              <a:spcPct val="0"/>
            </a:spcBef>
            <a:spcAft>
              <a:spcPct val="15000"/>
            </a:spcAft>
            <a:buChar char="•"/>
          </a:pPr>
          <a:r>
            <a:rPr lang="en-GB" sz="1300" kern="1200">
              <a:latin typeface="Cambria" panose="02040503050406030204" pitchFamily="18" charset="0"/>
            </a:rPr>
            <a:t>Human Rights Commission (HRC) has improved capacities to discharge its core functions.</a:t>
          </a:r>
        </a:p>
      </dsp:txBody>
      <dsp:txXfrm rot="-5400000">
        <a:off x="776728" y="3078960"/>
        <a:ext cx="4956404" cy="650831"/>
      </dsp:txXfrm>
    </dsp:sp>
    <dsp:sp modelId="{ADB291C2-D313-7449-84FA-862853E9A0C6}">
      <dsp:nvSpPr>
        <dsp:cNvPr id="0" name=""/>
        <dsp:cNvSpPr/>
      </dsp:nvSpPr>
      <dsp:spPr>
        <a:xfrm rot="5400000">
          <a:off x="-166441" y="4223681"/>
          <a:ext cx="1109611" cy="776727"/>
        </a:xfrm>
        <a:prstGeom prst="chevron">
          <a:avLst/>
        </a:prstGeom>
        <a:solidFill>
          <a:schemeClr val="accent5">
            <a:hueOff val="4808562"/>
            <a:satOff val="-21104"/>
            <a:lumOff val="6274"/>
            <a:alphaOff val="0"/>
          </a:schemeClr>
        </a:solidFill>
        <a:ln w="12700" cap="flat" cmpd="sng" algn="ctr">
          <a:solidFill>
            <a:schemeClr val="accent5">
              <a:hueOff val="4808562"/>
              <a:satOff val="-21104"/>
              <a:lumOff val="6274"/>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latin typeface="Cambria" panose="02040503050406030204" pitchFamily="18" charset="0"/>
            </a:rPr>
            <a:t>Output 1.4</a:t>
          </a:r>
        </a:p>
      </dsp:txBody>
      <dsp:txXfrm rot="-5400000">
        <a:off x="2" y="4445603"/>
        <a:ext cx="776727" cy="332884"/>
      </dsp:txXfrm>
    </dsp:sp>
    <dsp:sp modelId="{244501BF-8288-A84A-81EB-F5DACB2DC6E6}">
      <dsp:nvSpPr>
        <dsp:cNvPr id="0" name=""/>
        <dsp:cNvSpPr/>
      </dsp:nvSpPr>
      <dsp:spPr>
        <a:xfrm rot="5400000">
          <a:off x="2911910" y="1922057"/>
          <a:ext cx="721247" cy="4991612"/>
        </a:xfrm>
        <a:prstGeom prst="round2SameRect">
          <a:avLst/>
        </a:prstGeom>
        <a:solidFill>
          <a:schemeClr val="lt1">
            <a:alpha val="90000"/>
            <a:hueOff val="0"/>
            <a:satOff val="0"/>
            <a:lumOff val="0"/>
            <a:alphaOff val="0"/>
          </a:schemeClr>
        </a:solidFill>
        <a:ln w="12700" cap="flat" cmpd="sng" algn="ctr">
          <a:solidFill>
            <a:schemeClr val="accent5">
              <a:hueOff val="4808562"/>
              <a:satOff val="-21104"/>
              <a:lumOff val="627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just" defTabSz="577850">
            <a:lnSpc>
              <a:spcPct val="90000"/>
            </a:lnSpc>
            <a:spcBef>
              <a:spcPct val="0"/>
            </a:spcBef>
            <a:spcAft>
              <a:spcPct val="15000"/>
            </a:spcAft>
            <a:buChar char="•"/>
          </a:pPr>
          <a:r>
            <a:rPr lang="en-GB" sz="1300" kern="1200">
              <a:latin typeface="Cambria" panose="02040503050406030204" pitchFamily="18" charset="0"/>
            </a:rPr>
            <a:t>National Police Commission (NPC) has improved capacities to discharge its core functions.</a:t>
          </a:r>
        </a:p>
      </dsp:txBody>
      <dsp:txXfrm rot="-5400000">
        <a:off x="776728" y="4092447"/>
        <a:ext cx="4956404" cy="650831"/>
      </dsp:txXfrm>
    </dsp:sp>
    <dsp:sp modelId="{6D2077D5-2607-F647-9A31-F3A369ABB4BD}">
      <dsp:nvSpPr>
        <dsp:cNvPr id="0" name=""/>
        <dsp:cNvSpPr/>
      </dsp:nvSpPr>
      <dsp:spPr>
        <a:xfrm rot="5400000">
          <a:off x="-166441" y="5237168"/>
          <a:ext cx="1109611" cy="776727"/>
        </a:xfrm>
        <a:prstGeom prst="chevron">
          <a:avLst/>
        </a:prstGeom>
        <a:solidFill>
          <a:schemeClr val="accent5">
            <a:hueOff val="6010703"/>
            <a:satOff val="-26380"/>
            <a:lumOff val="7843"/>
            <a:alphaOff val="0"/>
          </a:schemeClr>
        </a:solidFill>
        <a:ln w="12700" cap="flat" cmpd="sng" algn="ctr">
          <a:solidFill>
            <a:schemeClr val="accent5">
              <a:hueOff val="6010703"/>
              <a:satOff val="-26380"/>
              <a:lumOff val="7843"/>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latin typeface="Cambria" panose="02040503050406030204" pitchFamily="18" charset="0"/>
            </a:rPr>
            <a:t>Output 1.5</a:t>
          </a:r>
        </a:p>
      </dsp:txBody>
      <dsp:txXfrm rot="-5400000">
        <a:off x="2" y="5459090"/>
        <a:ext cx="776727" cy="332884"/>
      </dsp:txXfrm>
    </dsp:sp>
    <dsp:sp modelId="{4536E392-21B0-B34F-B74E-49D6ABF2B222}">
      <dsp:nvSpPr>
        <dsp:cNvPr id="0" name=""/>
        <dsp:cNvSpPr/>
      </dsp:nvSpPr>
      <dsp:spPr>
        <a:xfrm rot="5400000">
          <a:off x="2911910" y="2935544"/>
          <a:ext cx="721247" cy="4991612"/>
        </a:xfrm>
        <a:prstGeom prst="round2SameRect">
          <a:avLst/>
        </a:prstGeom>
        <a:solidFill>
          <a:schemeClr val="lt1">
            <a:alpha val="90000"/>
            <a:hueOff val="0"/>
            <a:satOff val="0"/>
            <a:lumOff val="0"/>
            <a:alphaOff val="0"/>
          </a:schemeClr>
        </a:solidFill>
        <a:ln w="12700" cap="flat" cmpd="sng" algn="ctr">
          <a:solidFill>
            <a:schemeClr val="accent5">
              <a:hueOff val="6010703"/>
              <a:satOff val="-26380"/>
              <a:lumOff val="784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GB" sz="1300" kern="1200">
              <a:latin typeface="Cambria" panose="02040503050406030204" pitchFamily="18" charset="0"/>
            </a:rPr>
            <a:t>Right to Information Commission (RTIC) has improved capacities to discharge its core functions</a:t>
          </a:r>
        </a:p>
      </dsp:txBody>
      <dsp:txXfrm rot="-5400000">
        <a:off x="776728" y="5105934"/>
        <a:ext cx="4956404" cy="6508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B7BFC4-F2EF-B64F-8AAB-74FFBEA129F8}">
      <dsp:nvSpPr>
        <dsp:cNvPr id="0" name=""/>
        <dsp:cNvSpPr/>
      </dsp:nvSpPr>
      <dsp:spPr>
        <a:xfrm rot="5400000">
          <a:off x="-155609" y="164316"/>
          <a:ext cx="1037396" cy="726177"/>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b="1" kern="1200">
              <a:latin typeface="Cambria" panose="02040503050406030204" pitchFamily="18" charset="0"/>
            </a:rPr>
            <a:t>Outcome 2</a:t>
          </a:r>
        </a:p>
      </dsp:txBody>
      <dsp:txXfrm rot="-5400000">
        <a:off x="1" y="371796"/>
        <a:ext cx="726177" cy="311219"/>
      </dsp:txXfrm>
    </dsp:sp>
    <dsp:sp modelId="{64261BE5-0DE8-6345-BC4C-55DCFEE4D105}">
      <dsp:nvSpPr>
        <dsp:cNvPr id="0" name=""/>
        <dsp:cNvSpPr/>
      </dsp:nvSpPr>
      <dsp:spPr>
        <a:xfrm rot="5400000">
          <a:off x="2908657" y="-2173773"/>
          <a:ext cx="674662" cy="5039622"/>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just" defTabSz="577850">
            <a:lnSpc>
              <a:spcPct val="90000"/>
            </a:lnSpc>
            <a:spcBef>
              <a:spcPct val="0"/>
            </a:spcBef>
            <a:spcAft>
              <a:spcPct val="15000"/>
            </a:spcAft>
            <a:buChar char="•"/>
          </a:pPr>
          <a:r>
            <a:rPr lang="en-GB" sz="1300" b="1" kern="1200">
              <a:latin typeface="Cambria" panose="02040503050406030204" pitchFamily="18" charset="0"/>
            </a:rPr>
            <a:t>Marginalised and vulnerable communities have increased and equitable access to justice, including demand-driven legal protection and gender sensitive services. </a:t>
          </a:r>
          <a:endParaRPr lang="en-GB" sz="1300" kern="1200">
            <a:latin typeface="Cambria" panose="02040503050406030204" pitchFamily="18" charset="0"/>
          </a:endParaRPr>
        </a:p>
      </dsp:txBody>
      <dsp:txXfrm rot="-5400000">
        <a:off x="726177" y="41641"/>
        <a:ext cx="5006688" cy="608794"/>
      </dsp:txXfrm>
    </dsp:sp>
    <dsp:sp modelId="{BE515A6B-D2C2-EC40-9B22-81DC38317652}">
      <dsp:nvSpPr>
        <dsp:cNvPr id="0" name=""/>
        <dsp:cNvSpPr/>
      </dsp:nvSpPr>
      <dsp:spPr>
        <a:xfrm rot="5400000">
          <a:off x="-155609" y="1085954"/>
          <a:ext cx="1037396" cy="726177"/>
        </a:xfrm>
        <a:prstGeom prst="chevron">
          <a:avLst/>
        </a:prstGeom>
        <a:solidFill>
          <a:schemeClr val="accent5">
            <a:hueOff val="1502676"/>
            <a:satOff val="-6595"/>
            <a:lumOff val="1961"/>
            <a:alphaOff val="0"/>
          </a:schemeClr>
        </a:solidFill>
        <a:ln w="12700" cap="flat" cmpd="sng" algn="ctr">
          <a:solidFill>
            <a:schemeClr val="accent5">
              <a:hueOff val="1502676"/>
              <a:satOff val="-6595"/>
              <a:lumOff val="196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latin typeface="Cambria" panose="02040503050406030204" pitchFamily="18" charset="0"/>
            </a:rPr>
            <a:t>Output 2.1</a:t>
          </a:r>
        </a:p>
      </dsp:txBody>
      <dsp:txXfrm rot="-5400000">
        <a:off x="1" y="1293434"/>
        <a:ext cx="726177" cy="311219"/>
      </dsp:txXfrm>
    </dsp:sp>
    <dsp:sp modelId="{31364C01-E980-EC41-81D0-E9FEE952794B}">
      <dsp:nvSpPr>
        <dsp:cNvPr id="0" name=""/>
        <dsp:cNvSpPr/>
      </dsp:nvSpPr>
      <dsp:spPr>
        <a:xfrm rot="5400000">
          <a:off x="2908834" y="-1252312"/>
          <a:ext cx="674308" cy="5039622"/>
        </a:xfrm>
        <a:prstGeom prst="round2SameRect">
          <a:avLst/>
        </a:prstGeom>
        <a:solidFill>
          <a:schemeClr val="lt1">
            <a:alpha val="90000"/>
            <a:hueOff val="0"/>
            <a:satOff val="0"/>
            <a:lumOff val="0"/>
            <a:alphaOff val="0"/>
          </a:schemeClr>
        </a:solidFill>
        <a:ln w="12700" cap="flat" cmpd="sng" algn="ctr">
          <a:solidFill>
            <a:schemeClr val="accent5">
              <a:hueOff val="1502676"/>
              <a:satOff val="-6595"/>
              <a:lumOff val="19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just" defTabSz="577850">
            <a:lnSpc>
              <a:spcPct val="90000"/>
            </a:lnSpc>
            <a:spcBef>
              <a:spcPct val="0"/>
            </a:spcBef>
            <a:spcAft>
              <a:spcPct val="15000"/>
            </a:spcAft>
            <a:buChar char="•"/>
          </a:pPr>
          <a:r>
            <a:rPr lang="en-GB" sz="1300" kern="1200">
              <a:latin typeface="Cambria" panose="02040503050406030204" pitchFamily="18" charset="0"/>
            </a:rPr>
            <a:t>Baselines established/updated, and policy dialogue, policy adoption and implementation increased on access to justice, with a focus on excluded and vulnerable groups.</a:t>
          </a:r>
        </a:p>
      </dsp:txBody>
      <dsp:txXfrm rot="-5400000">
        <a:off x="726178" y="963261"/>
        <a:ext cx="5006705" cy="608474"/>
      </dsp:txXfrm>
    </dsp:sp>
    <dsp:sp modelId="{95032D9D-6519-724F-A288-B54805B84E1A}">
      <dsp:nvSpPr>
        <dsp:cNvPr id="0" name=""/>
        <dsp:cNvSpPr/>
      </dsp:nvSpPr>
      <dsp:spPr>
        <a:xfrm rot="5400000">
          <a:off x="-155609" y="2007592"/>
          <a:ext cx="1037396" cy="726177"/>
        </a:xfrm>
        <a:prstGeom prst="chevron">
          <a:avLst/>
        </a:prstGeom>
        <a:solidFill>
          <a:schemeClr val="accent5">
            <a:hueOff val="3005351"/>
            <a:satOff val="-13190"/>
            <a:lumOff val="3921"/>
            <a:alphaOff val="0"/>
          </a:schemeClr>
        </a:solidFill>
        <a:ln w="12700" cap="flat" cmpd="sng" algn="ctr">
          <a:solidFill>
            <a:schemeClr val="accent5">
              <a:hueOff val="3005351"/>
              <a:satOff val="-13190"/>
              <a:lumOff val="392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latin typeface="Cambria" panose="02040503050406030204" pitchFamily="18" charset="0"/>
            </a:rPr>
            <a:t>Output 2.2</a:t>
          </a:r>
        </a:p>
      </dsp:txBody>
      <dsp:txXfrm rot="-5400000">
        <a:off x="1" y="2215072"/>
        <a:ext cx="726177" cy="311219"/>
      </dsp:txXfrm>
    </dsp:sp>
    <dsp:sp modelId="{E4B4F818-C5BE-FE40-972B-88AC751B7DB5}">
      <dsp:nvSpPr>
        <dsp:cNvPr id="0" name=""/>
        <dsp:cNvSpPr/>
      </dsp:nvSpPr>
      <dsp:spPr>
        <a:xfrm rot="5400000">
          <a:off x="2908834" y="-330674"/>
          <a:ext cx="674308" cy="5039622"/>
        </a:xfrm>
        <a:prstGeom prst="round2SameRect">
          <a:avLst/>
        </a:prstGeom>
        <a:solidFill>
          <a:schemeClr val="lt1">
            <a:alpha val="90000"/>
            <a:hueOff val="0"/>
            <a:satOff val="0"/>
            <a:lumOff val="0"/>
            <a:alphaOff val="0"/>
          </a:schemeClr>
        </a:solidFill>
        <a:ln w="12700" cap="flat" cmpd="sng" algn="ctr">
          <a:solidFill>
            <a:schemeClr val="accent5">
              <a:hueOff val="3005351"/>
              <a:satOff val="-13190"/>
              <a:lumOff val="392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just" defTabSz="577850">
            <a:lnSpc>
              <a:spcPct val="90000"/>
            </a:lnSpc>
            <a:spcBef>
              <a:spcPct val="0"/>
            </a:spcBef>
            <a:spcAft>
              <a:spcPct val="15000"/>
            </a:spcAft>
            <a:buChar char="•"/>
          </a:pPr>
          <a:r>
            <a:rPr lang="en-GB" sz="1300" kern="1200">
              <a:latin typeface="Cambria" panose="02040503050406030204" pitchFamily="18" charset="0"/>
            </a:rPr>
            <a:t>State and non-state justice sector actors strengthened to deliver victim-centric services on areas including SGBV, victims and witness protection, and transitional justice.</a:t>
          </a:r>
        </a:p>
      </dsp:txBody>
      <dsp:txXfrm rot="-5400000">
        <a:off x="726178" y="1884899"/>
        <a:ext cx="5006705" cy="608474"/>
      </dsp:txXfrm>
    </dsp:sp>
    <dsp:sp modelId="{5D6EB2BD-B118-F64C-A616-66CE1DB97AFB}">
      <dsp:nvSpPr>
        <dsp:cNvPr id="0" name=""/>
        <dsp:cNvSpPr/>
      </dsp:nvSpPr>
      <dsp:spPr>
        <a:xfrm rot="5400000">
          <a:off x="-155609" y="2988467"/>
          <a:ext cx="1037396" cy="726177"/>
        </a:xfrm>
        <a:prstGeom prst="chevron">
          <a:avLst/>
        </a:prstGeom>
        <a:solidFill>
          <a:schemeClr val="accent5">
            <a:hueOff val="4508027"/>
            <a:satOff val="-19785"/>
            <a:lumOff val="5882"/>
            <a:alphaOff val="0"/>
          </a:schemeClr>
        </a:solidFill>
        <a:ln w="12700" cap="flat" cmpd="sng" algn="ctr">
          <a:solidFill>
            <a:schemeClr val="accent5">
              <a:hueOff val="4508027"/>
              <a:satOff val="-19785"/>
              <a:lumOff val="588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latin typeface="Cambria" panose="02040503050406030204" pitchFamily="18" charset="0"/>
            </a:rPr>
            <a:t>Output 2.3</a:t>
          </a:r>
        </a:p>
      </dsp:txBody>
      <dsp:txXfrm rot="-5400000">
        <a:off x="1" y="3195947"/>
        <a:ext cx="726177" cy="311219"/>
      </dsp:txXfrm>
    </dsp:sp>
    <dsp:sp modelId="{16526534-947B-924D-B6B9-51011D59B5EE}">
      <dsp:nvSpPr>
        <dsp:cNvPr id="0" name=""/>
        <dsp:cNvSpPr/>
      </dsp:nvSpPr>
      <dsp:spPr>
        <a:xfrm rot="5400000">
          <a:off x="2849596" y="650201"/>
          <a:ext cx="792783" cy="5039622"/>
        </a:xfrm>
        <a:prstGeom prst="round2SameRect">
          <a:avLst/>
        </a:prstGeom>
        <a:solidFill>
          <a:schemeClr val="lt1">
            <a:alpha val="90000"/>
            <a:hueOff val="0"/>
            <a:satOff val="0"/>
            <a:lumOff val="0"/>
            <a:alphaOff val="0"/>
          </a:schemeClr>
        </a:solidFill>
        <a:ln w="12700" cap="flat" cmpd="sng" algn="ctr">
          <a:solidFill>
            <a:schemeClr val="accent5">
              <a:hueOff val="4508027"/>
              <a:satOff val="-19785"/>
              <a:lumOff val="588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just" defTabSz="577850">
            <a:lnSpc>
              <a:spcPct val="90000"/>
            </a:lnSpc>
            <a:spcBef>
              <a:spcPct val="0"/>
            </a:spcBef>
            <a:spcAft>
              <a:spcPct val="15000"/>
            </a:spcAft>
            <a:buChar char="•"/>
          </a:pPr>
          <a:r>
            <a:rPr lang="en-GB" sz="1300" kern="1200">
              <a:latin typeface="Cambria" panose="02040503050406030204" pitchFamily="18" charset="0"/>
            </a:rPr>
            <a:t>State and non-state justice sector actors have increased access to progressive international principles, standards and good practices on access to justice</a:t>
          </a:r>
        </a:p>
      </dsp:txBody>
      <dsp:txXfrm rot="-5400000">
        <a:off x="726177" y="2812320"/>
        <a:ext cx="5000922" cy="715383"/>
      </dsp:txXfrm>
    </dsp:sp>
    <dsp:sp modelId="{566D8170-47A4-A84E-9A65-5EC24CCEE9E7}">
      <dsp:nvSpPr>
        <dsp:cNvPr id="0" name=""/>
        <dsp:cNvSpPr/>
      </dsp:nvSpPr>
      <dsp:spPr>
        <a:xfrm rot="5400000">
          <a:off x="-155609" y="3910105"/>
          <a:ext cx="1037396" cy="726177"/>
        </a:xfrm>
        <a:prstGeom prst="chevron">
          <a:avLst/>
        </a:prstGeom>
        <a:solidFill>
          <a:schemeClr val="accent5">
            <a:hueOff val="6010703"/>
            <a:satOff val="-26380"/>
            <a:lumOff val="7843"/>
            <a:alphaOff val="0"/>
          </a:schemeClr>
        </a:solidFill>
        <a:ln w="12700" cap="flat" cmpd="sng" algn="ctr">
          <a:solidFill>
            <a:schemeClr val="accent5">
              <a:hueOff val="6010703"/>
              <a:satOff val="-26380"/>
              <a:lumOff val="784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latin typeface="Cambria" panose="02040503050406030204" pitchFamily="18" charset="0"/>
            </a:rPr>
            <a:t>Output 2.4</a:t>
          </a:r>
        </a:p>
      </dsp:txBody>
      <dsp:txXfrm rot="-5400000">
        <a:off x="1" y="4117585"/>
        <a:ext cx="726177" cy="311219"/>
      </dsp:txXfrm>
    </dsp:sp>
    <dsp:sp modelId="{9841BAD5-1BBE-6D4A-AE44-FB497FA4E986}">
      <dsp:nvSpPr>
        <dsp:cNvPr id="0" name=""/>
        <dsp:cNvSpPr/>
      </dsp:nvSpPr>
      <dsp:spPr>
        <a:xfrm rot="5400000">
          <a:off x="2908834" y="1571839"/>
          <a:ext cx="674308" cy="5039622"/>
        </a:xfrm>
        <a:prstGeom prst="round2SameRect">
          <a:avLst/>
        </a:prstGeom>
        <a:solidFill>
          <a:schemeClr val="lt1">
            <a:alpha val="90000"/>
            <a:hueOff val="0"/>
            <a:satOff val="0"/>
            <a:lumOff val="0"/>
            <a:alphaOff val="0"/>
          </a:schemeClr>
        </a:solidFill>
        <a:ln w="12700" cap="flat" cmpd="sng" algn="ctr">
          <a:solidFill>
            <a:schemeClr val="accent5">
              <a:hueOff val="6010703"/>
              <a:satOff val="-26380"/>
              <a:lumOff val="784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just" defTabSz="577850">
            <a:lnSpc>
              <a:spcPct val="90000"/>
            </a:lnSpc>
            <a:spcBef>
              <a:spcPct val="0"/>
            </a:spcBef>
            <a:spcAft>
              <a:spcPct val="15000"/>
            </a:spcAft>
            <a:buChar char="•"/>
          </a:pPr>
          <a:r>
            <a:rPr lang="en-GB" sz="1300" kern="1200">
              <a:latin typeface="Cambria" panose="02040503050406030204" pitchFamily="18" charset="0"/>
            </a:rPr>
            <a:t>UN Guiding principles on Business and Human Rights adopted and implemented</a:t>
          </a:r>
        </a:p>
      </dsp:txBody>
      <dsp:txXfrm rot="-5400000">
        <a:off x="726178" y="3787413"/>
        <a:ext cx="5006705" cy="60847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E586B2-EA0C-334A-BB9B-4FFF243BF7E1}">
      <dsp:nvSpPr>
        <dsp:cNvPr id="0" name=""/>
        <dsp:cNvSpPr/>
      </dsp:nvSpPr>
      <dsp:spPr>
        <a:xfrm>
          <a:off x="3642360" y="458784"/>
          <a:ext cx="96172" cy="421325"/>
        </a:xfrm>
        <a:custGeom>
          <a:avLst/>
          <a:gdLst/>
          <a:ahLst/>
          <a:cxnLst/>
          <a:rect l="0" t="0" r="0" b="0"/>
          <a:pathLst>
            <a:path>
              <a:moveTo>
                <a:pt x="0" y="0"/>
              </a:moveTo>
              <a:lnTo>
                <a:pt x="0" y="421325"/>
              </a:lnTo>
              <a:lnTo>
                <a:pt x="96172" y="4213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0D2D23-7B1B-D240-9D10-45487A09DEAB}">
      <dsp:nvSpPr>
        <dsp:cNvPr id="0" name=""/>
        <dsp:cNvSpPr/>
      </dsp:nvSpPr>
      <dsp:spPr>
        <a:xfrm>
          <a:off x="3546187" y="458784"/>
          <a:ext cx="96172" cy="421325"/>
        </a:xfrm>
        <a:custGeom>
          <a:avLst/>
          <a:gdLst/>
          <a:ahLst/>
          <a:cxnLst/>
          <a:rect l="0" t="0" r="0" b="0"/>
          <a:pathLst>
            <a:path>
              <a:moveTo>
                <a:pt x="96172" y="0"/>
              </a:moveTo>
              <a:lnTo>
                <a:pt x="96172" y="421325"/>
              </a:lnTo>
              <a:lnTo>
                <a:pt x="0" y="4213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12B5AF-7192-904E-8BF3-A57C68561CDC}">
      <dsp:nvSpPr>
        <dsp:cNvPr id="0" name=""/>
        <dsp:cNvSpPr/>
      </dsp:nvSpPr>
      <dsp:spPr>
        <a:xfrm>
          <a:off x="3642360" y="458784"/>
          <a:ext cx="2216539" cy="842651"/>
        </a:xfrm>
        <a:custGeom>
          <a:avLst/>
          <a:gdLst/>
          <a:ahLst/>
          <a:cxnLst/>
          <a:rect l="0" t="0" r="0" b="0"/>
          <a:pathLst>
            <a:path>
              <a:moveTo>
                <a:pt x="0" y="0"/>
              </a:moveTo>
              <a:lnTo>
                <a:pt x="0" y="746479"/>
              </a:lnTo>
              <a:lnTo>
                <a:pt x="2216539" y="746479"/>
              </a:lnTo>
              <a:lnTo>
                <a:pt x="2216539" y="8426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BF3109-B906-C74C-AF5A-8AA7AE38DD24}">
      <dsp:nvSpPr>
        <dsp:cNvPr id="0" name=""/>
        <dsp:cNvSpPr/>
      </dsp:nvSpPr>
      <dsp:spPr>
        <a:xfrm>
          <a:off x="3642360" y="458784"/>
          <a:ext cx="1108269" cy="842651"/>
        </a:xfrm>
        <a:custGeom>
          <a:avLst/>
          <a:gdLst/>
          <a:ahLst/>
          <a:cxnLst/>
          <a:rect l="0" t="0" r="0" b="0"/>
          <a:pathLst>
            <a:path>
              <a:moveTo>
                <a:pt x="0" y="0"/>
              </a:moveTo>
              <a:lnTo>
                <a:pt x="0" y="746479"/>
              </a:lnTo>
              <a:lnTo>
                <a:pt x="1108269" y="746479"/>
              </a:lnTo>
              <a:lnTo>
                <a:pt x="1108269" y="8426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2762DA-7CE0-5E4B-A6E0-31E61363EE53}">
      <dsp:nvSpPr>
        <dsp:cNvPr id="0" name=""/>
        <dsp:cNvSpPr/>
      </dsp:nvSpPr>
      <dsp:spPr>
        <a:xfrm>
          <a:off x="3596640" y="458784"/>
          <a:ext cx="91440" cy="842651"/>
        </a:xfrm>
        <a:custGeom>
          <a:avLst/>
          <a:gdLst/>
          <a:ahLst/>
          <a:cxnLst/>
          <a:rect l="0" t="0" r="0" b="0"/>
          <a:pathLst>
            <a:path>
              <a:moveTo>
                <a:pt x="45720" y="0"/>
              </a:moveTo>
              <a:lnTo>
                <a:pt x="45720" y="8426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394132-B8E5-4F43-9326-23A0A0D4F0C1}">
      <dsp:nvSpPr>
        <dsp:cNvPr id="0" name=""/>
        <dsp:cNvSpPr/>
      </dsp:nvSpPr>
      <dsp:spPr>
        <a:xfrm>
          <a:off x="2534090" y="458784"/>
          <a:ext cx="1108269" cy="842651"/>
        </a:xfrm>
        <a:custGeom>
          <a:avLst/>
          <a:gdLst/>
          <a:ahLst/>
          <a:cxnLst/>
          <a:rect l="0" t="0" r="0" b="0"/>
          <a:pathLst>
            <a:path>
              <a:moveTo>
                <a:pt x="1108269" y="0"/>
              </a:moveTo>
              <a:lnTo>
                <a:pt x="1108269" y="746479"/>
              </a:lnTo>
              <a:lnTo>
                <a:pt x="0" y="746479"/>
              </a:lnTo>
              <a:lnTo>
                <a:pt x="0" y="8426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B096A5-14FD-6A47-A046-597BC9D13727}">
      <dsp:nvSpPr>
        <dsp:cNvPr id="0" name=""/>
        <dsp:cNvSpPr/>
      </dsp:nvSpPr>
      <dsp:spPr>
        <a:xfrm>
          <a:off x="1425820" y="458784"/>
          <a:ext cx="2216539" cy="842651"/>
        </a:xfrm>
        <a:custGeom>
          <a:avLst/>
          <a:gdLst/>
          <a:ahLst/>
          <a:cxnLst/>
          <a:rect l="0" t="0" r="0" b="0"/>
          <a:pathLst>
            <a:path>
              <a:moveTo>
                <a:pt x="2216539" y="0"/>
              </a:moveTo>
              <a:lnTo>
                <a:pt x="2216539" y="746479"/>
              </a:lnTo>
              <a:lnTo>
                <a:pt x="0" y="746479"/>
              </a:lnTo>
              <a:lnTo>
                <a:pt x="0" y="8426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898ECB-8E35-9C47-B384-7EFCEEB4A0AA}">
      <dsp:nvSpPr>
        <dsp:cNvPr id="0" name=""/>
        <dsp:cNvSpPr/>
      </dsp:nvSpPr>
      <dsp:spPr>
        <a:xfrm>
          <a:off x="3184397" y="821"/>
          <a:ext cx="915925" cy="45796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UNDP Portfolio</a:t>
          </a:r>
        </a:p>
      </dsp:txBody>
      <dsp:txXfrm>
        <a:off x="3184397" y="821"/>
        <a:ext cx="915925" cy="457962"/>
      </dsp:txXfrm>
    </dsp:sp>
    <dsp:sp modelId="{467B0AC7-FCC1-4544-BE2D-E0093707E053}">
      <dsp:nvSpPr>
        <dsp:cNvPr id="0" name=""/>
        <dsp:cNvSpPr/>
      </dsp:nvSpPr>
      <dsp:spPr>
        <a:xfrm>
          <a:off x="967857" y="1301435"/>
          <a:ext cx="915925" cy="45796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Relevance</a:t>
          </a:r>
        </a:p>
      </dsp:txBody>
      <dsp:txXfrm>
        <a:off x="967857" y="1301435"/>
        <a:ext cx="915925" cy="457962"/>
      </dsp:txXfrm>
    </dsp:sp>
    <dsp:sp modelId="{F5756610-AC61-4C4F-933D-111225A6AC2F}">
      <dsp:nvSpPr>
        <dsp:cNvPr id="0" name=""/>
        <dsp:cNvSpPr/>
      </dsp:nvSpPr>
      <dsp:spPr>
        <a:xfrm>
          <a:off x="2076127" y="1301435"/>
          <a:ext cx="915925" cy="45796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Effectiveness</a:t>
          </a:r>
        </a:p>
      </dsp:txBody>
      <dsp:txXfrm>
        <a:off x="2076127" y="1301435"/>
        <a:ext cx="915925" cy="457962"/>
      </dsp:txXfrm>
    </dsp:sp>
    <dsp:sp modelId="{42B630A7-8A85-7842-8464-A8A728B2288B}">
      <dsp:nvSpPr>
        <dsp:cNvPr id="0" name=""/>
        <dsp:cNvSpPr/>
      </dsp:nvSpPr>
      <dsp:spPr>
        <a:xfrm>
          <a:off x="3184397" y="1301435"/>
          <a:ext cx="915925" cy="45796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Efficiency</a:t>
          </a:r>
        </a:p>
      </dsp:txBody>
      <dsp:txXfrm>
        <a:off x="3184397" y="1301435"/>
        <a:ext cx="915925" cy="457962"/>
      </dsp:txXfrm>
    </dsp:sp>
    <dsp:sp modelId="{DB2A7A7F-3B97-8D4D-B8A0-F5DC4F733BCF}">
      <dsp:nvSpPr>
        <dsp:cNvPr id="0" name=""/>
        <dsp:cNvSpPr/>
      </dsp:nvSpPr>
      <dsp:spPr>
        <a:xfrm>
          <a:off x="4292667" y="1301435"/>
          <a:ext cx="915925" cy="45796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Impact</a:t>
          </a:r>
        </a:p>
      </dsp:txBody>
      <dsp:txXfrm>
        <a:off x="4292667" y="1301435"/>
        <a:ext cx="915925" cy="457962"/>
      </dsp:txXfrm>
    </dsp:sp>
    <dsp:sp modelId="{09CEC0EC-C837-024F-BC0F-87C5241AB703}">
      <dsp:nvSpPr>
        <dsp:cNvPr id="0" name=""/>
        <dsp:cNvSpPr/>
      </dsp:nvSpPr>
      <dsp:spPr>
        <a:xfrm>
          <a:off x="5400936" y="1301435"/>
          <a:ext cx="915925" cy="45796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Sustainability</a:t>
          </a:r>
        </a:p>
      </dsp:txBody>
      <dsp:txXfrm>
        <a:off x="5400936" y="1301435"/>
        <a:ext cx="915925" cy="457962"/>
      </dsp:txXfrm>
    </dsp:sp>
    <dsp:sp modelId="{4D4CE317-9F3F-7F4A-9587-71C4B7487BCD}">
      <dsp:nvSpPr>
        <dsp:cNvPr id="0" name=""/>
        <dsp:cNvSpPr/>
      </dsp:nvSpPr>
      <dsp:spPr>
        <a:xfrm>
          <a:off x="2630262" y="651128"/>
          <a:ext cx="915925" cy="45796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Strategy</a:t>
          </a:r>
        </a:p>
      </dsp:txBody>
      <dsp:txXfrm>
        <a:off x="2630262" y="651128"/>
        <a:ext cx="915925" cy="457962"/>
      </dsp:txXfrm>
    </dsp:sp>
    <dsp:sp modelId="{6441C7BD-4D27-1F48-AF16-29A6B2A26423}">
      <dsp:nvSpPr>
        <dsp:cNvPr id="0" name=""/>
        <dsp:cNvSpPr/>
      </dsp:nvSpPr>
      <dsp:spPr>
        <a:xfrm>
          <a:off x="3738532" y="651128"/>
          <a:ext cx="915925" cy="45796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Mid term evaluation</a:t>
          </a:r>
        </a:p>
      </dsp:txBody>
      <dsp:txXfrm>
        <a:off x="3738532" y="651128"/>
        <a:ext cx="915925" cy="45796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25C1EA-E8CB-43B0-9DE2-BFCE11704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1531</TotalTime>
  <Pages>150</Pages>
  <Words>49740</Words>
  <Characters>283519</Characters>
  <Application>Microsoft Office Word</Application>
  <DocSecurity>0</DocSecurity>
  <Lines>2362</Lines>
  <Paragraphs>665</Paragraphs>
  <ScaleCrop>false</ScaleCrop>
  <HeadingPairs>
    <vt:vector size="2" baseType="variant">
      <vt:variant>
        <vt:lpstr>Title</vt:lpstr>
      </vt:variant>
      <vt:variant>
        <vt:i4>1</vt:i4>
      </vt:variant>
    </vt:vector>
  </HeadingPairs>
  <TitlesOfParts>
    <vt:vector size="1" baseType="lpstr">
      <vt:lpstr>Mid-Term Evaluation of UNDP’s Portfolio on SDG 16- Peace, Justice and Strong Institutions</vt:lpstr>
    </vt:vector>
  </TitlesOfParts>
  <Company/>
  <LinksUpToDate>false</LinksUpToDate>
  <CharactersWithSpaces>332594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Mid-Term Evaluation of UNDP’s Portfolio on SDG 16- Peace, Justice and Strong Institutions</dc:title>
  <dc:subject/>
  <dc:creator>Natasha Wijeyesekera</dc:creator>
  <cp:keywords/>
  <dc:description/>
  <cp:lastModifiedBy>Roshan Raja</cp:lastModifiedBy>
  <cp:revision>170</cp:revision>
  <cp:lastPrinted>2021-06-16T12:43:00Z</cp:lastPrinted>
  <dcterms:created xsi:type="dcterms:W3CDTF">2021-06-15T10:15:00Z</dcterms:created>
  <dcterms:modified xsi:type="dcterms:W3CDTF">2021-08-31T11:54:00Z</dcterms:modified>
</cp:coreProperties>
</file>