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2498E" w14:textId="77777777" w:rsidR="006940FB" w:rsidRDefault="006940FB">
      <w:pPr>
        <w:rPr>
          <w:sz w:val="12"/>
        </w:rPr>
      </w:pPr>
    </w:p>
    <w:p w14:paraId="4D1CB5EF" w14:textId="77777777" w:rsidR="006940FB" w:rsidRDefault="006940FB">
      <w:pPr>
        <w:rPr>
          <w:sz w:val="12"/>
        </w:rPr>
      </w:pPr>
    </w:p>
    <w:p w14:paraId="617C7AA6" w14:textId="77777777" w:rsidR="006940FB" w:rsidRDefault="006940FB">
      <w:pPr>
        <w:rPr>
          <w:sz w:val="12"/>
        </w:rPr>
      </w:pPr>
    </w:p>
    <w:p w14:paraId="7F7A1090" w14:textId="77777777" w:rsidR="006940FB" w:rsidRDefault="006940FB">
      <w:pPr>
        <w:rPr>
          <w:sz w:val="12"/>
        </w:rPr>
      </w:pPr>
    </w:p>
    <w:p w14:paraId="08DA517D" w14:textId="77777777" w:rsidR="006940FB" w:rsidRDefault="006940FB">
      <w:pPr>
        <w:rPr>
          <w:sz w:val="12"/>
        </w:rPr>
      </w:pPr>
    </w:p>
    <w:p w14:paraId="3A74CE8D" w14:textId="77777777" w:rsidR="006940FB" w:rsidRDefault="006940FB">
      <w:pPr>
        <w:rPr>
          <w:sz w:val="12"/>
        </w:rPr>
      </w:pPr>
    </w:p>
    <w:p w14:paraId="2E24BC28" w14:textId="77777777" w:rsidR="006940FB" w:rsidRDefault="006940FB">
      <w:pPr>
        <w:rPr>
          <w:sz w:val="12"/>
        </w:rPr>
      </w:pPr>
    </w:p>
    <w:p w14:paraId="52532891" w14:textId="77777777" w:rsidR="006940FB" w:rsidRDefault="006940FB">
      <w:pPr>
        <w:rPr>
          <w:sz w:val="12"/>
        </w:rPr>
      </w:pPr>
    </w:p>
    <w:p w14:paraId="5B481AF1" w14:textId="77777777" w:rsidR="006940FB" w:rsidRDefault="006940FB">
      <w:pPr>
        <w:rPr>
          <w:sz w:val="12"/>
        </w:rPr>
      </w:pPr>
    </w:p>
    <w:p w14:paraId="783E6856" w14:textId="77777777" w:rsidR="006940FB" w:rsidRDefault="006940FB">
      <w:pPr>
        <w:rPr>
          <w:sz w:val="12"/>
        </w:rPr>
      </w:pPr>
    </w:p>
    <w:p w14:paraId="4DF7BBC0" w14:textId="77777777" w:rsidR="006940FB" w:rsidRDefault="006940FB">
      <w:pPr>
        <w:rPr>
          <w:sz w:val="12"/>
        </w:rPr>
      </w:pPr>
    </w:p>
    <w:p w14:paraId="33EA8E37" w14:textId="77777777" w:rsidR="006940FB" w:rsidRDefault="006940FB">
      <w:pPr>
        <w:rPr>
          <w:sz w:val="12"/>
        </w:rPr>
      </w:pPr>
    </w:p>
    <w:p w14:paraId="485EA92C" w14:textId="77777777" w:rsidR="006940FB" w:rsidRDefault="006940FB">
      <w:pPr>
        <w:rPr>
          <w:sz w:val="12"/>
        </w:rPr>
      </w:pPr>
    </w:p>
    <w:p w14:paraId="728CEAFA" w14:textId="77777777" w:rsidR="006940FB" w:rsidRDefault="006940FB">
      <w:pPr>
        <w:rPr>
          <w:sz w:val="12"/>
        </w:rPr>
      </w:pPr>
    </w:p>
    <w:p w14:paraId="231F6B8A" w14:textId="77777777" w:rsidR="006940FB" w:rsidRDefault="006940FB">
      <w:pPr>
        <w:rPr>
          <w:sz w:val="12"/>
        </w:rPr>
      </w:pPr>
    </w:p>
    <w:p w14:paraId="076D4435" w14:textId="77777777" w:rsidR="006940FB" w:rsidRDefault="006940FB">
      <w:pPr>
        <w:rPr>
          <w:sz w:val="12"/>
        </w:rPr>
      </w:pPr>
    </w:p>
    <w:p w14:paraId="0D35B4D0" w14:textId="77777777" w:rsidR="006940FB" w:rsidRDefault="006940FB">
      <w:pPr>
        <w:rPr>
          <w:sz w:val="12"/>
        </w:rPr>
      </w:pPr>
    </w:p>
    <w:p w14:paraId="606655EB" w14:textId="77777777" w:rsidR="006940FB" w:rsidRDefault="006940FB">
      <w:pPr>
        <w:rPr>
          <w:sz w:val="12"/>
        </w:rPr>
      </w:pPr>
    </w:p>
    <w:p w14:paraId="50FB07B7" w14:textId="77777777" w:rsidR="006940FB" w:rsidRDefault="006940FB">
      <w:pPr>
        <w:rPr>
          <w:sz w:val="12"/>
        </w:rPr>
      </w:pPr>
    </w:p>
    <w:sdt>
      <w:sdtPr>
        <w:rPr>
          <w:sz w:val="12"/>
        </w:rPr>
        <w:id w:val="-211341594"/>
        <w:docPartObj>
          <w:docPartGallery w:val="Cover Pages"/>
          <w:docPartUnique/>
        </w:docPartObj>
      </w:sdtPr>
      <w:sdtEndPr>
        <w:rPr>
          <w:rStyle w:val="FootnoteReference"/>
          <w:rFonts w:ascii="Arial" w:hAnsi="Arial" w:cs="Arial"/>
          <w:sz w:val="20"/>
          <w:szCs w:val="20"/>
          <w:vertAlign w:val="superscript"/>
        </w:rPr>
      </w:sdtEndPr>
      <w:sdtContent>
        <w:p w14:paraId="1D1A0262" w14:textId="5288932E" w:rsidR="008F5885" w:rsidRDefault="008F5885">
          <w:pPr>
            <w:rPr>
              <w:sz w:val="12"/>
            </w:rPr>
          </w:pPr>
        </w:p>
        <w:p w14:paraId="09DA356F" w14:textId="7CFDC4E8" w:rsidR="008F5885" w:rsidRDefault="0035641B">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vertAlign w:val="superscript"/>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5C6A56">
                <w:rPr>
                  <w:rFonts w:asciiTheme="majorHAnsi" w:eastAsiaTheme="majorEastAsia" w:hAnsiTheme="majorHAnsi" w:cstheme="majorBidi"/>
                  <w:b/>
                  <w:color w:val="365F91" w:themeColor="accent1" w:themeShade="BF"/>
                  <w:sz w:val="48"/>
                  <w:szCs w:val="48"/>
                  <w:vertAlign w:val="superscript"/>
                </w:rPr>
                <w:t>Final Evaluation- Final</w:t>
              </w:r>
              <w:r w:rsidR="006B516D">
                <w:rPr>
                  <w:rFonts w:asciiTheme="majorHAnsi" w:eastAsiaTheme="majorEastAsia" w:hAnsiTheme="majorHAnsi" w:cstheme="majorBidi"/>
                  <w:b/>
                  <w:color w:val="365F91" w:themeColor="accent1" w:themeShade="BF"/>
                  <w:sz w:val="48"/>
                  <w:szCs w:val="48"/>
                  <w:vertAlign w:val="superscript"/>
                </w:rPr>
                <w:t xml:space="preserve"> Report</w:t>
              </w:r>
            </w:sdtContent>
          </w:sdt>
        </w:p>
        <w:sdt>
          <w:sdtPr>
            <w:rPr>
              <w:rFonts w:asciiTheme="majorHAnsi" w:hAnsiTheme="majorHAnsi"/>
              <w:b/>
              <w:noProof/>
              <w:color w:val="365F91" w:themeColor="accent1" w:themeShade="BF"/>
              <w:sz w:val="36"/>
              <w:szCs w:val="32"/>
            </w:rPr>
            <w:alias w:val="Subtitle"/>
            <w:tag w:val="Subtitle"/>
            <w:id w:val="30555238"/>
            <w:text/>
          </w:sdtPr>
          <w:sdtEndPr/>
          <w:sdtContent>
            <w:p w14:paraId="13408FE9" w14:textId="299DBA89" w:rsidR="008F5885" w:rsidRPr="00E537A5" w:rsidRDefault="006B516D">
              <w:pPr>
                <w:pBdr>
                  <w:left w:val="single" w:sz="24" w:space="4" w:color="8DB3E2" w:themeColor="text2" w:themeTint="66"/>
                  <w:bottom w:val="single" w:sz="8" w:space="6" w:color="365F91" w:themeColor="accent1" w:themeShade="BF"/>
                </w:pBdr>
                <w:contextualSpacing/>
                <w:rPr>
                  <w:rFonts w:asciiTheme="majorHAnsi" w:hAnsiTheme="majorHAnsi"/>
                  <w:b/>
                  <w:noProof/>
                  <w:color w:val="365F91" w:themeColor="accent1" w:themeShade="BF"/>
                  <w:sz w:val="36"/>
                  <w:szCs w:val="32"/>
                </w:rPr>
              </w:pPr>
              <w:r>
                <w:rPr>
                  <w:rFonts w:asciiTheme="majorHAnsi" w:hAnsiTheme="majorHAnsi"/>
                  <w:b/>
                  <w:noProof/>
                  <w:color w:val="365F91" w:themeColor="accent1" w:themeShade="BF"/>
                  <w:sz w:val="36"/>
                  <w:szCs w:val="32"/>
                </w:rPr>
                <w:t>Supporting Public Administration Reform in Georgia</w:t>
              </w:r>
            </w:p>
          </w:sdtContent>
        </w:sdt>
        <w:p w14:paraId="2EDD940B" w14:textId="4D486A25" w:rsidR="00380769" w:rsidRPr="00380769" w:rsidRDefault="0035641B">
          <w:pPr>
            <w:pBdr>
              <w:left w:val="single" w:sz="24" w:space="4" w:color="D99594" w:themeColor="accent2" w:themeTint="99"/>
            </w:pBdr>
            <w:spacing w:before="120" w:after="120"/>
            <w:rPr>
              <w:rFonts w:asciiTheme="majorHAnsi" w:hAnsiTheme="majorHAnsi"/>
              <w:b/>
              <w:noProof/>
              <w:color w:val="365F91" w:themeColor="accent1" w:themeShade="BF"/>
              <w:sz w:val="28"/>
            </w:rPr>
          </w:pPr>
          <w:sdt>
            <w:sdtPr>
              <w:rPr>
                <w:rFonts w:asciiTheme="majorHAnsi" w:hAnsiTheme="majorHAnsi"/>
                <w:b/>
                <w:noProof/>
                <w:color w:val="365F91" w:themeColor="accent1" w:themeShade="BF"/>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EndPr/>
            <w:sdtContent>
              <w:r w:rsidR="006B516D">
                <w:rPr>
                  <w:rFonts w:asciiTheme="majorHAnsi" w:hAnsiTheme="majorHAnsi"/>
                  <w:b/>
                  <w:noProof/>
                  <w:color w:val="365F91" w:themeColor="accent1" w:themeShade="BF"/>
                  <w:sz w:val="28"/>
                </w:rPr>
                <w:t>For: UNDP Georgia and Government of the United Kingdom</w:t>
              </w:r>
            </w:sdtContent>
          </w:sdt>
        </w:p>
        <w:p w14:paraId="05853EE5" w14:textId="77777777" w:rsidR="008F5885" w:rsidRDefault="008F5885">
          <w:pPr>
            <w:spacing w:before="4400" w:after="120"/>
            <w:rPr>
              <w:rFonts w:asciiTheme="majorHAnsi" w:hAnsiTheme="majorHAnsi"/>
              <w:b/>
              <w:caps/>
              <w:color w:val="365F91" w:themeColor="accent1" w:themeShade="BF"/>
              <w:sz w:val="28"/>
              <w:szCs w:val="20"/>
            </w:rPr>
          </w:pPr>
          <w:r>
            <w:rPr>
              <w:rFonts w:asciiTheme="majorHAnsi" w:hAnsiTheme="majorHAnsi"/>
              <w:b/>
              <w:caps/>
              <w:color w:val="365F91" w:themeColor="accent1" w:themeShade="BF"/>
              <w:sz w:val="28"/>
              <w:szCs w:val="20"/>
            </w:rPr>
            <w:t>By</w:t>
          </w:r>
        </w:p>
        <w:p w14:paraId="63CA82F3" w14:textId="77777777" w:rsidR="008F5885" w:rsidRPr="00561C20" w:rsidRDefault="008F5885">
          <w:pPr>
            <w:pBdr>
              <w:left w:val="single" w:sz="24" w:space="4" w:color="8DB3E2" w:themeColor="text2" w:themeTint="66"/>
            </w:pBdr>
            <w:contextualSpacing/>
            <w:rPr>
              <w:rFonts w:asciiTheme="majorHAnsi" w:hAnsiTheme="majorHAnsi"/>
              <w:color w:val="365F91" w:themeColor="accent1" w:themeShade="BF"/>
              <w:sz w:val="28"/>
            </w:rPr>
          </w:pPr>
          <w:r w:rsidRPr="00561C20">
            <w:rPr>
              <w:rFonts w:asciiTheme="majorHAnsi" w:hAnsiTheme="majorHAnsi"/>
              <w:color w:val="365F91" w:themeColor="accent1" w:themeShade="BF"/>
              <w:sz w:val="28"/>
            </w:rPr>
            <w:t>Anthony Costanzo</w:t>
          </w:r>
        </w:p>
        <w:p w14:paraId="6B0E811C" w14:textId="77777777" w:rsidR="008F5885" w:rsidRDefault="008F5885">
          <w:pPr>
            <w:pBdr>
              <w:left w:val="single" w:sz="24" w:space="4" w:color="8DB3E2" w:themeColor="text2" w:themeTint="66"/>
            </w:pBdr>
            <w:contextualSpacing/>
            <w:rPr>
              <w:rFonts w:asciiTheme="majorHAnsi" w:hAnsiTheme="majorHAnsi"/>
              <w:color w:val="365F91" w:themeColor="accent1" w:themeShade="BF"/>
              <w:sz w:val="28"/>
            </w:rPr>
          </w:pPr>
          <w:r w:rsidRPr="00561C20">
            <w:rPr>
              <w:rFonts w:asciiTheme="majorHAnsi" w:hAnsiTheme="majorHAnsi"/>
              <w:color w:val="365F91" w:themeColor="accent1" w:themeShade="BF"/>
              <w:sz w:val="28"/>
            </w:rPr>
            <w:t>Business and Government Strategies International</w:t>
          </w:r>
        </w:p>
        <w:p w14:paraId="267C1166" w14:textId="77777777" w:rsidR="00BC2BE2" w:rsidRDefault="00E537A5">
          <w:pPr>
            <w:pBdr>
              <w:left w:val="single" w:sz="24" w:space="4" w:color="8DB3E2" w:themeColor="text2" w:themeTint="66"/>
            </w:pBdr>
            <w:contextualSpacing/>
            <w:rPr>
              <w:rFonts w:asciiTheme="majorHAnsi" w:hAnsiTheme="majorHAnsi"/>
              <w:color w:val="365F91" w:themeColor="accent1" w:themeShade="BF"/>
              <w:sz w:val="28"/>
            </w:rPr>
          </w:pPr>
          <w:r>
            <w:rPr>
              <w:rFonts w:asciiTheme="majorHAnsi" w:hAnsiTheme="majorHAnsi"/>
              <w:color w:val="365F91" w:themeColor="accent1" w:themeShade="BF"/>
              <w:sz w:val="28"/>
            </w:rPr>
            <w:t>USA</w:t>
          </w:r>
        </w:p>
        <w:p w14:paraId="00B44436" w14:textId="77777777" w:rsidR="00380769" w:rsidRDefault="00380769">
          <w:pPr>
            <w:pBdr>
              <w:left w:val="single" w:sz="24" w:space="4" w:color="8DB3E2" w:themeColor="text2" w:themeTint="66"/>
            </w:pBdr>
            <w:contextualSpacing/>
            <w:rPr>
              <w:rFonts w:asciiTheme="majorHAnsi" w:hAnsiTheme="majorHAnsi"/>
              <w:color w:val="365F91" w:themeColor="accent1" w:themeShade="BF"/>
              <w:sz w:val="28"/>
            </w:rPr>
          </w:pPr>
        </w:p>
        <w:p w14:paraId="7B70C079" w14:textId="6060F433" w:rsidR="00922C25" w:rsidRPr="00426497" w:rsidRDefault="00A168C5" w:rsidP="00426497">
          <w:pPr>
            <w:pBdr>
              <w:left w:val="single" w:sz="24" w:space="4" w:color="8DB3E2" w:themeColor="text2" w:themeTint="66"/>
            </w:pBdr>
            <w:contextualSpacing/>
            <w:rPr>
              <w:rFonts w:asciiTheme="majorHAnsi" w:hAnsiTheme="majorHAnsi"/>
              <w:color w:val="365F91" w:themeColor="accent1" w:themeShade="BF"/>
              <w:sz w:val="28"/>
            </w:rPr>
          </w:pPr>
          <w:r>
            <w:rPr>
              <w:rFonts w:asciiTheme="majorHAnsi" w:hAnsiTheme="majorHAnsi"/>
              <w:color w:val="365F91" w:themeColor="accent1" w:themeShade="BF"/>
              <w:sz w:val="28"/>
            </w:rPr>
            <w:t xml:space="preserve">Date: </w:t>
          </w:r>
          <w:r w:rsidR="008C1E0E">
            <w:rPr>
              <w:rFonts w:asciiTheme="majorHAnsi" w:hAnsiTheme="majorHAnsi"/>
              <w:color w:val="365F91" w:themeColor="accent1" w:themeShade="BF"/>
              <w:sz w:val="28"/>
            </w:rPr>
            <w:t>2 July</w:t>
          </w:r>
          <w:r w:rsidR="009F6A7A">
            <w:rPr>
              <w:rFonts w:asciiTheme="majorHAnsi" w:hAnsiTheme="majorHAnsi"/>
              <w:color w:val="365F91" w:themeColor="accent1" w:themeShade="BF"/>
              <w:sz w:val="28"/>
            </w:rPr>
            <w:t xml:space="preserve"> 2021</w:t>
          </w:r>
        </w:p>
        <w:p w14:paraId="7F58BDC2" w14:textId="77777777" w:rsidR="00922C25" w:rsidRDefault="00922C25">
          <w:pPr>
            <w:rPr>
              <w:rFonts w:ascii="Arial" w:hAnsi="Arial" w:cs="Arial"/>
              <w:sz w:val="20"/>
              <w:szCs w:val="20"/>
            </w:rPr>
          </w:pPr>
        </w:p>
        <w:p w14:paraId="385CD5E5" w14:textId="36935230" w:rsidR="00922C25" w:rsidRDefault="00922C25">
          <w:pPr>
            <w:rPr>
              <w:rFonts w:ascii="Arial" w:hAnsi="Arial" w:cs="Arial"/>
              <w:sz w:val="20"/>
              <w:szCs w:val="20"/>
            </w:rPr>
          </w:pPr>
          <w:r w:rsidRPr="00426497">
            <w:rPr>
              <w:rFonts w:ascii="Arial" w:hAnsi="Arial" w:cs="Arial"/>
              <w:noProof/>
              <w:sz w:val="20"/>
              <w:szCs w:val="20"/>
            </w:rPr>
            <w:drawing>
              <wp:anchor distT="0" distB="0" distL="114300" distR="114300" simplePos="0" relativeHeight="251670528" behindDoc="0" locked="0" layoutInCell="1" allowOverlap="1" wp14:anchorId="01319C4B" wp14:editId="38CE90C2">
                <wp:simplePos x="0" y="0"/>
                <wp:positionH relativeFrom="margin">
                  <wp:posOffset>4788342</wp:posOffset>
                </wp:positionH>
                <wp:positionV relativeFrom="paragraph">
                  <wp:posOffset>78740</wp:posOffset>
                </wp:positionV>
                <wp:extent cx="711200" cy="1082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P-Logo-Blue-Small.png"/>
                        <pic:cNvPicPr/>
                      </pic:nvPicPr>
                      <pic:blipFill>
                        <a:blip r:embed="rId8">
                          <a:extLst>
                            <a:ext uri="{28A0092B-C50C-407E-A947-70E740481C1C}">
                              <a14:useLocalDpi xmlns:a14="http://schemas.microsoft.com/office/drawing/2010/main" val="0"/>
                            </a:ext>
                          </a:extLst>
                        </a:blip>
                        <a:stretch>
                          <a:fillRect/>
                        </a:stretch>
                      </pic:blipFill>
                      <pic:spPr>
                        <a:xfrm>
                          <a:off x="0" y="0"/>
                          <a:ext cx="711200" cy="1082675"/>
                        </a:xfrm>
                        <a:prstGeom prst="rect">
                          <a:avLst/>
                        </a:prstGeom>
                      </pic:spPr>
                    </pic:pic>
                  </a:graphicData>
                </a:graphic>
                <wp14:sizeRelH relativeFrom="page">
                  <wp14:pctWidth>0</wp14:pctWidth>
                </wp14:sizeRelH>
                <wp14:sizeRelV relativeFrom="page">
                  <wp14:pctHeight>0</wp14:pctHeight>
                </wp14:sizeRelV>
              </wp:anchor>
            </w:drawing>
          </w:r>
        </w:p>
        <w:p w14:paraId="321870AC" w14:textId="21E395D8" w:rsidR="00922C25" w:rsidRDefault="00922C25">
          <w:pPr>
            <w:rPr>
              <w:rFonts w:ascii="Arial" w:hAnsi="Arial" w:cs="Arial"/>
              <w:sz w:val="20"/>
              <w:szCs w:val="20"/>
            </w:rPr>
          </w:pPr>
          <w:r w:rsidRPr="00426497">
            <w:rPr>
              <w:rFonts w:ascii="Arial" w:hAnsi="Arial" w:cs="Arial"/>
              <w:noProof/>
              <w:sz w:val="20"/>
              <w:szCs w:val="20"/>
            </w:rPr>
            <w:drawing>
              <wp:anchor distT="0" distB="0" distL="114300" distR="114300" simplePos="0" relativeHeight="251671552" behindDoc="1" locked="0" layoutInCell="1" allowOverlap="1" wp14:anchorId="74919744" wp14:editId="06B0F227">
                <wp:simplePos x="0" y="0"/>
                <wp:positionH relativeFrom="margin">
                  <wp:posOffset>143124</wp:posOffset>
                </wp:positionH>
                <wp:positionV relativeFrom="paragraph">
                  <wp:posOffset>70872</wp:posOffset>
                </wp:positionV>
                <wp:extent cx="1151255" cy="9436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Crest English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255" cy="943610"/>
                        </a:xfrm>
                        <a:prstGeom prst="rect">
                          <a:avLst/>
                        </a:prstGeom>
                      </pic:spPr>
                    </pic:pic>
                  </a:graphicData>
                </a:graphic>
                <wp14:sizeRelH relativeFrom="page">
                  <wp14:pctWidth>0</wp14:pctWidth>
                </wp14:sizeRelH>
                <wp14:sizeRelV relativeFrom="page">
                  <wp14:pctHeight>0</wp14:pctHeight>
                </wp14:sizeRelV>
              </wp:anchor>
            </w:drawing>
          </w:r>
        </w:p>
        <w:p w14:paraId="2276C0B3" w14:textId="32F8483A" w:rsidR="00922C25" w:rsidRDefault="00922C25">
          <w:pPr>
            <w:rPr>
              <w:rFonts w:ascii="Arial" w:hAnsi="Arial" w:cs="Arial"/>
              <w:sz w:val="20"/>
              <w:szCs w:val="20"/>
            </w:rPr>
          </w:pPr>
          <w:r w:rsidRPr="00426497">
            <w:rPr>
              <w:rFonts w:ascii="Arial" w:hAnsi="Arial" w:cs="Arial"/>
              <w:noProof/>
              <w:sz w:val="20"/>
              <w:szCs w:val="20"/>
            </w:rPr>
            <w:drawing>
              <wp:anchor distT="0" distB="0" distL="114300" distR="114300" simplePos="0" relativeHeight="251672576" behindDoc="0" locked="0" layoutInCell="1" allowOverlap="1" wp14:anchorId="0D47AEE6" wp14:editId="70312A63">
                <wp:simplePos x="0" y="0"/>
                <wp:positionH relativeFrom="margin">
                  <wp:posOffset>2553721</wp:posOffset>
                </wp:positionH>
                <wp:positionV relativeFrom="paragraph">
                  <wp:posOffset>73025</wp:posOffset>
                </wp:positionV>
                <wp:extent cx="614680" cy="6769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aidlogocolourhigherresolutionforprint 2in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4680" cy="676910"/>
                        </a:xfrm>
                        <a:prstGeom prst="rect">
                          <a:avLst/>
                        </a:prstGeom>
                      </pic:spPr>
                    </pic:pic>
                  </a:graphicData>
                </a:graphic>
                <wp14:sizeRelH relativeFrom="page">
                  <wp14:pctWidth>0</wp14:pctWidth>
                </wp14:sizeRelH>
                <wp14:sizeRelV relativeFrom="page">
                  <wp14:pctHeight>0</wp14:pctHeight>
                </wp14:sizeRelV>
              </wp:anchor>
            </w:drawing>
          </w:r>
        </w:p>
        <w:p w14:paraId="53567DC6" w14:textId="13F97FE9" w:rsidR="00922C25" w:rsidRDefault="00922C25">
          <w:pPr>
            <w:rPr>
              <w:rFonts w:ascii="Arial" w:hAnsi="Arial" w:cs="Arial"/>
              <w:sz w:val="20"/>
              <w:szCs w:val="20"/>
            </w:rPr>
          </w:pPr>
        </w:p>
        <w:p w14:paraId="560487CE" w14:textId="6ADE2B9C" w:rsidR="00922C25" w:rsidRDefault="00922C25">
          <w:pPr>
            <w:rPr>
              <w:rFonts w:ascii="Arial" w:hAnsi="Arial" w:cs="Arial"/>
              <w:sz w:val="20"/>
              <w:szCs w:val="20"/>
            </w:rPr>
          </w:pPr>
        </w:p>
        <w:p w14:paraId="02B56ED7" w14:textId="77777777" w:rsidR="00922C25" w:rsidRDefault="00922C25">
          <w:pPr>
            <w:rPr>
              <w:rFonts w:ascii="Arial" w:hAnsi="Arial" w:cs="Arial"/>
              <w:sz w:val="20"/>
              <w:szCs w:val="20"/>
            </w:rPr>
          </w:pPr>
        </w:p>
        <w:p w14:paraId="1E84AA34" w14:textId="31796633" w:rsidR="005D6BC7" w:rsidRPr="00426497" w:rsidRDefault="00922C25" w:rsidP="001A58F1">
          <w:pPr>
            <w:rPr>
              <w:rFonts w:ascii="Arial" w:hAnsi="Arial" w:cs="Arial"/>
              <w:sz w:val="20"/>
              <w:szCs w:val="20"/>
            </w:rPr>
          </w:pPr>
          <w:r>
            <w:rPr>
              <w:rFonts w:ascii="Arial" w:hAnsi="Arial" w:cs="Arial"/>
              <w:sz w:val="20"/>
              <w:szCs w:val="20"/>
            </w:rPr>
            <w:br w:type="page"/>
          </w:r>
        </w:p>
      </w:sdtContent>
    </w:sdt>
    <w:p w14:paraId="13431FC9" w14:textId="77777777" w:rsidR="00D01269" w:rsidRPr="00D01269" w:rsidRDefault="00B002F8">
      <w:pPr>
        <w:pStyle w:val="TOC4"/>
        <w:rPr>
          <w:rFonts w:ascii="Arial" w:hAnsi="Arial" w:cs="Arial"/>
          <w:noProof/>
          <w:lang w:eastAsia="ja-JP"/>
        </w:rPr>
      </w:pPr>
      <w:r w:rsidRPr="00D01269">
        <w:rPr>
          <w:rFonts w:ascii="Arial" w:hAnsi="Arial" w:cs="Arial"/>
          <w:b/>
        </w:rPr>
        <w:lastRenderedPageBreak/>
        <w:fldChar w:fldCharType="begin"/>
      </w:r>
      <w:r w:rsidR="009767ED" w:rsidRPr="00D01269">
        <w:rPr>
          <w:rFonts w:ascii="Arial" w:hAnsi="Arial" w:cs="Arial"/>
          <w:b/>
        </w:rPr>
        <w:instrText xml:space="preserve"> TOC \o "1-4" \f </w:instrText>
      </w:r>
      <w:r w:rsidRPr="00D01269">
        <w:rPr>
          <w:rFonts w:ascii="Arial" w:hAnsi="Arial" w:cs="Arial"/>
          <w:b/>
        </w:rPr>
        <w:fldChar w:fldCharType="separate"/>
      </w:r>
      <w:r w:rsidR="00D01269" w:rsidRPr="00D01269">
        <w:rPr>
          <w:rFonts w:ascii="Arial" w:hAnsi="Arial" w:cs="Arial"/>
          <w:noProof/>
        </w:rPr>
        <w:t>List of Acronyms</w:t>
      </w:r>
      <w:r w:rsidR="00D01269" w:rsidRPr="00D01269">
        <w:rPr>
          <w:rFonts w:ascii="Arial" w:hAnsi="Arial" w:cs="Arial"/>
          <w:noProof/>
        </w:rPr>
        <w:tab/>
      </w:r>
      <w:r w:rsidR="00D01269" w:rsidRPr="00D01269">
        <w:rPr>
          <w:rFonts w:ascii="Arial" w:hAnsi="Arial" w:cs="Arial"/>
          <w:noProof/>
        </w:rPr>
        <w:fldChar w:fldCharType="begin"/>
      </w:r>
      <w:r w:rsidR="00D01269" w:rsidRPr="00D01269">
        <w:rPr>
          <w:rFonts w:ascii="Arial" w:hAnsi="Arial" w:cs="Arial"/>
          <w:noProof/>
        </w:rPr>
        <w:instrText xml:space="preserve"> PAGEREF _Toc478138852 \h </w:instrText>
      </w:r>
      <w:r w:rsidR="00D01269" w:rsidRPr="00D01269">
        <w:rPr>
          <w:rFonts w:ascii="Arial" w:hAnsi="Arial" w:cs="Arial"/>
          <w:noProof/>
        </w:rPr>
      </w:r>
      <w:r w:rsidR="00D01269" w:rsidRPr="00D01269">
        <w:rPr>
          <w:rFonts w:ascii="Arial" w:hAnsi="Arial" w:cs="Arial"/>
          <w:noProof/>
        </w:rPr>
        <w:fldChar w:fldCharType="separate"/>
      </w:r>
      <w:r w:rsidR="008C1E0E">
        <w:rPr>
          <w:rFonts w:ascii="Arial" w:hAnsi="Arial" w:cs="Arial"/>
          <w:noProof/>
        </w:rPr>
        <w:t>2</w:t>
      </w:r>
      <w:r w:rsidR="00D01269" w:rsidRPr="00D01269">
        <w:rPr>
          <w:rFonts w:ascii="Arial" w:hAnsi="Arial" w:cs="Arial"/>
          <w:noProof/>
        </w:rPr>
        <w:fldChar w:fldCharType="end"/>
      </w:r>
    </w:p>
    <w:p w14:paraId="11272F80" w14:textId="77777777" w:rsidR="00D01269" w:rsidRPr="00D01269" w:rsidRDefault="00D01269">
      <w:pPr>
        <w:pStyle w:val="TOC1"/>
        <w:tabs>
          <w:tab w:val="right" w:leader="dot" w:pos="9350"/>
        </w:tabs>
        <w:rPr>
          <w:rFonts w:ascii="Arial" w:hAnsi="Arial" w:cs="Arial"/>
          <w:b w:val="0"/>
          <w:caps w:val="0"/>
          <w:noProof/>
          <w:sz w:val="18"/>
          <w:szCs w:val="18"/>
          <w:lang w:eastAsia="ja-JP"/>
        </w:rPr>
      </w:pPr>
      <w:r w:rsidRPr="00D01269">
        <w:rPr>
          <w:rFonts w:ascii="Arial" w:hAnsi="Arial" w:cs="Arial"/>
          <w:noProof/>
          <w:sz w:val="18"/>
          <w:szCs w:val="18"/>
        </w:rPr>
        <w:t>Project/Outcome Information Table</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_Toc478138853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3</w:t>
      </w:r>
      <w:r w:rsidRPr="00D01269">
        <w:rPr>
          <w:rFonts w:ascii="Arial" w:hAnsi="Arial" w:cs="Arial"/>
          <w:noProof/>
          <w:sz w:val="18"/>
          <w:szCs w:val="18"/>
        </w:rPr>
        <w:fldChar w:fldCharType="end"/>
      </w:r>
    </w:p>
    <w:p w14:paraId="2755EDEF" w14:textId="77777777" w:rsidR="00D01269" w:rsidRPr="00D01269" w:rsidRDefault="00D01269">
      <w:pPr>
        <w:pStyle w:val="TOC4"/>
        <w:rPr>
          <w:rFonts w:ascii="Arial" w:hAnsi="Arial" w:cs="Arial"/>
          <w:noProof/>
          <w:lang w:eastAsia="ja-JP"/>
        </w:rPr>
      </w:pPr>
      <w:r w:rsidRPr="00D01269">
        <w:rPr>
          <w:rFonts w:ascii="Arial" w:hAnsi="Arial" w:cs="Arial"/>
          <w:noProof/>
        </w:rPr>
        <w:t>Document Framework</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_Toc478138854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4</w:t>
      </w:r>
      <w:r w:rsidRPr="00D01269">
        <w:rPr>
          <w:rFonts w:ascii="Arial" w:hAnsi="Arial" w:cs="Arial"/>
          <w:noProof/>
        </w:rPr>
        <w:fldChar w:fldCharType="end"/>
      </w:r>
    </w:p>
    <w:p w14:paraId="2695B8A7" w14:textId="77777777" w:rsidR="00D01269" w:rsidRPr="00D01269" w:rsidRDefault="00D01269">
      <w:pPr>
        <w:pStyle w:val="TOC1"/>
        <w:tabs>
          <w:tab w:val="left" w:pos="368"/>
          <w:tab w:val="right" w:leader="dot" w:pos="9350"/>
        </w:tabs>
        <w:rPr>
          <w:rFonts w:ascii="Arial" w:hAnsi="Arial" w:cs="Arial"/>
          <w:b w:val="0"/>
          <w:caps w:val="0"/>
          <w:noProof/>
          <w:sz w:val="18"/>
          <w:szCs w:val="18"/>
          <w:lang w:eastAsia="ja-JP"/>
        </w:rPr>
      </w:pPr>
      <w:r w:rsidRPr="00D01269">
        <w:rPr>
          <w:rFonts w:ascii="Arial" w:hAnsi="Arial" w:cs="Arial"/>
          <w:noProof/>
          <w:sz w:val="18"/>
          <w:szCs w:val="18"/>
        </w:rPr>
        <w:t>I.</w:t>
      </w:r>
      <w:r w:rsidRPr="00D01269">
        <w:rPr>
          <w:rFonts w:ascii="Arial" w:hAnsi="Arial" w:cs="Arial"/>
          <w:b w:val="0"/>
          <w:caps w:val="0"/>
          <w:noProof/>
          <w:sz w:val="18"/>
          <w:szCs w:val="18"/>
          <w:lang w:eastAsia="ja-JP"/>
        </w:rPr>
        <w:tab/>
      </w:r>
      <w:r w:rsidRPr="00D01269">
        <w:rPr>
          <w:rFonts w:ascii="Arial" w:hAnsi="Arial" w:cs="Arial"/>
          <w:noProof/>
          <w:sz w:val="18"/>
          <w:szCs w:val="18"/>
        </w:rPr>
        <w:t>Executive Summary</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_Toc478138855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4</w:t>
      </w:r>
      <w:r w:rsidRPr="00D01269">
        <w:rPr>
          <w:rFonts w:ascii="Arial" w:hAnsi="Arial" w:cs="Arial"/>
          <w:noProof/>
          <w:sz w:val="18"/>
          <w:szCs w:val="18"/>
        </w:rPr>
        <w:fldChar w:fldCharType="end"/>
      </w:r>
    </w:p>
    <w:p w14:paraId="58D99570" w14:textId="77777777" w:rsidR="00D01269" w:rsidRPr="00D01269" w:rsidRDefault="00D01269">
      <w:pPr>
        <w:pStyle w:val="TOC1"/>
        <w:tabs>
          <w:tab w:val="left" w:pos="445"/>
          <w:tab w:val="right" w:leader="dot" w:pos="9350"/>
        </w:tabs>
        <w:rPr>
          <w:rFonts w:ascii="Arial" w:hAnsi="Arial" w:cs="Arial"/>
          <w:b w:val="0"/>
          <w:caps w:val="0"/>
          <w:noProof/>
          <w:sz w:val="18"/>
          <w:szCs w:val="18"/>
          <w:lang w:eastAsia="ja-JP"/>
        </w:rPr>
      </w:pPr>
      <w:r w:rsidRPr="00D01269">
        <w:rPr>
          <w:rFonts w:ascii="Arial" w:hAnsi="Arial" w:cs="Arial"/>
          <w:noProof/>
          <w:sz w:val="18"/>
          <w:szCs w:val="18"/>
        </w:rPr>
        <w:t>II.</w:t>
      </w:r>
      <w:r w:rsidRPr="00D01269">
        <w:rPr>
          <w:rFonts w:ascii="Arial" w:hAnsi="Arial" w:cs="Arial"/>
          <w:b w:val="0"/>
          <w:caps w:val="0"/>
          <w:noProof/>
          <w:sz w:val="18"/>
          <w:szCs w:val="18"/>
          <w:lang w:eastAsia="ja-JP"/>
        </w:rPr>
        <w:tab/>
      </w:r>
      <w:r w:rsidRPr="00D01269">
        <w:rPr>
          <w:rFonts w:ascii="Arial" w:hAnsi="Arial" w:cs="Arial"/>
          <w:noProof/>
          <w:sz w:val="18"/>
          <w:szCs w:val="18"/>
        </w:rPr>
        <w:t>Final Evaluation Framework, Development Context and Intervention Description</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_Toc478138856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13</w:t>
      </w:r>
      <w:r w:rsidRPr="00D01269">
        <w:rPr>
          <w:rFonts w:ascii="Arial" w:hAnsi="Arial" w:cs="Arial"/>
          <w:noProof/>
          <w:sz w:val="18"/>
          <w:szCs w:val="18"/>
        </w:rPr>
        <w:fldChar w:fldCharType="end"/>
      </w:r>
    </w:p>
    <w:p w14:paraId="2E46E16D" w14:textId="77777777" w:rsidR="00D01269" w:rsidRPr="00D01269" w:rsidRDefault="00D01269">
      <w:pPr>
        <w:pStyle w:val="TOC2"/>
        <w:tabs>
          <w:tab w:val="left" w:pos="662"/>
        </w:tabs>
        <w:rPr>
          <w:rFonts w:ascii="Arial" w:hAnsi="Arial" w:cs="Arial"/>
          <w:smallCaps w:val="0"/>
          <w:noProof/>
          <w:sz w:val="18"/>
          <w:szCs w:val="18"/>
          <w:lang w:eastAsia="ja-JP"/>
        </w:rPr>
      </w:pPr>
      <w:r w:rsidRPr="00D01269">
        <w:rPr>
          <w:rFonts w:ascii="Arial" w:hAnsi="Arial" w:cs="Arial"/>
          <w:noProof/>
          <w:sz w:val="18"/>
          <w:szCs w:val="18"/>
        </w:rPr>
        <w:t>A.</w:t>
      </w:r>
      <w:r w:rsidRPr="00D01269">
        <w:rPr>
          <w:rFonts w:ascii="Arial" w:hAnsi="Arial" w:cs="Arial"/>
          <w:smallCaps w:val="0"/>
          <w:noProof/>
          <w:sz w:val="18"/>
          <w:szCs w:val="18"/>
          <w:lang w:eastAsia="ja-JP"/>
        </w:rPr>
        <w:tab/>
      </w:r>
      <w:r w:rsidRPr="00D01269">
        <w:rPr>
          <w:rFonts w:ascii="Arial" w:hAnsi="Arial" w:cs="Arial"/>
          <w:noProof/>
          <w:sz w:val="18"/>
          <w:szCs w:val="18"/>
        </w:rPr>
        <w:t>Development Context and Description of Intervention</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_Toc478138857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13</w:t>
      </w:r>
      <w:r w:rsidRPr="00D01269">
        <w:rPr>
          <w:rFonts w:ascii="Arial" w:hAnsi="Arial" w:cs="Arial"/>
          <w:noProof/>
          <w:sz w:val="18"/>
          <w:szCs w:val="18"/>
        </w:rPr>
        <w:fldChar w:fldCharType="end"/>
      </w:r>
    </w:p>
    <w:p w14:paraId="7042D01C" w14:textId="77777777" w:rsidR="00D01269" w:rsidRPr="00D01269" w:rsidRDefault="00D01269">
      <w:pPr>
        <w:pStyle w:val="TOC2"/>
        <w:tabs>
          <w:tab w:val="left" w:pos="660"/>
        </w:tabs>
        <w:rPr>
          <w:rFonts w:ascii="Arial" w:hAnsi="Arial" w:cs="Arial"/>
          <w:smallCaps w:val="0"/>
          <w:noProof/>
          <w:sz w:val="18"/>
          <w:szCs w:val="18"/>
          <w:lang w:eastAsia="ja-JP"/>
        </w:rPr>
      </w:pPr>
      <w:r w:rsidRPr="00D01269">
        <w:rPr>
          <w:rFonts w:ascii="Arial" w:hAnsi="Arial" w:cs="Arial"/>
          <w:noProof/>
          <w:sz w:val="18"/>
          <w:szCs w:val="18"/>
        </w:rPr>
        <w:t>B.</w:t>
      </w:r>
      <w:r w:rsidRPr="00D01269">
        <w:rPr>
          <w:rFonts w:ascii="Arial" w:hAnsi="Arial" w:cs="Arial"/>
          <w:smallCaps w:val="0"/>
          <w:noProof/>
          <w:sz w:val="18"/>
          <w:szCs w:val="18"/>
          <w:lang w:eastAsia="ja-JP"/>
        </w:rPr>
        <w:tab/>
      </w:r>
      <w:r w:rsidRPr="00D01269">
        <w:rPr>
          <w:rFonts w:ascii="Arial" w:hAnsi="Arial" w:cs="Arial"/>
          <w:noProof/>
          <w:sz w:val="18"/>
          <w:szCs w:val="18"/>
        </w:rPr>
        <w:t>Evaluation Scope and Objectives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_Toc478138858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21</w:t>
      </w:r>
      <w:r w:rsidRPr="00D01269">
        <w:rPr>
          <w:rFonts w:ascii="Arial" w:hAnsi="Arial" w:cs="Arial"/>
          <w:noProof/>
          <w:sz w:val="18"/>
          <w:szCs w:val="18"/>
        </w:rPr>
        <w:fldChar w:fldCharType="end"/>
      </w:r>
    </w:p>
    <w:p w14:paraId="4E36C73E" w14:textId="77777777" w:rsidR="00D01269" w:rsidRPr="00D01269" w:rsidRDefault="00D01269">
      <w:pPr>
        <w:pStyle w:val="TOC2"/>
        <w:tabs>
          <w:tab w:val="left" w:pos="649"/>
        </w:tabs>
        <w:rPr>
          <w:rFonts w:ascii="Arial" w:hAnsi="Arial" w:cs="Arial"/>
          <w:smallCaps w:val="0"/>
          <w:noProof/>
          <w:sz w:val="18"/>
          <w:szCs w:val="18"/>
          <w:lang w:eastAsia="ja-JP"/>
        </w:rPr>
      </w:pPr>
      <w:r w:rsidRPr="00D01269">
        <w:rPr>
          <w:rFonts w:ascii="Arial" w:hAnsi="Arial" w:cs="Arial"/>
          <w:noProof/>
          <w:sz w:val="18"/>
          <w:szCs w:val="18"/>
        </w:rPr>
        <w:t>C.</w:t>
      </w:r>
      <w:r w:rsidRPr="00D01269">
        <w:rPr>
          <w:rFonts w:ascii="Arial" w:hAnsi="Arial" w:cs="Arial"/>
          <w:smallCaps w:val="0"/>
          <w:noProof/>
          <w:sz w:val="18"/>
          <w:szCs w:val="18"/>
          <w:lang w:eastAsia="ja-JP"/>
        </w:rPr>
        <w:tab/>
      </w:r>
      <w:r w:rsidRPr="00D01269">
        <w:rPr>
          <w:rFonts w:ascii="Arial" w:hAnsi="Arial" w:cs="Arial"/>
          <w:noProof/>
          <w:sz w:val="18"/>
          <w:szCs w:val="18"/>
        </w:rPr>
        <w:t>Evaluation Timeline</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_Toc478138859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22</w:t>
      </w:r>
      <w:r w:rsidRPr="00D01269">
        <w:rPr>
          <w:rFonts w:ascii="Arial" w:hAnsi="Arial" w:cs="Arial"/>
          <w:noProof/>
          <w:sz w:val="18"/>
          <w:szCs w:val="18"/>
        </w:rPr>
        <w:fldChar w:fldCharType="end"/>
      </w:r>
    </w:p>
    <w:p w14:paraId="26868624" w14:textId="77777777" w:rsidR="00D01269" w:rsidRPr="00D01269" w:rsidRDefault="00D01269">
      <w:pPr>
        <w:pStyle w:val="TOC2"/>
        <w:tabs>
          <w:tab w:val="left" w:pos="671"/>
        </w:tabs>
        <w:rPr>
          <w:rFonts w:ascii="Arial" w:hAnsi="Arial" w:cs="Arial"/>
          <w:smallCaps w:val="0"/>
          <w:noProof/>
          <w:sz w:val="18"/>
          <w:szCs w:val="18"/>
          <w:lang w:eastAsia="ja-JP"/>
        </w:rPr>
      </w:pPr>
      <w:r w:rsidRPr="00D01269">
        <w:rPr>
          <w:rFonts w:ascii="Arial" w:hAnsi="Arial" w:cs="Arial"/>
          <w:noProof/>
          <w:sz w:val="18"/>
          <w:szCs w:val="18"/>
        </w:rPr>
        <w:t>D.</w:t>
      </w:r>
      <w:r w:rsidRPr="00D01269">
        <w:rPr>
          <w:rFonts w:ascii="Arial" w:hAnsi="Arial" w:cs="Arial"/>
          <w:smallCaps w:val="0"/>
          <w:noProof/>
          <w:sz w:val="18"/>
          <w:szCs w:val="18"/>
          <w:lang w:eastAsia="ja-JP"/>
        </w:rPr>
        <w:tab/>
      </w:r>
      <w:r w:rsidRPr="00D01269">
        <w:rPr>
          <w:rFonts w:ascii="Arial" w:hAnsi="Arial" w:cs="Arial"/>
          <w:noProof/>
          <w:sz w:val="18"/>
          <w:szCs w:val="18"/>
        </w:rPr>
        <w:t>Evaluation Approach and Methodology</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_Toc478138860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23</w:t>
      </w:r>
      <w:r w:rsidRPr="00D01269">
        <w:rPr>
          <w:rFonts w:ascii="Arial" w:hAnsi="Arial" w:cs="Arial"/>
          <w:noProof/>
          <w:sz w:val="18"/>
          <w:szCs w:val="18"/>
        </w:rPr>
        <w:fldChar w:fldCharType="end"/>
      </w:r>
    </w:p>
    <w:p w14:paraId="11D4ED25" w14:textId="77777777" w:rsidR="00D01269" w:rsidRPr="00D01269" w:rsidRDefault="00D01269">
      <w:pPr>
        <w:pStyle w:val="TOC1"/>
        <w:tabs>
          <w:tab w:val="left" w:pos="522"/>
          <w:tab w:val="right" w:leader="dot" w:pos="9350"/>
        </w:tabs>
        <w:rPr>
          <w:rFonts w:ascii="Arial" w:hAnsi="Arial" w:cs="Arial"/>
          <w:b w:val="0"/>
          <w:caps w:val="0"/>
          <w:noProof/>
          <w:sz w:val="18"/>
          <w:szCs w:val="18"/>
          <w:lang w:eastAsia="ja-JP"/>
        </w:rPr>
      </w:pPr>
      <w:r w:rsidRPr="00D01269">
        <w:rPr>
          <w:rFonts w:ascii="Arial" w:hAnsi="Arial" w:cs="Arial"/>
          <w:noProof/>
          <w:sz w:val="18"/>
          <w:szCs w:val="18"/>
        </w:rPr>
        <w:t>III.</w:t>
      </w:r>
      <w:r w:rsidRPr="00D01269">
        <w:rPr>
          <w:rFonts w:ascii="Arial" w:hAnsi="Arial" w:cs="Arial"/>
          <w:b w:val="0"/>
          <w:caps w:val="0"/>
          <w:noProof/>
          <w:sz w:val="18"/>
          <w:szCs w:val="18"/>
          <w:lang w:eastAsia="ja-JP"/>
        </w:rPr>
        <w:tab/>
      </w:r>
      <w:r w:rsidRPr="00D01269">
        <w:rPr>
          <w:rFonts w:ascii="Arial" w:hAnsi="Arial" w:cs="Arial"/>
          <w:noProof/>
          <w:sz w:val="18"/>
          <w:szCs w:val="18"/>
        </w:rPr>
        <w:t>Findings and Conclusions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_Toc478138861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27</w:t>
      </w:r>
      <w:r w:rsidRPr="00D01269">
        <w:rPr>
          <w:rFonts w:ascii="Arial" w:hAnsi="Arial" w:cs="Arial"/>
          <w:noProof/>
          <w:sz w:val="18"/>
          <w:szCs w:val="18"/>
        </w:rPr>
        <w:fldChar w:fldCharType="end"/>
      </w:r>
    </w:p>
    <w:p w14:paraId="309A64A8" w14:textId="77777777" w:rsidR="00D01269" w:rsidRPr="00D01269" w:rsidRDefault="00D01269">
      <w:pPr>
        <w:pStyle w:val="TOC2"/>
        <w:tabs>
          <w:tab w:val="left" w:pos="662"/>
        </w:tabs>
        <w:rPr>
          <w:rFonts w:ascii="Arial" w:hAnsi="Arial" w:cs="Arial"/>
          <w:smallCaps w:val="0"/>
          <w:noProof/>
          <w:sz w:val="18"/>
          <w:szCs w:val="18"/>
          <w:lang w:eastAsia="ja-JP"/>
        </w:rPr>
      </w:pPr>
      <w:r w:rsidRPr="00D01269">
        <w:rPr>
          <w:rFonts w:ascii="Arial" w:hAnsi="Arial" w:cs="Arial"/>
          <w:noProof/>
          <w:sz w:val="18"/>
          <w:szCs w:val="18"/>
        </w:rPr>
        <w:t>A.</w:t>
      </w:r>
      <w:r w:rsidRPr="00D01269">
        <w:rPr>
          <w:rFonts w:ascii="Arial" w:hAnsi="Arial" w:cs="Arial"/>
          <w:smallCaps w:val="0"/>
          <w:noProof/>
          <w:sz w:val="18"/>
          <w:szCs w:val="18"/>
          <w:lang w:eastAsia="ja-JP"/>
        </w:rPr>
        <w:tab/>
      </w:r>
      <w:r w:rsidRPr="00D01269">
        <w:rPr>
          <w:rFonts w:ascii="Arial" w:hAnsi="Arial" w:cs="Arial"/>
          <w:noProof/>
          <w:sz w:val="18"/>
          <w:szCs w:val="18"/>
        </w:rPr>
        <w:t>Overview and Criteria Assessment</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_Toc478138862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27</w:t>
      </w:r>
      <w:r w:rsidRPr="00D01269">
        <w:rPr>
          <w:rFonts w:ascii="Arial" w:hAnsi="Arial" w:cs="Arial"/>
          <w:noProof/>
          <w:sz w:val="18"/>
          <w:szCs w:val="18"/>
        </w:rPr>
        <w:fldChar w:fldCharType="end"/>
      </w:r>
    </w:p>
    <w:p w14:paraId="2E144E0F" w14:textId="77777777" w:rsidR="00D01269" w:rsidRPr="00D01269" w:rsidRDefault="00D01269">
      <w:pPr>
        <w:pStyle w:val="TOC2"/>
        <w:tabs>
          <w:tab w:val="left" w:pos="660"/>
        </w:tabs>
        <w:rPr>
          <w:rFonts w:ascii="Arial" w:hAnsi="Arial" w:cs="Arial"/>
          <w:smallCaps w:val="0"/>
          <w:noProof/>
          <w:sz w:val="18"/>
          <w:szCs w:val="18"/>
          <w:lang w:eastAsia="ja-JP"/>
        </w:rPr>
      </w:pPr>
      <w:r w:rsidRPr="00D01269">
        <w:rPr>
          <w:rFonts w:ascii="Arial" w:hAnsi="Arial" w:cs="Arial"/>
          <w:noProof/>
          <w:sz w:val="18"/>
          <w:szCs w:val="18"/>
        </w:rPr>
        <w:t>B.</w:t>
      </w:r>
      <w:r w:rsidRPr="00D01269">
        <w:rPr>
          <w:rFonts w:ascii="Arial" w:hAnsi="Arial" w:cs="Arial"/>
          <w:smallCaps w:val="0"/>
          <w:noProof/>
          <w:sz w:val="18"/>
          <w:szCs w:val="18"/>
          <w:lang w:eastAsia="ja-JP"/>
        </w:rPr>
        <w:tab/>
      </w:r>
      <w:r w:rsidRPr="00D01269">
        <w:rPr>
          <w:rFonts w:ascii="Arial" w:hAnsi="Arial" w:cs="Arial"/>
          <w:noProof/>
          <w:sz w:val="18"/>
          <w:szCs w:val="18"/>
        </w:rPr>
        <w:t>Responsiveness to Project Goal, Project Management and Implementation</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_Toc478138863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38</w:t>
      </w:r>
      <w:r w:rsidRPr="00D01269">
        <w:rPr>
          <w:rFonts w:ascii="Arial" w:hAnsi="Arial" w:cs="Arial"/>
          <w:noProof/>
          <w:sz w:val="18"/>
          <w:szCs w:val="18"/>
        </w:rPr>
        <w:fldChar w:fldCharType="end"/>
      </w:r>
    </w:p>
    <w:p w14:paraId="5C0364CC"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1.</w:t>
      </w:r>
      <w:r w:rsidRPr="00D01269">
        <w:rPr>
          <w:rFonts w:ascii="Arial" w:hAnsi="Arial" w:cs="Arial"/>
          <w:noProof/>
          <w:lang w:eastAsia="ja-JP"/>
        </w:rPr>
        <w:tab/>
      </w:r>
      <w:r w:rsidRPr="00D01269">
        <w:rPr>
          <w:rFonts w:ascii="Arial" w:hAnsi="Arial" w:cs="Arial"/>
          <w:noProof/>
        </w:rPr>
        <w:t>Assessment of Achieving Project Goal</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_Toc478138864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38</w:t>
      </w:r>
      <w:r w:rsidRPr="00D01269">
        <w:rPr>
          <w:rFonts w:ascii="Arial" w:hAnsi="Arial" w:cs="Arial"/>
          <w:noProof/>
        </w:rPr>
        <w:fldChar w:fldCharType="end"/>
      </w:r>
    </w:p>
    <w:p w14:paraId="093ECDAA"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2.</w:t>
      </w:r>
      <w:r w:rsidRPr="00D01269">
        <w:rPr>
          <w:rFonts w:ascii="Arial" w:hAnsi="Arial" w:cs="Arial"/>
          <w:noProof/>
          <w:lang w:eastAsia="ja-JP"/>
        </w:rPr>
        <w:tab/>
      </w:r>
      <w:r w:rsidRPr="00D01269">
        <w:rPr>
          <w:rFonts w:ascii="Arial" w:hAnsi="Arial" w:cs="Arial"/>
          <w:noProof/>
        </w:rPr>
        <w:t>Project Design and Coherence of the Project to the Logical Framework</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_Toc478138865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41</w:t>
      </w:r>
      <w:r w:rsidRPr="00D01269">
        <w:rPr>
          <w:rFonts w:ascii="Arial" w:hAnsi="Arial" w:cs="Arial"/>
          <w:noProof/>
        </w:rPr>
        <w:fldChar w:fldCharType="end"/>
      </w:r>
    </w:p>
    <w:p w14:paraId="4964A748"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3.</w:t>
      </w:r>
      <w:r w:rsidRPr="00D01269">
        <w:rPr>
          <w:rFonts w:ascii="Arial" w:hAnsi="Arial" w:cs="Arial"/>
          <w:noProof/>
          <w:lang w:eastAsia="ja-JP"/>
        </w:rPr>
        <w:tab/>
      </w:r>
      <w:r w:rsidRPr="00D01269">
        <w:rPr>
          <w:rFonts w:ascii="Arial" w:hAnsi="Arial" w:cs="Arial"/>
          <w:noProof/>
        </w:rPr>
        <w:t>Project Management and Implementation</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_Toc478138866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44</w:t>
      </w:r>
      <w:r w:rsidRPr="00D01269">
        <w:rPr>
          <w:rFonts w:ascii="Arial" w:hAnsi="Arial" w:cs="Arial"/>
          <w:noProof/>
        </w:rPr>
        <w:fldChar w:fldCharType="end"/>
      </w:r>
    </w:p>
    <w:p w14:paraId="35725BA9"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4.</w:t>
      </w:r>
      <w:r w:rsidRPr="00D01269">
        <w:rPr>
          <w:rFonts w:ascii="Arial" w:hAnsi="Arial" w:cs="Arial"/>
          <w:noProof/>
          <w:lang w:eastAsia="ja-JP"/>
        </w:rPr>
        <w:tab/>
      </w:r>
      <w:r w:rsidRPr="00D01269">
        <w:rPr>
          <w:rFonts w:ascii="Arial" w:hAnsi="Arial" w:cs="Arial"/>
          <w:noProof/>
        </w:rPr>
        <w:t>Conclusion</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_Toc478138867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47</w:t>
      </w:r>
      <w:r w:rsidRPr="00D01269">
        <w:rPr>
          <w:rFonts w:ascii="Arial" w:hAnsi="Arial" w:cs="Arial"/>
          <w:noProof/>
        </w:rPr>
        <w:fldChar w:fldCharType="end"/>
      </w:r>
    </w:p>
    <w:p w14:paraId="7F332873" w14:textId="77777777" w:rsidR="00D01269" w:rsidRPr="00D01269" w:rsidRDefault="00D01269">
      <w:pPr>
        <w:pStyle w:val="TOC2"/>
        <w:tabs>
          <w:tab w:val="left" w:pos="649"/>
        </w:tabs>
        <w:rPr>
          <w:rFonts w:ascii="Arial" w:hAnsi="Arial" w:cs="Arial"/>
          <w:smallCaps w:val="0"/>
          <w:noProof/>
          <w:sz w:val="18"/>
          <w:szCs w:val="18"/>
          <w:lang w:eastAsia="ja-JP"/>
        </w:rPr>
      </w:pPr>
      <w:r w:rsidRPr="00D01269">
        <w:rPr>
          <w:rFonts w:ascii="Arial" w:hAnsi="Arial" w:cs="Arial"/>
          <w:noProof/>
          <w:sz w:val="18"/>
          <w:szCs w:val="18"/>
        </w:rPr>
        <w:t>C.</w:t>
      </w:r>
      <w:r w:rsidRPr="00D01269">
        <w:rPr>
          <w:rFonts w:ascii="Arial" w:hAnsi="Arial" w:cs="Arial"/>
          <w:smallCaps w:val="0"/>
          <w:noProof/>
          <w:sz w:val="18"/>
          <w:szCs w:val="18"/>
          <w:lang w:eastAsia="ja-JP"/>
        </w:rPr>
        <w:tab/>
      </w:r>
      <w:r w:rsidRPr="00D01269">
        <w:rPr>
          <w:rFonts w:ascii="Arial" w:hAnsi="Arial" w:cs="Arial"/>
          <w:noProof/>
          <w:sz w:val="18"/>
          <w:szCs w:val="18"/>
        </w:rPr>
        <w:t>Outcome 1: Policy Development and Coordination</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_Toc478138868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47</w:t>
      </w:r>
      <w:r w:rsidRPr="00D01269">
        <w:rPr>
          <w:rFonts w:ascii="Arial" w:hAnsi="Arial" w:cs="Arial"/>
          <w:noProof/>
          <w:sz w:val="18"/>
          <w:szCs w:val="18"/>
        </w:rPr>
        <w:fldChar w:fldCharType="end"/>
      </w:r>
    </w:p>
    <w:p w14:paraId="68A3BD9C"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1.</w:t>
      </w:r>
      <w:r w:rsidRPr="00D01269">
        <w:rPr>
          <w:rFonts w:ascii="Arial" w:hAnsi="Arial" w:cs="Arial"/>
          <w:noProof/>
          <w:lang w:eastAsia="ja-JP"/>
        </w:rPr>
        <w:tab/>
      </w:r>
      <w:r w:rsidRPr="00D01269">
        <w:rPr>
          <w:rFonts w:ascii="Arial" w:hAnsi="Arial" w:cs="Arial"/>
          <w:noProof/>
        </w:rPr>
        <w:t>Background and Major Results</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_Toc478138869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47</w:t>
      </w:r>
      <w:r w:rsidRPr="00D01269">
        <w:rPr>
          <w:rFonts w:ascii="Arial" w:hAnsi="Arial" w:cs="Arial"/>
          <w:noProof/>
        </w:rPr>
        <w:fldChar w:fldCharType="end"/>
      </w:r>
    </w:p>
    <w:p w14:paraId="6CADF0FF"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2.</w:t>
      </w:r>
      <w:r w:rsidRPr="00D01269">
        <w:rPr>
          <w:rFonts w:ascii="Arial" w:hAnsi="Arial" w:cs="Arial"/>
          <w:noProof/>
          <w:lang w:eastAsia="ja-JP"/>
        </w:rPr>
        <w:tab/>
      </w:r>
      <w:r w:rsidRPr="00D01269">
        <w:rPr>
          <w:rFonts w:ascii="Arial" w:hAnsi="Arial" w:cs="Arial"/>
          <w:noProof/>
        </w:rPr>
        <w:t>Conclusions</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_Toc478138870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52</w:t>
      </w:r>
      <w:r w:rsidRPr="00D01269">
        <w:rPr>
          <w:rFonts w:ascii="Arial" w:hAnsi="Arial" w:cs="Arial"/>
          <w:noProof/>
        </w:rPr>
        <w:fldChar w:fldCharType="end"/>
      </w:r>
    </w:p>
    <w:p w14:paraId="680352FB" w14:textId="77777777" w:rsidR="00D01269" w:rsidRPr="00D01269" w:rsidRDefault="00D01269">
      <w:pPr>
        <w:pStyle w:val="TOC2"/>
        <w:tabs>
          <w:tab w:val="left" w:pos="671"/>
        </w:tabs>
        <w:rPr>
          <w:rFonts w:ascii="Arial" w:hAnsi="Arial" w:cs="Arial"/>
          <w:smallCaps w:val="0"/>
          <w:noProof/>
          <w:sz w:val="18"/>
          <w:szCs w:val="18"/>
          <w:lang w:eastAsia="ja-JP"/>
        </w:rPr>
      </w:pPr>
      <w:r w:rsidRPr="00D01269">
        <w:rPr>
          <w:rFonts w:ascii="Arial" w:hAnsi="Arial" w:cs="Arial"/>
          <w:noProof/>
          <w:sz w:val="18"/>
          <w:szCs w:val="18"/>
        </w:rPr>
        <w:t>D.</w:t>
      </w:r>
      <w:r w:rsidRPr="00D01269">
        <w:rPr>
          <w:rFonts w:ascii="Arial" w:hAnsi="Arial" w:cs="Arial"/>
          <w:smallCaps w:val="0"/>
          <w:noProof/>
          <w:sz w:val="18"/>
          <w:szCs w:val="18"/>
          <w:lang w:eastAsia="ja-JP"/>
        </w:rPr>
        <w:tab/>
      </w:r>
      <w:r w:rsidRPr="00D01269">
        <w:rPr>
          <w:rFonts w:ascii="Arial" w:hAnsi="Arial" w:cs="Arial"/>
          <w:noProof/>
          <w:sz w:val="18"/>
          <w:szCs w:val="18"/>
        </w:rPr>
        <w:t>Outcome 2: Civil Service Reform and Human Resource Management</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_Toc478138871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53</w:t>
      </w:r>
      <w:r w:rsidRPr="00D01269">
        <w:rPr>
          <w:rFonts w:ascii="Arial" w:hAnsi="Arial" w:cs="Arial"/>
          <w:noProof/>
          <w:sz w:val="18"/>
          <w:szCs w:val="18"/>
        </w:rPr>
        <w:fldChar w:fldCharType="end"/>
      </w:r>
    </w:p>
    <w:p w14:paraId="62935A32"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1.</w:t>
      </w:r>
      <w:r w:rsidRPr="00D01269">
        <w:rPr>
          <w:rFonts w:ascii="Arial" w:hAnsi="Arial" w:cs="Arial"/>
          <w:noProof/>
          <w:lang w:eastAsia="ja-JP"/>
        </w:rPr>
        <w:tab/>
      </w:r>
      <w:r w:rsidRPr="00D01269">
        <w:rPr>
          <w:rFonts w:ascii="Arial" w:hAnsi="Arial" w:cs="Arial"/>
          <w:noProof/>
        </w:rPr>
        <w:t>Background and Major Results</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_Toc478138872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53</w:t>
      </w:r>
      <w:r w:rsidRPr="00D01269">
        <w:rPr>
          <w:rFonts w:ascii="Arial" w:hAnsi="Arial" w:cs="Arial"/>
          <w:noProof/>
        </w:rPr>
        <w:fldChar w:fldCharType="end"/>
      </w:r>
    </w:p>
    <w:p w14:paraId="49F82966"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2.</w:t>
      </w:r>
      <w:r w:rsidRPr="00D01269">
        <w:rPr>
          <w:rFonts w:ascii="Arial" w:hAnsi="Arial" w:cs="Arial"/>
          <w:noProof/>
          <w:lang w:eastAsia="ja-JP"/>
        </w:rPr>
        <w:tab/>
      </w:r>
      <w:r w:rsidRPr="00D01269">
        <w:rPr>
          <w:rFonts w:ascii="Arial" w:hAnsi="Arial" w:cs="Arial"/>
          <w:noProof/>
        </w:rPr>
        <w:t>Conclusions</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_Toc478138873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58</w:t>
      </w:r>
      <w:r w:rsidRPr="00D01269">
        <w:rPr>
          <w:rFonts w:ascii="Arial" w:hAnsi="Arial" w:cs="Arial"/>
          <w:noProof/>
        </w:rPr>
        <w:fldChar w:fldCharType="end"/>
      </w:r>
    </w:p>
    <w:p w14:paraId="505903D9" w14:textId="77777777" w:rsidR="00D01269" w:rsidRPr="00D01269" w:rsidRDefault="00D01269">
      <w:pPr>
        <w:pStyle w:val="TOC2"/>
        <w:tabs>
          <w:tab w:val="left" w:pos="652"/>
        </w:tabs>
        <w:rPr>
          <w:rFonts w:ascii="Arial" w:hAnsi="Arial" w:cs="Arial"/>
          <w:smallCaps w:val="0"/>
          <w:noProof/>
          <w:sz w:val="18"/>
          <w:szCs w:val="18"/>
          <w:lang w:eastAsia="ja-JP"/>
        </w:rPr>
      </w:pPr>
      <w:r w:rsidRPr="00D01269">
        <w:rPr>
          <w:rFonts w:ascii="Arial" w:hAnsi="Arial" w:cs="Arial"/>
          <w:noProof/>
          <w:sz w:val="18"/>
          <w:szCs w:val="18"/>
        </w:rPr>
        <w:t>E.</w:t>
      </w:r>
      <w:r w:rsidRPr="00D01269">
        <w:rPr>
          <w:rFonts w:ascii="Arial" w:hAnsi="Arial" w:cs="Arial"/>
          <w:smallCaps w:val="0"/>
          <w:noProof/>
          <w:sz w:val="18"/>
          <w:szCs w:val="18"/>
          <w:lang w:eastAsia="ja-JP"/>
        </w:rPr>
        <w:tab/>
      </w:r>
      <w:r w:rsidRPr="00D01269">
        <w:rPr>
          <w:rFonts w:ascii="Arial" w:hAnsi="Arial" w:cs="Arial"/>
          <w:noProof/>
          <w:sz w:val="18"/>
          <w:szCs w:val="18"/>
        </w:rPr>
        <w:t>Outcome 3: Public Service Delivery</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_Toc478138874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60</w:t>
      </w:r>
      <w:r w:rsidRPr="00D01269">
        <w:rPr>
          <w:rFonts w:ascii="Arial" w:hAnsi="Arial" w:cs="Arial"/>
          <w:noProof/>
          <w:sz w:val="18"/>
          <w:szCs w:val="18"/>
        </w:rPr>
        <w:fldChar w:fldCharType="end"/>
      </w:r>
    </w:p>
    <w:p w14:paraId="01F574DA"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1.</w:t>
      </w:r>
      <w:r w:rsidRPr="00D01269">
        <w:rPr>
          <w:rFonts w:ascii="Arial" w:hAnsi="Arial" w:cs="Arial"/>
          <w:noProof/>
          <w:lang w:eastAsia="ja-JP"/>
        </w:rPr>
        <w:tab/>
      </w:r>
      <w:r w:rsidRPr="00D01269">
        <w:rPr>
          <w:rFonts w:ascii="Arial" w:hAnsi="Arial" w:cs="Arial"/>
          <w:noProof/>
        </w:rPr>
        <w:t>Background and Major Results</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_Toc478138875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60</w:t>
      </w:r>
      <w:r w:rsidRPr="00D01269">
        <w:rPr>
          <w:rFonts w:ascii="Arial" w:hAnsi="Arial" w:cs="Arial"/>
          <w:noProof/>
        </w:rPr>
        <w:fldChar w:fldCharType="end"/>
      </w:r>
    </w:p>
    <w:p w14:paraId="40907A94" w14:textId="77777777" w:rsidR="00D01269" w:rsidRPr="00D01269" w:rsidRDefault="00D01269">
      <w:pPr>
        <w:pStyle w:val="TOC4"/>
        <w:tabs>
          <w:tab w:val="left" w:pos="1097"/>
        </w:tabs>
        <w:rPr>
          <w:rFonts w:ascii="Arial" w:hAnsi="Arial" w:cs="Arial"/>
          <w:noProof/>
          <w:lang w:eastAsia="ja-JP"/>
        </w:rPr>
      </w:pPr>
      <w:r w:rsidRPr="00D01269">
        <w:rPr>
          <w:rFonts w:ascii="Arial" w:hAnsi="Arial" w:cs="Arial"/>
          <w:noProof/>
        </w:rPr>
        <w:t>2.</w:t>
      </w:r>
      <w:r w:rsidRPr="00D01269">
        <w:rPr>
          <w:rFonts w:ascii="Arial" w:hAnsi="Arial" w:cs="Arial"/>
          <w:noProof/>
          <w:lang w:eastAsia="ja-JP"/>
        </w:rPr>
        <w:tab/>
      </w:r>
      <w:r w:rsidRPr="00D01269">
        <w:rPr>
          <w:rFonts w:ascii="Arial" w:hAnsi="Arial" w:cs="Arial"/>
          <w:noProof/>
        </w:rPr>
        <w:t>Conclusions</w:t>
      </w:r>
      <w:r w:rsidRPr="00D01269">
        <w:rPr>
          <w:rFonts w:ascii="Arial" w:hAnsi="Arial" w:cs="Arial"/>
          <w:noProof/>
        </w:rPr>
        <w:tab/>
      </w:r>
      <w:r w:rsidRPr="00D01269">
        <w:rPr>
          <w:rFonts w:ascii="Arial" w:hAnsi="Arial" w:cs="Arial"/>
          <w:noProof/>
        </w:rPr>
        <w:fldChar w:fldCharType="begin"/>
      </w:r>
      <w:r w:rsidRPr="00D01269">
        <w:rPr>
          <w:rFonts w:ascii="Arial" w:hAnsi="Arial" w:cs="Arial"/>
          <w:noProof/>
        </w:rPr>
        <w:instrText xml:space="preserve"> PAGEREF _Toc478138876 \h </w:instrText>
      </w:r>
      <w:r w:rsidRPr="00D01269">
        <w:rPr>
          <w:rFonts w:ascii="Arial" w:hAnsi="Arial" w:cs="Arial"/>
          <w:noProof/>
        </w:rPr>
      </w:r>
      <w:r w:rsidRPr="00D01269">
        <w:rPr>
          <w:rFonts w:ascii="Arial" w:hAnsi="Arial" w:cs="Arial"/>
          <w:noProof/>
        </w:rPr>
        <w:fldChar w:fldCharType="separate"/>
      </w:r>
      <w:r w:rsidR="008C1E0E">
        <w:rPr>
          <w:rFonts w:ascii="Arial" w:hAnsi="Arial" w:cs="Arial"/>
          <w:noProof/>
        </w:rPr>
        <w:t>64</w:t>
      </w:r>
      <w:r w:rsidRPr="00D01269">
        <w:rPr>
          <w:rFonts w:ascii="Arial" w:hAnsi="Arial" w:cs="Arial"/>
          <w:noProof/>
        </w:rPr>
        <w:fldChar w:fldCharType="end"/>
      </w:r>
    </w:p>
    <w:p w14:paraId="01BB6021" w14:textId="77777777" w:rsidR="00D01269" w:rsidRPr="00D01269" w:rsidRDefault="00D01269">
      <w:pPr>
        <w:pStyle w:val="TOC2"/>
        <w:tabs>
          <w:tab w:val="left" w:pos="643"/>
        </w:tabs>
        <w:rPr>
          <w:rFonts w:ascii="Arial" w:hAnsi="Arial" w:cs="Arial"/>
          <w:smallCaps w:val="0"/>
          <w:noProof/>
          <w:sz w:val="18"/>
          <w:szCs w:val="18"/>
          <w:lang w:eastAsia="ja-JP"/>
        </w:rPr>
      </w:pPr>
      <w:r w:rsidRPr="00D01269">
        <w:rPr>
          <w:rFonts w:ascii="Arial" w:hAnsi="Arial" w:cs="Arial"/>
          <w:noProof/>
          <w:sz w:val="18"/>
          <w:szCs w:val="18"/>
        </w:rPr>
        <w:t>F.</w:t>
      </w:r>
      <w:r w:rsidRPr="00D01269">
        <w:rPr>
          <w:rFonts w:ascii="Arial" w:hAnsi="Arial" w:cs="Arial"/>
          <w:smallCaps w:val="0"/>
          <w:noProof/>
          <w:sz w:val="18"/>
          <w:szCs w:val="18"/>
          <w:lang w:eastAsia="ja-JP"/>
        </w:rPr>
        <w:tab/>
      </w:r>
      <w:r w:rsidRPr="00D01269">
        <w:rPr>
          <w:rFonts w:ascii="Arial" w:hAnsi="Arial" w:cs="Arial"/>
          <w:noProof/>
          <w:sz w:val="18"/>
          <w:szCs w:val="18"/>
        </w:rPr>
        <w:t>Lesson Learned</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_Toc478138877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65</w:t>
      </w:r>
      <w:r w:rsidRPr="00D01269">
        <w:rPr>
          <w:rFonts w:ascii="Arial" w:hAnsi="Arial" w:cs="Arial"/>
          <w:noProof/>
          <w:sz w:val="18"/>
          <w:szCs w:val="18"/>
        </w:rPr>
        <w:fldChar w:fldCharType="end"/>
      </w:r>
    </w:p>
    <w:p w14:paraId="0C638CBC" w14:textId="77777777" w:rsidR="00D01269" w:rsidRPr="00D01269" w:rsidRDefault="00D01269">
      <w:pPr>
        <w:pStyle w:val="TOC1"/>
        <w:tabs>
          <w:tab w:val="left" w:pos="507"/>
          <w:tab w:val="right" w:leader="dot" w:pos="9350"/>
        </w:tabs>
        <w:rPr>
          <w:rFonts w:ascii="Arial" w:hAnsi="Arial" w:cs="Arial"/>
          <w:b w:val="0"/>
          <w:caps w:val="0"/>
          <w:noProof/>
          <w:sz w:val="18"/>
          <w:szCs w:val="18"/>
          <w:lang w:eastAsia="ja-JP"/>
        </w:rPr>
      </w:pPr>
      <w:r w:rsidRPr="00D01269">
        <w:rPr>
          <w:rFonts w:ascii="Arial" w:hAnsi="Arial" w:cs="Arial"/>
          <w:noProof/>
          <w:sz w:val="18"/>
          <w:szCs w:val="18"/>
        </w:rPr>
        <w:t>IV.</w:t>
      </w:r>
      <w:r w:rsidRPr="00D01269">
        <w:rPr>
          <w:rFonts w:ascii="Arial" w:hAnsi="Arial" w:cs="Arial"/>
          <w:b w:val="0"/>
          <w:caps w:val="0"/>
          <w:noProof/>
          <w:sz w:val="18"/>
          <w:szCs w:val="18"/>
          <w:lang w:eastAsia="ja-JP"/>
        </w:rPr>
        <w:tab/>
      </w:r>
      <w:r w:rsidRPr="00D01269">
        <w:rPr>
          <w:rFonts w:ascii="Arial" w:hAnsi="Arial" w:cs="Arial"/>
          <w:noProof/>
          <w:sz w:val="18"/>
          <w:szCs w:val="18"/>
        </w:rPr>
        <w:t>Key Recommendations and Next Steps for a Future Cycle of Reform</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_Toc478138878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70</w:t>
      </w:r>
      <w:r w:rsidRPr="00D01269">
        <w:rPr>
          <w:rFonts w:ascii="Arial" w:hAnsi="Arial" w:cs="Arial"/>
          <w:noProof/>
          <w:sz w:val="18"/>
          <w:szCs w:val="18"/>
        </w:rPr>
        <w:fldChar w:fldCharType="end"/>
      </w:r>
    </w:p>
    <w:p w14:paraId="621ACB5C" w14:textId="77777777" w:rsidR="00D01269" w:rsidRPr="00D01269" w:rsidRDefault="00D01269">
      <w:pPr>
        <w:pStyle w:val="TOC2"/>
        <w:tabs>
          <w:tab w:val="left" w:pos="647"/>
        </w:tabs>
        <w:rPr>
          <w:rFonts w:ascii="Arial" w:hAnsi="Arial" w:cs="Arial"/>
          <w:smallCaps w:val="0"/>
          <w:noProof/>
          <w:sz w:val="18"/>
          <w:szCs w:val="18"/>
          <w:lang w:eastAsia="ja-JP"/>
        </w:rPr>
      </w:pPr>
      <w:r w:rsidRPr="00D01269">
        <w:rPr>
          <w:rFonts w:ascii="Arial" w:hAnsi="Arial" w:cs="Arial"/>
          <w:noProof/>
          <w:sz w:val="18"/>
          <w:szCs w:val="18"/>
        </w:rPr>
        <w:t>1.</w:t>
      </w:r>
      <w:r w:rsidRPr="00D01269">
        <w:rPr>
          <w:rFonts w:ascii="Arial" w:hAnsi="Arial" w:cs="Arial"/>
          <w:smallCaps w:val="0"/>
          <w:noProof/>
          <w:sz w:val="18"/>
          <w:szCs w:val="18"/>
          <w:lang w:eastAsia="ja-JP"/>
        </w:rPr>
        <w:tab/>
      </w:r>
      <w:r w:rsidRPr="00D01269">
        <w:rPr>
          <w:rFonts w:ascii="Arial" w:hAnsi="Arial" w:cs="Arial"/>
          <w:noProof/>
          <w:sz w:val="18"/>
          <w:szCs w:val="18"/>
        </w:rPr>
        <w:t>PAR is for Real and Making Progress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_Toc478138879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70</w:t>
      </w:r>
      <w:r w:rsidRPr="00D01269">
        <w:rPr>
          <w:rFonts w:ascii="Arial" w:hAnsi="Arial" w:cs="Arial"/>
          <w:noProof/>
          <w:sz w:val="18"/>
          <w:szCs w:val="18"/>
        </w:rPr>
        <w:fldChar w:fldCharType="end"/>
      </w:r>
    </w:p>
    <w:p w14:paraId="38F868B2" w14:textId="77777777" w:rsidR="00D01269" w:rsidRPr="00D01269" w:rsidRDefault="00D01269">
      <w:pPr>
        <w:pStyle w:val="TOC2"/>
        <w:tabs>
          <w:tab w:val="left" w:pos="647"/>
        </w:tabs>
        <w:rPr>
          <w:rFonts w:ascii="Arial" w:hAnsi="Arial" w:cs="Arial"/>
          <w:smallCaps w:val="0"/>
          <w:noProof/>
          <w:sz w:val="18"/>
          <w:szCs w:val="18"/>
          <w:lang w:eastAsia="ja-JP"/>
        </w:rPr>
      </w:pPr>
      <w:r w:rsidRPr="00D01269">
        <w:rPr>
          <w:rFonts w:ascii="Arial" w:hAnsi="Arial" w:cs="Arial"/>
          <w:noProof/>
          <w:sz w:val="18"/>
          <w:szCs w:val="18"/>
        </w:rPr>
        <w:t>2.</w:t>
      </w:r>
      <w:r w:rsidRPr="00D01269">
        <w:rPr>
          <w:rFonts w:ascii="Arial" w:hAnsi="Arial" w:cs="Arial"/>
          <w:smallCaps w:val="0"/>
          <w:noProof/>
          <w:sz w:val="18"/>
          <w:szCs w:val="18"/>
          <w:lang w:eastAsia="ja-JP"/>
        </w:rPr>
        <w:tab/>
      </w:r>
      <w:r w:rsidRPr="00D01269">
        <w:rPr>
          <w:rFonts w:ascii="Arial" w:hAnsi="Arial" w:cs="Arial"/>
          <w:noProof/>
          <w:sz w:val="18"/>
          <w:szCs w:val="18"/>
        </w:rPr>
        <w:t>Unfinished Business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_Toc478138880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71</w:t>
      </w:r>
      <w:r w:rsidRPr="00D01269">
        <w:rPr>
          <w:rFonts w:ascii="Arial" w:hAnsi="Arial" w:cs="Arial"/>
          <w:noProof/>
          <w:sz w:val="18"/>
          <w:szCs w:val="18"/>
        </w:rPr>
        <w:fldChar w:fldCharType="end"/>
      </w:r>
    </w:p>
    <w:p w14:paraId="2CD54EE1" w14:textId="77777777" w:rsidR="00D01269" w:rsidRPr="00D01269" w:rsidRDefault="00D01269">
      <w:pPr>
        <w:pStyle w:val="TOC2"/>
        <w:tabs>
          <w:tab w:val="left" w:pos="647"/>
        </w:tabs>
        <w:rPr>
          <w:rFonts w:ascii="Arial" w:hAnsi="Arial" w:cs="Arial"/>
          <w:smallCaps w:val="0"/>
          <w:noProof/>
          <w:sz w:val="18"/>
          <w:szCs w:val="18"/>
          <w:lang w:eastAsia="ja-JP"/>
        </w:rPr>
      </w:pPr>
      <w:r w:rsidRPr="00D01269">
        <w:rPr>
          <w:rFonts w:ascii="Arial" w:hAnsi="Arial" w:cs="Arial"/>
          <w:noProof/>
          <w:sz w:val="18"/>
          <w:szCs w:val="18"/>
        </w:rPr>
        <w:t>3.</w:t>
      </w:r>
      <w:r w:rsidRPr="00D01269">
        <w:rPr>
          <w:rFonts w:ascii="Arial" w:hAnsi="Arial" w:cs="Arial"/>
          <w:smallCaps w:val="0"/>
          <w:noProof/>
          <w:sz w:val="18"/>
          <w:szCs w:val="18"/>
          <w:lang w:eastAsia="ja-JP"/>
        </w:rPr>
        <w:tab/>
      </w:r>
      <w:r w:rsidRPr="00D01269">
        <w:rPr>
          <w:rFonts w:ascii="Arial" w:hAnsi="Arial" w:cs="Arial"/>
          <w:noProof/>
          <w:sz w:val="18"/>
          <w:szCs w:val="18"/>
        </w:rPr>
        <w:t>Recommendations to Move Forward</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_Toc478138881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74</w:t>
      </w:r>
      <w:r w:rsidRPr="00D01269">
        <w:rPr>
          <w:rFonts w:ascii="Arial" w:hAnsi="Arial" w:cs="Arial"/>
          <w:noProof/>
          <w:sz w:val="18"/>
          <w:szCs w:val="18"/>
        </w:rPr>
        <w:fldChar w:fldCharType="end"/>
      </w:r>
    </w:p>
    <w:p w14:paraId="0E3FDBE4" w14:textId="0DBAD324" w:rsidR="00D01269" w:rsidRPr="00D01269" w:rsidRDefault="00D01269">
      <w:pPr>
        <w:pStyle w:val="TOC1"/>
        <w:tabs>
          <w:tab w:val="left" w:pos="1199"/>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A:</w:t>
      </w:r>
      <w:r>
        <w:rPr>
          <w:rFonts w:ascii="Arial" w:hAnsi="Arial" w:cs="Arial"/>
          <w:b w:val="0"/>
          <w:caps w:val="0"/>
          <w:noProof/>
          <w:sz w:val="18"/>
          <w:szCs w:val="18"/>
          <w:lang w:eastAsia="ja-JP"/>
        </w:rPr>
        <w:t xml:space="preserve"> </w:t>
      </w:r>
      <w:r w:rsidRPr="00D01269">
        <w:rPr>
          <w:rFonts w:ascii="Arial" w:hAnsi="Arial" w:cs="Arial"/>
          <w:noProof/>
          <w:sz w:val="18"/>
          <w:szCs w:val="18"/>
        </w:rPr>
        <w:t>Terms of Reference</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_Toc478138882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78</w:t>
      </w:r>
      <w:r w:rsidRPr="00D01269">
        <w:rPr>
          <w:rFonts w:ascii="Arial" w:hAnsi="Arial" w:cs="Arial"/>
          <w:noProof/>
          <w:sz w:val="18"/>
          <w:szCs w:val="18"/>
        </w:rPr>
        <w:fldChar w:fldCharType="end"/>
      </w:r>
    </w:p>
    <w:p w14:paraId="42E37E9D" w14:textId="419C0931" w:rsidR="00D01269" w:rsidRPr="00D01269" w:rsidRDefault="00D01269">
      <w:pPr>
        <w:pStyle w:val="TOC1"/>
        <w:tabs>
          <w:tab w:val="left" w:pos="1199"/>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B:</w:t>
      </w:r>
      <w:r>
        <w:rPr>
          <w:rFonts w:ascii="Arial" w:hAnsi="Arial" w:cs="Arial"/>
          <w:b w:val="0"/>
          <w:caps w:val="0"/>
          <w:noProof/>
          <w:sz w:val="18"/>
          <w:szCs w:val="18"/>
          <w:lang w:eastAsia="ja-JP"/>
        </w:rPr>
        <w:t xml:space="preserve"> </w:t>
      </w:r>
      <w:r w:rsidRPr="00D01269">
        <w:rPr>
          <w:rFonts w:ascii="Arial" w:hAnsi="Arial" w:cs="Arial"/>
          <w:noProof/>
          <w:sz w:val="18"/>
          <w:szCs w:val="18"/>
        </w:rPr>
        <w:t>List of Supporting Documents Reviewed</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_Toc478138883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99</w:t>
      </w:r>
      <w:r w:rsidRPr="00D01269">
        <w:rPr>
          <w:rFonts w:ascii="Arial" w:hAnsi="Arial" w:cs="Arial"/>
          <w:noProof/>
          <w:sz w:val="18"/>
          <w:szCs w:val="18"/>
        </w:rPr>
        <w:fldChar w:fldCharType="end"/>
      </w:r>
    </w:p>
    <w:p w14:paraId="2C7D1D23" w14:textId="5C5C9518" w:rsidR="00D01269" w:rsidRPr="00D01269" w:rsidRDefault="00D01269">
      <w:pPr>
        <w:pStyle w:val="TOC1"/>
        <w:tabs>
          <w:tab w:val="left" w:pos="1182"/>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C:</w:t>
      </w:r>
      <w:r>
        <w:rPr>
          <w:rFonts w:ascii="Arial" w:hAnsi="Arial" w:cs="Arial"/>
          <w:b w:val="0"/>
          <w:caps w:val="0"/>
          <w:noProof/>
          <w:sz w:val="18"/>
          <w:szCs w:val="18"/>
          <w:lang w:eastAsia="ja-JP"/>
        </w:rPr>
        <w:t xml:space="preserve"> </w:t>
      </w:r>
      <w:r w:rsidRPr="00D01269">
        <w:rPr>
          <w:rFonts w:ascii="Arial" w:hAnsi="Arial" w:cs="Arial"/>
          <w:noProof/>
          <w:sz w:val="18"/>
          <w:szCs w:val="18"/>
        </w:rPr>
        <w:t>List of Those Interviewed</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_Toc478138884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101</w:t>
      </w:r>
      <w:r w:rsidRPr="00D01269">
        <w:rPr>
          <w:rFonts w:ascii="Arial" w:hAnsi="Arial" w:cs="Arial"/>
          <w:noProof/>
          <w:sz w:val="18"/>
          <w:szCs w:val="18"/>
        </w:rPr>
        <w:fldChar w:fldCharType="end"/>
      </w:r>
    </w:p>
    <w:p w14:paraId="56D381DC" w14:textId="6F6570D2" w:rsidR="00D01269" w:rsidRPr="00D01269" w:rsidRDefault="00D01269">
      <w:pPr>
        <w:pStyle w:val="TOC1"/>
        <w:tabs>
          <w:tab w:val="left" w:pos="1210"/>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D:</w:t>
      </w:r>
      <w:r>
        <w:rPr>
          <w:rFonts w:ascii="Arial" w:hAnsi="Arial" w:cs="Arial"/>
          <w:b w:val="0"/>
          <w:caps w:val="0"/>
          <w:noProof/>
          <w:sz w:val="18"/>
          <w:szCs w:val="18"/>
          <w:lang w:eastAsia="ja-JP"/>
        </w:rPr>
        <w:t xml:space="preserve"> </w:t>
      </w:r>
      <w:r w:rsidRPr="00D01269">
        <w:rPr>
          <w:rFonts w:ascii="Arial" w:hAnsi="Arial" w:cs="Arial"/>
          <w:noProof/>
          <w:sz w:val="18"/>
          <w:szCs w:val="18"/>
        </w:rPr>
        <w:t>List of Project Personnel and Main Contractors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_Toc478138885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103</w:t>
      </w:r>
      <w:r w:rsidRPr="00D01269">
        <w:rPr>
          <w:rFonts w:ascii="Arial" w:hAnsi="Arial" w:cs="Arial"/>
          <w:noProof/>
          <w:sz w:val="18"/>
          <w:szCs w:val="18"/>
        </w:rPr>
        <w:fldChar w:fldCharType="end"/>
      </w:r>
    </w:p>
    <w:p w14:paraId="0B29ACF7" w14:textId="7A6729D1" w:rsidR="00D01269" w:rsidRPr="00D01269" w:rsidRDefault="00D01269">
      <w:pPr>
        <w:pStyle w:val="TOC1"/>
        <w:tabs>
          <w:tab w:val="left" w:pos="1183"/>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E:</w:t>
      </w:r>
      <w:r>
        <w:rPr>
          <w:rFonts w:ascii="Arial" w:hAnsi="Arial" w:cs="Arial"/>
          <w:b w:val="0"/>
          <w:caps w:val="0"/>
          <w:noProof/>
          <w:sz w:val="18"/>
          <w:szCs w:val="18"/>
          <w:lang w:eastAsia="ja-JP"/>
        </w:rPr>
        <w:t xml:space="preserve"> </w:t>
      </w:r>
      <w:r w:rsidRPr="00D01269">
        <w:rPr>
          <w:rFonts w:ascii="Arial" w:hAnsi="Arial" w:cs="Arial"/>
          <w:noProof/>
          <w:sz w:val="18"/>
          <w:szCs w:val="18"/>
        </w:rPr>
        <w:t>Progress Towards Outcomes and Outputs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_Toc478138886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105</w:t>
      </w:r>
      <w:r w:rsidRPr="00D01269">
        <w:rPr>
          <w:rFonts w:ascii="Arial" w:hAnsi="Arial" w:cs="Arial"/>
          <w:noProof/>
          <w:sz w:val="18"/>
          <w:szCs w:val="18"/>
        </w:rPr>
        <w:fldChar w:fldCharType="end"/>
      </w:r>
    </w:p>
    <w:p w14:paraId="58DD439D" w14:textId="6776B75C" w:rsidR="00D01269" w:rsidRPr="00D01269" w:rsidRDefault="00D01269">
      <w:pPr>
        <w:pStyle w:val="TOC1"/>
        <w:tabs>
          <w:tab w:val="left" w:pos="1177"/>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F:</w:t>
      </w:r>
      <w:r>
        <w:rPr>
          <w:rFonts w:ascii="Arial" w:hAnsi="Arial" w:cs="Arial"/>
          <w:b w:val="0"/>
          <w:caps w:val="0"/>
          <w:noProof/>
          <w:sz w:val="18"/>
          <w:szCs w:val="18"/>
          <w:lang w:eastAsia="ja-JP"/>
        </w:rPr>
        <w:t xml:space="preserve"> </w:t>
      </w:r>
      <w:r w:rsidRPr="00D01269">
        <w:rPr>
          <w:rFonts w:ascii="Arial" w:hAnsi="Arial" w:cs="Arial"/>
          <w:noProof/>
          <w:sz w:val="18"/>
          <w:szCs w:val="18"/>
        </w:rPr>
        <w:t>Main PAR Laws, Policies, Decrees, By-Laws, Strategies Prepared</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_Toc478138887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121</w:t>
      </w:r>
      <w:r w:rsidRPr="00D01269">
        <w:rPr>
          <w:rFonts w:ascii="Arial" w:hAnsi="Arial" w:cs="Arial"/>
          <w:noProof/>
          <w:sz w:val="18"/>
          <w:szCs w:val="18"/>
        </w:rPr>
        <w:fldChar w:fldCharType="end"/>
      </w:r>
    </w:p>
    <w:p w14:paraId="3B77CD9B" w14:textId="552F4084" w:rsidR="00D01269" w:rsidRPr="00D01269" w:rsidRDefault="00D01269">
      <w:pPr>
        <w:pStyle w:val="TOC1"/>
        <w:tabs>
          <w:tab w:val="left" w:pos="1142"/>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G:</w:t>
      </w:r>
      <w:r>
        <w:rPr>
          <w:rFonts w:ascii="Arial" w:hAnsi="Arial" w:cs="Arial"/>
          <w:b w:val="0"/>
          <w:caps w:val="0"/>
          <w:noProof/>
          <w:sz w:val="18"/>
          <w:szCs w:val="18"/>
          <w:lang w:eastAsia="ja-JP"/>
        </w:rPr>
        <w:t xml:space="preserve"> </w:t>
      </w:r>
      <w:r w:rsidRPr="00D01269">
        <w:rPr>
          <w:rFonts w:ascii="Arial" w:hAnsi="Arial" w:cs="Arial"/>
          <w:noProof/>
          <w:sz w:val="18"/>
          <w:szCs w:val="18"/>
        </w:rPr>
        <w:t>Accredited Training Programs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_Toc478138888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129</w:t>
      </w:r>
      <w:r w:rsidRPr="00D01269">
        <w:rPr>
          <w:rFonts w:ascii="Arial" w:hAnsi="Arial" w:cs="Arial"/>
          <w:noProof/>
          <w:sz w:val="18"/>
          <w:szCs w:val="18"/>
        </w:rPr>
        <w:fldChar w:fldCharType="end"/>
      </w:r>
    </w:p>
    <w:p w14:paraId="7E17788A" w14:textId="53394F6D" w:rsidR="00D01269" w:rsidRPr="00D01269" w:rsidRDefault="00D01269">
      <w:pPr>
        <w:pStyle w:val="TOC1"/>
        <w:tabs>
          <w:tab w:val="left" w:pos="1141"/>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H:</w:t>
      </w:r>
      <w:r>
        <w:rPr>
          <w:rFonts w:ascii="Arial" w:hAnsi="Arial" w:cs="Arial"/>
          <w:b w:val="0"/>
          <w:caps w:val="0"/>
          <w:noProof/>
          <w:sz w:val="18"/>
          <w:szCs w:val="18"/>
          <w:lang w:eastAsia="ja-JP"/>
        </w:rPr>
        <w:t xml:space="preserve"> </w:t>
      </w:r>
      <w:r w:rsidRPr="00D01269">
        <w:rPr>
          <w:rFonts w:ascii="Arial" w:hAnsi="Arial" w:cs="Arial"/>
          <w:noProof/>
          <w:sz w:val="18"/>
          <w:szCs w:val="18"/>
        </w:rPr>
        <w:t>Key Training Events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_Toc478138889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130</w:t>
      </w:r>
      <w:r w:rsidRPr="00D01269">
        <w:rPr>
          <w:rFonts w:ascii="Arial" w:hAnsi="Arial" w:cs="Arial"/>
          <w:noProof/>
          <w:sz w:val="18"/>
          <w:szCs w:val="18"/>
        </w:rPr>
        <w:fldChar w:fldCharType="end"/>
      </w:r>
    </w:p>
    <w:p w14:paraId="6578400A" w14:textId="6131DDCC" w:rsidR="00D01269" w:rsidRPr="00D01269" w:rsidRDefault="00D01269">
      <w:pPr>
        <w:pStyle w:val="TOC1"/>
        <w:tabs>
          <w:tab w:val="left" w:pos="1061"/>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I:</w:t>
      </w:r>
      <w:r>
        <w:rPr>
          <w:rFonts w:ascii="Arial" w:hAnsi="Arial" w:cs="Arial"/>
          <w:b w:val="0"/>
          <w:caps w:val="0"/>
          <w:noProof/>
          <w:sz w:val="18"/>
          <w:szCs w:val="18"/>
          <w:lang w:eastAsia="ja-JP"/>
        </w:rPr>
        <w:t xml:space="preserve"> </w:t>
      </w:r>
      <w:r w:rsidRPr="00D01269">
        <w:rPr>
          <w:rFonts w:ascii="Arial" w:hAnsi="Arial" w:cs="Arial"/>
          <w:noProof/>
          <w:sz w:val="18"/>
          <w:szCs w:val="18"/>
        </w:rPr>
        <w:t>Emerging Needs - PAR-sponsored Sub Projects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_Toc478138890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135</w:t>
      </w:r>
      <w:r w:rsidRPr="00D01269">
        <w:rPr>
          <w:rFonts w:ascii="Arial" w:hAnsi="Arial" w:cs="Arial"/>
          <w:noProof/>
          <w:sz w:val="18"/>
          <w:szCs w:val="18"/>
        </w:rPr>
        <w:fldChar w:fldCharType="end"/>
      </w:r>
    </w:p>
    <w:p w14:paraId="513DADDA" w14:textId="73EE48FC" w:rsidR="00D01269" w:rsidRPr="00D01269" w:rsidRDefault="00D01269">
      <w:pPr>
        <w:pStyle w:val="TOC1"/>
        <w:tabs>
          <w:tab w:val="left" w:pos="1130"/>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J:</w:t>
      </w:r>
      <w:r>
        <w:rPr>
          <w:rFonts w:ascii="Arial" w:hAnsi="Arial" w:cs="Arial"/>
          <w:b w:val="0"/>
          <w:caps w:val="0"/>
          <w:noProof/>
          <w:sz w:val="18"/>
          <w:szCs w:val="18"/>
          <w:lang w:eastAsia="ja-JP"/>
        </w:rPr>
        <w:t xml:space="preserve"> </w:t>
      </w:r>
      <w:r w:rsidRPr="00D01269">
        <w:rPr>
          <w:rFonts w:ascii="Arial" w:hAnsi="Arial" w:cs="Arial"/>
          <w:noProof/>
          <w:sz w:val="18"/>
          <w:szCs w:val="18"/>
        </w:rPr>
        <w:t>Project-Sponsored Conferences and Public Events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_Toc478138891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142</w:t>
      </w:r>
      <w:r w:rsidRPr="00D01269">
        <w:rPr>
          <w:rFonts w:ascii="Arial" w:hAnsi="Arial" w:cs="Arial"/>
          <w:noProof/>
          <w:sz w:val="18"/>
          <w:szCs w:val="18"/>
        </w:rPr>
        <w:fldChar w:fldCharType="end"/>
      </w:r>
    </w:p>
    <w:p w14:paraId="46436574" w14:textId="2AF6C2AC" w:rsidR="00D01269" w:rsidRPr="00D01269" w:rsidRDefault="00D01269" w:rsidP="00D01269">
      <w:pPr>
        <w:pStyle w:val="TOC1"/>
        <w:tabs>
          <w:tab w:val="left" w:pos="1122"/>
          <w:tab w:val="right" w:leader="dot" w:pos="9350"/>
        </w:tabs>
        <w:ind w:left="1080" w:hanging="1080"/>
        <w:rPr>
          <w:rFonts w:ascii="Arial" w:hAnsi="Arial" w:cs="Arial"/>
          <w:b w:val="0"/>
          <w:caps w:val="0"/>
          <w:noProof/>
          <w:sz w:val="18"/>
          <w:szCs w:val="18"/>
          <w:lang w:eastAsia="ja-JP"/>
        </w:rPr>
      </w:pPr>
      <w:r w:rsidRPr="00D01269">
        <w:rPr>
          <w:rFonts w:ascii="Arial" w:hAnsi="Arial" w:cs="Arial"/>
          <w:noProof/>
          <w:sz w:val="18"/>
          <w:szCs w:val="18"/>
          <w:lang w:val="en-GB"/>
        </w:rPr>
        <w:t>Annex K:</w:t>
      </w:r>
      <w:r>
        <w:rPr>
          <w:rFonts w:ascii="Arial" w:hAnsi="Arial" w:cs="Arial"/>
          <w:b w:val="0"/>
          <w:caps w:val="0"/>
          <w:noProof/>
          <w:sz w:val="18"/>
          <w:szCs w:val="18"/>
          <w:lang w:eastAsia="ja-JP"/>
        </w:rPr>
        <w:t xml:space="preserve"> </w:t>
      </w:r>
      <w:r w:rsidRPr="00D01269">
        <w:rPr>
          <w:rFonts w:ascii="Arial" w:hAnsi="Arial" w:cs="Arial"/>
          <w:noProof/>
          <w:sz w:val="18"/>
          <w:szCs w:val="18"/>
          <w:lang w:val="en-GB"/>
        </w:rPr>
        <w:t>Policy Research Studies, Civil Society Grants, Other Research, Guides, Publications and Videos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_Toc478138892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148</w:t>
      </w:r>
      <w:r w:rsidRPr="00D01269">
        <w:rPr>
          <w:rFonts w:ascii="Arial" w:hAnsi="Arial" w:cs="Arial"/>
          <w:noProof/>
          <w:sz w:val="18"/>
          <w:szCs w:val="18"/>
        </w:rPr>
        <w:fldChar w:fldCharType="end"/>
      </w:r>
    </w:p>
    <w:p w14:paraId="2297E424" w14:textId="5ABFD4FD" w:rsidR="00D01269" w:rsidRPr="00D01269" w:rsidRDefault="00D01269">
      <w:pPr>
        <w:pStyle w:val="TOC1"/>
        <w:tabs>
          <w:tab w:val="left" w:pos="1095"/>
          <w:tab w:val="right" w:leader="dot" w:pos="9350"/>
        </w:tabs>
        <w:rPr>
          <w:rFonts w:ascii="Arial" w:hAnsi="Arial" w:cs="Arial"/>
          <w:b w:val="0"/>
          <w:caps w:val="0"/>
          <w:noProof/>
          <w:sz w:val="18"/>
          <w:szCs w:val="18"/>
          <w:lang w:eastAsia="ja-JP"/>
        </w:rPr>
      </w:pPr>
      <w:r w:rsidRPr="00D01269">
        <w:rPr>
          <w:rFonts w:ascii="Arial" w:hAnsi="Arial" w:cs="Arial"/>
          <w:noProof/>
          <w:sz w:val="18"/>
          <w:szCs w:val="18"/>
          <w:lang w:val="en-GB"/>
        </w:rPr>
        <w:t>Annex L:</w:t>
      </w:r>
      <w:r>
        <w:rPr>
          <w:rFonts w:ascii="Arial" w:hAnsi="Arial" w:cs="Arial"/>
          <w:b w:val="0"/>
          <w:caps w:val="0"/>
          <w:noProof/>
          <w:sz w:val="18"/>
          <w:szCs w:val="18"/>
          <w:lang w:eastAsia="ja-JP"/>
        </w:rPr>
        <w:t xml:space="preserve"> </w:t>
      </w:r>
      <w:r w:rsidRPr="00D01269">
        <w:rPr>
          <w:rFonts w:ascii="Arial" w:hAnsi="Arial" w:cs="Arial"/>
          <w:noProof/>
          <w:sz w:val="18"/>
          <w:szCs w:val="18"/>
          <w:lang w:val="en-GB"/>
        </w:rPr>
        <w:t>Project Supported e-Services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_Toc478138893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166</w:t>
      </w:r>
      <w:r w:rsidRPr="00D01269">
        <w:rPr>
          <w:rFonts w:ascii="Arial" w:hAnsi="Arial" w:cs="Arial"/>
          <w:noProof/>
          <w:sz w:val="18"/>
          <w:szCs w:val="18"/>
        </w:rPr>
        <w:fldChar w:fldCharType="end"/>
      </w:r>
    </w:p>
    <w:p w14:paraId="3817FA1E" w14:textId="116BC566" w:rsidR="00D01269" w:rsidRPr="00D01269" w:rsidRDefault="00D01269">
      <w:pPr>
        <w:pStyle w:val="TOC1"/>
        <w:tabs>
          <w:tab w:val="left" w:pos="1242"/>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M:</w:t>
      </w:r>
      <w:r>
        <w:rPr>
          <w:rFonts w:ascii="Arial" w:hAnsi="Arial" w:cs="Arial"/>
          <w:b w:val="0"/>
          <w:caps w:val="0"/>
          <w:noProof/>
          <w:sz w:val="18"/>
          <w:szCs w:val="18"/>
          <w:lang w:eastAsia="ja-JP"/>
        </w:rPr>
        <w:t xml:space="preserve"> </w:t>
      </w:r>
      <w:r w:rsidRPr="00D01269">
        <w:rPr>
          <w:rFonts w:ascii="Arial" w:hAnsi="Arial" w:cs="Arial"/>
          <w:noProof/>
          <w:sz w:val="18"/>
          <w:szCs w:val="18"/>
        </w:rPr>
        <w:t>Budget Performance by Outcome, by Year and Totals</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_Toc478138894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173</w:t>
      </w:r>
      <w:r w:rsidRPr="00D01269">
        <w:rPr>
          <w:rFonts w:ascii="Arial" w:hAnsi="Arial" w:cs="Arial"/>
          <w:noProof/>
          <w:sz w:val="18"/>
          <w:szCs w:val="18"/>
        </w:rPr>
        <w:fldChar w:fldCharType="end"/>
      </w:r>
    </w:p>
    <w:p w14:paraId="0AE31DDA" w14:textId="5765EDAF" w:rsidR="00D01269" w:rsidRPr="00D01269" w:rsidRDefault="00D01269">
      <w:pPr>
        <w:pStyle w:val="TOC1"/>
        <w:tabs>
          <w:tab w:val="left" w:pos="1205"/>
          <w:tab w:val="right" w:leader="dot" w:pos="9350"/>
        </w:tabs>
        <w:rPr>
          <w:rFonts w:ascii="Arial" w:hAnsi="Arial" w:cs="Arial"/>
          <w:b w:val="0"/>
          <w:caps w:val="0"/>
          <w:noProof/>
          <w:sz w:val="18"/>
          <w:szCs w:val="18"/>
          <w:lang w:eastAsia="ja-JP"/>
        </w:rPr>
      </w:pPr>
      <w:r w:rsidRPr="00D01269">
        <w:rPr>
          <w:rFonts w:ascii="Arial" w:hAnsi="Arial" w:cs="Arial"/>
          <w:noProof/>
          <w:sz w:val="18"/>
          <w:szCs w:val="18"/>
        </w:rPr>
        <w:t>Annex N:</w:t>
      </w:r>
      <w:r>
        <w:rPr>
          <w:rFonts w:ascii="Arial" w:hAnsi="Arial" w:cs="Arial"/>
          <w:b w:val="0"/>
          <w:caps w:val="0"/>
          <w:noProof/>
          <w:sz w:val="18"/>
          <w:szCs w:val="18"/>
          <w:lang w:eastAsia="ja-JP"/>
        </w:rPr>
        <w:t xml:space="preserve"> </w:t>
      </w:r>
      <w:r w:rsidRPr="00D01269">
        <w:rPr>
          <w:rFonts w:ascii="Arial" w:hAnsi="Arial" w:cs="Arial"/>
          <w:noProof/>
          <w:sz w:val="18"/>
          <w:szCs w:val="18"/>
        </w:rPr>
        <w:t>Theory of Change</w:t>
      </w:r>
      <w:r w:rsidRPr="00D01269">
        <w:rPr>
          <w:rFonts w:ascii="Arial" w:hAnsi="Arial" w:cs="Arial"/>
          <w:noProof/>
          <w:sz w:val="18"/>
          <w:szCs w:val="18"/>
        </w:rPr>
        <w:tab/>
      </w:r>
      <w:r w:rsidRPr="00D01269">
        <w:rPr>
          <w:rFonts w:ascii="Arial" w:hAnsi="Arial" w:cs="Arial"/>
          <w:noProof/>
          <w:sz w:val="18"/>
          <w:szCs w:val="18"/>
        </w:rPr>
        <w:fldChar w:fldCharType="begin"/>
      </w:r>
      <w:r w:rsidRPr="00D01269">
        <w:rPr>
          <w:rFonts w:ascii="Arial" w:hAnsi="Arial" w:cs="Arial"/>
          <w:noProof/>
          <w:sz w:val="18"/>
          <w:szCs w:val="18"/>
        </w:rPr>
        <w:instrText xml:space="preserve"> PAGEREF _Toc478138895 \h </w:instrText>
      </w:r>
      <w:r w:rsidRPr="00D01269">
        <w:rPr>
          <w:rFonts w:ascii="Arial" w:hAnsi="Arial" w:cs="Arial"/>
          <w:noProof/>
          <w:sz w:val="18"/>
          <w:szCs w:val="18"/>
        </w:rPr>
      </w:r>
      <w:r w:rsidRPr="00D01269">
        <w:rPr>
          <w:rFonts w:ascii="Arial" w:hAnsi="Arial" w:cs="Arial"/>
          <w:noProof/>
          <w:sz w:val="18"/>
          <w:szCs w:val="18"/>
        </w:rPr>
        <w:fldChar w:fldCharType="separate"/>
      </w:r>
      <w:r w:rsidR="008C1E0E">
        <w:rPr>
          <w:rFonts w:ascii="Arial" w:hAnsi="Arial" w:cs="Arial"/>
          <w:noProof/>
          <w:sz w:val="18"/>
          <w:szCs w:val="18"/>
        </w:rPr>
        <w:t>175</w:t>
      </w:r>
      <w:r w:rsidRPr="00D01269">
        <w:rPr>
          <w:rFonts w:ascii="Arial" w:hAnsi="Arial" w:cs="Arial"/>
          <w:noProof/>
          <w:sz w:val="18"/>
          <w:szCs w:val="18"/>
        </w:rPr>
        <w:fldChar w:fldCharType="end"/>
      </w:r>
    </w:p>
    <w:p w14:paraId="2A7D2B42" w14:textId="573A27A5" w:rsidR="00A90AA7" w:rsidRPr="00D01269" w:rsidRDefault="00B002F8" w:rsidP="00D14389">
      <w:pPr>
        <w:jc w:val="center"/>
        <w:rPr>
          <w:rFonts w:ascii="Arial" w:hAnsi="Arial" w:cs="Arial"/>
          <w:b/>
          <w:sz w:val="18"/>
          <w:szCs w:val="18"/>
        </w:rPr>
      </w:pPr>
      <w:r w:rsidRPr="00D01269">
        <w:rPr>
          <w:rFonts w:ascii="Arial" w:hAnsi="Arial" w:cs="Arial"/>
          <w:b/>
          <w:sz w:val="18"/>
          <w:szCs w:val="18"/>
        </w:rPr>
        <w:fldChar w:fldCharType="end"/>
      </w:r>
    </w:p>
    <w:p w14:paraId="45FCFC93" w14:textId="77777777" w:rsidR="00D01269" w:rsidRDefault="00D01269" w:rsidP="00991536">
      <w:pPr>
        <w:pStyle w:val="Heading4"/>
      </w:pPr>
      <w:bookmarkStart w:id="0" w:name="_Toc478138852"/>
    </w:p>
    <w:p w14:paraId="1EF150D4" w14:textId="77777777" w:rsidR="00C21390" w:rsidRDefault="00C21390" w:rsidP="00991536">
      <w:pPr>
        <w:pStyle w:val="Heading4"/>
      </w:pPr>
      <w:r>
        <w:t>List of Acronyms</w:t>
      </w:r>
      <w:bookmarkEnd w:id="0"/>
    </w:p>
    <w:p w14:paraId="2AB6A44B" w14:textId="77777777" w:rsidR="00C21390" w:rsidRDefault="00C21390" w:rsidP="00C21390">
      <w:pPr>
        <w:jc w:val="both"/>
        <w:rPr>
          <w:rFonts w:ascii="Arial" w:hAnsi="Arial"/>
          <w:b/>
          <w:sz w:val="22"/>
          <w:szCs w:val="22"/>
        </w:rPr>
      </w:pPr>
    </w:p>
    <w:p w14:paraId="4DB779DB" w14:textId="77777777" w:rsidR="003D5173" w:rsidRDefault="003D5173" w:rsidP="009F6A7A">
      <w:pPr>
        <w:rPr>
          <w:rFonts w:ascii="Arial" w:hAnsi="Arial"/>
          <w:sz w:val="22"/>
          <w:szCs w:val="22"/>
        </w:rPr>
      </w:pPr>
      <w:r>
        <w:rPr>
          <w:rFonts w:ascii="Arial" w:hAnsi="Arial"/>
          <w:sz w:val="22"/>
          <w:szCs w:val="22"/>
        </w:rPr>
        <w:t>AA</w:t>
      </w:r>
      <w:r>
        <w:rPr>
          <w:rFonts w:ascii="Arial" w:hAnsi="Arial"/>
          <w:sz w:val="22"/>
          <w:szCs w:val="22"/>
        </w:rPr>
        <w:tab/>
      </w:r>
      <w:r>
        <w:rPr>
          <w:rFonts w:ascii="Arial" w:hAnsi="Arial"/>
          <w:sz w:val="22"/>
          <w:szCs w:val="22"/>
        </w:rPr>
        <w:tab/>
        <w:t>Association Agreement</w:t>
      </w:r>
    </w:p>
    <w:p w14:paraId="12CA9CE1" w14:textId="77777777" w:rsidR="003D5173" w:rsidRDefault="003D5173" w:rsidP="009F6A7A">
      <w:pPr>
        <w:rPr>
          <w:rFonts w:ascii="Arial" w:hAnsi="Arial"/>
          <w:sz w:val="22"/>
          <w:szCs w:val="22"/>
        </w:rPr>
      </w:pPr>
      <w:proofErr w:type="spellStart"/>
      <w:r>
        <w:rPr>
          <w:rFonts w:ascii="Arial" w:hAnsi="Arial"/>
          <w:sz w:val="22"/>
          <w:szCs w:val="22"/>
        </w:rPr>
        <w:t>AoG</w:t>
      </w:r>
      <w:proofErr w:type="spellEnd"/>
      <w:r>
        <w:rPr>
          <w:rFonts w:ascii="Arial" w:hAnsi="Arial"/>
          <w:sz w:val="22"/>
          <w:szCs w:val="22"/>
        </w:rPr>
        <w:tab/>
      </w:r>
      <w:r>
        <w:rPr>
          <w:rFonts w:ascii="Arial" w:hAnsi="Arial"/>
          <w:sz w:val="22"/>
          <w:szCs w:val="22"/>
        </w:rPr>
        <w:tab/>
        <w:t>Administration of the Government of Georgia</w:t>
      </w:r>
    </w:p>
    <w:p w14:paraId="01F120CF" w14:textId="77777777" w:rsidR="003D5173" w:rsidRDefault="003D5173" w:rsidP="009F6A7A">
      <w:pPr>
        <w:rPr>
          <w:rFonts w:ascii="Arial" w:hAnsi="Arial"/>
          <w:sz w:val="22"/>
          <w:szCs w:val="22"/>
        </w:rPr>
      </w:pPr>
      <w:r>
        <w:rPr>
          <w:rFonts w:ascii="Arial" w:hAnsi="Arial"/>
          <w:sz w:val="22"/>
          <w:szCs w:val="22"/>
        </w:rPr>
        <w:t>CAF</w:t>
      </w:r>
      <w:r>
        <w:rPr>
          <w:rFonts w:ascii="Arial" w:hAnsi="Arial"/>
          <w:sz w:val="22"/>
          <w:szCs w:val="22"/>
        </w:rPr>
        <w:tab/>
      </w:r>
      <w:r>
        <w:rPr>
          <w:rFonts w:ascii="Arial" w:hAnsi="Arial"/>
          <w:sz w:val="22"/>
          <w:szCs w:val="22"/>
        </w:rPr>
        <w:tab/>
        <w:t>Common Assessment Framework</w:t>
      </w:r>
    </w:p>
    <w:p w14:paraId="1A845A1A" w14:textId="77777777" w:rsidR="003D5173" w:rsidRDefault="003D5173" w:rsidP="009F6A7A">
      <w:pPr>
        <w:rPr>
          <w:rFonts w:ascii="Arial" w:hAnsi="Arial"/>
          <w:sz w:val="22"/>
          <w:szCs w:val="22"/>
        </w:rPr>
      </w:pPr>
      <w:r>
        <w:rPr>
          <w:rFonts w:ascii="Arial" w:hAnsi="Arial"/>
          <w:sz w:val="22"/>
          <w:szCs w:val="22"/>
        </w:rPr>
        <w:t>CSB</w:t>
      </w:r>
      <w:r>
        <w:rPr>
          <w:rFonts w:ascii="Arial" w:hAnsi="Arial"/>
          <w:sz w:val="22"/>
          <w:szCs w:val="22"/>
        </w:rPr>
        <w:tab/>
      </w:r>
      <w:r>
        <w:rPr>
          <w:rFonts w:ascii="Arial" w:hAnsi="Arial"/>
          <w:sz w:val="22"/>
          <w:szCs w:val="22"/>
        </w:rPr>
        <w:tab/>
        <w:t>Civil Service Bureau</w:t>
      </w:r>
    </w:p>
    <w:p w14:paraId="62815410" w14:textId="77777777" w:rsidR="003D5173" w:rsidRDefault="003D5173" w:rsidP="009F6A7A">
      <w:pPr>
        <w:rPr>
          <w:rFonts w:ascii="Arial" w:hAnsi="Arial"/>
          <w:sz w:val="22"/>
          <w:szCs w:val="22"/>
        </w:rPr>
      </w:pPr>
      <w:r>
        <w:rPr>
          <w:rFonts w:ascii="Arial" w:hAnsi="Arial"/>
          <w:sz w:val="22"/>
          <w:szCs w:val="22"/>
        </w:rPr>
        <w:t>CSOs</w:t>
      </w:r>
      <w:r>
        <w:rPr>
          <w:rFonts w:ascii="Arial" w:hAnsi="Arial"/>
          <w:sz w:val="22"/>
          <w:szCs w:val="22"/>
        </w:rPr>
        <w:tab/>
      </w:r>
      <w:r>
        <w:rPr>
          <w:rFonts w:ascii="Arial" w:hAnsi="Arial"/>
          <w:sz w:val="22"/>
          <w:szCs w:val="22"/>
        </w:rPr>
        <w:tab/>
        <w:t>Civil Society Organizations</w:t>
      </w:r>
    </w:p>
    <w:p w14:paraId="1682D8A2" w14:textId="77777777" w:rsidR="003D5173" w:rsidRPr="00A47EFC" w:rsidRDefault="003D5173" w:rsidP="009F6A7A">
      <w:pPr>
        <w:rPr>
          <w:rFonts w:ascii="Arial" w:hAnsi="Arial"/>
          <w:sz w:val="22"/>
          <w:szCs w:val="22"/>
        </w:rPr>
      </w:pPr>
      <w:r>
        <w:rPr>
          <w:rFonts w:ascii="Arial" w:hAnsi="Arial"/>
          <w:sz w:val="22"/>
          <w:szCs w:val="22"/>
        </w:rPr>
        <w:t>DAC</w:t>
      </w:r>
      <w:r>
        <w:rPr>
          <w:rFonts w:ascii="Arial" w:hAnsi="Arial"/>
          <w:sz w:val="22"/>
          <w:szCs w:val="22"/>
        </w:rPr>
        <w:tab/>
      </w:r>
      <w:r>
        <w:rPr>
          <w:rFonts w:ascii="Arial" w:hAnsi="Arial"/>
          <w:sz w:val="22"/>
          <w:szCs w:val="22"/>
        </w:rPr>
        <w:tab/>
        <w:t>Development Assistance Committee</w:t>
      </w:r>
    </w:p>
    <w:p w14:paraId="34BD8B21" w14:textId="77777777" w:rsidR="003D5173" w:rsidRDefault="003D5173" w:rsidP="009F6A7A">
      <w:pPr>
        <w:rPr>
          <w:rFonts w:ascii="Arial" w:hAnsi="Arial"/>
          <w:sz w:val="22"/>
          <w:szCs w:val="22"/>
        </w:rPr>
      </w:pPr>
      <w:r>
        <w:rPr>
          <w:rFonts w:ascii="Arial" w:hAnsi="Arial"/>
          <w:sz w:val="22"/>
          <w:szCs w:val="22"/>
        </w:rPr>
        <w:t>DCFTA</w:t>
      </w:r>
      <w:r>
        <w:rPr>
          <w:rFonts w:ascii="Arial" w:hAnsi="Arial"/>
          <w:sz w:val="22"/>
          <w:szCs w:val="22"/>
        </w:rPr>
        <w:tab/>
        <w:t>Deep and Comprehensive Free Trade Agreement</w:t>
      </w:r>
    </w:p>
    <w:p w14:paraId="668F4761" w14:textId="77777777" w:rsidR="003D5173" w:rsidRDefault="003D5173" w:rsidP="009F6A7A">
      <w:pPr>
        <w:rPr>
          <w:rFonts w:ascii="Arial" w:hAnsi="Arial"/>
          <w:sz w:val="22"/>
          <w:szCs w:val="22"/>
        </w:rPr>
      </w:pPr>
      <w:r>
        <w:rPr>
          <w:rFonts w:ascii="Arial" w:hAnsi="Arial"/>
          <w:sz w:val="22"/>
          <w:szCs w:val="22"/>
        </w:rPr>
        <w:t>DEA</w:t>
      </w:r>
      <w:r>
        <w:rPr>
          <w:rFonts w:ascii="Arial" w:hAnsi="Arial"/>
          <w:sz w:val="22"/>
          <w:szCs w:val="22"/>
        </w:rPr>
        <w:tab/>
      </w:r>
      <w:r>
        <w:rPr>
          <w:rFonts w:ascii="Arial" w:hAnsi="Arial"/>
          <w:sz w:val="22"/>
          <w:szCs w:val="22"/>
        </w:rPr>
        <w:tab/>
        <w:t>Data Exchange Agency (now DGA)</w:t>
      </w:r>
    </w:p>
    <w:p w14:paraId="21B23EA3" w14:textId="77777777" w:rsidR="003D5173" w:rsidRDefault="003D5173" w:rsidP="009F6A7A">
      <w:pPr>
        <w:rPr>
          <w:rFonts w:ascii="Arial" w:hAnsi="Arial"/>
          <w:sz w:val="22"/>
          <w:szCs w:val="22"/>
        </w:rPr>
      </w:pPr>
      <w:r>
        <w:rPr>
          <w:rFonts w:ascii="Arial" w:hAnsi="Arial"/>
          <w:sz w:val="22"/>
          <w:szCs w:val="22"/>
        </w:rPr>
        <w:t>DGA</w:t>
      </w:r>
      <w:r>
        <w:rPr>
          <w:rFonts w:ascii="Arial" w:hAnsi="Arial"/>
          <w:sz w:val="22"/>
          <w:szCs w:val="22"/>
        </w:rPr>
        <w:tab/>
      </w:r>
      <w:r>
        <w:rPr>
          <w:rFonts w:ascii="Arial" w:hAnsi="Arial"/>
          <w:sz w:val="22"/>
          <w:szCs w:val="22"/>
        </w:rPr>
        <w:tab/>
        <w:t>Digital Governance Agency (formerly DEA)</w:t>
      </w:r>
    </w:p>
    <w:p w14:paraId="4E19CA5B" w14:textId="77777777" w:rsidR="003D5173" w:rsidRDefault="003D5173" w:rsidP="009F6A7A">
      <w:pPr>
        <w:rPr>
          <w:rFonts w:ascii="Arial" w:hAnsi="Arial"/>
          <w:sz w:val="22"/>
          <w:szCs w:val="22"/>
        </w:rPr>
      </w:pPr>
      <w:r>
        <w:rPr>
          <w:rFonts w:ascii="Arial" w:hAnsi="Arial"/>
          <w:sz w:val="22"/>
          <w:szCs w:val="22"/>
        </w:rPr>
        <w:t>e-HRMS</w:t>
      </w:r>
      <w:r>
        <w:rPr>
          <w:rFonts w:ascii="Arial" w:hAnsi="Arial"/>
          <w:sz w:val="22"/>
          <w:szCs w:val="22"/>
        </w:rPr>
        <w:tab/>
        <w:t>Human Resource Management System</w:t>
      </w:r>
    </w:p>
    <w:p w14:paraId="4E74E86A" w14:textId="77777777" w:rsidR="003D5173" w:rsidRDefault="003D5173" w:rsidP="009F6A7A">
      <w:pPr>
        <w:rPr>
          <w:rFonts w:ascii="Arial" w:hAnsi="Arial"/>
          <w:sz w:val="22"/>
          <w:szCs w:val="22"/>
        </w:rPr>
      </w:pPr>
      <w:r>
        <w:rPr>
          <w:rFonts w:ascii="Arial" w:hAnsi="Arial"/>
          <w:sz w:val="22"/>
          <w:szCs w:val="22"/>
        </w:rPr>
        <w:t>EU</w:t>
      </w:r>
      <w:r>
        <w:rPr>
          <w:rFonts w:ascii="Arial" w:hAnsi="Arial"/>
          <w:sz w:val="22"/>
          <w:szCs w:val="22"/>
        </w:rPr>
        <w:tab/>
      </w:r>
      <w:r>
        <w:rPr>
          <w:rFonts w:ascii="Arial" w:hAnsi="Arial"/>
          <w:sz w:val="22"/>
          <w:szCs w:val="22"/>
        </w:rPr>
        <w:tab/>
        <w:t>European Union</w:t>
      </w:r>
    </w:p>
    <w:p w14:paraId="7604FECD" w14:textId="77777777" w:rsidR="003D5173" w:rsidRDefault="003D5173" w:rsidP="009F6A7A">
      <w:pPr>
        <w:rPr>
          <w:rFonts w:ascii="Arial" w:hAnsi="Arial"/>
          <w:sz w:val="22"/>
          <w:szCs w:val="22"/>
        </w:rPr>
      </w:pPr>
      <w:r>
        <w:rPr>
          <w:rFonts w:ascii="Arial" w:hAnsi="Arial"/>
          <w:sz w:val="22"/>
          <w:szCs w:val="22"/>
        </w:rPr>
        <w:t>GGI</w:t>
      </w:r>
      <w:r>
        <w:rPr>
          <w:rFonts w:ascii="Arial" w:hAnsi="Arial"/>
          <w:sz w:val="22"/>
          <w:szCs w:val="22"/>
        </w:rPr>
        <w:tab/>
      </w:r>
      <w:r>
        <w:rPr>
          <w:rFonts w:ascii="Arial" w:hAnsi="Arial"/>
          <w:sz w:val="22"/>
          <w:szCs w:val="22"/>
        </w:rPr>
        <w:tab/>
        <w:t>Good Governance Initiative (USAID project)</w:t>
      </w:r>
    </w:p>
    <w:p w14:paraId="38AFE593" w14:textId="77777777" w:rsidR="003D5173" w:rsidRDefault="003D5173" w:rsidP="009F6A7A">
      <w:pPr>
        <w:rPr>
          <w:rFonts w:ascii="Arial" w:hAnsi="Arial"/>
          <w:sz w:val="22"/>
          <w:szCs w:val="22"/>
        </w:rPr>
      </w:pPr>
      <w:r>
        <w:rPr>
          <w:rFonts w:ascii="Arial" w:hAnsi="Arial"/>
          <w:sz w:val="22"/>
          <w:szCs w:val="22"/>
        </w:rPr>
        <w:t>GIZ</w:t>
      </w:r>
      <w:r>
        <w:rPr>
          <w:rFonts w:ascii="Arial" w:hAnsi="Arial"/>
          <w:sz w:val="22"/>
          <w:szCs w:val="22"/>
        </w:rPr>
        <w:tab/>
      </w:r>
      <w:r>
        <w:rPr>
          <w:rFonts w:ascii="Arial" w:hAnsi="Arial"/>
          <w:sz w:val="22"/>
          <w:szCs w:val="22"/>
        </w:rPr>
        <w:tab/>
        <w:t>German Society for International Cooperation</w:t>
      </w:r>
    </w:p>
    <w:p w14:paraId="4F070FD8" w14:textId="77777777" w:rsidR="003D5173" w:rsidRDefault="003D5173" w:rsidP="009F6A7A">
      <w:pPr>
        <w:rPr>
          <w:rFonts w:ascii="Arial" w:hAnsi="Arial"/>
          <w:sz w:val="22"/>
          <w:szCs w:val="22"/>
        </w:rPr>
      </w:pPr>
      <w:proofErr w:type="spellStart"/>
      <w:r>
        <w:rPr>
          <w:rFonts w:ascii="Arial" w:hAnsi="Arial"/>
          <w:sz w:val="22"/>
          <w:szCs w:val="22"/>
        </w:rPr>
        <w:t>GoG</w:t>
      </w:r>
      <w:proofErr w:type="spellEnd"/>
      <w:r>
        <w:rPr>
          <w:rFonts w:ascii="Arial" w:hAnsi="Arial"/>
          <w:sz w:val="22"/>
          <w:szCs w:val="22"/>
        </w:rPr>
        <w:tab/>
      </w:r>
      <w:r>
        <w:rPr>
          <w:rFonts w:ascii="Arial" w:hAnsi="Arial"/>
          <w:sz w:val="22"/>
          <w:szCs w:val="22"/>
        </w:rPr>
        <w:tab/>
        <w:t>Government of Georgia</w:t>
      </w:r>
    </w:p>
    <w:p w14:paraId="5CF7AA55" w14:textId="77777777" w:rsidR="003D5173" w:rsidRDefault="003D5173" w:rsidP="009F6A7A">
      <w:pPr>
        <w:rPr>
          <w:rFonts w:ascii="Arial" w:hAnsi="Arial"/>
          <w:sz w:val="22"/>
          <w:szCs w:val="22"/>
        </w:rPr>
      </w:pPr>
      <w:r>
        <w:rPr>
          <w:rFonts w:ascii="Arial" w:hAnsi="Arial"/>
          <w:sz w:val="22"/>
          <w:szCs w:val="22"/>
        </w:rPr>
        <w:t>GRF</w:t>
      </w:r>
      <w:r>
        <w:rPr>
          <w:rFonts w:ascii="Arial" w:hAnsi="Arial"/>
          <w:sz w:val="22"/>
          <w:szCs w:val="22"/>
        </w:rPr>
        <w:tab/>
      </w:r>
      <w:r>
        <w:rPr>
          <w:rFonts w:ascii="Arial" w:hAnsi="Arial"/>
          <w:sz w:val="22"/>
          <w:szCs w:val="22"/>
        </w:rPr>
        <w:tab/>
        <w:t>Governance Reform Fund</w:t>
      </w:r>
    </w:p>
    <w:p w14:paraId="244E690E" w14:textId="77777777" w:rsidR="003D5173" w:rsidRDefault="003D5173" w:rsidP="009F6A7A">
      <w:pPr>
        <w:rPr>
          <w:rFonts w:ascii="Arial" w:hAnsi="Arial"/>
          <w:sz w:val="22"/>
          <w:szCs w:val="22"/>
        </w:rPr>
      </w:pPr>
      <w:r>
        <w:rPr>
          <w:rFonts w:ascii="Arial" w:hAnsi="Arial"/>
          <w:sz w:val="22"/>
          <w:szCs w:val="22"/>
        </w:rPr>
        <w:t>HR Forum</w:t>
      </w:r>
      <w:r>
        <w:rPr>
          <w:rFonts w:ascii="Arial" w:hAnsi="Arial"/>
          <w:sz w:val="22"/>
          <w:szCs w:val="22"/>
        </w:rPr>
        <w:tab/>
        <w:t>Human Resources Managers’ Forum</w:t>
      </w:r>
    </w:p>
    <w:p w14:paraId="32176B16" w14:textId="61471944" w:rsidR="00B70F10" w:rsidRDefault="00B70F10" w:rsidP="009F6A7A">
      <w:pPr>
        <w:rPr>
          <w:rFonts w:ascii="Arial" w:hAnsi="Arial"/>
          <w:sz w:val="22"/>
          <w:szCs w:val="22"/>
        </w:rPr>
      </w:pPr>
      <w:r>
        <w:rPr>
          <w:rFonts w:ascii="Arial" w:hAnsi="Arial"/>
          <w:sz w:val="22"/>
          <w:szCs w:val="22"/>
        </w:rPr>
        <w:t>IEC</w:t>
      </w:r>
      <w:r>
        <w:rPr>
          <w:rFonts w:ascii="Arial" w:hAnsi="Arial"/>
          <w:sz w:val="22"/>
          <w:szCs w:val="22"/>
        </w:rPr>
        <w:tab/>
      </w:r>
      <w:r>
        <w:rPr>
          <w:rFonts w:ascii="Arial" w:hAnsi="Arial"/>
          <w:sz w:val="22"/>
          <w:szCs w:val="22"/>
        </w:rPr>
        <w:tab/>
        <w:t>International Education Centre of Georgia</w:t>
      </w:r>
    </w:p>
    <w:p w14:paraId="6F210052" w14:textId="77777777" w:rsidR="003D5173" w:rsidRDefault="003D5173" w:rsidP="009F6A7A">
      <w:pPr>
        <w:rPr>
          <w:rFonts w:ascii="Arial" w:hAnsi="Arial"/>
          <w:sz w:val="22"/>
          <w:szCs w:val="22"/>
        </w:rPr>
      </w:pPr>
      <w:r>
        <w:rPr>
          <w:rFonts w:ascii="Arial" w:hAnsi="Arial"/>
          <w:sz w:val="22"/>
          <w:szCs w:val="22"/>
        </w:rPr>
        <w:t>LEPL</w:t>
      </w:r>
      <w:r>
        <w:rPr>
          <w:rFonts w:ascii="Arial" w:hAnsi="Arial"/>
          <w:sz w:val="22"/>
          <w:szCs w:val="22"/>
        </w:rPr>
        <w:tab/>
      </w:r>
      <w:r>
        <w:rPr>
          <w:rFonts w:ascii="Arial" w:hAnsi="Arial"/>
          <w:sz w:val="22"/>
          <w:szCs w:val="22"/>
        </w:rPr>
        <w:tab/>
        <w:t>Legal Entity of Public Law</w:t>
      </w:r>
    </w:p>
    <w:p w14:paraId="60163981" w14:textId="77777777" w:rsidR="003D5173" w:rsidRDefault="003D5173" w:rsidP="009F6A7A">
      <w:pPr>
        <w:rPr>
          <w:rFonts w:ascii="Arial" w:hAnsi="Arial"/>
          <w:sz w:val="22"/>
          <w:szCs w:val="22"/>
        </w:rPr>
      </w:pPr>
      <w:r>
        <w:rPr>
          <w:rFonts w:ascii="Arial" w:hAnsi="Arial"/>
          <w:sz w:val="22"/>
          <w:szCs w:val="22"/>
        </w:rPr>
        <w:t>OECD</w:t>
      </w:r>
      <w:r>
        <w:rPr>
          <w:rFonts w:ascii="Arial" w:hAnsi="Arial"/>
          <w:sz w:val="22"/>
          <w:szCs w:val="22"/>
        </w:rPr>
        <w:tab/>
      </w:r>
      <w:r>
        <w:rPr>
          <w:rFonts w:ascii="Arial" w:hAnsi="Arial"/>
          <w:sz w:val="22"/>
          <w:szCs w:val="22"/>
        </w:rPr>
        <w:tab/>
        <w:t>Organization for Economic Cooperation and Development</w:t>
      </w:r>
    </w:p>
    <w:p w14:paraId="4FA90379" w14:textId="77777777" w:rsidR="003D5173" w:rsidRDefault="003D5173" w:rsidP="009F6A7A">
      <w:pPr>
        <w:rPr>
          <w:rFonts w:ascii="Arial" w:hAnsi="Arial"/>
          <w:sz w:val="22"/>
          <w:szCs w:val="22"/>
        </w:rPr>
      </w:pPr>
      <w:r>
        <w:rPr>
          <w:rFonts w:ascii="Arial" w:hAnsi="Arial"/>
          <w:sz w:val="22"/>
          <w:szCs w:val="22"/>
        </w:rPr>
        <w:t>PAR</w:t>
      </w:r>
      <w:r>
        <w:rPr>
          <w:rFonts w:ascii="Arial" w:hAnsi="Arial"/>
          <w:sz w:val="22"/>
          <w:szCs w:val="22"/>
        </w:rPr>
        <w:tab/>
      </w:r>
      <w:r>
        <w:rPr>
          <w:rFonts w:ascii="Arial" w:hAnsi="Arial"/>
          <w:sz w:val="22"/>
          <w:szCs w:val="22"/>
        </w:rPr>
        <w:tab/>
        <w:t>Public Administration Reform</w:t>
      </w:r>
    </w:p>
    <w:p w14:paraId="21F70B3B" w14:textId="77777777" w:rsidR="003D5173" w:rsidRDefault="003D5173" w:rsidP="009F6A7A">
      <w:pPr>
        <w:rPr>
          <w:rFonts w:ascii="Arial" w:hAnsi="Arial"/>
          <w:sz w:val="22"/>
          <w:szCs w:val="22"/>
        </w:rPr>
      </w:pPr>
      <w:r>
        <w:rPr>
          <w:rFonts w:ascii="Arial" w:hAnsi="Arial"/>
          <w:sz w:val="22"/>
          <w:szCs w:val="22"/>
        </w:rPr>
        <w:t>PSDA</w:t>
      </w:r>
      <w:r>
        <w:rPr>
          <w:rFonts w:ascii="Arial" w:hAnsi="Arial"/>
          <w:sz w:val="22"/>
          <w:szCs w:val="22"/>
        </w:rPr>
        <w:tab/>
      </w:r>
      <w:r>
        <w:rPr>
          <w:rFonts w:ascii="Arial" w:hAnsi="Arial"/>
          <w:sz w:val="22"/>
          <w:szCs w:val="22"/>
        </w:rPr>
        <w:tab/>
        <w:t>Public Service Development Agency</w:t>
      </w:r>
    </w:p>
    <w:p w14:paraId="7FA11F3D" w14:textId="63387526" w:rsidR="00B70F10" w:rsidRDefault="00B70F10" w:rsidP="009F6A7A">
      <w:pPr>
        <w:rPr>
          <w:rFonts w:ascii="Arial" w:hAnsi="Arial"/>
          <w:sz w:val="22"/>
          <w:szCs w:val="22"/>
        </w:rPr>
      </w:pPr>
      <w:r>
        <w:rPr>
          <w:rFonts w:ascii="Arial" w:hAnsi="Arial"/>
          <w:sz w:val="22"/>
          <w:szCs w:val="22"/>
        </w:rPr>
        <w:t>QEC</w:t>
      </w:r>
      <w:r>
        <w:rPr>
          <w:rFonts w:ascii="Arial" w:hAnsi="Arial"/>
          <w:sz w:val="22"/>
          <w:szCs w:val="22"/>
        </w:rPr>
        <w:tab/>
      </w:r>
      <w:r>
        <w:rPr>
          <w:rFonts w:ascii="Arial" w:hAnsi="Arial"/>
          <w:sz w:val="22"/>
          <w:szCs w:val="22"/>
        </w:rPr>
        <w:tab/>
        <w:t>National Centre of Education Quality Enforcement</w:t>
      </w:r>
    </w:p>
    <w:p w14:paraId="1D769AD8" w14:textId="77777777" w:rsidR="003D5173" w:rsidRDefault="003D5173" w:rsidP="009F6A7A">
      <w:pPr>
        <w:rPr>
          <w:rFonts w:ascii="Arial" w:hAnsi="Arial"/>
          <w:sz w:val="22"/>
          <w:szCs w:val="22"/>
        </w:rPr>
      </w:pPr>
      <w:r>
        <w:rPr>
          <w:rFonts w:ascii="Arial" w:hAnsi="Arial"/>
          <w:sz w:val="22"/>
          <w:szCs w:val="22"/>
        </w:rPr>
        <w:t>RRF</w:t>
      </w:r>
      <w:r>
        <w:rPr>
          <w:rFonts w:ascii="Arial" w:hAnsi="Arial"/>
          <w:sz w:val="22"/>
          <w:szCs w:val="22"/>
        </w:rPr>
        <w:tab/>
      </w:r>
      <w:r>
        <w:rPr>
          <w:rFonts w:ascii="Arial" w:hAnsi="Arial"/>
          <w:sz w:val="22"/>
          <w:szCs w:val="22"/>
        </w:rPr>
        <w:tab/>
        <w:t>Results and Resources Framework</w:t>
      </w:r>
    </w:p>
    <w:p w14:paraId="6A1F2416" w14:textId="77777777" w:rsidR="003D5173" w:rsidRDefault="003D5173" w:rsidP="009F6A7A">
      <w:pPr>
        <w:rPr>
          <w:rFonts w:ascii="Arial" w:hAnsi="Arial"/>
          <w:sz w:val="22"/>
          <w:szCs w:val="22"/>
        </w:rPr>
      </w:pPr>
      <w:r>
        <w:rPr>
          <w:rFonts w:ascii="Arial" w:hAnsi="Arial"/>
          <w:sz w:val="22"/>
          <w:szCs w:val="22"/>
        </w:rPr>
        <w:t>SDG</w:t>
      </w:r>
      <w:r>
        <w:rPr>
          <w:rFonts w:ascii="Arial" w:hAnsi="Arial"/>
          <w:sz w:val="22"/>
          <w:szCs w:val="22"/>
        </w:rPr>
        <w:tab/>
      </w:r>
      <w:r>
        <w:rPr>
          <w:rFonts w:ascii="Arial" w:hAnsi="Arial"/>
          <w:sz w:val="22"/>
          <w:szCs w:val="22"/>
        </w:rPr>
        <w:tab/>
        <w:t>Sustainable Development Goal</w:t>
      </w:r>
    </w:p>
    <w:p w14:paraId="47B8551B" w14:textId="77777777" w:rsidR="003D5173" w:rsidRDefault="003D5173" w:rsidP="009F6A7A">
      <w:pPr>
        <w:rPr>
          <w:rFonts w:ascii="Arial" w:hAnsi="Arial"/>
          <w:sz w:val="22"/>
          <w:szCs w:val="22"/>
        </w:rPr>
      </w:pPr>
      <w:r>
        <w:rPr>
          <w:rFonts w:ascii="Arial" w:hAnsi="Arial"/>
          <w:sz w:val="22"/>
          <w:szCs w:val="22"/>
        </w:rPr>
        <w:t>SIDA</w:t>
      </w:r>
      <w:r>
        <w:rPr>
          <w:rFonts w:ascii="Arial" w:hAnsi="Arial"/>
          <w:sz w:val="22"/>
          <w:szCs w:val="22"/>
        </w:rPr>
        <w:tab/>
      </w:r>
      <w:r>
        <w:rPr>
          <w:rFonts w:ascii="Arial" w:hAnsi="Arial"/>
          <w:sz w:val="22"/>
          <w:szCs w:val="22"/>
        </w:rPr>
        <w:tab/>
        <w:t>Swiss Development Cooperation Agency</w:t>
      </w:r>
    </w:p>
    <w:p w14:paraId="05A5C2FB" w14:textId="77777777" w:rsidR="003D5173" w:rsidRDefault="003D5173" w:rsidP="009F6A7A">
      <w:pPr>
        <w:rPr>
          <w:rFonts w:ascii="Arial" w:hAnsi="Arial"/>
          <w:sz w:val="22"/>
          <w:szCs w:val="22"/>
        </w:rPr>
      </w:pPr>
      <w:r>
        <w:rPr>
          <w:rFonts w:ascii="Arial" w:hAnsi="Arial"/>
          <w:sz w:val="22"/>
          <w:szCs w:val="22"/>
        </w:rPr>
        <w:t>SIGMA</w:t>
      </w:r>
      <w:r>
        <w:rPr>
          <w:rFonts w:ascii="Arial" w:hAnsi="Arial"/>
          <w:sz w:val="22"/>
          <w:szCs w:val="22"/>
        </w:rPr>
        <w:tab/>
      </w:r>
      <w:r>
        <w:rPr>
          <w:rFonts w:ascii="Arial" w:hAnsi="Arial"/>
          <w:sz w:val="22"/>
          <w:szCs w:val="22"/>
        </w:rPr>
        <w:tab/>
        <w:t>Support for Improvement of Government and Management (EU)</w:t>
      </w:r>
    </w:p>
    <w:p w14:paraId="4335C650" w14:textId="77777777" w:rsidR="003D5173" w:rsidRDefault="003D5173" w:rsidP="009F6A7A">
      <w:pPr>
        <w:rPr>
          <w:rFonts w:ascii="Arial" w:hAnsi="Arial"/>
          <w:sz w:val="22"/>
          <w:szCs w:val="22"/>
        </w:rPr>
      </w:pPr>
      <w:r>
        <w:rPr>
          <w:rFonts w:ascii="Arial" w:hAnsi="Arial"/>
          <w:sz w:val="22"/>
          <w:szCs w:val="22"/>
        </w:rPr>
        <w:t>TOR</w:t>
      </w:r>
      <w:r>
        <w:rPr>
          <w:rFonts w:ascii="Arial" w:hAnsi="Arial"/>
          <w:sz w:val="22"/>
          <w:szCs w:val="22"/>
        </w:rPr>
        <w:tab/>
      </w:r>
      <w:r>
        <w:rPr>
          <w:rFonts w:ascii="Arial" w:hAnsi="Arial"/>
          <w:sz w:val="22"/>
          <w:szCs w:val="22"/>
        </w:rPr>
        <w:tab/>
        <w:t>Terms of Reference</w:t>
      </w:r>
    </w:p>
    <w:p w14:paraId="0105CE92" w14:textId="77777777" w:rsidR="003D5173" w:rsidRDefault="003D5173" w:rsidP="009F6A7A">
      <w:pPr>
        <w:rPr>
          <w:rFonts w:ascii="Arial" w:hAnsi="Arial"/>
          <w:sz w:val="22"/>
          <w:szCs w:val="22"/>
        </w:rPr>
      </w:pPr>
      <w:r>
        <w:rPr>
          <w:rFonts w:ascii="Arial" w:hAnsi="Arial"/>
          <w:sz w:val="22"/>
          <w:szCs w:val="22"/>
        </w:rPr>
        <w:t>UNDAF</w:t>
      </w:r>
      <w:r>
        <w:rPr>
          <w:rFonts w:ascii="Arial" w:hAnsi="Arial"/>
          <w:sz w:val="22"/>
          <w:szCs w:val="22"/>
        </w:rPr>
        <w:tab/>
        <w:t>United Nations Development Assistance Framework</w:t>
      </w:r>
    </w:p>
    <w:p w14:paraId="56D272E8" w14:textId="77777777" w:rsidR="003D5173" w:rsidRDefault="003D5173" w:rsidP="009F6A7A">
      <w:pPr>
        <w:rPr>
          <w:rFonts w:ascii="Arial" w:hAnsi="Arial"/>
          <w:sz w:val="22"/>
          <w:szCs w:val="22"/>
        </w:rPr>
      </w:pPr>
      <w:r>
        <w:rPr>
          <w:rFonts w:ascii="Arial" w:hAnsi="Arial"/>
          <w:sz w:val="22"/>
          <w:szCs w:val="22"/>
        </w:rPr>
        <w:t>UNDP</w:t>
      </w:r>
      <w:r>
        <w:rPr>
          <w:rFonts w:ascii="Arial" w:hAnsi="Arial"/>
          <w:sz w:val="22"/>
          <w:szCs w:val="22"/>
        </w:rPr>
        <w:tab/>
      </w:r>
      <w:r>
        <w:rPr>
          <w:rFonts w:ascii="Arial" w:hAnsi="Arial"/>
          <w:sz w:val="22"/>
          <w:szCs w:val="22"/>
        </w:rPr>
        <w:tab/>
        <w:t xml:space="preserve">United Nations Development </w:t>
      </w:r>
      <w:proofErr w:type="spellStart"/>
      <w:r>
        <w:rPr>
          <w:rFonts w:ascii="Arial" w:hAnsi="Arial"/>
          <w:sz w:val="22"/>
          <w:szCs w:val="22"/>
        </w:rPr>
        <w:t>Programme</w:t>
      </w:r>
      <w:proofErr w:type="spellEnd"/>
    </w:p>
    <w:p w14:paraId="628F0D24" w14:textId="77777777" w:rsidR="003D5173" w:rsidRDefault="003D5173" w:rsidP="009F6A7A">
      <w:pPr>
        <w:rPr>
          <w:rFonts w:ascii="Arial" w:hAnsi="Arial"/>
          <w:sz w:val="22"/>
          <w:szCs w:val="22"/>
        </w:rPr>
      </w:pPr>
      <w:r>
        <w:rPr>
          <w:rFonts w:ascii="Arial" w:hAnsi="Arial"/>
          <w:sz w:val="22"/>
          <w:szCs w:val="22"/>
        </w:rPr>
        <w:t>UPSDD</w:t>
      </w:r>
      <w:r>
        <w:rPr>
          <w:rFonts w:ascii="Arial" w:hAnsi="Arial"/>
          <w:sz w:val="22"/>
          <w:szCs w:val="22"/>
        </w:rPr>
        <w:tab/>
        <w:t>Unified Public Service Design and Delivery standards</w:t>
      </w:r>
    </w:p>
    <w:p w14:paraId="24F801BC" w14:textId="77777777" w:rsidR="003D5173" w:rsidRDefault="003D5173" w:rsidP="009F6A7A">
      <w:pPr>
        <w:rPr>
          <w:rFonts w:ascii="Arial" w:hAnsi="Arial"/>
          <w:sz w:val="22"/>
          <w:szCs w:val="22"/>
        </w:rPr>
      </w:pPr>
      <w:r>
        <w:rPr>
          <w:rFonts w:ascii="Arial" w:hAnsi="Arial"/>
          <w:sz w:val="22"/>
          <w:szCs w:val="22"/>
        </w:rPr>
        <w:t>USAID</w:t>
      </w:r>
      <w:r>
        <w:rPr>
          <w:rFonts w:ascii="Arial" w:hAnsi="Arial"/>
          <w:sz w:val="22"/>
          <w:szCs w:val="22"/>
        </w:rPr>
        <w:tab/>
      </w:r>
      <w:r>
        <w:rPr>
          <w:rFonts w:ascii="Arial" w:hAnsi="Arial"/>
          <w:sz w:val="22"/>
          <w:szCs w:val="22"/>
        </w:rPr>
        <w:tab/>
        <w:t>U.S. Agency for International Development</w:t>
      </w:r>
    </w:p>
    <w:p w14:paraId="64D9A9D3" w14:textId="77777777" w:rsidR="003D5173" w:rsidRDefault="003D5173" w:rsidP="009F6A7A">
      <w:pPr>
        <w:rPr>
          <w:rFonts w:ascii="Arial" w:hAnsi="Arial"/>
          <w:sz w:val="22"/>
          <w:szCs w:val="22"/>
        </w:rPr>
      </w:pPr>
    </w:p>
    <w:p w14:paraId="485CABC1" w14:textId="77777777" w:rsidR="00703D55" w:rsidRDefault="00703D55" w:rsidP="00C21390">
      <w:pPr>
        <w:jc w:val="both"/>
        <w:rPr>
          <w:rFonts w:ascii="Arial" w:hAnsi="Arial"/>
          <w:b/>
          <w:sz w:val="22"/>
          <w:szCs w:val="22"/>
        </w:rPr>
      </w:pPr>
    </w:p>
    <w:p w14:paraId="2635F943" w14:textId="77777777" w:rsidR="00703D55" w:rsidRDefault="00703D55" w:rsidP="00C21390">
      <w:pPr>
        <w:jc w:val="both"/>
        <w:rPr>
          <w:rFonts w:ascii="Arial" w:hAnsi="Arial"/>
          <w:b/>
          <w:sz w:val="22"/>
          <w:szCs w:val="22"/>
        </w:rPr>
      </w:pPr>
    </w:p>
    <w:p w14:paraId="3B04CE68" w14:textId="77777777" w:rsidR="00703D55" w:rsidRDefault="00703D55" w:rsidP="00C21390">
      <w:pPr>
        <w:jc w:val="both"/>
        <w:rPr>
          <w:rFonts w:ascii="Arial" w:hAnsi="Arial"/>
          <w:b/>
          <w:sz w:val="22"/>
          <w:szCs w:val="22"/>
        </w:rPr>
      </w:pPr>
    </w:p>
    <w:p w14:paraId="426F4C70" w14:textId="77777777" w:rsidR="00703D55" w:rsidRDefault="00703D55" w:rsidP="00C21390">
      <w:pPr>
        <w:jc w:val="both"/>
        <w:rPr>
          <w:rFonts w:ascii="Arial" w:hAnsi="Arial"/>
          <w:b/>
          <w:sz w:val="22"/>
          <w:szCs w:val="22"/>
        </w:rPr>
      </w:pPr>
    </w:p>
    <w:p w14:paraId="5613A1A6" w14:textId="77777777" w:rsidR="009F6A7A" w:rsidRDefault="009F6A7A" w:rsidP="00C21390">
      <w:pPr>
        <w:jc w:val="both"/>
        <w:rPr>
          <w:rFonts w:ascii="Arial" w:hAnsi="Arial"/>
          <w:b/>
          <w:sz w:val="22"/>
          <w:szCs w:val="22"/>
        </w:rPr>
      </w:pPr>
    </w:p>
    <w:p w14:paraId="4A2D4288" w14:textId="77777777" w:rsidR="009F6A7A" w:rsidRDefault="009F6A7A" w:rsidP="00C21390">
      <w:pPr>
        <w:jc w:val="both"/>
        <w:rPr>
          <w:rFonts w:ascii="Arial" w:hAnsi="Arial"/>
          <w:b/>
          <w:sz w:val="22"/>
          <w:szCs w:val="22"/>
        </w:rPr>
      </w:pPr>
    </w:p>
    <w:p w14:paraId="455E4475" w14:textId="77777777" w:rsidR="009F6A7A" w:rsidRDefault="009F6A7A" w:rsidP="00C21390">
      <w:pPr>
        <w:jc w:val="both"/>
        <w:rPr>
          <w:rFonts w:ascii="Arial" w:hAnsi="Arial"/>
          <w:b/>
          <w:sz w:val="22"/>
          <w:szCs w:val="22"/>
        </w:rPr>
      </w:pPr>
    </w:p>
    <w:p w14:paraId="4C75094E" w14:textId="77777777" w:rsidR="009F6A7A" w:rsidRDefault="009F6A7A" w:rsidP="00C21390">
      <w:pPr>
        <w:jc w:val="both"/>
        <w:rPr>
          <w:rFonts w:ascii="Arial" w:hAnsi="Arial"/>
          <w:b/>
          <w:sz w:val="22"/>
          <w:szCs w:val="22"/>
        </w:rPr>
      </w:pPr>
    </w:p>
    <w:p w14:paraId="40F2D625" w14:textId="77777777" w:rsidR="009F6A7A" w:rsidRDefault="009F6A7A" w:rsidP="00C21390">
      <w:pPr>
        <w:jc w:val="both"/>
        <w:rPr>
          <w:rFonts w:ascii="Arial" w:hAnsi="Arial"/>
          <w:b/>
          <w:sz w:val="22"/>
          <w:szCs w:val="22"/>
        </w:rPr>
      </w:pPr>
    </w:p>
    <w:p w14:paraId="3F0E16FE" w14:textId="77777777" w:rsidR="009F6A7A" w:rsidRDefault="009F6A7A" w:rsidP="00C21390">
      <w:pPr>
        <w:jc w:val="both"/>
        <w:rPr>
          <w:rFonts w:ascii="Arial" w:hAnsi="Arial"/>
          <w:b/>
          <w:sz w:val="22"/>
          <w:szCs w:val="22"/>
        </w:rPr>
      </w:pPr>
    </w:p>
    <w:p w14:paraId="313D52D4" w14:textId="77777777" w:rsidR="00703D55" w:rsidRDefault="00703D55" w:rsidP="00C21390">
      <w:pPr>
        <w:jc w:val="both"/>
        <w:rPr>
          <w:rFonts w:ascii="Arial" w:hAnsi="Arial"/>
          <w:b/>
          <w:sz w:val="22"/>
          <w:szCs w:val="22"/>
        </w:rPr>
      </w:pPr>
    </w:p>
    <w:p w14:paraId="3BC98B77" w14:textId="77777777" w:rsidR="00CA60CA" w:rsidRDefault="00CA60CA" w:rsidP="00C21390">
      <w:pPr>
        <w:jc w:val="both"/>
        <w:rPr>
          <w:rFonts w:ascii="Arial" w:hAnsi="Arial"/>
          <w:b/>
          <w:sz w:val="22"/>
          <w:szCs w:val="22"/>
        </w:rPr>
      </w:pPr>
    </w:p>
    <w:p w14:paraId="357DCC37" w14:textId="010E7ED2" w:rsidR="0075164F" w:rsidRPr="00AC3944" w:rsidRDefault="00703D55">
      <w:pPr>
        <w:rPr>
          <w:rFonts w:ascii="Arial" w:hAnsi="Arial"/>
          <w:i/>
          <w:sz w:val="20"/>
          <w:szCs w:val="20"/>
        </w:rPr>
      </w:pPr>
      <w:r w:rsidRPr="00AC37AB">
        <w:rPr>
          <w:rFonts w:ascii="Arial" w:hAnsi="Arial"/>
          <w:i/>
          <w:sz w:val="20"/>
          <w:szCs w:val="20"/>
        </w:rPr>
        <w:t xml:space="preserve">For questions regarding this document please contact the author at </w:t>
      </w:r>
      <w:hyperlink r:id="rId11" w:history="1">
        <w:r w:rsidR="009F6A7A" w:rsidRPr="008731E7">
          <w:rPr>
            <w:rStyle w:val="Hyperlink"/>
            <w:rFonts w:ascii="Arial" w:hAnsi="Arial"/>
            <w:i/>
            <w:sz w:val="20"/>
            <w:szCs w:val="20"/>
          </w:rPr>
          <w:t>apcostanzo@bgsi.net</w:t>
        </w:r>
      </w:hyperlink>
    </w:p>
    <w:p w14:paraId="084A549C" w14:textId="3B396D8D" w:rsidR="006C3741" w:rsidRDefault="009F6A7A" w:rsidP="006C3741">
      <w:pPr>
        <w:pStyle w:val="Heading1"/>
      </w:pPr>
      <w:bookmarkStart w:id="1" w:name="_Toc478138853"/>
      <w:r>
        <w:lastRenderedPageBreak/>
        <w:t>Project/Outcome Information Table</w:t>
      </w:r>
      <w:bookmarkEnd w:id="1"/>
    </w:p>
    <w:p w14:paraId="6742538F" w14:textId="77777777" w:rsidR="006C3741" w:rsidRPr="006C3741" w:rsidRDefault="006C3741" w:rsidP="006C3741"/>
    <w:tbl>
      <w:tblPr>
        <w:tblW w:w="0" w:type="auto"/>
        <w:tblLook w:val="04A0" w:firstRow="1" w:lastRow="0" w:firstColumn="1" w:lastColumn="0" w:noHBand="0" w:noVBand="1"/>
      </w:tblPr>
      <w:tblGrid>
        <w:gridCol w:w="3978"/>
        <w:gridCol w:w="2610"/>
        <w:gridCol w:w="2762"/>
      </w:tblGrid>
      <w:tr w:rsidR="006C3741" w:rsidRPr="006C3741" w14:paraId="62FE1F06" w14:textId="77777777" w:rsidTr="000D2B23">
        <w:trPr>
          <w:trHeight w:hRule="exact" w:val="369"/>
        </w:trPr>
        <w:tc>
          <w:tcPr>
            <w:tcW w:w="935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14:paraId="269CA8A2" w14:textId="77777777" w:rsidR="006C3741" w:rsidRPr="006C3741" w:rsidRDefault="006C3741" w:rsidP="000D2B23">
            <w:pPr>
              <w:spacing w:line="276" w:lineRule="auto"/>
              <w:ind w:left="3160"/>
              <w:rPr>
                <w:rFonts w:ascii="Arial" w:hAnsi="Arial" w:cs="Arial"/>
                <w:b/>
                <w:sz w:val="20"/>
                <w:szCs w:val="20"/>
                <w:lang w:val="en-GB"/>
              </w:rPr>
            </w:pPr>
            <w:r w:rsidRPr="006C3741">
              <w:rPr>
                <w:rFonts w:ascii="Arial" w:hAnsi="Arial" w:cs="Arial"/>
                <w:b/>
                <w:sz w:val="20"/>
                <w:szCs w:val="20"/>
                <w:lang w:val="en-GB"/>
              </w:rPr>
              <w:t>Project/outcome Information</w:t>
            </w:r>
          </w:p>
        </w:tc>
      </w:tr>
      <w:tr w:rsidR="006C3741" w:rsidRPr="006C3741" w14:paraId="015CE4E8" w14:textId="77777777" w:rsidTr="00917218">
        <w:trPr>
          <w:trHeight w:hRule="exact" w:val="397"/>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49F910A8"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Project/outcome title</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7300D0F3" w14:textId="07F37547" w:rsidR="006C3741" w:rsidRPr="006C3741" w:rsidRDefault="00917218" w:rsidP="00917218">
            <w:pPr>
              <w:tabs>
                <w:tab w:val="left" w:pos="720"/>
                <w:tab w:val="left" w:pos="4752"/>
              </w:tabs>
              <w:spacing w:line="276" w:lineRule="auto"/>
              <w:ind w:right="404"/>
              <w:rPr>
                <w:rFonts w:ascii="Arial" w:hAnsi="Arial" w:cs="Arial"/>
                <w:sz w:val="20"/>
                <w:szCs w:val="20"/>
                <w:lang w:val="en-GB"/>
              </w:rPr>
            </w:pPr>
            <w:r>
              <w:rPr>
                <w:rFonts w:ascii="Arial" w:hAnsi="Arial" w:cs="Arial"/>
                <w:sz w:val="20"/>
                <w:szCs w:val="20"/>
                <w:lang w:val="en-GB"/>
              </w:rPr>
              <w:t>Supporting Public Administration Reform in Georgia</w:t>
            </w:r>
          </w:p>
        </w:tc>
      </w:tr>
      <w:tr w:rsidR="006C3741" w:rsidRPr="006C3741" w14:paraId="707B72F5" w14:textId="77777777" w:rsidTr="00917218">
        <w:trPr>
          <w:trHeight w:hRule="exact" w:val="397"/>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3C637AD"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Atlas ID</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4652C5CF" w14:textId="77777777" w:rsidR="006C3741" w:rsidRPr="006C3741" w:rsidRDefault="006C3741" w:rsidP="000D2B23">
            <w:pPr>
              <w:tabs>
                <w:tab w:val="left" w:pos="720"/>
              </w:tabs>
              <w:spacing w:line="276" w:lineRule="auto"/>
              <w:ind w:right="760"/>
              <w:rPr>
                <w:rFonts w:ascii="Arial" w:hAnsi="Arial" w:cs="Arial"/>
                <w:sz w:val="20"/>
                <w:szCs w:val="20"/>
                <w:lang w:val="en-GB"/>
              </w:rPr>
            </w:pPr>
          </w:p>
        </w:tc>
      </w:tr>
      <w:tr w:rsidR="006C3741" w:rsidRPr="006C3741" w14:paraId="48FF5393" w14:textId="77777777" w:rsidTr="00917218">
        <w:trPr>
          <w:trHeight w:hRule="exact" w:val="1054"/>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4AF61C43"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Corporate outcome and output</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EA70889" w14:textId="4E6A1E5D" w:rsidR="006C3741" w:rsidRPr="006C3741" w:rsidRDefault="00917218" w:rsidP="00917218">
            <w:pPr>
              <w:tabs>
                <w:tab w:val="left" w:pos="720"/>
                <w:tab w:val="left" w:pos="4752"/>
                <w:tab w:val="left" w:pos="5112"/>
              </w:tabs>
              <w:spacing w:line="276" w:lineRule="auto"/>
              <w:rPr>
                <w:rFonts w:ascii="Arial" w:hAnsi="Arial" w:cs="Arial"/>
                <w:sz w:val="20"/>
                <w:szCs w:val="20"/>
                <w:lang w:val="en-GB"/>
              </w:rPr>
            </w:pPr>
            <w:r>
              <w:rPr>
                <w:rFonts w:ascii="Arial" w:hAnsi="Arial" w:cs="Arial"/>
                <w:sz w:val="20"/>
                <w:szCs w:val="20"/>
                <w:lang w:val="en-GB"/>
              </w:rPr>
              <w:t>By 2020, expectations of citizens of Georgia for voice, rule of law, pubic sector reforms, and accountability are met by stronger systems of democratic governance at all levels</w:t>
            </w:r>
          </w:p>
        </w:tc>
      </w:tr>
      <w:tr w:rsidR="006C3741" w:rsidRPr="006C3741" w14:paraId="66E5369D" w14:textId="77777777" w:rsidTr="00917218">
        <w:trPr>
          <w:trHeight w:hRule="exact" w:val="397"/>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6360626"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Country</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19687D1" w14:textId="581BC1D5" w:rsidR="006C3741" w:rsidRPr="006C3741" w:rsidRDefault="00917218" w:rsidP="000D2B23">
            <w:pPr>
              <w:tabs>
                <w:tab w:val="left" w:pos="720"/>
              </w:tabs>
              <w:spacing w:line="276" w:lineRule="auto"/>
              <w:ind w:right="760"/>
              <w:rPr>
                <w:rFonts w:ascii="Arial" w:hAnsi="Arial" w:cs="Arial"/>
                <w:sz w:val="20"/>
                <w:szCs w:val="20"/>
                <w:lang w:val="en-GB"/>
              </w:rPr>
            </w:pPr>
            <w:r>
              <w:rPr>
                <w:rFonts w:ascii="Arial" w:hAnsi="Arial" w:cs="Arial"/>
                <w:sz w:val="20"/>
                <w:szCs w:val="20"/>
                <w:lang w:val="en-GB"/>
              </w:rPr>
              <w:t>Georgia</w:t>
            </w:r>
          </w:p>
        </w:tc>
      </w:tr>
      <w:tr w:rsidR="006C3741" w:rsidRPr="006C3741" w14:paraId="3863CD07" w14:textId="77777777" w:rsidTr="00917218">
        <w:trPr>
          <w:trHeight w:hRule="exact" w:val="397"/>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26D0F23"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Region</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CEA6CFC" w14:textId="3BE7DF5F" w:rsidR="006C3741" w:rsidRPr="006C3741" w:rsidRDefault="00917218" w:rsidP="000D2B23">
            <w:pPr>
              <w:tabs>
                <w:tab w:val="left" w:pos="720"/>
              </w:tabs>
              <w:spacing w:line="276" w:lineRule="auto"/>
              <w:ind w:right="760"/>
              <w:rPr>
                <w:rFonts w:ascii="Arial" w:hAnsi="Arial" w:cs="Arial"/>
                <w:sz w:val="20"/>
                <w:szCs w:val="20"/>
                <w:lang w:val="en-GB"/>
              </w:rPr>
            </w:pPr>
            <w:r>
              <w:rPr>
                <w:rFonts w:ascii="Arial" w:hAnsi="Arial" w:cs="Arial"/>
                <w:sz w:val="20"/>
                <w:szCs w:val="20"/>
                <w:lang w:val="en-GB"/>
              </w:rPr>
              <w:t>East/Central Europe</w:t>
            </w:r>
          </w:p>
        </w:tc>
      </w:tr>
      <w:tr w:rsidR="006C3741" w:rsidRPr="006C3741" w14:paraId="60D01D82" w14:textId="77777777" w:rsidTr="00917218">
        <w:trPr>
          <w:trHeight w:hRule="exact" w:val="397"/>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7BD48FA"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Date project document signed</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3A58AF1" w14:textId="4F4919D8" w:rsidR="00917218" w:rsidRPr="00AE6565" w:rsidRDefault="00917218" w:rsidP="000D2B23">
            <w:pPr>
              <w:tabs>
                <w:tab w:val="left" w:pos="720"/>
              </w:tabs>
              <w:spacing w:line="276" w:lineRule="auto"/>
              <w:ind w:right="760"/>
              <w:rPr>
                <w:rFonts w:ascii="Arial" w:hAnsi="Arial" w:cs="Arial"/>
                <w:sz w:val="20"/>
                <w:szCs w:val="20"/>
                <w:highlight w:val="yellow"/>
                <w:lang w:val="en-GB"/>
              </w:rPr>
            </w:pPr>
            <w:r w:rsidRPr="00655E1A">
              <w:rPr>
                <w:rFonts w:ascii="Arial" w:hAnsi="Arial" w:cs="Arial"/>
                <w:sz w:val="20"/>
                <w:szCs w:val="20"/>
                <w:lang w:val="en-GB"/>
              </w:rPr>
              <w:t>26 July 2016; extension signed 22 July 2020</w:t>
            </w:r>
          </w:p>
        </w:tc>
      </w:tr>
      <w:tr w:rsidR="00917218" w:rsidRPr="006C3741" w14:paraId="0F7E8AA3" w14:textId="77777777" w:rsidTr="00917218">
        <w:trPr>
          <w:trHeight w:hRule="exact" w:val="397"/>
        </w:trPr>
        <w:tc>
          <w:tcPr>
            <w:tcW w:w="3978"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B08FBE3"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Project dates</w:t>
            </w:r>
          </w:p>
        </w:tc>
        <w:tc>
          <w:tcPr>
            <w:tcW w:w="26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12B41061" w14:textId="77777777" w:rsidR="006C3741" w:rsidRPr="006C3741" w:rsidRDefault="006C3741" w:rsidP="000D2B23">
            <w:pPr>
              <w:spacing w:line="276" w:lineRule="auto"/>
              <w:ind w:right="-53"/>
              <w:jc w:val="center"/>
              <w:rPr>
                <w:rFonts w:ascii="Arial" w:hAnsi="Arial" w:cs="Arial"/>
                <w:sz w:val="20"/>
                <w:szCs w:val="20"/>
                <w:lang w:val="en-GB"/>
              </w:rPr>
            </w:pPr>
            <w:r w:rsidRPr="006C3741">
              <w:rPr>
                <w:rFonts w:ascii="Arial" w:hAnsi="Arial" w:cs="Arial"/>
                <w:sz w:val="20"/>
                <w:szCs w:val="20"/>
                <w:lang w:val="en-GB"/>
              </w:rPr>
              <w:t>Start</w:t>
            </w:r>
          </w:p>
        </w:tc>
        <w:tc>
          <w:tcPr>
            <w:tcW w:w="276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0E515B5" w14:textId="77777777" w:rsidR="006C3741" w:rsidRPr="006C3741" w:rsidRDefault="006C3741" w:rsidP="000D2B23">
            <w:pPr>
              <w:tabs>
                <w:tab w:val="left" w:pos="720"/>
              </w:tabs>
              <w:spacing w:line="276" w:lineRule="auto"/>
              <w:ind w:right="760"/>
              <w:jc w:val="center"/>
              <w:rPr>
                <w:rFonts w:ascii="Arial" w:hAnsi="Arial" w:cs="Arial"/>
                <w:sz w:val="20"/>
                <w:szCs w:val="20"/>
                <w:lang w:val="en-GB"/>
              </w:rPr>
            </w:pPr>
            <w:r w:rsidRPr="006C3741">
              <w:rPr>
                <w:rFonts w:ascii="Arial" w:hAnsi="Arial" w:cs="Arial"/>
                <w:sz w:val="20"/>
                <w:szCs w:val="20"/>
                <w:lang w:val="en-GB"/>
              </w:rPr>
              <w:t>Planned end</w:t>
            </w:r>
          </w:p>
        </w:tc>
      </w:tr>
      <w:tr w:rsidR="00917218" w:rsidRPr="006C3741" w14:paraId="12107B33" w14:textId="77777777" w:rsidTr="0070121A">
        <w:trPr>
          <w:trHeight w:hRule="exact" w:val="739"/>
        </w:trPr>
        <w:tc>
          <w:tcPr>
            <w:tcW w:w="3978"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4994671" w14:textId="77777777" w:rsidR="006C3741" w:rsidRPr="006C3741" w:rsidRDefault="006C3741" w:rsidP="000D2B23">
            <w:pPr>
              <w:tabs>
                <w:tab w:val="left" w:pos="720"/>
              </w:tabs>
              <w:spacing w:line="276" w:lineRule="auto"/>
              <w:ind w:right="760"/>
              <w:rPr>
                <w:rFonts w:ascii="Arial" w:hAnsi="Arial" w:cs="Arial"/>
                <w:b/>
                <w:sz w:val="20"/>
                <w:szCs w:val="20"/>
                <w:lang w:val="en-GB"/>
              </w:rPr>
            </w:pPr>
          </w:p>
        </w:tc>
        <w:tc>
          <w:tcPr>
            <w:tcW w:w="26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7300B83" w14:textId="427158EC" w:rsidR="006C3741" w:rsidRPr="006C3741" w:rsidRDefault="00917218" w:rsidP="000D2B23">
            <w:pPr>
              <w:tabs>
                <w:tab w:val="left" w:pos="720"/>
              </w:tabs>
              <w:spacing w:line="276" w:lineRule="auto"/>
              <w:ind w:right="760"/>
              <w:rPr>
                <w:rFonts w:ascii="Arial" w:hAnsi="Arial" w:cs="Arial"/>
                <w:sz w:val="20"/>
                <w:szCs w:val="20"/>
                <w:lang w:val="en-GB"/>
              </w:rPr>
            </w:pPr>
            <w:r>
              <w:rPr>
                <w:rFonts w:ascii="Arial" w:hAnsi="Arial" w:cs="Arial"/>
                <w:sz w:val="20"/>
                <w:szCs w:val="20"/>
                <w:lang w:val="en-GB"/>
              </w:rPr>
              <w:t>July 2016</w:t>
            </w:r>
          </w:p>
        </w:tc>
        <w:tc>
          <w:tcPr>
            <w:tcW w:w="276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9364561" w14:textId="05A30DA5" w:rsidR="006C3741" w:rsidRPr="006C3741" w:rsidRDefault="00917218" w:rsidP="0070121A">
            <w:pPr>
              <w:tabs>
                <w:tab w:val="left" w:pos="720"/>
              </w:tabs>
              <w:spacing w:line="276" w:lineRule="auto"/>
              <w:rPr>
                <w:rFonts w:ascii="Arial" w:hAnsi="Arial" w:cs="Arial"/>
                <w:sz w:val="20"/>
                <w:szCs w:val="20"/>
                <w:lang w:val="en-GB"/>
              </w:rPr>
            </w:pPr>
            <w:r>
              <w:rPr>
                <w:rFonts w:ascii="Arial" w:hAnsi="Arial" w:cs="Arial"/>
                <w:sz w:val="20"/>
                <w:szCs w:val="20"/>
                <w:lang w:val="en-GB"/>
              </w:rPr>
              <w:t>De</w:t>
            </w:r>
            <w:r w:rsidR="0070121A">
              <w:rPr>
                <w:rFonts w:ascii="Arial" w:hAnsi="Arial" w:cs="Arial"/>
                <w:sz w:val="20"/>
                <w:szCs w:val="20"/>
                <w:lang w:val="en-GB"/>
              </w:rPr>
              <w:t>cember 2020; extended to 31 Marc</w:t>
            </w:r>
            <w:r>
              <w:rPr>
                <w:rFonts w:ascii="Arial" w:hAnsi="Arial" w:cs="Arial"/>
                <w:sz w:val="20"/>
                <w:szCs w:val="20"/>
                <w:lang w:val="en-GB"/>
              </w:rPr>
              <w:t>h 2021</w:t>
            </w:r>
          </w:p>
        </w:tc>
      </w:tr>
      <w:tr w:rsidR="006C3741" w:rsidRPr="006C3741" w14:paraId="60FCE340" w14:textId="77777777" w:rsidTr="00426497">
        <w:trPr>
          <w:trHeight w:hRule="exact" w:val="721"/>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1D5308A7"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Project budget</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157FC031" w14:textId="6CD8FDD0" w:rsidR="006C3741" w:rsidRPr="00655E1A" w:rsidRDefault="0011457C" w:rsidP="000D2B23">
            <w:pPr>
              <w:tabs>
                <w:tab w:val="left" w:pos="720"/>
              </w:tabs>
              <w:spacing w:line="276" w:lineRule="auto"/>
              <w:ind w:right="760"/>
              <w:rPr>
                <w:rFonts w:ascii="Arial" w:hAnsi="Arial" w:cs="Arial"/>
                <w:sz w:val="20"/>
                <w:szCs w:val="20"/>
                <w:lang w:val="en-GB"/>
              </w:rPr>
            </w:pPr>
            <w:r w:rsidRPr="00655E1A">
              <w:rPr>
                <w:rFonts w:ascii="Arial" w:hAnsi="Arial" w:cs="Arial"/>
                <w:sz w:val="20"/>
                <w:szCs w:val="20"/>
                <w:lang w:val="en-GB"/>
              </w:rPr>
              <w:t>Original</w:t>
            </w:r>
            <w:r w:rsidR="00655E1A" w:rsidRPr="00655E1A">
              <w:rPr>
                <w:rFonts w:ascii="Arial" w:hAnsi="Arial" w:cs="Arial"/>
                <w:sz w:val="20"/>
                <w:szCs w:val="20"/>
                <w:lang w:val="en-GB"/>
              </w:rPr>
              <w:t>:</w:t>
            </w:r>
            <w:r w:rsidRPr="00655E1A">
              <w:rPr>
                <w:rFonts w:ascii="Arial" w:hAnsi="Arial" w:cs="Arial"/>
                <w:sz w:val="20"/>
                <w:szCs w:val="20"/>
                <w:lang w:val="en-GB"/>
              </w:rPr>
              <w:t xml:space="preserve"> $5</w:t>
            </w:r>
            <w:r w:rsidR="00426497" w:rsidRPr="00655E1A">
              <w:rPr>
                <w:rFonts w:ascii="Arial" w:hAnsi="Arial" w:cs="Arial"/>
                <w:sz w:val="20"/>
                <w:szCs w:val="20"/>
                <w:lang w:val="en-GB"/>
              </w:rPr>
              <w:t>,778,641</w:t>
            </w:r>
            <w:r w:rsidR="0070121A" w:rsidRPr="00655E1A">
              <w:rPr>
                <w:rFonts w:ascii="Arial" w:hAnsi="Arial" w:cs="Arial"/>
                <w:sz w:val="20"/>
                <w:szCs w:val="20"/>
                <w:lang w:val="en-GB"/>
              </w:rPr>
              <w:t>;</w:t>
            </w:r>
            <w:r w:rsidR="00426497" w:rsidRPr="00655E1A">
              <w:rPr>
                <w:rFonts w:ascii="Arial" w:hAnsi="Arial" w:cs="Arial"/>
                <w:sz w:val="20"/>
                <w:szCs w:val="20"/>
                <w:lang w:val="en-GB"/>
              </w:rPr>
              <w:t xml:space="preserve"> GBP 4,500,000 equivalent</w:t>
            </w:r>
            <w:r w:rsidR="0070121A" w:rsidRPr="00655E1A">
              <w:rPr>
                <w:rFonts w:ascii="Arial" w:hAnsi="Arial" w:cs="Arial"/>
                <w:sz w:val="20"/>
                <w:szCs w:val="20"/>
                <w:lang w:val="en-GB"/>
              </w:rPr>
              <w:t xml:space="preserve"> Extension</w:t>
            </w:r>
            <w:r w:rsidR="00655E1A" w:rsidRPr="00655E1A">
              <w:rPr>
                <w:rFonts w:ascii="Arial" w:hAnsi="Arial" w:cs="Arial"/>
                <w:sz w:val="20"/>
                <w:szCs w:val="20"/>
                <w:lang w:val="en-GB"/>
              </w:rPr>
              <w:t xml:space="preserve"> Total:</w:t>
            </w:r>
            <w:r w:rsidR="0070121A" w:rsidRPr="00655E1A">
              <w:rPr>
                <w:rFonts w:ascii="Arial" w:hAnsi="Arial" w:cs="Arial"/>
                <w:sz w:val="20"/>
                <w:szCs w:val="20"/>
                <w:lang w:val="en-GB"/>
              </w:rPr>
              <w:t xml:space="preserve"> $6,085,840</w:t>
            </w:r>
            <w:r w:rsidR="00655E1A" w:rsidRPr="00655E1A">
              <w:rPr>
                <w:rFonts w:ascii="Arial" w:hAnsi="Arial" w:cs="Arial"/>
                <w:sz w:val="20"/>
                <w:szCs w:val="20"/>
                <w:lang w:val="en-GB"/>
              </w:rPr>
              <w:t>; GBP 4,736,000</w:t>
            </w:r>
          </w:p>
        </w:tc>
      </w:tr>
      <w:tr w:rsidR="006C3741" w:rsidRPr="006C3741" w14:paraId="38D5ECDF" w14:textId="77777777" w:rsidTr="00917218">
        <w:trPr>
          <w:trHeight w:hRule="exact" w:val="541"/>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0A70B14"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Project expenditure at the time of evaluation</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360EFA3" w14:textId="0295D3E8" w:rsidR="006C3741" w:rsidRPr="00655E1A" w:rsidRDefault="0011457C" w:rsidP="000D2B23">
            <w:pPr>
              <w:tabs>
                <w:tab w:val="left" w:pos="720"/>
              </w:tabs>
              <w:spacing w:line="276" w:lineRule="auto"/>
              <w:ind w:right="760"/>
              <w:rPr>
                <w:rFonts w:ascii="Arial" w:hAnsi="Arial" w:cs="Arial"/>
                <w:sz w:val="20"/>
                <w:szCs w:val="20"/>
                <w:lang w:val="en-GB"/>
              </w:rPr>
            </w:pPr>
            <w:r w:rsidRPr="00655E1A">
              <w:rPr>
                <w:rFonts w:ascii="Arial" w:hAnsi="Arial" w:cs="Arial"/>
                <w:sz w:val="20"/>
                <w:szCs w:val="20"/>
                <w:lang w:val="en-GB"/>
              </w:rPr>
              <w:t>$5,755,749 as of 31 December 2020 (95%)</w:t>
            </w:r>
          </w:p>
        </w:tc>
      </w:tr>
      <w:tr w:rsidR="006C3741" w:rsidRPr="006C3741" w14:paraId="137FC39C" w14:textId="77777777" w:rsidTr="00917218">
        <w:trPr>
          <w:trHeight w:hRule="exact" w:val="397"/>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1ED0ABF" w14:textId="77777777" w:rsidR="006C3741" w:rsidRPr="006C3741" w:rsidRDefault="006C3741" w:rsidP="000D2B23">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Funding source</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7DC1EBCB" w14:textId="48EF18FD" w:rsidR="006C3741" w:rsidRPr="006C3741" w:rsidRDefault="0011457C" w:rsidP="000D2B23">
            <w:pPr>
              <w:tabs>
                <w:tab w:val="left" w:pos="720"/>
              </w:tabs>
              <w:spacing w:line="276" w:lineRule="auto"/>
              <w:ind w:right="760"/>
              <w:rPr>
                <w:rFonts w:ascii="Arial" w:hAnsi="Arial" w:cs="Arial"/>
                <w:sz w:val="20"/>
                <w:szCs w:val="20"/>
                <w:lang w:val="en-GB"/>
              </w:rPr>
            </w:pPr>
            <w:r>
              <w:rPr>
                <w:rFonts w:ascii="Arial" w:hAnsi="Arial" w:cs="Arial"/>
                <w:sz w:val="20"/>
                <w:szCs w:val="20"/>
                <w:lang w:val="en-GB"/>
              </w:rPr>
              <w:t>Government of the United Kingdom</w:t>
            </w:r>
          </w:p>
        </w:tc>
      </w:tr>
      <w:tr w:rsidR="006C3741" w:rsidRPr="006C3741" w14:paraId="33BD52E9" w14:textId="77777777" w:rsidTr="00917218">
        <w:trPr>
          <w:trHeight w:hRule="exact" w:val="397"/>
        </w:trPr>
        <w:tc>
          <w:tcPr>
            <w:tcW w:w="39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78001A1" w14:textId="2425D9E4" w:rsidR="006C3741" w:rsidRPr="006C3741" w:rsidRDefault="006C3741" w:rsidP="0022771A">
            <w:pPr>
              <w:tabs>
                <w:tab w:val="left" w:pos="720"/>
              </w:tabs>
              <w:spacing w:line="276" w:lineRule="auto"/>
              <w:ind w:right="760"/>
              <w:rPr>
                <w:rFonts w:ascii="Arial" w:hAnsi="Arial" w:cs="Arial"/>
                <w:b/>
                <w:sz w:val="20"/>
                <w:szCs w:val="20"/>
                <w:lang w:val="en-GB"/>
              </w:rPr>
            </w:pPr>
            <w:r w:rsidRPr="006C3741">
              <w:rPr>
                <w:rFonts w:ascii="Arial" w:hAnsi="Arial" w:cs="Arial"/>
                <w:b/>
                <w:sz w:val="20"/>
                <w:szCs w:val="20"/>
                <w:lang w:val="en-GB"/>
              </w:rPr>
              <w:t>Implementing party</w:t>
            </w:r>
          </w:p>
        </w:tc>
        <w:tc>
          <w:tcPr>
            <w:tcW w:w="53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74CB3BAD" w14:textId="0A44BE14" w:rsidR="006C3741" w:rsidRPr="006C3741" w:rsidRDefault="0011457C" w:rsidP="000D2B23">
            <w:pPr>
              <w:tabs>
                <w:tab w:val="left" w:pos="720"/>
              </w:tabs>
              <w:spacing w:line="276" w:lineRule="auto"/>
              <w:ind w:right="760"/>
              <w:rPr>
                <w:rFonts w:ascii="Arial" w:hAnsi="Arial" w:cs="Arial"/>
                <w:sz w:val="20"/>
                <w:szCs w:val="20"/>
                <w:lang w:val="en-GB"/>
              </w:rPr>
            </w:pPr>
            <w:r>
              <w:rPr>
                <w:rFonts w:ascii="Arial" w:hAnsi="Arial" w:cs="Arial"/>
                <w:sz w:val="20"/>
                <w:szCs w:val="20"/>
                <w:lang w:val="en-GB"/>
              </w:rPr>
              <w:t>UNDP/Government of Georgia</w:t>
            </w:r>
          </w:p>
        </w:tc>
      </w:tr>
    </w:tbl>
    <w:p w14:paraId="239ED54B" w14:textId="77777777" w:rsidR="006C3741" w:rsidRPr="006E56C4" w:rsidRDefault="006C3741" w:rsidP="006C3741">
      <w:pPr>
        <w:tabs>
          <w:tab w:val="left" w:pos="720"/>
        </w:tabs>
        <w:ind w:right="760"/>
        <w:rPr>
          <w:rFonts w:cstheme="minorHAnsi"/>
          <w:sz w:val="20"/>
          <w:szCs w:val="20"/>
          <w:lang w:val="en-GB"/>
        </w:rPr>
      </w:pPr>
    </w:p>
    <w:tbl>
      <w:tblPr>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DBE5F1" w:themeFill="accent1" w:themeFillTint="33"/>
        <w:tblLook w:val="04A0" w:firstRow="1" w:lastRow="0" w:firstColumn="1" w:lastColumn="0" w:noHBand="0" w:noVBand="1"/>
      </w:tblPr>
      <w:tblGrid>
        <w:gridCol w:w="4673"/>
        <w:gridCol w:w="2410"/>
        <w:gridCol w:w="2267"/>
      </w:tblGrid>
      <w:tr w:rsidR="006C3741" w:rsidRPr="006C3741" w14:paraId="28BB6900" w14:textId="77777777" w:rsidTr="000D2B23">
        <w:trPr>
          <w:trHeight w:hRule="exact" w:val="510"/>
        </w:trPr>
        <w:tc>
          <w:tcPr>
            <w:tcW w:w="9350" w:type="dxa"/>
            <w:gridSpan w:val="3"/>
            <w:shd w:val="clear" w:color="auto" w:fill="DBE5F1" w:themeFill="accent1" w:themeFillTint="33"/>
          </w:tcPr>
          <w:p w14:paraId="1F696103" w14:textId="77777777" w:rsidR="006C3741" w:rsidRPr="006C3741" w:rsidRDefault="006C3741" w:rsidP="000D2B23">
            <w:pPr>
              <w:spacing w:line="276" w:lineRule="auto"/>
              <w:jc w:val="center"/>
              <w:rPr>
                <w:rFonts w:ascii="Arial" w:eastAsia="Times New Roman" w:hAnsi="Arial" w:cs="Arial"/>
                <w:b/>
                <w:sz w:val="20"/>
                <w:szCs w:val="20"/>
                <w:lang w:val="en-GB"/>
              </w:rPr>
            </w:pPr>
            <w:r w:rsidRPr="006C3741">
              <w:rPr>
                <w:rFonts w:ascii="Arial" w:eastAsia="Times New Roman" w:hAnsi="Arial" w:cs="Arial"/>
                <w:b/>
                <w:sz w:val="20"/>
                <w:szCs w:val="20"/>
                <w:lang w:val="en-GB"/>
              </w:rPr>
              <w:t>Evaluation Information</w:t>
            </w:r>
          </w:p>
        </w:tc>
      </w:tr>
      <w:tr w:rsidR="006C3741" w:rsidRPr="006C3741" w14:paraId="798B7D65" w14:textId="77777777" w:rsidTr="000D2B23">
        <w:trPr>
          <w:trHeight w:hRule="exact" w:val="600"/>
        </w:trPr>
        <w:tc>
          <w:tcPr>
            <w:tcW w:w="4673" w:type="dxa"/>
            <w:shd w:val="clear" w:color="auto" w:fill="DBE5F1" w:themeFill="accent1" w:themeFillTint="33"/>
          </w:tcPr>
          <w:p w14:paraId="38B7E9F9" w14:textId="77777777" w:rsidR="006C3741" w:rsidRPr="006C3741" w:rsidRDefault="006C3741" w:rsidP="000D2B23">
            <w:pPr>
              <w:spacing w:line="276" w:lineRule="auto"/>
              <w:rPr>
                <w:rFonts w:ascii="Arial" w:eastAsiaTheme="minorHAnsi" w:hAnsi="Arial" w:cs="Arial"/>
                <w:b/>
                <w:sz w:val="20"/>
                <w:szCs w:val="20"/>
                <w:lang w:val="en-GB"/>
              </w:rPr>
            </w:pPr>
            <w:r w:rsidRPr="006C3741">
              <w:rPr>
                <w:rFonts w:ascii="Arial" w:hAnsi="Arial" w:cs="Arial"/>
                <w:b/>
                <w:sz w:val="20"/>
                <w:szCs w:val="20"/>
                <w:lang w:val="en-GB"/>
              </w:rPr>
              <w:t>Evaluation type (project/ outcome/thematic/country programme, etc.)</w:t>
            </w:r>
          </w:p>
        </w:tc>
        <w:tc>
          <w:tcPr>
            <w:tcW w:w="2410" w:type="dxa"/>
            <w:shd w:val="clear" w:color="auto" w:fill="DBE5F1" w:themeFill="accent1" w:themeFillTint="33"/>
          </w:tcPr>
          <w:p w14:paraId="0297C3CC" w14:textId="346D35B0" w:rsidR="0011457C" w:rsidRPr="006C3741" w:rsidRDefault="0011457C" w:rsidP="0022771A">
            <w:pPr>
              <w:spacing w:line="276" w:lineRule="auto"/>
              <w:jc w:val="center"/>
              <w:rPr>
                <w:rFonts w:ascii="Arial" w:eastAsia="Times New Roman" w:hAnsi="Arial" w:cs="Arial"/>
                <w:sz w:val="20"/>
                <w:szCs w:val="20"/>
                <w:lang w:val="en-GB"/>
              </w:rPr>
            </w:pPr>
            <w:r>
              <w:rPr>
                <w:rFonts w:ascii="Arial" w:eastAsia="Times New Roman" w:hAnsi="Arial" w:cs="Arial"/>
                <w:sz w:val="20"/>
                <w:szCs w:val="20"/>
                <w:lang w:val="en-GB"/>
              </w:rPr>
              <w:t xml:space="preserve">Final </w:t>
            </w:r>
            <w:r w:rsidR="0022771A">
              <w:rPr>
                <w:rFonts w:ascii="Arial" w:eastAsia="Times New Roman" w:hAnsi="Arial" w:cs="Arial"/>
                <w:sz w:val="20"/>
                <w:szCs w:val="20"/>
                <w:lang w:val="en-GB"/>
              </w:rPr>
              <w:t xml:space="preserve">Project </w:t>
            </w:r>
            <w:r>
              <w:rPr>
                <w:rFonts w:ascii="Arial" w:eastAsia="Times New Roman" w:hAnsi="Arial" w:cs="Arial"/>
                <w:sz w:val="20"/>
                <w:szCs w:val="20"/>
                <w:lang w:val="en-GB"/>
              </w:rPr>
              <w:t>Outcome Evaluation</w:t>
            </w:r>
          </w:p>
        </w:tc>
        <w:tc>
          <w:tcPr>
            <w:tcW w:w="2267" w:type="dxa"/>
            <w:shd w:val="clear" w:color="auto" w:fill="DBE5F1" w:themeFill="accent1" w:themeFillTint="33"/>
          </w:tcPr>
          <w:p w14:paraId="133F2C19" w14:textId="77777777" w:rsidR="006C3741" w:rsidRPr="006C3741" w:rsidRDefault="006C3741" w:rsidP="000D2B23">
            <w:pPr>
              <w:spacing w:line="276" w:lineRule="auto"/>
              <w:rPr>
                <w:rFonts w:ascii="Arial" w:eastAsia="Times New Roman" w:hAnsi="Arial" w:cs="Arial"/>
                <w:sz w:val="20"/>
                <w:szCs w:val="20"/>
                <w:lang w:val="en-GB"/>
              </w:rPr>
            </w:pPr>
          </w:p>
        </w:tc>
      </w:tr>
      <w:tr w:rsidR="006C3741" w:rsidRPr="006C3741" w14:paraId="79392583" w14:textId="77777777" w:rsidTr="000D2B23">
        <w:trPr>
          <w:trHeight w:hRule="exact" w:val="510"/>
        </w:trPr>
        <w:tc>
          <w:tcPr>
            <w:tcW w:w="4673" w:type="dxa"/>
            <w:shd w:val="clear" w:color="auto" w:fill="DBE5F1" w:themeFill="accent1" w:themeFillTint="33"/>
          </w:tcPr>
          <w:p w14:paraId="77567304" w14:textId="77777777" w:rsidR="006C3741" w:rsidRPr="006C3741" w:rsidRDefault="006C3741" w:rsidP="000D2B23">
            <w:pPr>
              <w:spacing w:line="276" w:lineRule="auto"/>
              <w:rPr>
                <w:rFonts w:ascii="Arial" w:eastAsiaTheme="minorHAnsi" w:hAnsi="Arial" w:cs="Arial"/>
                <w:b/>
                <w:sz w:val="20"/>
                <w:szCs w:val="20"/>
                <w:lang w:val="en-GB"/>
              </w:rPr>
            </w:pPr>
            <w:r w:rsidRPr="006C3741">
              <w:rPr>
                <w:rFonts w:ascii="Arial" w:eastAsiaTheme="minorHAnsi" w:hAnsi="Arial" w:cs="Arial"/>
                <w:b/>
                <w:sz w:val="20"/>
                <w:szCs w:val="20"/>
                <w:lang w:val="en-GB"/>
              </w:rPr>
              <w:t>Final/midterm review/other</w:t>
            </w:r>
          </w:p>
        </w:tc>
        <w:tc>
          <w:tcPr>
            <w:tcW w:w="2410" w:type="dxa"/>
            <w:shd w:val="clear" w:color="auto" w:fill="DBE5F1" w:themeFill="accent1" w:themeFillTint="33"/>
          </w:tcPr>
          <w:p w14:paraId="14992395" w14:textId="77777777" w:rsidR="006C3741" w:rsidRDefault="006C3741" w:rsidP="0022771A">
            <w:pPr>
              <w:spacing w:line="276" w:lineRule="auto"/>
              <w:jc w:val="center"/>
              <w:rPr>
                <w:rFonts w:ascii="Arial" w:eastAsia="Times New Roman" w:hAnsi="Arial" w:cs="Arial"/>
                <w:sz w:val="20"/>
                <w:szCs w:val="20"/>
                <w:lang w:val="en-GB"/>
              </w:rPr>
            </w:pPr>
          </w:p>
          <w:p w14:paraId="4A874CE0" w14:textId="51F6CA84" w:rsidR="0011457C" w:rsidRPr="006C3741" w:rsidRDefault="0011457C" w:rsidP="0022771A">
            <w:pPr>
              <w:spacing w:line="276" w:lineRule="auto"/>
              <w:jc w:val="center"/>
              <w:rPr>
                <w:rFonts w:ascii="Arial" w:eastAsia="Times New Roman" w:hAnsi="Arial" w:cs="Arial"/>
                <w:sz w:val="20"/>
                <w:szCs w:val="20"/>
                <w:lang w:val="en-GB"/>
              </w:rPr>
            </w:pPr>
            <w:r>
              <w:rPr>
                <w:rFonts w:ascii="Arial" w:eastAsia="Times New Roman" w:hAnsi="Arial" w:cs="Arial"/>
                <w:sz w:val="20"/>
                <w:szCs w:val="20"/>
                <w:lang w:val="en-GB"/>
              </w:rPr>
              <w:t>Final</w:t>
            </w:r>
          </w:p>
        </w:tc>
        <w:tc>
          <w:tcPr>
            <w:tcW w:w="2267" w:type="dxa"/>
            <w:shd w:val="clear" w:color="auto" w:fill="DBE5F1" w:themeFill="accent1" w:themeFillTint="33"/>
          </w:tcPr>
          <w:p w14:paraId="439D00EC" w14:textId="77777777" w:rsidR="006C3741" w:rsidRPr="006C3741" w:rsidRDefault="006C3741" w:rsidP="000D2B23">
            <w:pPr>
              <w:spacing w:line="276" w:lineRule="auto"/>
              <w:rPr>
                <w:rFonts w:ascii="Arial" w:eastAsia="Times New Roman" w:hAnsi="Arial" w:cs="Arial"/>
                <w:sz w:val="20"/>
                <w:szCs w:val="20"/>
                <w:lang w:val="en-GB"/>
              </w:rPr>
            </w:pPr>
          </w:p>
        </w:tc>
      </w:tr>
      <w:tr w:rsidR="006C3741" w:rsidRPr="006C3741" w14:paraId="52227CAC" w14:textId="77777777" w:rsidTr="000D2B23">
        <w:trPr>
          <w:trHeight w:hRule="exact" w:val="333"/>
        </w:trPr>
        <w:tc>
          <w:tcPr>
            <w:tcW w:w="4673" w:type="dxa"/>
            <w:vMerge w:val="restart"/>
            <w:shd w:val="clear" w:color="auto" w:fill="DBE5F1" w:themeFill="accent1" w:themeFillTint="33"/>
          </w:tcPr>
          <w:p w14:paraId="2061133E" w14:textId="77777777" w:rsidR="006C3741" w:rsidRPr="006C3741" w:rsidRDefault="006C3741" w:rsidP="000D2B23">
            <w:pPr>
              <w:spacing w:line="276" w:lineRule="auto"/>
              <w:rPr>
                <w:rFonts w:ascii="Arial" w:eastAsiaTheme="minorHAnsi" w:hAnsi="Arial" w:cs="Arial"/>
                <w:b/>
                <w:sz w:val="20"/>
                <w:szCs w:val="20"/>
                <w:lang w:val="en-GB"/>
              </w:rPr>
            </w:pPr>
            <w:r w:rsidRPr="006C3741">
              <w:rPr>
                <w:rFonts w:ascii="Arial" w:hAnsi="Arial" w:cs="Arial"/>
                <w:b/>
                <w:sz w:val="20"/>
                <w:szCs w:val="20"/>
                <w:lang w:val="en-GB"/>
              </w:rPr>
              <w:t>Period under evaluation</w:t>
            </w:r>
          </w:p>
        </w:tc>
        <w:tc>
          <w:tcPr>
            <w:tcW w:w="2410" w:type="dxa"/>
            <w:shd w:val="clear" w:color="auto" w:fill="DBE5F1" w:themeFill="accent1" w:themeFillTint="33"/>
          </w:tcPr>
          <w:p w14:paraId="472C06B7" w14:textId="77777777" w:rsidR="006C3741" w:rsidRPr="006C3741" w:rsidRDefault="006C3741" w:rsidP="000D2B23">
            <w:pPr>
              <w:spacing w:line="276" w:lineRule="auto"/>
              <w:jc w:val="center"/>
              <w:rPr>
                <w:rFonts w:ascii="Arial" w:eastAsia="Times New Roman" w:hAnsi="Arial" w:cs="Arial"/>
                <w:sz w:val="20"/>
                <w:szCs w:val="20"/>
                <w:lang w:val="en-GB"/>
              </w:rPr>
            </w:pPr>
            <w:r w:rsidRPr="006C3741">
              <w:rPr>
                <w:rFonts w:ascii="Arial" w:hAnsi="Arial" w:cs="Arial"/>
                <w:sz w:val="20"/>
                <w:szCs w:val="20"/>
                <w:lang w:val="en-GB"/>
              </w:rPr>
              <w:t>Start</w:t>
            </w:r>
          </w:p>
        </w:tc>
        <w:tc>
          <w:tcPr>
            <w:tcW w:w="2267" w:type="dxa"/>
            <w:shd w:val="clear" w:color="auto" w:fill="DBE5F1" w:themeFill="accent1" w:themeFillTint="33"/>
          </w:tcPr>
          <w:p w14:paraId="7F0A8879" w14:textId="77777777" w:rsidR="006C3741" w:rsidRPr="006C3741" w:rsidRDefault="006C3741" w:rsidP="000D2B23">
            <w:pPr>
              <w:spacing w:line="276" w:lineRule="auto"/>
              <w:jc w:val="center"/>
              <w:rPr>
                <w:rFonts w:ascii="Arial" w:eastAsiaTheme="minorHAnsi" w:hAnsi="Arial" w:cs="Arial"/>
                <w:sz w:val="20"/>
                <w:szCs w:val="20"/>
                <w:lang w:val="en-GB"/>
              </w:rPr>
            </w:pPr>
            <w:r w:rsidRPr="006C3741">
              <w:rPr>
                <w:rFonts w:ascii="Arial" w:hAnsi="Arial" w:cs="Arial"/>
                <w:sz w:val="20"/>
                <w:szCs w:val="20"/>
                <w:lang w:val="en-GB"/>
              </w:rPr>
              <w:t>End</w:t>
            </w:r>
          </w:p>
        </w:tc>
      </w:tr>
      <w:tr w:rsidR="006C3741" w:rsidRPr="006C3741" w14:paraId="1FF27AF5" w14:textId="77777777" w:rsidTr="000D2B23">
        <w:trPr>
          <w:trHeight w:hRule="exact" w:val="335"/>
        </w:trPr>
        <w:tc>
          <w:tcPr>
            <w:tcW w:w="4673" w:type="dxa"/>
            <w:vMerge/>
            <w:shd w:val="clear" w:color="auto" w:fill="DBE5F1" w:themeFill="accent1" w:themeFillTint="33"/>
          </w:tcPr>
          <w:p w14:paraId="1015AFEC" w14:textId="77777777" w:rsidR="006C3741" w:rsidRPr="006C3741" w:rsidRDefault="006C3741" w:rsidP="000D2B23">
            <w:pPr>
              <w:spacing w:line="276" w:lineRule="auto"/>
              <w:rPr>
                <w:rFonts w:ascii="Arial" w:eastAsiaTheme="minorHAnsi" w:hAnsi="Arial" w:cs="Arial"/>
                <w:b/>
                <w:sz w:val="20"/>
                <w:szCs w:val="20"/>
                <w:lang w:val="en-GB"/>
              </w:rPr>
            </w:pPr>
          </w:p>
        </w:tc>
        <w:tc>
          <w:tcPr>
            <w:tcW w:w="2410" w:type="dxa"/>
            <w:shd w:val="clear" w:color="auto" w:fill="DBE5F1" w:themeFill="accent1" w:themeFillTint="33"/>
          </w:tcPr>
          <w:p w14:paraId="2B0AB79E" w14:textId="60C44781" w:rsidR="006C3741" w:rsidRPr="006C3741" w:rsidRDefault="0011457C" w:rsidP="000D2B23">
            <w:pPr>
              <w:spacing w:line="276" w:lineRule="auto"/>
              <w:jc w:val="center"/>
              <w:rPr>
                <w:rFonts w:ascii="Arial" w:eastAsia="Times New Roman" w:hAnsi="Arial" w:cs="Arial"/>
                <w:sz w:val="20"/>
                <w:szCs w:val="20"/>
                <w:lang w:val="en-GB"/>
              </w:rPr>
            </w:pPr>
            <w:r>
              <w:rPr>
                <w:rFonts w:ascii="Arial" w:eastAsia="Times New Roman" w:hAnsi="Arial" w:cs="Arial"/>
                <w:sz w:val="20"/>
                <w:szCs w:val="20"/>
                <w:lang w:val="en-GB"/>
              </w:rPr>
              <w:t>26 July 2016</w:t>
            </w:r>
          </w:p>
        </w:tc>
        <w:tc>
          <w:tcPr>
            <w:tcW w:w="2267" w:type="dxa"/>
            <w:shd w:val="clear" w:color="auto" w:fill="DBE5F1" w:themeFill="accent1" w:themeFillTint="33"/>
          </w:tcPr>
          <w:p w14:paraId="5532FBCB" w14:textId="5BB451D0" w:rsidR="006C3741" w:rsidRPr="006C3741" w:rsidRDefault="0011457C" w:rsidP="000D2B23">
            <w:pPr>
              <w:spacing w:line="276" w:lineRule="auto"/>
              <w:jc w:val="center"/>
              <w:rPr>
                <w:rFonts w:ascii="Arial" w:eastAsiaTheme="minorHAnsi" w:hAnsi="Arial" w:cs="Arial"/>
                <w:sz w:val="20"/>
                <w:szCs w:val="20"/>
                <w:lang w:val="en-GB"/>
              </w:rPr>
            </w:pPr>
            <w:r>
              <w:rPr>
                <w:rFonts w:ascii="Arial" w:eastAsiaTheme="minorHAnsi" w:hAnsi="Arial" w:cs="Arial"/>
                <w:sz w:val="20"/>
                <w:szCs w:val="20"/>
                <w:lang w:val="en-GB"/>
              </w:rPr>
              <w:t>26 February 2021</w:t>
            </w:r>
          </w:p>
        </w:tc>
      </w:tr>
      <w:tr w:rsidR="006C3741" w:rsidRPr="006C3741" w14:paraId="63555999" w14:textId="77777777" w:rsidTr="000D2B23">
        <w:trPr>
          <w:trHeight w:hRule="exact" w:val="510"/>
        </w:trPr>
        <w:tc>
          <w:tcPr>
            <w:tcW w:w="4673" w:type="dxa"/>
            <w:shd w:val="clear" w:color="auto" w:fill="DBE5F1" w:themeFill="accent1" w:themeFillTint="33"/>
          </w:tcPr>
          <w:p w14:paraId="3463C52C" w14:textId="77777777" w:rsidR="006C3741" w:rsidRPr="006C3741" w:rsidRDefault="006C3741" w:rsidP="000D2B23">
            <w:pPr>
              <w:spacing w:line="276" w:lineRule="auto"/>
              <w:rPr>
                <w:rFonts w:ascii="Arial" w:eastAsiaTheme="minorHAnsi" w:hAnsi="Arial" w:cs="Arial"/>
                <w:b/>
                <w:sz w:val="20"/>
                <w:szCs w:val="20"/>
                <w:lang w:val="en-GB"/>
              </w:rPr>
            </w:pPr>
            <w:r w:rsidRPr="006C3741">
              <w:rPr>
                <w:rFonts w:ascii="Arial" w:hAnsi="Arial" w:cs="Arial"/>
                <w:b/>
                <w:sz w:val="20"/>
                <w:szCs w:val="20"/>
                <w:lang w:val="en-GB"/>
              </w:rPr>
              <w:t>Evaluators</w:t>
            </w:r>
          </w:p>
        </w:tc>
        <w:tc>
          <w:tcPr>
            <w:tcW w:w="2410" w:type="dxa"/>
            <w:shd w:val="clear" w:color="auto" w:fill="DBE5F1" w:themeFill="accent1" w:themeFillTint="33"/>
          </w:tcPr>
          <w:p w14:paraId="55A125C2" w14:textId="77777777" w:rsidR="0011457C" w:rsidRDefault="0011457C" w:rsidP="000D2B23">
            <w:pPr>
              <w:spacing w:line="276" w:lineRule="auto"/>
              <w:jc w:val="center"/>
              <w:rPr>
                <w:rFonts w:ascii="Arial" w:eastAsia="Times New Roman" w:hAnsi="Arial" w:cs="Arial"/>
                <w:sz w:val="20"/>
                <w:szCs w:val="20"/>
                <w:lang w:val="en-GB"/>
              </w:rPr>
            </w:pPr>
          </w:p>
          <w:p w14:paraId="728FFD5A" w14:textId="2433EDF1" w:rsidR="006C3741" w:rsidRPr="006C3741" w:rsidRDefault="0011457C" w:rsidP="000D2B23">
            <w:pPr>
              <w:spacing w:line="276" w:lineRule="auto"/>
              <w:jc w:val="center"/>
              <w:rPr>
                <w:rFonts w:ascii="Arial" w:eastAsia="Times New Roman" w:hAnsi="Arial" w:cs="Arial"/>
                <w:sz w:val="20"/>
                <w:szCs w:val="20"/>
                <w:lang w:val="en-GB"/>
              </w:rPr>
            </w:pPr>
            <w:r>
              <w:rPr>
                <w:rFonts w:ascii="Arial" w:eastAsia="Times New Roman" w:hAnsi="Arial" w:cs="Arial"/>
                <w:sz w:val="20"/>
                <w:szCs w:val="20"/>
                <w:lang w:val="en-GB"/>
              </w:rPr>
              <w:t>Anthony P. Costanzo Jr.</w:t>
            </w:r>
          </w:p>
        </w:tc>
        <w:tc>
          <w:tcPr>
            <w:tcW w:w="2267" w:type="dxa"/>
            <w:shd w:val="clear" w:color="auto" w:fill="DBE5F1" w:themeFill="accent1" w:themeFillTint="33"/>
          </w:tcPr>
          <w:p w14:paraId="18F753C5" w14:textId="77777777" w:rsidR="006C3741" w:rsidRPr="006C3741" w:rsidRDefault="006C3741" w:rsidP="000D2B23">
            <w:pPr>
              <w:spacing w:line="276" w:lineRule="auto"/>
              <w:jc w:val="center"/>
              <w:rPr>
                <w:rFonts w:ascii="Arial" w:eastAsiaTheme="minorHAnsi" w:hAnsi="Arial" w:cs="Arial"/>
                <w:sz w:val="20"/>
                <w:szCs w:val="20"/>
                <w:lang w:val="en-GB"/>
              </w:rPr>
            </w:pPr>
          </w:p>
        </w:tc>
      </w:tr>
      <w:tr w:rsidR="006C3741" w:rsidRPr="006C3741" w14:paraId="6783CAF1" w14:textId="77777777" w:rsidTr="000D2B23">
        <w:trPr>
          <w:trHeight w:hRule="exact" w:val="510"/>
        </w:trPr>
        <w:tc>
          <w:tcPr>
            <w:tcW w:w="4673" w:type="dxa"/>
            <w:shd w:val="clear" w:color="auto" w:fill="DBE5F1" w:themeFill="accent1" w:themeFillTint="33"/>
          </w:tcPr>
          <w:p w14:paraId="5C5B22CA" w14:textId="77777777" w:rsidR="006C3741" w:rsidRPr="006C3741" w:rsidRDefault="006C3741" w:rsidP="000D2B23">
            <w:pPr>
              <w:spacing w:line="276" w:lineRule="auto"/>
              <w:rPr>
                <w:rFonts w:ascii="Arial" w:eastAsiaTheme="minorHAnsi" w:hAnsi="Arial" w:cs="Arial"/>
                <w:b/>
                <w:sz w:val="20"/>
                <w:szCs w:val="20"/>
                <w:lang w:val="en-GB"/>
              </w:rPr>
            </w:pPr>
            <w:r w:rsidRPr="006C3741">
              <w:rPr>
                <w:rFonts w:ascii="Arial" w:hAnsi="Arial" w:cs="Arial"/>
                <w:b/>
                <w:sz w:val="20"/>
                <w:szCs w:val="20"/>
                <w:lang w:val="en-GB"/>
              </w:rPr>
              <w:t>Evaluator email address</w:t>
            </w:r>
          </w:p>
        </w:tc>
        <w:tc>
          <w:tcPr>
            <w:tcW w:w="2410" w:type="dxa"/>
            <w:shd w:val="clear" w:color="auto" w:fill="DBE5F1" w:themeFill="accent1" w:themeFillTint="33"/>
          </w:tcPr>
          <w:p w14:paraId="03B6A122" w14:textId="77777777" w:rsidR="006C3741" w:rsidRDefault="006C3741" w:rsidP="000D2B23">
            <w:pPr>
              <w:spacing w:line="276" w:lineRule="auto"/>
              <w:jc w:val="center"/>
              <w:rPr>
                <w:rFonts w:ascii="Arial" w:eastAsia="Times New Roman" w:hAnsi="Arial" w:cs="Arial"/>
                <w:sz w:val="20"/>
                <w:szCs w:val="20"/>
                <w:lang w:val="en-GB"/>
              </w:rPr>
            </w:pPr>
          </w:p>
          <w:p w14:paraId="2F5281EA" w14:textId="7B64D826" w:rsidR="0011457C" w:rsidRPr="006C3741" w:rsidRDefault="0035641B" w:rsidP="000D2B23">
            <w:pPr>
              <w:spacing w:line="276" w:lineRule="auto"/>
              <w:jc w:val="center"/>
              <w:rPr>
                <w:rFonts w:ascii="Arial" w:eastAsia="Times New Roman" w:hAnsi="Arial" w:cs="Arial"/>
                <w:sz w:val="20"/>
                <w:szCs w:val="20"/>
                <w:lang w:val="en-GB"/>
              </w:rPr>
            </w:pPr>
            <w:hyperlink r:id="rId12" w:history="1">
              <w:r w:rsidR="0011457C" w:rsidRPr="00E34B11">
                <w:rPr>
                  <w:rStyle w:val="Hyperlink"/>
                  <w:rFonts w:ascii="Arial" w:eastAsia="Times New Roman" w:hAnsi="Arial" w:cs="Arial"/>
                  <w:sz w:val="20"/>
                  <w:szCs w:val="20"/>
                  <w:lang w:val="en-GB"/>
                </w:rPr>
                <w:t>apcostanzo@bgsi.net</w:t>
              </w:r>
            </w:hyperlink>
          </w:p>
        </w:tc>
        <w:tc>
          <w:tcPr>
            <w:tcW w:w="2267" w:type="dxa"/>
            <w:shd w:val="clear" w:color="auto" w:fill="DBE5F1" w:themeFill="accent1" w:themeFillTint="33"/>
          </w:tcPr>
          <w:p w14:paraId="0B4EC261" w14:textId="77777777" w:rsidR="006C3741" w:rsidRPr="006C3741" w:rsidRDefault="006C3741" w:rsidP="000D2B23">
            <w:pPr>
              <w:spacing w:line="276" w:lineRule="auto"/>
              <w:jc w:val="center"/>
              <w:rPr>
                <w:rFonts w:ascii="Arial" w:eastAsiaTheme="minorHAnsi" w:hAnsi="Arial" w:cs="Arial"/>
                <w:sz w:val="20"/>
                <w:szCs w:val="20"/>
                <w:lang w:val="en-GB"/>
              </w:rPr>
            </w:pPr>
          </w:p>
        </w:tc>
      </w:tr>
      <w:tr w:rsidR="006C3741" w:rsidRPr="006C3741" w14:paraId="796340BA" w14:textId="77777777" w:rsidTr="000D2B23">
        <w:trPr>
          <w:trHeight w:hRule="exact" w:val="317"/>
        </w:trPr>
        <w:tc>
          <w:tcPr>
            <w:tcW w:w="4673" w:type="dxa"/>
            <w:vMerge w:val="restart"/>
            <w:shd w:val="clear" w:color="auto" w:fill="DBE5F1" w:themeFill="accent1" w:themeFillTint="33"/>
          </w:tcPr>
          <w:p w14:paraId="460D793C" w14:textId="77777777" w:rsidR="006C3741" w:rsidRPr="006C3741" w:rsidRDefault="006C3741" w:rsidP="000D2B23">
            <w:pPr>
              <w:spacing w:line="276" w:lineRule="auto"/>
              <w:rPr>
                <w:rFonts w:ascii="Arial" w:eastAsiaTheme="minorHAnsi" w:hAnsi="Arial" w:cs="Arial"/>
                <w:b/>
                <w:sz w:val="20"/>
                <w:szCs w:val="20"/>
                <w:lang w:val="en-GB"/>
              </w:rPr>
            </w:pPr>
            <w:r w:rsidRPr="006C3741">
              <w:rPr>
                <w:rFonts w:ascii="Arial" w:hAnsi="Arial" w:cs="Arial"/>
                <w:b/>
                <w:sz w:val="20"/>
                <w:szCs w:val="20"/>
                <w:lang w:val="en-GB"/>
              </w:rPr>
              <w:t>Evaluation dates</w:t>
            </w:r>
          </w:p>
        </w:tc>
        <w:tc>
          <w:tcPr>
            <w:tcW w:w="2410" w:type="dxa"/>
            <w:shd w:val="clear" w:color="auto" w:fill="DBE5F1" w:themeFill="accent1" w:themeFillTint="33"/>
          </w:tcPr>
          <w:p w14:paraId="0DF0CC0A" w14:textId="77777777" w:rsidR="006C3741" w:rsidRPr="006C3741" w:rsidRDefault="006C3741" w:rsidP="000D2B23">
            <w:pPr>
              <w:spacing w:line="276" w:lineRule="auto"/>
              <w:jc w:val="center"/>
              <w:rPr>
                <w:rFonts w:ascii="Arial" w:eastAsia="Times New Roman" w:hAnsi="Arial" w:cs="Arial"/>
                <w:sz w:val="20"/>
                <w:szCs w:val="20"/>
                <w:lang w:val="en-GB"/>
              </w:rPr>
            </w:pPr>
            <w:r w:rsidRPr="006C3741">
              <w:rPr>
                <w:rFonts w:ascii="Arial" w:hAnsi="Arial" w:cs="Arial"/>
                <w:sz w:val="20"/>
                <w:szCs w:val="20"/>
                <w:lang w:val="en-GB"/>
              </w:rPr>
              <w:t>Start</w:t>
            </w:r>
          </w:p>
        </w:tc>
        <w:tc>
          <w:tcPr>
            <w:tcW w:w="2267" w:type="dxa"/>
            <w:shd w:val="clear" w:color="auto" w:fill="DBE5F1" w:themeFill="accent1" w:themeFillTint="33"/>
          </w:tcPr>
          <w:p w14:paraId="69D05BEB" w14:textId="77777777" w:rsidR="006C3741" w:rsidRPr="006C3741" w:rsidRDefault="006C3741" w:rsidP="000D2B23">
            <w:pPr>
              <w:spacing w:line="276" w:lineRule="auto"/>
              <w:jc w:val="center"/>
              <w:rPr>
                <w:rFonts w:ascii="Arial" w:eastAsiaTheme="minorHAnsi" w:hAnsi="Arial" w:cs="Arial"/>
                <w:sz w:val="20"/>
                <w:szCs w:val="20"/>
                <w:lang w:val="en-GB"/>
              </w:rPr>
            </w:pPr>
            <w:r w:rsidRPr="006C3741">
              <w:rPr>
                <w:rFonts w:ascii="Arial" w:hAnsi="Arial" w:cs="Arial"/>
                <w:sz w:val="20"/>
                <w:szCs w:val="20"/>
                <w:lang w:val="en-GB"/>
              </w:rPr>
              <w:t>Completion</w:t>
            </w:r>
          </w:p>
        </w:tc>
      </w:tr>
      <w:tr w:rsidR="0011457C" w:rsidRPr="006C3741" w14:paraId="0AA752CD" w14:textId="77777777" w:rsidTr="000D2B23">
        <w:trPr>
          <w:trHeight w:hRule="exact" w:val="510"/>
        </w:trPr>
        <w:tc>
          <w:tcPr>
            <w:tcW w:w="4673" w:type="dxa"/>
            <w:vMerge/>
            <w:shd w:val="clear" w:color="auto" w:fill="DBE5F1" w:themeFill="accent1" w:themeFillTint="33"/>
          </w:tcPr>
          <w:p w14:paraId="6FB71129" w14:textId="77777777" w:rsidR="0011457C" w:rsidRPr="006C3741" w:rsidRDefault="0011457C" w:rsidP="000D2B23">
            <w:pPr>
              <w:spacing w:line="276" w:lineRule="auto"/>
              <w:rPr>
                <w:rFonts w:ascii="Arial" w:eastAsia="Times New Roman" w:hAnsi="Arial" w:cs="Arial"/>
                <w:sz w:val="20"/>
                <w:szCs w:val="20"/>
                <w:lang w:val="en-GB"/>
              </w:rPr>
            </w:pPr>
          </w:p>
        </w:tc>
        <w:tc>
          <w:tcPr>
            <w:tcW w:w="2410" w:type="dxa"/>
            <w:shd w:val="clear" w:color="auto" w:fill="DBE5F1" w:themeFill="accent1" w:themeFillTint="33"/>
          </w:tcPr>
          <w:p w14:paraId="7F0A6A00" w14:textId="77777777" w:rsidR="0011457C" w:rsidRDefault="0011457C" w:rsidP="000D2B23">
            <w:pPr>
              <w:spacing w:line="276" w:lineRule="auto"/>
              <w:jc w:val="center"/>
              <w:rPr>
                <w:rFonts w:ascii="Arial" w:eastAsia="Times New Roman" w:hAnsi="Arial" w:cs="Arial"/>
                <w:sz w:val="20"/>
                <w:szCs w:val="20"/>
                <w:lang w:val="en-GB"/>
              </w:rPr>
            </w:pPr>
          </w:p>
          <w:p w14:paraId="5D1A39D2" w14:textId="66D156E3" w:rsidR="0011457C" w:rsidRPr="006C3741" w:rsidRDefault="0011457C" w:rsidP="000D2B23">
            <w:pPr>
              <w:spacing w:line="276" w:lineRule="auto"/>
              <w:jc w:val="center"/>
              <w:rPr>
                <w:rFonts w:ascii="Arial" w:eastAsia="Times New Roman" w:hAnsi="Arial" w:cs="Arial"/>
                <w:sz w:val="20"/>
                <w:szCs w:val="20"/>
                <w:lang w:val="en-GB"/>
              </w:rPr>
            </w:pPr>
            <w:r>
              <w:rPr>
                <w:rFonts w:ascii="Arial" w:eastAsia="Times New Roman" w:hAnsi="Arial" w:cs="Arial"/>
                <w:sz w:val="20"/>
                <w:szCs w:val="20"/>
                <w:lang w:val="en-GB"/>
              </w:rPr>
              <w:t>1 January 2021</w:t>
            </w:r>
          </w:p>
        </w:tc>
        <w:tc>
          <w:tcPr>
            <w:tcW w:w="2267" w:type="dxa"/>
            <w:shd w:val="clear" w:color="auto" w:fill="DBE5F1" w:themeFill="accent1" w:themeFillTint="33"/>
          </w:tcPr>
          <w:p w14:paraId="4D917863" w14:textId="77777777" w:rsidR="0011457C" w:rsidRDefault="0011457C" w:rsidP="000D2B23">
            <w:pPr>
              <w:spacing w:line="276" w:lineRule="auto"/>
              <w:jc w:val="center"/>
              <w:rPr>
                <w:rFonts w:ascii="Arial" w:eastAsiaTheme="minorHAnsi" w:hAnsi="Arial" w:cs="Arial"/>
                <w:sz w:val="20"/>
                <w:szCs w:val="20"/>
                <w:lang w:val="en-GB"/>
              </w:rPr>
            </w:pPr>
          </w:p>
          <w:p w14:paraId="522904BB" w14:textId="07FF33AF" w:rsidR="0011457C" w:rsidRPr="006C3741" w:rsidRDefault="0011457C" w:rsidP="000D2B23">
            <w:pPr>
              <w:spacing w:line="276" w:lineRule="auto"/>
              <w:jc w:val="center"/>
              <w:rPr>
                <w:rFonts w:ascii="Arial" w:eastAsia="Times New Roman" w:hAnsi="Arial" w:cs="Arial"/>
                <w:sz w:val="20"/>
                <w:szCs w:val="20"/>
                <w:lang w:val="en-GB"/>
              </w:rPr>
            </w:pPr>
            <w:r>
              <w:rPr>
                <w:rFonts w:ascii="Arial" w:eastAsiaTheme="minorHAnsi" w:hAnsi="Arial" w:cs="Arial"/>
                <w:sz w:val="20"/>
                <w:szCs w:val="20"/>
                <w:lang w:val="en-GB"/>
              </w:rPr>
              <w:t>19 March 2021</w:t>
            </w:r>
          </w:p>
        </w:tc>
      </w:tr>
    </w:tbl>
    <w:p w14:paraId="39C600A8" w14:textId="6A29F900" w:rsidR="009F6A7A" w:rsidRDefault="006C3741">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br w:type="page"/>
      </w:r>
    </w:p>
    <w:p w14:paraId="20CC85E2" w14:textId="0EEE92F3" w:rsidR="008F0A41" w:rsidRDefault="008F0A41" w:rsidP="008F0A41">
      <w:pPr>
        <w:pStyle w:val="Heading4"/>
      </w:pPr>
      <w:bookmarkStart w:id="2" w:name="_Toc478138854"/>
      <w:r>
        <w:lastRenderedPageBreak/>
        <w:t>Document Framework</w:t>
      </w:r>
      <w:bookmarkEnd w:id="2"/>
    </w:p>
    <w:p w14:paraId="6138F47C" w14:textId="77777777" w:rsidR="008F0A41" w:rsidRDefault="008F0A41" w:rsidP="008F0A41">
      <w:pPr>
        <w:jc w:val="both"/>
        <w:rPr>
          <w:rFonts w:ascii="Arial" w:hAnsi="Arial"/>
          <w:sz w:val="22"/>
          <w:szCs w:val="22"/>
        </w:rPr>
      </w:pPr>
    </w:p>
    <w:p w14:paraId="57384AFC" w14:textId="77777777" w:rsidR="008F0A41" w:rsidRDefault="008F0A41" w:rsidP="008F0A41">
      <w:pPr>
        <w:jc w:val="both"/>
        <w:rPr>
          <w:rFonts w:ascii="Arial" w:hAnsi="Arial"/>
          <w:sz w:val="22"/>
          <w:szCs w:val="22"/>
        </w:rPr>
      </w:pPr>
      <w:r>
        <w:rPr>
          <w:rFonts w:ascii="Arial" w:hAnsi="Arial"/>
          <w:sz w:val="22"/>
          <w:szCs w:val="22"/>
        </w:rPr>
        <w:t xml:space="preserve">This document contains 4 main parts: </w:t>
      </w:r>
    </w:p>
    <w:p w14:paraId="25A198A3" w14:textId="77777777" w:rsidR="008F0A41" w:rsidRDefault="008F0A41" w:rsidP="008F0A41">
      <w:pPr>
        <w:jc w:val="both"/>
        <w:rPr>
          <w:rFonts w:ascii="Arial" w:hAnsi="Arial"/>
          <w:sz w:val="22"/>
          <w:szCs w:val="22"/>
        </w:rPr>
      </w:pPr>
    </w:p>
    <w:p w14:paraId="43697F0E" w14:textId="77777777" w:rsidR="008F0A41" w:rsidRDefault="008F0A41" w:rsidP="008F0A41">
      <w:pPr>
        <w:jc w:val="both"/>
        <w:rPr>
          <w:rFonts w:ascii="Arial" w:hAnsi="Arial"/>
          <w:sz w:val="22"/>
          <w:szCs w:val="22"/>
        </w:rPr>
      </w:pPr>
      <w:r>
        <w:rPr>
          <w:rFonts w:ascii="Arial" w:hAnsi="Arial"/>
          <w:sz w:val="22"/>
          <w:szCs w:val="22"/>
        </w:rPr>
        <w:t>Part I</w:t>
      </w:r>
      <w:r>
        <w:rPr>
          <w:rFonts w:ascii="Arial" w:hAnsi="Arial"/>
          <w:sz w:val="22"/>
          <w:szCs w:val="22"/>
        </w:rPr>
        <w:tab/>
      </w:r>
      <w:r>
        <w:rPr>
          <w:rFonts w:ascii="Arial" w:hAnsi="Arial"/>
          <w:sz w:val="22"/>
          <w:szCs w:val="22"/>
        </w:rPr>
        <w:tab/>
        <w:t>Executive Summary</w:t>
      </w:r>
    </w:p>
    <w:p w14:paraId="413C0DC2" w14:textId="77777777" w:rsidR="008F0A41" w:rsidRDefault="008F0A41" w:rsidP="008F0A41">
      <w:pPr>
        <w:jc w:val="both"/>
        <w:rPr>
          <w:rFonts w:ascii="Arial" w:hAnsi="Arial"/>
          <w:sz w:val="22"/>
          <w:szCs w:val="22"/>
        </w:rPr>
      </w:pPr>
    </w:p>
    <w:p w14:paraId="37E8A4DE" w14:textId="77777777" w:rsidR="008F0A41" w:rsidRDefault="008F0A41" w:rsidP="008F0A41">
      <w:pPr>
        <w:ind w:left="1440" w:hanging="1440"/>
        <w:jc w:val="both"/>
        <w:rPr>
          <w:rFonts w:ascii="Arial" w:hAnsi="Arial"/>
          <w:sz w:val="22"/>
          <w:szCs w:val="22"/>
        </w:rPr>
      </w:pPr>
      <w:r>
        <w:rPr>
          <w:rFonts w:ascii="Arial" w:hAnsi="Arial"/>
          <w:sz w:val="22"/>
          <w:szCs w:val="22"/>
        </w:rPr>
        <w:t>Part II</w:t>
      </w:r>
      <w:r>
        <w:rPr>
          <w:rFonts w:ascii="Arial" w:hAnsi="Arial"/>
          <w:sz w:val="22"/>
          <w:szCs w:val="22"/>
        </w:rPr>
        <w:tab/>
        <w:t>The final evaluation framework that provides the development context and brief description of the project intervention, evaluation scope and objectives, and the evaluation approach and methodology.</w:t>
      </w:r>
    </w:p>
    <w:p w14:paraId="7309A6DF" w14:textId="77777777" w:rsidR="008F0A41" w:rsidRDefault="008F0A41" w:rsidP="008F0A41">
      <w:pPr>
        <w:ind w:left="1440" w:hanging="1440"/>
        <w:jc w:val="both"/>
        <w:rPr>
          <w:rFonts w:ascii="Arial" w:hAnsi="Arial"/>
          <w:sz w:val="22"/>
          <w:szCs w:val="22"/>
        </w:rPr>
      </w:pPr>
    </w:p>
    <w:p w14:paraId="5453AB20" w14:textId="71C28D5A" w:rsidR="008F0A41" w:rsidRDefault="008F0A41" w:rsidP="008F0A41">
      <w:pPr>
        <w:ind w:left="1440" w:hanging="1440"/>
        <w:jc w:val="both"/>
        <w:rPr>
          <w:rFonts w:ascii="Arial" w:hAnsi="Arial"/>
          <w:sz w:val="22"/>
          <w:szCs w:val="22"/>
        </w:rPr>
      </w:pPr>
      <w:r>
        <w:rPr>
          <w:rFonts w:ascii="Arial" w:hAnsi="Arial"/>
          <w:sz w:val="22"/>
          <w:szCs w:val="22"/>
        </w:rPr>
        <w:t xml:space="preserve">Part III </w:t>
      </w:r>
      <w:r>
        <w:rPr>
          <w:rFonts w:ascii="Arial" w:hAnsi="Arial"/>
          <w:sz w:val="22"/>
          <w:szCs w:val="22"/>
        </w:rPr>
        <w:tab/>
        <w:t>Provides the main findings and conclusions that includes the OECD DAC evaluation criteria assessment; responsiveness to project goal, project management and implementation, and SDGs; the background, major results and conclusion for each outcome; and lessons learned.</w:t>
      </w:r>
    </w:p>
    <w:p w14:paraId="28D8DD0B" w14:textId="77777777" w:rsidR="008F0A41" w:rsidRDefault="008F0A41" w:rsidP="008F0A41">
      <w:pPr>
        <w:ind w:left="1440" w:hanging="1440"/>
        <w:jc w:val="both"/>
        <w:rPr>
          <w:rFonts w:ascii="Arial" w:hAnsi="Arial"/>
          <w:sz w:val="22"/>
          <w:szCs w:val="22"/>
        </w:rPr>
      </w:pPr>
    </w:p>
    <w:p w14:paraId="49D6F9C1" w14:textId="718828F3" w:rsidR="008F0A41" w:rsidRPr="008F0A41" w:rsidRDefault="008F0A41" w:rsidP="008F0A41">
      <w:pPr>
        <w:ind w:left="1440" w:hanging="1440"/>
        <w:jc w:val="both"/>
        <w:rPr>
          <w:rFonts w:ascii="Arial" w:hAnsi="Arial"/>
          <w:sz w:val="22"/>
          <w:szCs w:val="22"/>
        </w:rPr>
      </w:pPr>
      <w:r>
        <w:rPr>
          <w:rFonts w:ascii="Arial" w:hAnsi="Arial"/>
          <w:sz w:val="22"/>
          <w:szCs w:val="22"/>
        </w:rPr>
        <w:t>Part IV</w:t>
      </w:r>
      <w:r>
        <w:rPr>
          <w:rFonts w:ascii="Arial" w:hAnsi="Arial"/>
          <w:sz w:val="22"/>
          <w:szCs w:val="22"/>
        </w:rPr>
        <w:tab/>
        <w:t>An attempt to identify the main recommendations with a focus on next steps for a future cycle of reform.</w:t>
      </w:r>
    </w:p>
    <w:p w14:paraId="0DAA323E" w14:textId="77777777" w:rsidR="006C5733" w:rsidRDefault="006C5733" w:rsidP="003060EE">
      <w:pPr>
        <w:pStyle w:val="Heading1"/>
        <w:numPr>
          <w:ilvl w:val="0"/>
          <w:numId w:val="1"/>
        </w:numPr>
      </w:pPr>
      <w:bookmarkStart w:id="3" w:name="_Toc478138855"/>
      <w:r>
        <w:t>Executive Summary</w:t>
      </w:r>
      <w:bookmarkEnd w:id="3"/>
    </w:p>
    <w:p w14:paraId="5F9D770F" w14:textId="77777777" w:rsidR="00D362B1" w:rsidRDefault="00D362B1">
      <w:pPr>
        <w:rPr>
          <w:rFonts w:ascii="Arial" w:hAnsi="Arial"/>
          <w:b/>
          <w:sz w:val="22"/>
          <w:szCs w:val="22"/>
        </w:rPr>
      </w:pPr>
    </w:p>
    <w:p w14:paraId="656F5482" w14:textId="1FE37313" w:rsidR="00A86865" w:rsidRDefault="00A86865" w:rsidP="00A86865">
      <w:pPr>
        <w:jc w:val="both"/>
        <w:rPr>
          <w:rFonts w:ascii="Arial" w:hAnsi="Arial"/>
          <w:sz w:val="22"/>
          <w:szCs w:val="22"/>
        </w:rPr>
      </w:pPr>
      <w:r>
        <w:rPr>
          <w:rFonts w:ascii="Arial" w:hAnsi="Arial"/>
          <w:sz w:val="22"/>
          <w:szCs w:val="22"/>
        </w:rPr>
        <w:t xml:space="preserve">UNDP in partnership with the government of the United Kingdom, through its Good Governance Fund, initiated the project </w:t>
      </w:r>
      <w:r w:rsidRPr="00960A63">
        <w:rPr>
          <w:rFonts w:ascii="Arial" w:hAnsi="Arial"/>
          <w:i/>
          <w:sz w:val="22"/>
          <w:szCs w:val="22"/>
        </w:rPr>
        <w:t xml:space="preserve">Supporting Public Administration </w:t>
      </w:r>
      <w:r w:rsidRPr="00E5577D">
        <w:rPr>
          <w:rFonts w:ascii="Arial" w:hAnsi="Arial"/>
          <w:i/>
          <w:sz w:val="22"/>
          <w:szCs w:val="22"/>
        </w:rPr>
        <w:t>Reform in Georgia</w:t>
      </w:r>
      <w:r>
        <w:rPr>
          <w:rFonts w:ascii="Arial" w:hAnsi="Arial"/>
          <w:sz w:val="22"/>
          <w:szCs w:val="22"/>
        </w:rPr>
        <w:t xml:space="preserve"> in July 2016 (hereinafter “PAR project”) to help advance the government’s public administration reform agenda and implement key parts of that agenda. The PAR project was designed and implemented in the context of the Government of Georgia’s (</w:t>
      </w:r>
      <w:proofErr w:type="spellStart"/>
      <w:r>
        <w:rPr>
          <w:rFonts w:ascii="Arial" w:hAnsi="Arial"/>
          <w:sz w:val="22"/>
          <w:szCs w:val="22"/>
        </w:rPr>
        <w:t>GoG’s</w:t>
      </w:r>
      <w:proofErr w:type="spellEnd"/>
      <w:r>
        <w:rPr>
          <w:rFonts w:ascii="Arial" w:hAnsi="Arial"/>
          <w:sz w:val="22"/>
          <w:szCs w:val="22"/>
        </w:rPr>
        <w:t xml:space="preserve">) major public administration reform effort initiated in 2015 with the development of the Roadmap of Public Administration Reform </w:t>
      </w:r>
      <w:r w:rsidR="00C81D08">
        <w:rPr>
          <w:rFonts w:ascii="Arial" w:hAnsi="Arial"/>
          <w:sz w:val="22"/>
          <w:szCs w:val="22"/>
        </w:rPr>
        <w:t>2016-</w:t>
      </w:r>
      <w:r>
        <w:rPr>
          <w:rFonts w:ascii="Arial" w:hAnsi="Arial"/>
          <w:sz w:val="22"/>
          <w:szCs w:val="22"/>
        </w:rPr>
        <w:t>2020. The roadmap had the objective of establishing a transparent, predictable responsible, and efficient public admi</w:t>
      </w:r>
      <w:r w:rsidR="00073C58">
        <w:rPr>
          <w:rFonts w:ascii="Arial" w:hAnsi="Arial"/>
          <w:sz w:val="22"/>
          <w:szCs w:val="22"/>
        </w:rPr>
        <w:t>nistration, which would meet</w:t>
      </w:r>
      <w:r>
        <w:rPr>
          <w:rFonts w:ascii="Arial" w:hAnsi="Arial"/>
          <w:sz w:val="22"/>
          <w:szCs w:val="22"/>
        </w:rPr>
        <w:t xml:space="preserve"> society’s demands and correspond to European standards by 2020. The roadmap was developed by the Administration of the Government of Georgia (</w:t>
      </w:r>
      <w:proofErr w:type="spellStart"/>
      <w:r>
        <w:rPr>
          <w:rFonts w:ascii="Arial" w:hAnsi="Arial"/>
          <w:sz w:val="22"/>
          <w:szCs w:val="22"/>
        </w:rPr>
        <w:t>AoG</w:t>
      </w:r>
      <w:proofErr w:type="spellEnd"/>
      <w:r>
        <w:rPr>
          <w:rFonts w:ascii="Arial" w:hAnsi="Arial"/>
          <w:sz w:val="22"/>
          <w:szCs w:val="22"/>
        </w:rPr>
        <w:t>). It included six policy areas: policy development and cooperation, civil service reform and human resource management, accountability, service delivery, public finance management, and local government and decentralization. The roadmap was preceded b</w:t>
      </w:r>
      <w:r w:rsidR="00073C58">
        <w:rPr>
          <w:rFonts w:ascii="Arial" w:hAnsi="Arial"/>
          <w:sz w:val="22"/>
          <w:szCs w:val="22"/>
        </w:rPr>
        <w:t>y work with the support of the European Union (EU)</w:t>
      </w:r>
      <w:r>
        <w:rPr>
          <w:rFonts w:ascii="Arial" w:hAnsi="Arial"/>
          <w:sz w:val="22"/>
          <w:szCs w:val="22"/>
        </w:rPr>
        <w:t xml:space="preserve"> and OECD/SIGMA. The PAR project is in direct response to the roadmap to help implement its components.</w:t>
      </w:r>
    </w:p>
    <w:p w14:paraId="7875F620" w14:textId="77777777" w:rsidR="00A86865" w:rsidRDefault="00A86865" w:rsidP="00A86865">
      <w:pPr>
        <w:jc w:val="both"/>
        <w:rPr>
          <w:rFonts w:ascii="Arial" w:hAnsi="Arial"/>
          <w:sz w:val="22"/>
          <w:szCs w:val="22"/>
        </w:rPr>
      </w:pPr>
    </w:p>
    <w:p w14:paraId="7B09F10A" w14:textId="3DF1757C" w:rsidR="00A86865" w:rsidRDefault="00A86865" w:rsidP="00A86865">
      <w:pPr>
        <w:jc w:val="both"/>
        <w:rPr>
          <w:rFonts w:ascii="Arial" w:hAnsi="Arial"/>
          <w:sz w:val="22"/>
          <w:szCs w:val="22"/>
        </w:rPr>
      </w:pPr>
      <w:r>
        <w:rPr>
          <w:rFonts w:ascii="Arial" w:hAnsi="Arial"/>
          <w:sz w:val="22"/>
          <w:szCs w:val="22"/>
        </w:rPr>
        <w:t xml:space="preserve">The planned reform was prepared in the context of the Association Agreement (AA) including the Deep and Comprehensive Freed Trade Agreement (DCFTA) with the EU that were signed in 2014 and came into force in 2016. The strengthening of the government’s public administration and its coordination capabilities were key elements of reforms resulting from the AA and subsequently supported by various EU instruments. </w:t>
      </w:r>
    </w:p>
    <w:p w14:paraId="7334FA00" w14:textId="77777777" w:rsidR="00A86865" w:rsidRDefault="00A86865" w:rsidP="00A86865">
      <w:pPr>
        <w:jc w:val="both"/>
        <w:rPr>
          <w:rFonts w:ascii="Arial" w:hAnsi="Arial"/>
          <w:sz w:val="22"/>
          <w:szCs w:val="22"/>
        </w:rPr>
      </w:pPr>
    </w:p>
    <w:p w14:paraId="6FFE546B" w14:textId="07205DDB" w:rsidR="00A86865" w:rsidRDefault="00A86865" w:rsidP="00A86865">
      <w:pPr>
        <w:jc w:val="both"/>
        <w:rPr>
          <w:rFonts w:ascii="Arial" w:hAnsi="Arial"/>
          <w:sz w:val="22"/>
          <w:szCs w:val="22"/>
        </w:rPr>
      </w:pPr>
      <w:r>
        <w:rPr>
          <w:rFonts w:ascii="Arial" w:hAnsi="Arial"/>
          <w:sz w:val="22"/>
          <w:szCs w:val="22"/>
        </w:rPr>
        <w:t>The Civil Service Concept Note adopted by Government Decree no. 627 on November 19th 2014 sets out the government objective to develop a unified, impartial, professional and politically neutral civil service. And the Law on Civil Service of Georgia, drafted in 2015, was approved in July 2017 with 10 by-laws to facilitate implementation. PAR Action Plans helped implement these documents with the last approved for 2019-20.</w:t>
      </w:r>
    </w:p>
    <w:p w14:paraId="5267B7AD" w14:textId="77777777" w:rsidR="00A86865" w:rsidRDefault="00A86865" w:rsidP="00A86865">
      <w:pPr>
        <w:jc w:val="both"/>
        <w:rPr>
          <w:rFonts w:ascii="Arial" w:hAnsi="Arial"/>
          <w:sz w:val="22"/>
          <w:szCs w:val="22"/>
        </w:rPr>
      </w:pPr>
    </w:p>
    <w:p w14:paraId="47710977" w14:textId="5CE59601" w:rsidR="00A86865" w:rsidRDefault="00A86865" w:rsidP="00A86865">
      <w:pPr>
        <w:jc w:val="both"/>
        <w:rPr>
          <w:rFonts w:ascii="Arial" w:hAnsi="Arial"/>
          <w:sz w:val="22"/>
          <w:szCs w:val="22"/>
        </w:rPr>
      </w:pPr>
      <w:r>
        <w:rPr>
          <w:rFonts w:ascii="Arial" w:hAnsi="Arial"/>
          <w:sz w:val="22"/>
          <w:szCs w:val="22"/>
        </w:rPr>
        <w:lastRenderedPageBreak/>
        <w:t xml:space="preserve">The PAR project goal and targeted outcome is: </w:t>
      </w:r>
      <w:r w:rsidRPr="00813258">
        <w:rPr>
          <w:rFonts w:ascii="Arial" w:hAnsi="Arial"/>
          <w:i/>
          <w:sz w:val="22"/>
          <w:szCs w:val="22"/>
        </w:rPr>
        <w:t>to enhance the capability of the Government of Georgia to implement its national development agenda through a more effective, professionally trained, unified and independent public administration that delivers public services with greater accountability and responsiveness to citizen’s needs.</w:t>
      </w:r>
      <w:r>
        <w:rPr>
          <w:rStyle w:val="FootnoteReference"/>
          <w:rFonts w:ascii="Arial" w:hAnsi="Arial"/>
          <w:i/>
          <w:sz w:val="22"/>
          <w:szCs w:val="22"/>
        </w:rPr>
        <w:footnoteReference w:id="2"/>
      </w:r>
      <w:r>
        <w:rPr>
          <w:rFonts w:ascii="Arial" w:hAnsi="Arial"/>
          <w:sz w:val="22"/>
          <w:szCs w:val="22"/>
        </w:rPr>
        <w:t xml:space="preserve"> The project has had a budget of $6.1 million provided by the government of the United Kingdom.</w:t>
      </w:r>
      <w:r>
        <w:rPr>
          <w:rStyle w:val="FootnoteReference"/>
          <w:rFonts w:ascii="Arial" w:hAnsi="Arial"/>
          <w:sz w:val="22"/>
          <w:szCs w:val="22"/>
        </w:rPr>
        <w:footnoteReference w:id="3"/>
      </w:r>
      <w:r>
        <w:rPr>
          <w:rFonts w:ascii="Arial" w:hAnsi="Arial"/>
          <w:sz w:val="22"/>
          <w:szCs w:val="22"/>
        </w:rPr>
        <w:t xml:space="preserve"> The project is administered by UNDP and in partnership </w:t>
      </w:r>
      <w:r w:rsidR="00073C58">
        <w:rPr>
          <w:rFonts w:ascii="Arial" w:hAnsi="Arial"/>
          <w:sz w:val="22"/>
          <w:szCs w:val="22"/>
        </w:rPr>
        <w:t xml:space="preserve">with the </w:t>
      </w:r>
      <w:proofErr w:type="spellStart"/>
      <w:r w:rsidR="00073C58">
        <w:rPr>
          <w:rFonts w:ascii="Arial" w:hAnsi="Arial"/>
          <w:sz w:val="22"/>
          <w:szCs w:val="22"/>
        </w:rPr>
        <w:t>GoG</w:t>
      </w:r>
      <w:proofErr w:type="spellEnd"/>
      <w:r>
        <w:rPr>
          <w:rFonts w:ascii="Arial" w:hAnsi="Arial"/>
          <w:sz w:val="22"/>
          <w:szCs w:val="22"/>
        </w:rPr>
        <w:t xml:space="preserve">. </w:t>
      </w:r>
    </w:p>
    <w:p w14:paraId="1447FF1A" w14:textId="77777777" w:rsidR="00ED5B2D" w:rsidRDefault="00ED5B2D" w:rsidP="00395132">
      <w:pPr>
        <w:jc w:val="both"/>
        <w:rPr>
          <w:rFonts w:ascii="Arial" w:hAnsi="Arial"/>
          <w:sz w:val="22"/>
          <w:szCs w:val="22"/>
        </w:rPr>
      </w:pPr>
    </w:p>
    <w:p w14:paraId="0D73E154" w14:textId="77777777" w:rsidR="00A86865" w:rsidRDefault="00A86865" w:rsidP="00A86865">
      <w:pPr>
        <w:jc w:val="both"/>
        <w:rPr>
          <w:rFonts w:ascii="Arial" w:hAnsi="Arial"/>
          <w:sz w:val="22"/>
          <w:szCs w:val="22"/>
        </w:rPr>
      </w:pPr>
      <w:r>
        <w:rPr>
          <w:rFonts w:ascii="Arial" w:hAnsi="Arial"/>
          <w:sz w:val="22"/>
          <w:szCs w:val="22"/>
        </w:rPr>
        <w:t>The project has 3 main outcomes:</w:t>
      </w:r>
    </w:p>
    <w:p w14:paraId="31980A7A" w14:textId="77777777" w:rsidR="00A86865" w:rsidRDefault="00A86865" w:rsidP="00A86865">
      <w:pPr>
        <w:jc w:val="both"/>
        <w:rPr>
          <w:rFonts w:ascii="Arial" w:hAnsi="Arial"/>
          <w:sz w:val="22"/>
          <w:szCs w:val="22"/>
        </w:rPr>
      </w:pPr>
    </w:p>
    <w:p w14:paraId="051A46F5" w14:textId="3B0731F0" w:rsidR="00A86865" w:rsidRDefault="00A86865" w:rsidP="00A86865">
      <w:pPr>
        <w:jc w:val="both"/>
        <w:rPr>
          <w:rFonts w:ascii="Arial" w:hAnsi="Arial"/>
          <w:sz w:val="22"/>
          <w:szCs w:val="22"/>
        </w:rPr>
      </w:pPr>
      <w:r w:rsidRPr="00225388">
        <w:rPr>
          <w:rFonts w:ascii="Arial" w:hAnsi="Arial"/>
          <w:b/>
          <w:i/>
          <w:sz w:val="22"/>
          <w:szCs w:val="22"/>
        </w:rPr>
        <w:t>Outcome 1 Po</w:t>
      </w:r>
      <w:r>
        <w:rPr>
          <w:rFonts w:ascii="Arial" w:hAnsi="Arial"/>
          <w:b/>
          <w:i/>
          <w:sz w:val="22"/>
          <w:szCs w:val="22"/>
        </w:rPr>
        <w:t>licy Development and Coordination</w:t>
      </w:r>
      <w:r w:rsidRPr="00225388">
        <w:rPr>
          <w:rFonts w:ascii="Arial" w:hAnsi="Arial"/>
          <w:b/>
          <w:i/>
          <w:sz w:val="22"/>
          <w:szCs w:val="22"/>
        </w:rPr>
        <w:t>:</w:t>
      </w:r>
      <w:r w:rsidR="00073C58">
        <w:rPr>
          <w:rFonts w:ascii="Arial" w:hAnsi="Arial"/>
          <w:sz w:val="22"/>
          <w:szCs w:val="22"/>
        </w:rPr>
        <w:t xml:space="preserve"> </w:t>
      </w:r>
      <w:proofErr w:type="spellStart"/>
      <w:r w:rsidR="00073C58">
        <w:rPr>
          <w:rFonts w:ascii="Arial" w:hAnsi="Arial"/>
          <w:sz w:val="22"/>
          <w:szCs w:val="22"/>
        </w:rPr>
        <w:t>GoG</w:t>
      </w:r>
      <w:proofErr w:type="spellEnd"/>
      <w:r>
        <w:rPr>
          <w:rFonts w:ascii="Arial" w:hAnsi="Arial"/>
          <w:sz w:val="22"/>
          <w:szCs w:val="22"/>
        </w:rPr>
        <w:t xml:space="preserve"> ensures enhanced participatory policy making and coordination between its institutions in PAR implementation.</w:t>
      </w:r>
    </w:p>
    <w:p w14:paraId="18525FFE" w14:textId="1DB84EDE" w:rsidR="00A86865" w:rsidRDefault="00A86865" w:rsidP="00A86865">
      <w:pPr>
        <w:jc w:val="both"/>
        <w:rPr>
          <w:rFonts w:ascii="Arial" w:hAnsi="Arial"/>
          <w:sz w:val="22"/>
          <w:szCs w:val="22"/>
        </w:rPr>
      </w:pPr>
      <w:r w:rsidRPr="00B64B81">
        <w:rPr>
          <w:rFonts w:ascii="Arial" w:hAnsi="Arial"/>
          <w:i/>
          <w:sz w:val="22"/>
          <w:szCs w:val="22"/>
        </w:rPr>
        <w:t>Main Counterparts:</w:t>
      </w:r>
      <w:r>
        <w:rPr>
          <w:rFonts w:ascii="Arial" w:hAnsi="Arial"/>
          <w:sz w:val="22"/>
          <w:szCs w:val="22"/>
        </w:rPr>
        <w:t xml:space="preserve"> A</w:t>
      </w:r>
      <w:r w:rsidR="00C81D08">
        <w:rPr>
          <w:rFonts w:ascii="Arial" w:hAnsi="Arial"/>
          <w:sz w:val="22"/>
          <w:szCs w:val="22"/>
        </w:rPr>
        <w:t>dministration of Government (</w:t>
      </w:r>
      <w:proofErr w:type="spellStart"/>
      <w:r w:rsidR="00C81D08">
        <w:rPr>
          <w:rFonts w:ascii="Arial" w:hAnsi="Arial"/>
          <w:sz w:val="22"/>
          <w:szCs w:val="22"/>
        </w:rPr>
        <w:t>A</w:t>
      </w:r>
      <w:r>
        <w:rPr>
          <w:rFonts w:ascii="Arial" w:hAnsi="Arial"/>
          <w:sz w:val="22"/>
          <w:szCs w:val="22"/>
        </w:rPr>
        <w:t>oG</w:t>
      </w:r>
      <w:proofErr w:type="spellEnd"/>
      <w:r w:rsidR="00C81D08">
        <w:rPr>
          <w:rFonts w:ascii="Arial" w:hAnsi="Arial"/>
          <w:sz w:val="22"/>
          <w:szCs w:val="22"/>
        </w:rPr>
        <w:t>)</w:t>
      </w:r>
      <w:r>
        <w:rPr>
          <w:rFonts w:ascii="Arial" w:hAnsi="Arial"/>
          <w:sz w:val="22"/>
          <w:szCs w:val="22"/>
        </w:rPr>
        <w:t xml:space="preserve"> and its Department of Policy Planning and Coordination and its two units – Policy Planning Unit and Public Administration Reform Unit, PAR Council</w:t>
      </w:r>
      <w:r w:rsidR="00C81D08">
        <w:rPr>
          <w:rFonts w:ascii="Arial" w:hAnsi="Arial"/>
          <w:sz w:val="22"/>
          <w:szCs w:val="22"/>
        </w:rPr>
        <w:t>, line ministries and agencies</w:t>
      </w:r>
      <w:r w:rsidR="00DC6F0F">
        <w:rPr>
          <w:rFonts w:ascii="Arial" w:hAnsi="Arial"/>
          <w:sz w:val="22"/>
          <w:szCs w:val="22"/>
        </w:rPr>
        <w:t xml:space="preserve"> – mainly policy planning units</w:t>
      </w:r>
    </w:p>
    <w:p w14:paraId="2B3954C3" w14:textId="77777777" w:rsidR="00A86865" w:rsidRDefault="00A86865" w:rsidP="00A86865">
      <w:pPr>
        <w:jc w:val="both"/>
        <w:rPr>
          <w:rFonts w:ascii="Arial" w:hAnsi="Arial"/>
          <w:sz w:val="22"/>
          <w:szCs w:val="22"/>
        </w:rPr>
      </w:pPr>
    </w:p>
    <w:p w14:paraId="25B8332E" w14:textId="599BD352" w:rsidR="00A86865" w:rsidRDefault="00A86865" w:rsidP="00A86865">
      <w:pPr>
        <w:jc w:val="both"/>
        <w:rPr>
          <w:rFonts w:ascii="Arial" w:hAnsi="Arial"/>
          <w:sz w:val="22"/>
          <w:szCs w:val="22"/>
        </w:rPr>
      </w:pPr>
      <w:r w:rsidRPr="00225388">
        <w:rPr>
          <w:rFonts w:ascii="Arial" w:hAnsi="Arial"/>
          <w:b/>
          <w:i/>
          <w:sz w:val="22"/>
          <w:szCs w:val="22"/>
        </w:rPr>
        <w:t>Outcome 2 Civil Service Reform and Human Resource Management:</w:t>
      </w:r>
      <w:r>
        <w:rPr>
          <w:rFonts w:ascii="Arial" w:hAnsi="Arial"/>
          <w:sz w:val="22"/>
          <w:szCs w:val="22"/>
        </w:rPr>
        <w:t xml:space="preserve"> Performance of civil service is more professional and effective.</w:t>
      </w:r>
    </w:p>
    <w:p w14:paraId="26903345" w14:textId="674D2E61" w:rsidR="00A86865" w:rsidRDefault="00A86865" w:rsidP="00A86865">
      <w:pPr>
        <w:jc w:val="both"/>
        <w:rPr>
          <w:rFonts w:ascii="Arial" w:hAnsi="Arial"/>
          <w:sz w:val="22"/>
          <w:szCs w:val="22"/>
        </w:rPr>
      </w:pPr>
      <w:r>
        <w:rPr>
          <w:rFonts w:ascii="Arial" w:hAnsi="Arial"/>
          <w:i/>
          <w:sz w:val="22"/>
          <w:szCs w:val="22"/>
        </w:rPr>
        <w:t>Main Counterpart</w:t>
      </w:r>
      <w:r w:rsidRPr="00B64B81">
        <w:rPr>
          <w:rFonts w:ascii="Arial" w:hAnsi="Arial"/>
          <w:i/>
          <w:sz w:val="22"/>
          <w:szCs w:val="22"/>
        </w:rPr>
        <w:t>:</w:t>
      </w:r>
      <w:r w:rsidR="00C81D08">
        <w:rPr>
          <w:rFonts w:ascii="Arial" w:hAnsi="Arial"/>
          <w:sz w:val="22"/>
          <w:szCs w:val="22"/>
        </w:rPr>
        <w:t xml:space="preserve"> Civil Service Bureau (CSB),</w:t>
      </w:r>
      <w:r>
        <w:rPr>
          <w:rFonts w:ascii="Arial" w:hAnsi="Arial"/>
          <w:sz w:val="22"/>
          <w:szCs w:val="22"/>
        </w:rPr>
        <w:t xml:space="preserve"> line ministries and agencies</w:t>
      </w:r>
      <w:r w:rsidR="00DC6F0F">
        <w:rPr>
          <w:rFonts w:ascii="Arial" w:hAnsi="Arial"/>
          <w:sz w:val="22"/>
          <w:szCs w:val="22"/>
        </w:rPr>
        <w:t xml:space="preserve"> - mainly human resource management units</w:t>
      </w:r>
    </w:p>
    <w:p w14:paraId="050BA374" w14:textId="77777777" w:rsidR="00A86865" w:rsidRDefault="00A86865" w:rsidP="00A86865">
      <w:pPr>
        <w:jc w:val="both"/>
        <w:rPr>
          <w:rFonts w:ascii="Arial" w:hAnsi="Arial"/>
          <w:sz w:val="22"/>
          <w:szCs w:val="22"/>
        </w:rPr>
      </w:pPr>
    </w:p>
    <w:p w14:paraId="17CF4DE2" w14:textId="4A06C60F" w:rsidR="00A86865" w:rsidRDefault="00A86865" w:rsidP="00A86865">
      <w:pPr>
        <w:jc w:val="both"/>
        <w:rPr>
          <w:rFonts w:ascii="Arial" w:hAnsi="Arial"/>
          <w:sz w:val="22"/>
          <w:szCs w:val="22"/>
        </w:rPr>
      </w:pPr>
      <w:r w:rsidRPr="00225388">
        <w:rPr>
          <w:rFonts w:ascii="Arial" w:hAnsi="Arial"/>
          <w:b/>
          <w:i/>
          <w:sz w:val="22"/>
          <w:szCs w:val="22"/>
        </w:rPr>
        <w:t xml:space="preserve">Outcome 3 Public Service Delivery: </w:t>
      </w:r>
      <w:r>
        <w:rPr>
          <w:rFonts w:ascii="Arial" w:hAnsi="Arial"/>
          <w:sz w:val="22"/>
          <w:szCs w:val="22"/>
        </w:rPr>
        <w:t>The government delivers higher quality, (digitally) more accessible and inclusive services to citizens.</w:t>
      </w:r>
    </w:p>
    <w:p w14:paraId="06EB8BC8" w14:textId="77777777" w:rsidR="00A86865" w:rsidRDefault="00A86865" w:rsidP="00A86865">
      <w:pPr>
        <w:jc w:val="both"/>
        <w:rPr>
          <w:rFonts w:ascii="Arial" w:hAnsi="Arial"/>
          <w:sz w:val="22"/>
          <w:szCs w:val="22"/>
        </w:rPr>
      </w:pPr>
      <w:r w:rsidRPr="00B64B81">
        <w:rPr>
          <w:rFonts w:ascii="Arial" w:hAnsi="Arial"/>
          <w:i/>
          <w:sz w:val="22"/>
          <w:szCs w:val="22"/>
        </w:rPr>
        <w:t>Main Counterparts:</w:t>
      </w:r>
      <w:r>
        <w:rPr>
          <w:rFonts w:ascii="Arial" w:hAnsi="Arial"/>
          <w:sz w:val="22"/>
          <w:szCs w:val="22"/>
        </w:rPr>
        <w:t xml:space="preserve"> Digital Governance Agency (DGA)</w:t>
      </w:r>
      <w:r>
        <w:rPr>
          <w:rStyle w:val="FootnoteReference"/>
          <w:rFonts w:ascii="Arial" w:hAnsi="Arial"/>
          <w:sz w:val="22"/>
          <w:szCs w:val="22"/>
        </w:rPr>
        <w:footnoteReference w:id="4"/>
      </w:r>
      <w:r>
        <w:rPr>
          <w:rFonts w:ascii="Arial" w:hAnsi="Arial"/>
          <w:sz w:val="22"/>
          <w:szCs w:val="22"/>
        </w:rPr>
        <w:t>, Public Service Development Agency (PSDA)</w:t>
      </w:r>
    </w:p>
    <w:p w14:paraId="66B9835E" w14:textId="77777777" w:rsidR="00A86865" w:rsidRDefault="00A86865" w:rsidP="00A86865">
      <w:pPr>
        <w:jc w:val="both"/>
        <w:rPr>
          <w:rFonts w:ascii="Arial" w:hAnsi="Arial"/>
          <w:sz w:val="22"/>
          <w:szCs w:val="22"/>
        </w:rPr>
      </w:pPr>
    </w:p>
    <w:p w14:paraId="3E266036" w14:textId="3DC098A1" w:rsidR="00A86865" w:rsidRDefault="00A86865" w:rsidP="00A86865">
      <w:pPr>
        <w:jc w:val="both"/>
        <w:rPr>
          <w:rFonts w:ascii="Arial" w:hAnsi="Arial"/>
          <w:sz w:val="22"/>
          <w:szCs w:val="22"/>
        </w:rPr>
      </w:pPr>
      <w:r>
        <w:rPr>
          <w:rFonts w:ascii="Arial" w:hAnsi="Arial"/>
          <w:sz w:val="22"/>
          <w:szCs w:val="22"/>
        </w:rPr>
        <w:t>The project was schedul</w:t>
      </w:r>
      <w:r w:rsidR="00923AA7">
        <w:rPr>
          <w:rFonts w:ascii="Arial" w:hAnsi="Arial"/>
          <w:sz w:val="22"/>
          <w:szCs w:val="22"/>
        </w:rPr>
        <w:t>ed to end in December 2020. A</w:t>
      </w:r>
      <w:r>
        <w:rPr>
          <w:rFonts w:ascii="Arial" w:hAnsi="Arial"/>
          <w:sz w:val="22"/>
          <w:szCs w:val="22"/>
        </w:rPr>
        <w:t>n extens</w:t>
      </w:r>
      <w:r w:rsidR="009630FB">
        <w:rPr>
          <w:rFonts w:ascii="Arial" w:hAnsi="Arial"/>
          <w:sz w:val="22"/>
          <w:szCs w:val="22"/>
        </w:rPr>
        <w:t>ion was agreed to allow for the</w:t>
      </w:r>
      <w:r>
        <w:rPr>
          <w:rFonts w:ascii="Arial" w:hAnsi="Arial"/>
          <w:sz w:val="22"/>
          <w:szCs w:val="22"/>
        </w:rPr>
        <w:t xml:space="preserve"> final project evaluation, end tasks delayed given the COVID-19 pandemic, and al</w:t>
      </w:r>
      <w:r w:rsidR="00923AA7">
        <w:rPr>
          <w:rFonts w:ascii="Arial" w:hAnsi="Arial"/>
          <w:sz w:val="22"/>
          <w:szCs w:val="22"/>
        </w:rPr>
        <w:t>low for</w:t>
      </w:r>
      <w:r>
        <w:rPr>
          <w:rFonts w:ascii="Arial" w:hAnsi="Arial"/>
          <w:sz w:val="22"/>
          <w:szCs w:val="22"/>
        </w:rPr>
        <w:t xml:space="preserve"> immediate follow-up activities in all three outcome ar</w:t>
      </w:r>
      <w:r w:rsidR="00923AA7">
        <w:rPr>
          <w:rFonts w:ascii="Arial" w:hAnsi="Arial"/>
          <w:sz w:val="22"/>
          <w:szCs w:val="22"/>
        </w:rPr>
        <w:t xml:space="preserve">eas that emerged from </w:t>
      </w:r>
      <w:r>
        <w:rPr>
          <w:rFonts w:ascii="Arial" w:hAnsi="Arial"/>
          <w:sz w:val="22"/>
          <w:szCs w:val="22"/>
        </w:rPr>
        <w:t xml:space="preserve">past interventions. </w:t>
      </w:r>
    </w:p>
    <w:p w14:paraId="6145BAD3" w14:textId="77777777" w:rsidR="00A86865" w:rsidRDefault="00A86865" w:rsidP="00A86865">
      <w:pPr>
        <w:jc w:val="both"/>
        <w:rPr>
          <w:rFonts w:ascii="Arial" w:hAnsi="Arial"/>
          <w:sz w:val="22"/>
          <w:szCs w:val="22"/>
        </w:rPr>
      </w:pPr>
    </w:p>
    <w:p w14:paraId="4B1D2E3B" w14:textId="42C42010" w:rsidR="00A86865" w:rsidRDefault="00A86865" w:rsidP="00A86865">
      <w:pPr>
        <w:jc w:val="both"/>
        <w:rPr>
          <w:rFonts w:ascii="Arial" w:hAnsi="Arial"/>
          <w:sz w:val="22"/>
          <w:szCs w:val="22"/>
        </w:rPr>
      </w:pPr>
      <w:r>
        <w:rPr>
          <w:rFonts w:ascii="Arial" w:hAnsi="Arial"/>
          <w:sz w:val="22"/>
          <w:szCs w:val="22"/>
        </w:rPr>
        <w:t>The final evaluation was conducted from 1 January to 19 March 2021. The purpose of the evaluation was to assess the efficacy of the project design and structure, relevance of the project outcomes and outputs, specific contributions and impact, efficiency and effectiveness of the assistance, and the sustainability of interventions. The evaluation is to also include an analysis of how PAR project interventions address human rights and gender equality principles.</w:t>
      </w:r>
    </w:p>
    <w:p w14:paraId="523B36E3" w14:textId="77777777" w:rsidR="00A86865" w:rsidRDefault="00A86865" w:rsidP="00A86865">
      <w:pPr>
        <w:jc w:val="both"/>
        <w:rPr>
          <w:rFonts w:ascii="Arial" w:hAnsi="Arial"/>
          <w:sz w:val="22"/>
          <w:szCs w:val="22"/>
        </w:rPr>
      </w:pPr>
    </w:p>
    <w:p w14:paraId="29123687" w14:textId="7279A9ED" w:rsidR="00ED5B2D" w:rsidRDefault="009630FB" w:rsidP="00395132">
      <w:pPr>
        <w:jc w:val="both"/>
        <w:rPr>
          <w:rFonts w:ascii="Arial" w:hAnsi="Arial"/>
          <w:sz w:val="22"/>
          <w:szCs w:val="22"/>
        </w:rPr>
      </w:pPr>
      <w:r>
        <w:rPr>
          <w:rFonts w:ascii="Arial" w:hAnsi="Arial"/>
          <w:sz w:val="22"/>
          <w:szCs w:val="22"/>
        </w:rPr>
        <w:t>Th</w:t>
      </w:r>
      <w:r w:rsidR="003C48F6">
        <w:rPr>
          <w:rFonts w:ascii="Arial" w:hAnsi="Arial"/>
          <w:sz w:val="22"/>
          <w:szCs w:val="22"/>
        </w:rPr>
        <w:t xml:space="preserve">e following is a brief summary of applying </w:t>
      </w:r>
      <w:r>
        <w:rPr>
          <w:rFonts w:ascii="Arial" w:hAnsi="Arial"/>
          <w:sz w:val="22"/>
          <w:szCs w:val="22"/>
        </w:rPr>
        <w:t>the OECD DAC evaluation</w:t>
      </w:r>
      <w:r w:rsidR="00DC6F0F">
        <w:rPr>
          <w:rFonts w:ascii="Arial" w:hAnsi="Arial"/>
          <w:sz w:val="22"/>
          <w:szCs w:val="22"/>
        </w:rPr>
        <w:t xml:space="preserve"> factors:</w:t>
      </w:r>
    </w:p>
    <w:p w14:paraId="5592973E" w14:textId="77777777" w:rsidR="003C48F6" w:rsidRDefault="003C48F6" w:rsidP="00395132">
      <w:pPr>
        <w:jc w:val="both"/>
        <w:rPr>
          <w:rFonts w:ascii="Arial" w:hAnsi="Arial"/>
          <w:sz w:val="22"/>
          <w:szCs w:val="22"/>
        </w:rPr>
      </w:pPr>
    </w:p>
    <w:p w14:paraId="6E4EEBD5" w14:textId="77777777" w:rsidR="003C48F6" w:rsidRDefault="003C48F6" w:rsidP="003C48F6">
      <w:pPr>
        <w:pStyle w:val="ListParagraph"/>
        <w:ind w:left="0"/>
        <w:jc w:val="both"/>
        <w:rPr>
          <w:rFonts w:ascii="Arial" w:hAnsi="Arial"/>
          <w:b/>
          <w:sz w:val="22"/>
          <w:szCs w:val="22"/>
          <w:u w:val="single"/>
        </w:rPr>
      </w:pPr>
      <w:r>
        <w:rPr>
          <w:rFonts w:ascii="Arial" w:hAnsi="Arial"/>
          <w:b/>
          <w:sz w:val="22"/>
          <w:szCs w:val="22"/>
          <w:u w:val="single"/>
        </w:rPr>
        <w:t>Relevance</w:t>
      </w:r>
    </w:p>
    <w:p w14:paraId="5EEE12AA" w14:textId="152ABEC8" w:rsidR="003C48F6" w:rsidRDefault="003C48F6" w:rsidP="003C48F6">
      <w:pPr>
        <w:pStyle w:val="ListParagraph"/>
        <w:ind w:left="0"/>
        <w:jc w:val="both"/>
        <w:rPr>
          <w:rFonts w:ascii="Arial" w:hAnsi="Arial"/>
          <w:sz w:val="22"/>
          <w:szCs w:val="22"/>
        </w:rPr>
      </w:pPr>
      <w:r>
        <w:rPr>
          <w:rFonts w:ascii="Arial" w:hAnsi="Arial"/>
          <w:sz w:val="22"/>
          <w:szCs w:val="22"/>
        </w:rPr>
        <w:t xml:space="preserve">The project is extremely relevant to </w:t>
      </w:r>
      <w:proofErr w:type="spellStart"/>
      <w:r>
        <w:rPr>
          <w:rFonts w:ascii="Arial" w:hAnsi="Arial"/>
          <w:sz w:val="22"/>
          <w:szCs w:val="22"/>
        </w:rPr>
        <w:t>GoG</w:t>
      </w:r>
      <w:proofErr w:type="spellEnd"/>
      <w:r>
        <w:rPr>
          <w:rFonts w:ascii="Arial" w:hAnsi="Arial"/>
          <w:sz w:val="22"/>
          <w:szCs w:val="22"/>
        </w:rPr>
        <w:t xml:space="preserve"> priorities and needs. The </w:t>
      </w:r>
      <w:proofErr w:type="spellStart"/>
      <w:r>
        <w:rPr>
          <w:rFonts w:ascii="Arial" w:hAnsi="Arial"/>
          <w:sz w:val="22"/>
          <w:szCs w:val="22"/>
        </w:rPr>
        <w:t>GoG</w:t>
      </w:r>
      <w:proofErr w:type="spellEnd"/>
      <w:r>
        <w:rPr>
          <w:rFonts w:ascii="Arial" w:hAnsi="Arial"/>
          <w:sz w:val="22"/>
          <w:szCs w:val="22"/>
        </w:rPr>
        <w:t xml:space="preserve"> had prioritized PAR in the past but placed more of a priority in 2014-16 when the project was being defined and </w:t>
      </w:r>
      <w:r>
        <w:rPr>
          <w:rFonts w:ascii="Arial" w:hAnsi="Arial"/>
          <w:sz w:val="22"/>
          <w:szCs w:val="22"/>
        </w:rPr>
        <w:lastRenderedPageBreak/>
        <w:t>eventually</w:t>
      </w:r>
      <w:r w:rsidR="00345EF4">
        <w:rPr>
          <w:rFonts w:ascii="Arial" w:hAnsi="Arial"/>
          <w:sz w:val="22"/>
          <w:szCs w:val="22"/>
        </w:rPr>
        <w:t xml:space="preserve"> initiated </w:t>
      </w:r>
      <w:r>
        <w:rPr>
          <w:rFonts w:ascii="Arial" w:hAnsi="Arial"/>
          <w:sz w:val="22"/>
          <w:szCs w:val="22"/>
        </w:rPr>
        <w:t>in 2016. An emphasis was on having reforms in all three outcome areas of the project with an initial emphasis on the policy planning and coordination, civil service reform and human resource development, and public service delivery legal/regulatory framework that was worked on as a result of the P</w:t>
      </w:r>
      <w:r w:rsidR="00DC6F0F">
        <w:rPr>
          <w:rFonts w:ascii="Arial" w:hAnsi="Arial"/>
          <w:sz w:val="22"/>
          <w:szCs w:val="22"/>
        </w:rPr>
        <w:t>AR Roadmap</w:t>
      </w:r>
      <w:r>
        <w:rPr>
          <w:rFonts w:ascii="Arial" w:hAnsi="Arial"/>
          <w:sz w:val="22"/>
          <w:szCs w:val="22"/>
        </w:rPr>
        <w:t xml:space="preserve"> that identified these areas. The project was directly responsive to the Roadmap and had government and stakeholder buy-in at the very beginning as evidenced by initial review and agreement on project document intervention areas, with some initial adjustments made.</w:t>
      </w:r>
      <w:r w:rsidR="00DC6F0F">
        <w:rPr>
          <w:rFonts w:ascii="Arial" w:hAnsi="Arial"/>
          <w:sz w:val="22"/>
          <w:szCs w:val="22"/>
        </w:rPr>
        <w:t xml:space="preserve"> The project remains relevant as the </w:t>
      </w:r>
      <w:proofErr w:type="spellStart"/>
      <w:r w:rsidR="00DC6F0F">
        <w:rPr>
          <w:rFonts w:ascii="Arial" w:hAnsi="Arial"/>
          <w:sz w:val="22"/>
          <w:szCs w:val="22"/>
        </w:rPr>
        <w:t>GoG</w:t>
      </w:r>
      <w:proofErr w:type="spellEnd"/>
      <w:r w:rsidR="00DC6F0F">
        <w:rPr>
          <w:rFonts w:ascii="Arial" w:hAnsi="Arial"/>
          <w:sz w:val="22"/>
          <w:szCs w:val="22"/>
        </w:rPr>
        <w:t xml:space="preserve"> is preparing another PAR roadmap that the project has helped to develop.</w:t>
      </w:r>
    </w:p>
    <w:p w14:paraId="2CDF9FB8" w14:textId="77777777" w:rsidR="003C48F6" w:rsidRDefault="003C48F6" w:rsidP="003C48F6">
      <w:pPr>
        <w:pStyle w:val="ListParagraph"/>
        <w:ind w:left="0"/>
        <w:jc w:val="both"/>
        <w:rPr>
          <w:rFonts w:ascii="Arial" w:hAnsi="Arial"/>
          <w:sz w:val="22"/>
          <w:szCs w:val="22"/>
        </w:rPr>
      </w:pPr>
    </w:p>
    <w:p w14:paraId="44ADE274" w14:textId="77777777" w:rsidR="003C48F6" w:rsidRPr="003C48F6" w:rsidRDefault="003C48F6" w:rsidP="003C48F6">
      <w:pPr>
        <w:pStyle w:val="ListParagraph"/>
        <w:ind w:left="0"/>
        <w:jc w:val="both"/>
        <w:rPr>
          <w:rFonts w:ascii="Arial" w:hAnsi="Arial"/>
          <w:b/>
          <w:sz w:val="22"/>
          <w:szCs w:val="22"/>
          <w:u w:val="single"/>
        </w:rPr>
      </w:pPr>
      <w:r w:rsidRPr="003C48F6">
        <w:rPr>
          <w:rFonts w:ascii="Arial" w:hAnsi="Arial"/>
          <w:b/>
          <w:sz w:val="22"/>
          <w:szCs w:val="22"/>
          <w:u w:val="single"/>
        </w:rPr>
        <w:t>Effectiveness and Results</w:t>
      </w:r>
    </w:p>
    <w:p w14:paraId="7EC0C761" w14:textId="1EF6FC02" w:rsidR="003C48F6" w:rsidRDefault="003C48F6" w:rsidP="003C48F6">
      <w:pPr>
        <w:pStyle w:val="ListParagraph"/>
        <w:ind w:left="0"/>
        <w:jc w:val="both"/>
        <w:rPr>
          <w:rFonts w:ascii="Arial" w:hAnsi="Arial"/>
          <w:sz w:val="22"/>
          <w:szCs w:val="22"/>
        </w:rPr>
      </w:pPr>
      <w:r>
        <w:rPr>
          <w:rFonts w:ascii="Arial" w:hAnsi="Arial"/>
          <w:sz w:val="22"/>
          <w:szCs w:val="22"/>
        </w:rPr>
        <w:t>The project outcomes and most outputs were achieved.</w:t>
      </w:r>
      <w:r w:rsidR="00B4743B">
        <w:rPr>
          <w:rFonts w:ascii="Arial" w:hAnsi="Arial"/>
          <w:sz w:val="22"/>
          <w:szCs w:val="22"/>
        </w:rPr>
        <w:t xml:space="preserve"> Some outputs require attention for full completion.</w:t>
      </w:r>
      <w:r>
        <w:rPr>
          <w:rFonts w:ascii="Arial" w:hAnsi="Arial"/>
          <w:sz w:val="22"/>
          <w:szCs w:val="22"/>
        </w:rPr>
        <w:t xml:space="preserve"> However, the measurement of achievement is ongoing and will continue to be ongoing since the subject areas addressed will take time to embed and progress as cycles of activity occur over the medium term. For instance, the policy planning handbook is in place and is now being piloted with 3 national strategies applying the handbook’s methodology during the design stage. 15 policy documents were scheduled for approval that had applied the new policy standards and to date 8 were approved. The e-monitoring and evaluation system that will be the policy planning backbone remains in the </w:t>
      </w:r>
      <w:r w:rsidR="00345EF4">
        <w:rPr>
          <w:rFonts w:ascii="Arial" w:hAnsi="Arial"/>
          <w:sz w:val="22"/>
          <w:szCs w:val="22"/>
        </w:rPr>
        <w:t>development</w:t>
      </w:r>
      <w:r>
        <w:rPr>
          <w:rFonts w:ascii="Arial" w:hAnsi="Arial"/>
          <w:sz w:val="22"/>
          <w:szCs w:val="22"/>
        </w:rPr>
        <w:t xml:space="preserve"> phase and is scheduled for</w:t>
      </w:r>
      <w:r w:rsidR="00345EF4">
        <w:rPr>
          <w:rFonts w:ascii="Arial" w:hAnsi="Arial"/>
          <w:sz w:val="22"/>
          <w:szCs w:val="22"/>
        </w:rPr>
        <w:t xml:space="preserve"> completio</w:t>
      </w:r>
      <w:r>
        <w:rPr>
          <w:rFonts w:ascii="Arial" w:hAnsi="Arial"/>
          <w:sz w:val="22"/>
          <w:szCs w:val="22"/>
        </w:rPr>
        <w:t>n the third quarter 2021. The COVID-19 impact had slowed both activities. Similarly, with certain elements of civil service reform, such as applying performance appraisal, progress has been made and methods should improve</w:t>
      </w:r>
      <w:r w:rsidR="00345EF4">
        <w:rPr>
          <w:rFonts w:ascii="Arial" w:hAnsi="Arial"/>
          <w:sz w:val="22"/>
          <w:szCs w:val="22"/>
        </w:rPr>
        <w:t>. The progress should be maintained if the performance appraisal</w:t>
      </w:r>
      <w:r>
        <w:rPr>
          <w:rFonts w:ascii="Arial" w:hAnsi="Arial"/>
          <w:sz w:val="22"/>
          <w:szCs w:val="22"/>
        </w:rPr>
        <w:t xml:space="preserve"> requirement continues and there is a stronger link with human resource development</w:t>
      </w:r>
      <w:r w:rsidR="00345EF4">
        <w:rPr>
          <w:rFonts w:ascii="Arial" w:hAnsi="Arial"/>
          <w:sz w:val="22"/>
          <w:szCs w:val="22"/>
        </w:rPr>
        <w:t xml:space="preserve">. Both these areas were addressed </w:t>
      </w:r>
      <w:r>
        <w:rPr>
          <w:rFonts w:ascii="Arial" w:hAnsi="Arial"/>
          <w:sz w:val="22"/>
          <w:szCs w:val="22"/>
        </w:rPr>
        <w:t>through a more organized and targeted education and training approach. For service delivery, national standards have been developed and are being applied, though the standards were not approved as of this time. The challenge is the depth and breadth of applying these processes, systems, standards, and approaches government-wide so there is a whole-of-government approach and results. This will require further interventions and further cycles of activities as what has been developed over the last 4 years is applied.</w:t>
      </w:r>
    </w:p>
    <w:p w14:paraId="6B769988" w14:textId="77777777" w:rsidR="003C48F6" w:rsidRDefault="003C48F6" w:rsidP="003C48F6">
      <w:pPr>
        <w:pStyle w:val="ListParagraph"/>
        <w:ind w:left="0"/>
        <w:jc w:val="both"/>
        <w:rPr>
          <w:rFonts w:ascii="Arial" w:hAnsi="Arial"/>
          <w:sz w:val="22"/>
          <w:szCs w:val="22"/>
        </w:rPr>
      </w:pPr>
    </w:p>
    <w:p w14:paraId="011279FB" w14:textId="77777777" w:rsidR="003C48F6" w:rsidRDefault="003C48F6" w:rsidP="003C48F6">
      <w:pPr>
        <w:pStyle w:val="ListParagraph"/>
        <w:ind w:left="0"/>
        <w:jc w:val="both"/>
        <w:rPr>
          <w:rFonts w:ascii="Arial" w:hAnsi="Arial"/>
          <w:b/>
          <w:sz w:val="22"/>
          <w:szCs w:val="22"/>
          <w:u w:val="single"/>
        </w:rPr>
      </w:pPr>
      <w:r>
        <w:rPr>
          <w:rFonts w:ascii="Arial" w:hAnsi="Arial"/>
          <w:b/>
          <w:sz w:val="22"/>
          <w:szCs w:val="22"/>
          <w:u w:val="single"/>
        </w:rPr>
        <w:t>Efficiency</w:t>
      </w:r>
    </w:p>
    <w:p w14:paraId="200F2BDD" w14:textId="1D1A995A" w:rsidR="003C48F6" w:rsidRDefault="003C48F6" w:rsidP="003C48F6">
      <w:pPr>
        <w:pStyle w:val="ListParagraph"/>
        <w:ind w:left="0"/>
        <w:jc w:val="both"/>
        <w:rPr>
          <w:rFonts w:ascii="Arial" w:hAnsi="Arial"/>
          <w:sz w:val="22"/>
          <w:szCs w:val="22"/>
        </w:rPr>
      </w:pPr>
      <w:r>
        <w:rPr>
          <w:rFonts w:ascii="Arial" w:hAnsi="Arial"/>
          <w:sz w:val="22"/>
          <w:szCs w:val="22"/>
        </w:rPr>
        <w:t>Project expenditure appears to have aligned with project activity in each of the output areas. There are some variations in the early years at project start-up with more emphasis or faster start on policy planning than public service delivery. However, the activity and expenditure evens out over time so that project was operating more efficiently in all outcome areas. Project management and staffing was appropriate for the size of the project once it evolved into a stand-alone project in 2017 rather than being a part of the U</w:t>
      </w:r>
      <w:r w:rsidR="00DC6F0F">
        <w:rPr>
          <w:rFonts w:ascii="Arial" w:hAnsi="Arial"/>
          <w:sz w:val="22"/>
          <w:szCs w:val="22"/>
        </w:rPr>
        <w:t>NDP Governance Reform Fund</w:t>
      </w:r>
      <w:r>
        <w:rPr>
          <w:rFonts w:ascii="Arial" w:hAnsi="Arial"/>
          <w:sz w:val="22"/>
          <w:szCs w:val="22"/>
        </w:rPr>
        <w:t xml:space="preserve">. Stakeholder involvement did impact efficiency at times given government changes or changes in management and personnel at some of the implementing entities. However, the project team made up for delays or absences by moving forward with </w:t>
      </w:r>
      <w:r w:rsidR="00DC6F0F">
        <w:rPr>
          <w:rFonts w:ascii="Arial" w:hAnsi="Arial"/>
          <w:sz w:val="22"/>
          <w:szCs w:val="22"/>
        </w:rPr>
        <w:t>activities so interventions did not stop</w:t>
      </w:r>
      <w:r>
        <w:rPr>
          <w:rFonts w:ascii="Arial" w:hAnsi="Arial"/>
          <w:sz w:val="22"/>
          <w:szCs w:val="22"/>
        </w:rPr>
        <w:t>.</w:t>
      </w:r>
    </w:p>
    <w:p w14:paraId="779FED14" w14:textId="77777777" w:rsidR="003C48F6" w:rsidRDefault="003C48F6" w:rsidP="003C48F6">
      <w:pPr>
        <w:pStyle w:val="ListParagraph"/>
        <w:ind w:left="0"/>
        <w:jc w:val="both"/>
        <w:rPr>
          <w:rFonts w:ascii="Arial" w:hAnsi="Arial"/>
          <w:sz w:val="22"/>
          <w:szCs w:val="22"/>
        </w:rPr>
      </w:pPr>
    </w:p>
    <w:p w14:paraId="2F1A51D9" w14:textId="77777777" w:rsidR="006B516D" w:rsidRDefault="006B516D" w:rsidP="003C48F6">
      <w:pPr>
        <w:pStyle w:val="ListParagraph"/>
        <w:ind w:left="0"/>
        <w:jc w:val="both"/>
        <w:rPr>
          <w:rFonts w:ascii="Arial" w:hAnsi="Arial"/>
          <w:b/>
          <w:sz w:val="22"/>
          <w:highlight w:val="yellow"/>
          <w:u w:val="single"/>
        </w:rPr>
      </w:pPr>
    </w:p>
    <w:p w14:paraId="0CD8F082" w14:textId="77777777" w:rsidR="006B516D" w:rsidRDefault="006B516D" w:rsidP="003C48F6">
      <w:pPr>
        <w:pStyle w:val="ListParagraph"/>
        <w:ind w:left="0"/>
        <w:jc w:val="both"/>
        <w:rPr>
          <w:rFonts w:ascii="Arial" w:hAnsi="Arial"/>
          <w:b/>
          <w:sz w:val="22"/>
          <w:highlight w:val="yellow"/>
          <w:u w:val="single"/>
        </w:rPr>
      </w:pPr>
    </w:p>
    <w:p w14:paraId="0C702E39" w14:textId="77777777" w:rsidR="006B516D" w:rsidRDefault="006B516D" w:rsidP="003C48F6">
      <w:pPr>
        <w:pStyle w:val="ListParagraph"/>
        <w:ind w:left="0"/>
        <w:jc w:val="both"/>
        <w:rPr>
          <w:rFonts w:ascii="Arial" w:hAnsi="Arial"/>
          <w:b/>
          <w:sz w:val="22"/>
          <w:highlight w:val="yellow"/>
          <w:u w:val="single"/>
        </w:rPr>
      </w:pPr>
    </w:p>
    <w:p w14:paraId="7EE19993" w14:textId="77777777" w:rsidR="006B516D" w:rsidRDefault="006B516D" w:rsidP="003C48F6">
      <w:pPr>
        <w:pStyle w:val="ListParagraph"/>
        <w:ind w:left="0"/>
        <w:jc w:val="both"/>
        <w:rPr>
          <w:rFonts w:ascii="Arial" w:hAnsi="Arial"/>
          <w:b/>
          <w:sz w:val="22"/>
          <w:highlight w:val="yellow"/>
          <w:u w:val="single"/>
        </w:rPr>
      </w:pPr>
    </w:p>
    <w:p w14:paraId="7BC491A9" w14:textId="77777777" w:rsidR="006B516D" w:rsidRDefault="006B516D" w:rsidP="003C48F6">
      <w:pPr>
        <w:pStyle w:val="ListParagraph"/>
        <w:ind w:left="0"/>
        <w:jc w:val="both"/>
        <w:rPr>
          <w:rFonts w:ascii="Arial" w:hAnsi="Arial"/>
          <w:b/>
          <w:sz w:val="22"/>
          <w:highlight w:val="yellow"/>
          <w:u w:val="single"/>
        </w:rPr>
      </w:pPr>
    </w:p>
    <w:p w14:paraId="208BC45F" w14:textId="77777777" w:rsidR="006B516D" w:rsidRDefault="006B516D" w:rsidP="003C48F6">
      <w:pPr>
        <w:pStyle w:val="ListParagraph"/>
        <w:ind w:left="0"/>
        <w:jc w:val="both"/>
        <w:rPr>
          <w:rFonts w:ascii="Arial" w:hAnsi="Arial"/>
          <w:b/>
          <w:sz w:val="22"/>
          <w:highlight w:val="yellow"/>
          <w:u w:val="single"/>
        </w:rPr>
      </w:pPr>
    </w:p>
    <w:p w14:paraId="719ADC64" w14:textId="77777777" w:rsidR="006B516D" w:rsidRDefault="006B516D" w:rsidP="003C48F6">
      <w:pPr>
        <w:pStyle w:val="ListParagraph"/>
        <w:ind w:left="0"/>
        <w:jc w:val="both"/>
        <w:rPr>
          <w:rFonts w:ascii="Arial" w:hAnsi="Arial"/>
          <w:b/>
          <w:sz w:val="22"/>
          <w:highlight w:val="yellow"/>
          <w:u w:val="single"/>
        </w:rPr>
      </w:pPr>
    </w:p>
    <w:p w14:paraId="4696DC80" w14:textId="77777777" w:rsidR="006B516D" w:rsidRDefault="006B516D" w:rsidP="003C48F6">
      <w:pPr>
        <w:pStyle w:val="ListParagraph"/>
        <w:ind w:left="0"/>
        <w:jc w:val="both"/>
        <w:rPr>
          <w:rFonts w:ascii="Arial" w:hAnsi="Arial"/>
          <w:b/>
          <w:sz w:val="22"/>
          <w:highlight w:val="yellow"/>
          <w:u w:val="single"/>
        </w:rPr>
      </w:pPr>
    </w:p>
    <w:p w14:paraId="28C59407" w14:textId="77777777" w:rsidR="006B516D" w:rsidRDefault="006B516D" w:rsidP="003C48F6">
      <w:pPr>
        <w:pStyle w:val="ListParagraph"/>
        <w:ind w:left="0"/>
        <w:jc w:val="both"/>
        <w:rPr>
          <w:rFonts w:ascii="Arial" w:hAnsi="Arial"/>
          <w:b/>
          <w:sz w:val="22"/>
          <w:highlight w:val="yellow"/>
          <w:u w:val="single"/>
        </w:rPr>
      </w:pPr>
    </w:p>
    <w:p w14:paraId="2D1DF94C" w14:textId="2495FADC" w:rsidR="003C48F6" w:rsidRPr="00E8321B" w:rsidRDefault="003C48F6" w:rsidP="003C48F6">
      <w:pPr>
        <w:pStyle w:val="ListParagraph"/>
        <w:ind w:left="0"/>
        <w:jc w:val="both"/>
        <w:rPr>
          <w:rFonts w:ascii="Arial" w:hAnsi="Arial"/>
          <w:b/>
          <w:sz w:val="22"/>
          <w:u w:val="single"/>
        </w:rPr>
      </w:pPr>
      <w:r w:rsidRPr="00E8321B">
        <w:rPr>
          <w:rFonts w:ascii="Arial" w:hAnsi="Arial"/>
          <w:b/>
          <w:sz w:val="22"/>
          <w:u w:val="single"/>
        </w:rPr>
        <w:lastRenderedPageBreak/>
        <w:t>Impact</w:t>
      </w:r>
    </w:p>
    <w:p w14:paraId="44C0A245" w14:textId="1B8DC55C" w:rsidR="003C48F6" w:rsidRDefault="003C48F6" w:rsidP="003C48F6">
      <w:pPr>
        <w:pStyle w:val="ListParagraph"/>
        <w:ind w:left="0"/>
        <w:jc w:val="both"/>
        <w:rPr>
          <w:rFonts w:ascii="Arial" w:hAnsi="Arial"/>
          <w:sz w:val="22"/>
          <w:szCs w:val="22"/>
        </w:rPr>
      </w:pPr>
      <w:r w:rsidRPr="00E8321B">
        <w:rPr>
          <w:rFonts w:ascii="Arial" w:hAnsi="Arial"/>
          <w:sz w:val="22"/>
        </w:rPr>
        <w:t>The project had a significant impact on PAR implementation and its activities will continue to positively impact PAR as long as the government adheres to PAR in the form envisioned in the 2016-20 Roadmap. It is reported that the 2021-</w:t>
      </w:r>
      <w:r w:rsidRPr="00B4374E">
        <w:rPr>
          <w:rFonts w:ascii="Arial" w:hAnsi="Arial"/>
          <w:sz w:val="22"/>
        </w:rPr>
        <w:t xml:space="preserve">24 </w:t>
      </w:r>
      <w:r w:rsidRPr="00E8321B">
        <w:rPr>
          <w:rFonts w:ascii="Arial" w:hAnsi="Arial"/>
          <w:sz w:val="22"/>
        </w:rPr>
        <w:t>Roadmap will address the same priority areas.</w:t>
      </w:r>
      <w:r w:rsidR="00DC6F0F" w:rsidRPr="00E8321B">
        <w:rPr>
          <w:rFonts w:ascii="Arial" w:hAnsi="Arial"/>
          <w:sz w:val="22"/>
        </w:rPr>
        <w:t xml:space="preserve"> </w:t>
      </w:r>
      <w:r w:rsidR="00EC0673" w:rsidRPr="00E8321B">
        <w:rPr>
          <w:rFonts w:ascii="Arial" w:hAnsi="Arial"/>
          <w:sz w:val="22"/>
        </w:rPr>
        <w:t>Further impact will depend on the implementation of the processes, systems, and capacities developed by the project and their application government-wide.</w:t>
      </w:r>
      <w:r w:rsidR="00DC6F0F" w:rsidRPr="00E8321B">
        <w:rPr>
          <w:rFonts w:ascii="Arial" w:hAnsi="Arial"/>
          <w:sz w:val="22"/>
        </w:rPr>
        <w:t xml:space="preserve"> </w:t>
      </w:r>
      <w:r w:rsidR="00B4743B" w:rsidRPr="00E8321B">
        <w:rPr>
          <w:rFonts w:ascii="Arial" w:hAnsi="Arial"/>
          <w:sz w:val="22"/>
          <w:szCs w:val="22"/>
        </w:rPr>
        <w:t xml:space="preserve">The gains made to date will most likely remain given that </w:t>
      </w:r>
      <w:r w:rsidR="00D50C87" w:rsidRPr="00E8321B">
        <w:rPr>
          <w:rFonts w:ascii="Arial" w:hAnsi="Arial"/>
          <w:sz w:val="22"/>
          <w:szCs w:val="22"/>
        </w:rPr>
        <w:t xml:space="preserve">law or policy, human resource development, and process implementation support them. </w:t>
      </w:r>
      <w:r w:rsidR="00DC6F0F" w:rsidRPr="00E8321B">
        <w:rPr>
          <w:rFonts w:ascii="Arial" w:hAnsi="Arial"/>
          <w:sz w:val="22"/>
          <w:szCs w:val="22"/>
        </w:rPr>
        <w:t>Stakeholders report the project directly contributed to the advances in each of the three outcome areas.</w:t>
      </w:r>
      <w:r w:rsidR="00385E6C" w:rsidRPr="00E8321B">
        <w:rPr>
          <w:rFonts w:ascii="Arial" w:hAnsi="Arial"/>
          <w:sz w:val="22"/>
          <w:szCs w:val="22"/>
        </w:rPr>
        <w:t xml:space="preserve"> Examples of impact for each outcome include: 1) </w:t>
      </w:r>
      <w:r w:rsidR="00B11A65" w:rsidRPr="00E8321B">
        <w:rPr>
          <w:rFonts w:ascii="Arial" w:hAnsi="Arial"/>
          <w:sz w:val="22"/>
          <w:szCs w:val="22"/>
        </w:rPr>
        <w:t>participatory policymaking with the implementation of the policy planning handbook, there is already an impact on improved plans and strategies that follow a coherent process and framework, includes</w:t>
      </w:r>
      <w:r w:rsidR="00C50F8A" w:rsidRPr="00E8321B">
        <w:rPr>
          <w:rFonts w:ascii="Arial" w:hAnsi="Arial"/>
          <w:sz w:val="22"/>
          <w:szCs w:val="22"/>
        </w:rPr>
        <w:t xml:space="preserve"> monito</w:t>
      </w:r>
      <w:r w:rsidR="00B11A65" w:rsidRPr="00E8321B">
        <w:rPr>
          <w:rFonts w:ascii="Arial" w:hAnsi="Arial"/>
          <w:sz w:val="22"/>
          <w:szCs w:val="22"/>
        </w:rPr>
        <w:t>ring evaluation</w:t>
      </w:r>
      <w:r w:rsidR="00385E6C" w:rsidRPr="00E8321B">
        <w:rPr>
          <w:rFonts w:ascii="Arial" w:hAnsi="Arial"/>
          <w:sz w:val="22"/>
          <w:szCs w:val="22"/>
        </w:rPr>
        <w:t>,</w:t>
      </w:r>
      <w:r w:rsidR="00B11A65" w:rsidRPr="00E8321B">
        <w:rPr>
          <w:rFonts w:ascii="Arial" w:hAnsi="Arial"/>
          <w:sz w:val="22"/>
          <w:szCs w:val="22"/>
        </w:rPr>
        <w:t xml:space="preserve"> and includes input and feedback of stakeholders</w:t>
      </w:r>
      <w:r w:rsidR="00385E6C" w:rsidRPr="00E8321B">
        <w:rPr>
          <w:rFonts w:ascii="Arial" w:hAnsi="Arial"/>
          <w:sz w:val="22"/>
          <w:szCs w:val="22"/>
        </w:rPr>
        <w:t xml:space="preserve"> including CSOs</w:t>
      </w:r>
      <w:r w:rsidR="00B11A65" w:rsidRPr="00E8321B">
        <w:rPr>
          <w:rFonts w:ascii="Arial" w:hAnsi="Arial"/>
          <w:sz w:val="22"/>
          <w:szCs w:val="22"/>
        </w:rPr>
        <w:t xml:space="preserve">; </w:t>
      </w:r>
      <w:r w:rsidR="00385E6C" w:rsidRPr="00E8321B">
        <w:rPr>
          <w:rFonts w:ascii="Arial" w:hAnsi="Arial"/>
          <w:sz w:val="22"/>
          <w:szCs w:val="22"/>
        </w:rPr>
        <w:t xml:space="preserve">2) </w:t>
      </w:r>
      <w:r w:rsidR="00B11A65" w:rsidRPr="00E8321B">
        <w:rPr>
          <w:rFonts w:ascii="Arial" w:hAnsi="Arial"/>
          <w:sz w:val="22"/>
          <w:szCs w:val="22"/>
        </w:rPr>
        <w:t>civil service human res</w:t>
      </w:r>
      <w:r w:rsidR="00C50F8A" w:rsidRPr="00E8321B">
        <w:rPr>
          <w:rFonts w:ascii="Arial" w:hAnsi="Arial"/>
          <w:sz w:val="22"/>
          <w:szCs w:val="22"/>
        </w:rPr>
        <w:t>ource development</w:t>
      </w:r>
      <w:r w:rsidR="00B11A65" w:rsidRPr="00E8321B">
        <w:rPr>
          <w:rFonts w:ascii="Arial" w:hAnsi="Arial"/>
          <w:sz w:val="22"/>
          <w:szCs w:val="22"/>
        </w:rPr>
        <w:t xml:space="preserve">, a framework and some standards (such as appraisal and professional development) are in place and being applied to further expand on a professional </w:t>
      </w:r>
      <w:r w:rsidR="00C50F8A" w:rsidRPr="00E8321B">
        <w:rPr>
          <w:rFonts w:ascii="Arial" w:hAnsi="Arial"/>
          <w:sz w:val="22"/>
          <w:szCs w:val="22"/>
        </w:rPr>
        <w:t>civil service that should help policy making and implementation as well as a more confident civil service; and 3) service delivery impacts include the improved number and quality of use of public services either through the internet or through face-to-face delivery with interest and capacity to make further improvements based on standards.</w:t>
      </w:r>
      <w:r w:rsidR="00B11A65">
        <w:rPr>
          <w:rFonts w:ascii="Arial" w:hAnsi="Arial"/>
          <w:sz w:val="22"/>
          <w:szCs w:val="22"/>
        </w:rPr>
        <w:t xml:space="preserve"> </w:t>
      </w:r>
    </w:p>
    <w:p w14:paraId="211F31A7" w14:textId="77777777" w:rsidR="003C48F6" w:rsidRDefault="003C48F6" w:rsidP="003C48F6">
      <w:pPr>
        <w:pStyle w:val="ListParagraph"/>
        <w:ind w:left="0"/>
        <w:jc w:val="both"/>
        <w:rPr>
          <w:rFonts w:ascii="Arial" w:hAnsi="Arial"/>
          <w:sz w:val="22"/>
          <w:szCs w:val="22"/>
        </w:rPr>
      </w:pPr>
    </w:p>
    <w:p w14:paraId="5078D04A" w14:textId="77777777" w:rsidR="00EC0673" w:rsidRPr="00EC0673" w:rsidRDefault="00EC0673" w:rsidP="00EC0673">
      <w:pPr>
        <w:pStyle w:val="ListParagraph"/>
        <w:ind w:left="0"/>
        <w:jc w:val="both"/>
        <w:rPr>
          <w:rFonts w:ascii="Arial" w:hAnsi="Arial"/>
          <w:b/>
          <w:sz w:val="22"/>
          <w:szCs w:val="22"/>
          <w:u w:val="single"/>
        </w:rPr>
      </w:pPr>
      <w:r w:rsidRPr="00EC0673">
        <w:rPr>
          <w:rFonts w:ascii="Arial" w:hAnsi="Arial"/>
          <w:b/>
          <w:sz w:val="22"/>
          <w:szCs w:val="22"/>
          <w:u w:val="single"/>
        </w:rPr>
        <w:t>Sustainability</w:t>
      </w:r>
    </w:p>
    <w:p w14:paraId="27E4C8F6" w14:textId="0A1D7E77" w:rsidR="00EC0673" w:rsidRDefault="00EC0673" w:rsidP="00EC0673">
      <w:pPr>
        <w:pStyle w:val="ListParagraph"/>
        <w:ind w:left="0"/>
        <w:jc w:val="both"/>
        <w:rPr>
          <w:rFonts w:ascii="Arial" w:hAnsi="Arial"/>
          <w:sz w:val="22"/>
          <w:szCs w:val="22"/>
        </w:rPr>
      </w:pPr>
      <w:r>
        <w:rPr>
          <w:rFonts w:ascii="Arial" w:hAnsi="Arial"/>
          <w:sz w:val="22"/>
          <w:szCs w:val="22"/>
        </w:rPr>
        <w:t xml:space="preserve">Sustainability of PAR is evident. The PAR Roadmap 2016-20 has ended and is being followed up with a new Roadmap for the next 4-5 years. The Civil Service Law is implemented along with its by-laws. The </w:t>
      </w:r>
      <w:r w:rsidR="00DC6F0F">
        <w:rPr>
          <w:rFonts w:ascii="Arial" w:hAnsi="Arial"/>
          <w:sz w:val="22"/>
          <w:szCs w:val="22"/>
        </w:rPr>
        <w:t>Unified Public Service Design and Delivery (</w:t>
      </w:r>
      <w:r>
        <w:rPr>
          <w:rFonts w:ascii="Arial" w:hAnsi="Arial"/>
          <w:sz w:val="22"/>
          <w:szCs w:val="22"/>
        </w:rPr>
        <w:t>UPSDD</w:t>
      </w:r>
      <w:r w:rsidR="00DC6F0F">
        <w:rPr>
          <w:rFonts w:ascii="Arial" w:hAnsi="Arial"/>
          <w:sz w:val="22"/>
          <w:szCs w:val="22"/>
        </w:rPr>
        <w:t>) standards</w:t>
      </w:r>
      <w:r>
        <w:rPr>
          <w:rFonts w:ascii="Arial" w:hAnsi="Arial"/>
          <w:sz w:val="22"/>
          <w:szCs w:val="22"/>
        </w:rPr>
        <w:t xml:space="preserve"> are drafted, </w:t>
      </w:r>
      <w:r w:rsidR="00DC6F0F">
        <w:rPr>
          <w:rFonts w:ascii="Arial" w:hAnsi="Arial"/>
          <w:sz w:val="22"/>
          <w:szCs w:val="22"/>
        </w:rPr>
        <w:t xml:space="preserve">though </w:t>
      </w:r>
      <w:r>
        <w:rPr>
          <w:rFonts w:ascii="Arial" w:hAnsi="Arial"/>
          <w:sz w:val="22"/>
          <w:szCs w:val="22"/>
        </w:rPr>
        <w:t>not yet approved, with the Common Assessment Framework (CAF) and standards being applied at least on a pilot basis. CSO participation has been generated with avenues to provide input to PAR</w:t>
      </w:r>
      <w:r w:rsidR="00073C58">
        <w:rPr>
          <w:rFonts w:ascii="Arial" w:hAnsi="Arial"/>
          <w:sz w:val="22"/>
          <w:szCs w:val="22"/>
        </w:rPr>
        <w:t xml:space="preserve"> and policy planning</w:t>
      </w:r>
      <w:r>
        <w:rPr>
          <w:rFonts w:ascii="Arial" w:hAnsi="Arial"/>
          <w:sz w:val="22"/>
          <w:szCs w:val="22"/>
        </w:rPr>
        <w:t xml:space="preserve"> as well as conduct necessary research. To keep this all going further attention is needed consisting of political will and acceptance of reform, civil servant buy-in which appears to be happening, and civil society engagement which is also happening. Development partner support will also need to be continued to ensure standards are in compliance with EU and international standards. There is common interest and commitment to achieve these standards by stakeholders and those involved in the reforms.</w:t>
      </w:r>
    </w:p>
    <w:p w14:paraId="165F5EC9" w14:textId="77777777" w:rsidR="00EC0673" w:rsidRDefault="00EC0673" w:rsidP="00EC0673">
      <w:pPr>
        <w:pStyle w:val="ListParagraph"/>
        <w:ind w:left="0"/>
        <w:jc w:val="both"/>
        <w:rPr>
          <w:rFonts w:ascii="Arial" w:hAnsi="Arial"/>
          <w:sz w:val="22"/>
          <w:szCs w:val="22"/>
        </w:rPr>
      </w:pPr>
    </w:p>
    <w:p w14:paraId="0FE8F483" w14:textId="77777777" w:rsidR="00EC0673" w:rsidRDefault="00EC0673" w:rsidP="00EC0673">
      <w:pPr>
        <w:pStyle w:val="ListParagraph"/>
        <w:ind w:left="0"/>
        <w:jc w:val="both"/>
        <w:rPr>
          <w:rFonts w:ascii="Arial" w:hAnsi="Arial"/>
          <w:b/>
          <w:sz w:val="22"/>
          <w:szCs w:val="22"/>
          <w:u w:val="single"/>
        </w:rPr>
      </w:pPr>
      <w:r w:rsidRPr="00EC0673">
        <w:rPr>
          <w:rFonts w:ascii="Arial" w:hAnsi="Arial"/>
          <w:b/>
          <w:sz w:val="22"/>
          <w:szCs w:val="22"/>
          <w:u w:val="single"/>
        </w:rPr>
        <w:t>Coordination</w:t>
      </w:r>
    </w:p>
    <w:p w14:paraId="1E615CCB" w14:textId="37F35809" w:rsidR="00EC0673" w:rsidRDefault="00EC0673" w:rsidP="00EC0673">
      <w:pPr>
        <w:pStyle w:val="ListParagraph"/>
        <w:ind w:left="0"/>
        <w:jc w:val="both"/>
        <w:rPr>
          <w:rFonts w:ascii="Arial" w:hAnsi="Arial"/>
          <w:sz w:val="22"/>
          <w:szCs w:val="22"/>
        </w:rPr>
      </w:pPr>
      <w:r>
        <w:rPr>
          <w:rFonts w:ascii="Arial" w:hAnsi="Arial"/>
          <w:sz w:val="22"/>
          <w:szCs w:val="22"/>
        </w:rPr>
        <w:t>The project has been apt at coordination on several fronts: with government stakeholders, development partn</w:t>
      </w:r>
      <w:r w:rsidR="00073C58">
        <w:rPr>
          <w:rFonts w:ascii="Arial" w:hAnsi="Arial"/>
          <w:sz w:val="22"/>
          <w:szCs w:val="22"/>
        </w:rPr>
        <w:t>ers, CSOs</w:t>
      </w:r>
      <w:r>
        <w:rPr>
          <w:rFonts w:ascii="Arial" w:hAnsi="Arial"/>
          <w:sz w:val="22"/>
          <w:szCs w:val="22"/>
        </w:rPr>
        <w:t>, other UNDP projects, and UN agencies.  The project’s management and staff have coordinated effectively and have a positive relationship with the UNDP country office and with UK government representatives.</w:t>
      </w:r>
    </w:p>
    <w:p w14:paraId="247E6857" w14:textId="77777777" w:rsidR="00EC0673" w:rsidRDefault="00EC0673" w:rsidP="00EC0673">
      <w:pPr>
        <w:pStyle w:val="ListParagraph"/>
        <w:ind w:left="0"/>
        <w:jc w:val="both"/>
        <w:rPr>
          <w:rFonts w:ascii="Arial" w:hAnsi="Arial"/>
          <w:sz w:val="22"/>
          <w:szCs w:val="22"/>
        </w:rPr>
      </w:pPr>
    </w:p>
    <w:p w14:paraId="20758F59" w14:textId="1171EC76" w:rsidR="00EC0673" w:rsidRDefault="00EC0673" w:rsidP="00EC0673">
      <w:pPr>
        <w:pStyle w:val="ListParagraph"/>
        <w:ind w:left="0"/>
        <w:jc w:val="both"/>
        <w:rPr>
          <w:rFonts w:ascii="Arial" w:hAnsi="Arial"/>
          <w:b/>
          <w:sz w:val="22"/>
          <w:szCs w:val="22"/>
          <w:u w:val="single"/>
        </w:rPr>
      </w:pPr>
      <w:r>
        <w:rPr>
          <w:rFonts w:ascii="Arial" w:hAnsi="Arial"/>
          <w:b/>
          <w:sz w:val="22"/>
          <w:szCs w:val="22"/>
          <w:u w:val="single"/>
        </w:rPr>
        <w:t>Gender Equality and Inclusion</w:t>
      </w:r>
    </w:p>
    <w:p w14:paraId="52DA8564" w14:textId="09D42987" w:rsidR="005F6C0D" w:rsidRDefault="00EC0673" w:rsidP="00EC0673">
      <w:pPr>
        <w:pStyle w:val="ListParagraph"/>
        <w:ind w:left="0"/>
        <w:jc w:val="both"/>
        <w:rPr>
          <w:rFonts w:ascii="Arial" w:hAnsi="Arial"/>
          <w:sz w:val="22"/>
          <w:szCs w:val="22"/>
        </w:rPr>
      </w:pPr>
      <w:r>
        <w:rPr>
          <w:rFonts w:ascii="Arial" w:hAnsi="Arial"/>
          <w:sz w:val="22"/>
          <w:szCs w:val="22"/>
        </w:rPr>
        <w:t xml:space="preserve">Gender and inclusion have been a day-to-day commitment for the project since initiation. The project follows an ingrained human rights based approach that is not only advocated but put into practice at the policy formulation level, human resource capacity building level, the provision of public services, and the involvement of CSOs and their ability to either address or formulate positions or provide research on gender and inclusion issues. The human rights based approach is now embedded in the policy formulation process. The policy planning handbook requires the adoption of a human </w:t>
      </w:r>
      <w:proofErr w:type="gramStart"/>
      <w:r>
        <w:rPr>
          <w:rFonts w:ascii="Arial" w:hAnsi="Arial"/>
          <w:sz w:val="22"/>
          <w:szCs w:val="22"/>
        </w:rPr>
        <w:t>rights based</w:t>
      </w:r>
      <w:proofErr w:type="gramEnd"/>
      <w:r>
        <w:rPr>
          <w:rFonts w:ascii="Arial" w:hAnsi="Arial"/>
          <w:sz w:val="22"/>
          <w:szCs w:val="22"/>
        </w:rPr>
        <w:t xml:space="preserve"> approach when formulating goals and objectives in national, sector and institutional policy documents. The documents are to incorporate </w:t>
      </w:r>
      <w:r w:rsidR="00923AA7">
        <w:rPr>
          <w:rFonts w:ascii="Arial" w:hAnsi="Arial"/>
          <w:sz w:val="22"/>
          <w:szCs w:val="22"/>
        </w:rPr>
        <w:t xml:space="preserve">SDGs, </w:t>
      </w:r>
      <w:r>
        <w:rPr>
          <w:rFonts w:ascii="Arial" w:hAnsi="Arial"/>
          <w:sz w:val="22"/>
          <w:szCs w:val="22"/>
        </w:rPr>
        <w:t xml:space="preserve">issues relating to gender, minorities and vulnerable groups. For the new PAR Roadmap under development, UN Women is part of the development team and by applying the policy planning </w:t>
      </w:r>
      <w:r>
        <w:rPr>
          <w:rFonts w:ascii="Arial" w:hAnsi="Arial"/>
          <w:sz w:val="22"/>
          <w:szCs w:val="22"/>
        </w:rPr>
        <w:lastRenderedPageBreak/>
        <w:t>handbook and system, a more human rights-based approach will be applied. Human resource capacity development sponsored by the project had strong female participation. Of the 25 main training events, 18 had participants gender disaggregated. At these 18 events, a total of about 2,907 individuals were trained with about 1,854 women trained (63.8% of those trained). The public service delivery outcome area has helped to improve awareness and use of public services of all citizens. The e-services and work done to improve service delivery in the Public Service Halls and Patrol Department Unified Service Center have helped to improve access countrywide for all groups to include women, minorities, and those with disabilities. The research and civil society grant schemes brought attention to gender and other issues to include careers in the civil service and gender equality, challenges in provision of services to women victims of domestic violence du</w:t>
      </w:r>
      <w:r w:rsidR="00A9739A">
        <w:rPr>
          <w:rFonts w:ascii="Arial" w:hAnsi="Arial"/>
          <w:sz w:val="22"/>
          <w:szCs w:val="22"/>
        </w:rPr>
        <w:t>ring COVID-</w:t>
      </w:r>
      <w:r>
        <w:rPr>
          <w:rFonts w:ascii="Arial" w:hAnsi="Arial"/>
          <w:sz w:val="22"/>
          <w:szCs w:val="22"/>
        </w:rPr>
        <w:t>19, amongst se</w:t>
      </w:r>
      <w:r w:rsidR="005F6C0D">
        <w:rPr>
          <w:rFonts w:ascii="Arial" w:hAnsi="Arial"/>
          <w:sz w:val="22"/>
          <w:szCs w:val="22"/>
        </w:rPr>
        <w:t>veral other research initiatives</w:t>
      </w:r>
      <w:r w:rsidR="00A9739A">
        <w:rPr>
          <w:rFonts w:ascii="Arial" w:hAnsi="Arial"/>
          <w:sz w:val="22"/>
          <w:szCs w:val="22"/>
        </w:rPr>
        <w:t xml:space="preserve"> addressing gender issues, the elderly</w:t>
      </w:r>
      <w:r w:rsidR="00073C58">
        <w:rPr>
          <w:rFonts w:ascii="Arial" w:hAnsi="Arial"/>
          <w:sz w:val="22"/>
          <w:szCs w:val="22"/>
        </w:rPr>
        <w:t>,</w:t>
      </w:r>
      <w:r w:rsidR="00A9739A">
        <w:rPr>
          <w:rFonts w:ascii="Arial" w:hAnsi="Arial"/>
          <w:sz w:val="22"/>
          <w:szCs w:val="22"/>
        </w:rPr>
        <w:t xml:space="preserve"> and people with disabilities</w:t>
      </w:r>
      <w:r w:rsidR="005F6C0D">
        <w:rPr>
          <w:rFonts w:ascii="Arial" w:hAnsi="Arial"/>
          <w:sz w:val="22"/>
          <w:szCs w:val="22"/>
        </w:rPr>
        <w:t>.</w:t>
      </w:r>
    </w:p>
    <w:p w14:paraId="34D6B5DA" w14:textId="77777777" w:rsidR="005F6C0D" w:rsidRDefault="005F6C0D" w:rsidP="00EC0673">
      <w:pPr>
        <w:pStyle w:val="ListParagraph"/>
        <w:ind w:left="0"/>
        <w:jc w:val="both"/>
        <w:rPr>
          <w:rFonts w:ascii="Arial" w:hAnsi="Arial"/>
          <w:sz w:val="22"/>
          <w:szCs w:val="22"/>
        </w:rPr>
      </w:pPr>
    </w:p>
    <w:p w14:paraId="112EA8A4" w14:textId="77777777" w:rsidR="005F6C0D" w:rsidRPr="005F6C0D" w:rsidRDefault="005F6C0D" w:rsidP="005F6C0D">
      <w:pPr>
        <w:pStyle w:val="ListParagraph"/>
        <w:ind w:left="0"/>
        <w:jc w:val="both"/>
        <w:rPr>
          <w:rFonts w:ascii="Arial" w:hAnsi="Arial"/>
          <w:b/>
          <w:sz w:val="22"/>
          <w:szCs w:val="22"/>
          <w:u w:val="single"/>
        </w:rPr>
      </w:pPr>
      <w:r w:rsidRPr="005F6C0D">
        <w:rPr>
          <w:rFonts w:ascii="Arial" w:hAnsi="Arial"/>
          <w:b/>
          <w:sz w:val="22"/>
          <w:szCs w:val="22"/>
          <w:u w:val="single"/>
        </w:rPr>
        <w:t>COVID-19 Impact</w:t>
      </w:r>
    </w:p>
    <w:p w14:paraId="3C1C714B" w14:textId="0E5A528B" w:rsidR="00EC0673" w:rsidRDefault="005F6C0D" w:rsidP="00EC0673">
      <w:pPr>
        <w:pStyle w:val="ListParagraph"/>
        <w:ind w:left="0"/>
        <w:jc w:val="both"/>
        <w:rPr>
          <w:rFonts w:ascii="Arial" w:hAnsi="Arial"/>
          <w:sz w:val="22"/>
          <w:szCs w:val="22"/>
        </w:rPr>
      </w:pPr>
      <w:r>
        <w:rPr>
          <w:rFonts w:ascii="Arial" w:hAnsi="Arial"/>
          <w:sz w:val="22"/>
          <w:szCs w:val="22"/>
        </w:rPr>
        <w:t>While not an evaluation criterion, the impact of COVID-19 on the project, and PAR in general, should be noted since the pandemic has impacted project performance for about one year of the project’s lifespan. The project had to change its approach of one that was very much based on personal face-to-face interactions with stakeholders in terms of meetings and discussions, training, and the provision of the advisory services. The project adjusted its approach so that regulations were followed and safety paramount. The interactions with stakeholders, contractors and others moved on-line via teleconference or videoconference meetings. Training was modified to occur on-line</w:t>
      </w:r>
      <w:r w:rsidR="00923AA7">
        <w:rPr>
          <w:rFonts w:ascii="Arial" w:hAnsi="Arial"/>
          <w:sz w:val="22"/>
          <w:szCs w:val="22"/>
        </w:rPr>
        <w:t xml:space="preserve"> with survey tools built in to evaluate the effectiveness of training and forum meetings</w:t>
      </w:r>
      <w:r>
        <w:rPr>
          <w:rFonts w:ascii="Arial" w:hAnsi="Arial"/>
          <w:sz w:val="22"/>
          <w:szCs w:val="22"/>
        </w:rPr>
        <w:t xml:space="preserve">. Several of the research and CSO grant scheme initiatives were in direct response to the pandemic and its repercussions. Most impacted was </w:t>
      </w:r>
      <w:r w:rsidR="00A9739A">
        <w:rPr>
          <w:rFonts w:ascii="Arial" w:hAnsi="Arial"/>
          <w:sz w:val="22"/>
          <w:szCs w:val="22"/>
        </w:rPr>
        <w:t xml:space="preserve">the </w:t>
      </w:r>
      <w:r>
        <w:rPr>
          <w:rFonts w:ascii="Arial" w:hAnsi="Arial"/>
          <w:sz w:val="22"/>
          <w:szCs w:val="22"/>
        </w:rPr>
        <w:t xml:space="preserve">public service delivery </w:t>
      </w:r>
      <w:r w:rsidR="00A9739A">
        <w:rPr>
          <w:rFonts w:ascii="Arial" w:hAnsi="Arial"/>
          <w:sz w:val="22"/>
          <w:szCs w:val="22"/>
        </w:rPr>
        <w:t xml:space="preserve">outcome </w:t>
      </w:r>
      <w:r>
        <w:rPr>
          <w:rFonts w:ascii="Arial" w:hAnsi="Arial"/>
          <w:sz w:val="22"/>
          <w:szCs w:val="22"/>
        </w:rPr>
        <w:t>with the pandemic instigating more attention to service delivery.  The deli</w:t>
      </w:r>
      <w:r w:rsidR="00A9739A">
        <w:rPr>
          <w:rFonts w:ascii="Arial" w:hAnsi="Arial"/>
          <w:sz w:val="22"/>
          <w:szCs w:val="22"/>
        </w:rPr>
        <w:t>very of public services during the</w:t>
      </w:r>
      <w:r>
        <w:rPr>
          <w:rFonts w:ascii="Arial" w:hAnsi="Arial"/>
          <w:sz w:val="22"/>
          <w:szCs w:val="22"/>
        </w:rPr>
        <w:t xml:space="preserve"> pandemic was part of the response included in the CAF assessments and application of standards for the Public Service Halls and the Patrol Department Unified Service Center. </w:t>
      </w:r>
      <w:r w:rsidR="00345EF4">
        <w:rPr>
          <w:rFonts w:ascii="Arial" w:hAnsi="Arial"/>
          <w:sz w:val="22"/>
          <w:szCs w:val="22"/>
        </w:rPr>
        <w:t>Both entities reported that the advisory services and resulting service changes did help improve the delivery of</w:t>
      </w:r>
      <w:r w:rsidR="00923AA7">
        <w:rPr>
          <w:rFonts w:ascii="Arial" w:hAnsi="Arial"/>
          <w:sz w:val="22"/>
          <w:szCs w:val="22"/>
        </w:rPr>
        <w:t xml:space="preserve"> services during the pandemic. M</w:t>
      </w:r>
      <w:r>
        <w:rPr>
          <w:rFonts w:ascii="Arial" w:hAnsi="Arial"/>
          <w:sz w:val="22"/>
          <w:szCs w:val="22"/>
        </w:rPr>
        <w:t xml:space="preserve">ore public services </w:t>
      </w:r>
      <w:r w:rsidR="00923AA7">
        <w:rPr>
          <w:rFonts w:ascii="Arial" w:hAnsi="Arial"/>
          <w:sz w:val="22"/>
          <w:szCs w:val="22"/>
        </w:rPr>
        <w:t xml:space="preserve">were placed on </w:t>
      </w:r>
      <w:r>
        <w:rPr>
          <w:rFonts w:ascii="Arial" w:hAnsi="Arial"/>
          <w:sz w:val="22"/>
          <w:szCs w:val="22"/>
        </w:rPr>
        <w:t>my.gov.ge and the pro</w:t>
      </w:r>
      <w:r w:rsidR="00923AA7">
        <w:rPr>
          <w:rFonts w:ascii="Arial" w:hAnsi="Arial"/>
          <w:sz w:val="22"/>
          <w:szCs w:val="22"/>
        </w:rPr>
        <w:t xml:space="preserve">ject was instrumental to help this movement, significantly over achieving the target </w:t>
      </w:r>
      <w:r w:rsidR="00073C58">
        <w:rPr>
          <w:rFonts w:ascii="Arial" w:hAnsi="Arial"/>
          <w:sz w:val="22"/>
          <w:szCs w:val="22"/>
        </w:rPr>
        <w:t>(133 on-line services added with project support)</w:t>
      </w:r>
      <w:r>
        <w:rPr>
          <w:rFonts w:ascii="Arial" w:hAnsi="Arial"/>
          <w:sz w:val="22"/>
          <w:szCs w:val="22"/>
        </w:rPr>
        <w:t>. The project also supported a promotional video prepare</w:t>
      </w:r>
      <w:r w:rsidR="00923AA7">
        <w:rPr>
          <w:rFonts w:ascii="Arial" w:hAnsi="Arial"/>
          <w:sz w:val="22"/>
          <w:szCs w:val="22"/>
        </w:rPr>
        <w:t>d with DGA to promote</w:t>
      </w:r>
      <w:r>
        <w:rPr>
          <w:rFonts w:ascii="Arial" w:hAnsi="Arial"/>
          <w:sz w:val="22"/>
          <w:szCs w:val="22"/>
        </w:rPr>
        <w:t xml:space="preserve"> my.gov.ge during the pandemic.</w:t>
      </w:r>
    </w:p>
    <w:p w14:paraId="3FE363A1" w14:textId="77777777" w:rsidR="00EC0673" w:rsidRDefault="00EC0673" w:rsidP="00EC0673">
      <w:pPr>
        <w:pStyle w:val="ListParagraph"/>
        <w:ind w:left="0"/>
        <w:jc w:val="both"/>
        <w:rPr>
          <w:rFonts w:ascii="Arial" w:hAnsi="Arial"/>
          <w:b/>
          <w:sz w:val="22"/>
          <w:szCs w:val="22"/>
          <w:u w:val="single"/>
        </w:rPr>
      </w:pPr>
    </w:p>
    <w:p w14:paraId="654B9B10" w14:textId="3242A96D" w:rsidR="00473A0B" w:rsidRDefault="00473A0B" w:rsidP="00EC0673">
      <w:pPr>
        <w:pStyle w:val="ListParagraph"/>
        <w:ind w:left="0"/>
        <w:jc w:val="both"/>
        <w:rPr>
          <w:rFonts w:ascii="Arial" w:hAnsi="Arial"/>
          <w:sz w:val="22"/>
          <w:szCs w:val="22"/>
        </w:rPr>
      </w:pPr>
      <w:r>
        <w:rPr>
          <w:rFonts w:ascii="Arial" w:hAnsi="Arial"/>
          <w:sz w:val="22"/>
          <w:szCs w:val="22"/>
        </w:rPr>
        <w:t>There are a variety of lessons learned, the three main ones are:</w:t>
      </w:r>
    </w:p>
    <w:p w14:paraId="20889180" w14:textId="77777777" w:rsidR="00473A0B" w:rsidRPr="00473A0B" w:rsidRDefault="00473A0B" w:rsidP="00EC0673">
      <w:pPr>
        <w:pStyle w:val="ListParagraph"/>
        <w:ind w:left="0"/>
        <w:jc w:val="both"/>
        <w:rPr>
          <w:rFonts w:ascii="Arial" w:hAnsi="Arial"/>
          <w:sz w:val="22"/>
          <w:szCs w:val="22"/>
        </w:rPr>
      </w:pPr>
    </w:p>
    <w:p w14:paraId="2D97D15D" w14:textId="75337481" w:rsidR="005F6C0D" w:rsidRDefault="005F6C0D" w:rsidP="00EB743C">
      <w:pPr>
        <w:pStyle w:val="ListParagraph"/>
        <w:numPr>
          <w:ilvl w:val="0"/>
          <w:numId w:val="16"/>
        </w:numPr>
        <w:ind w:left="270" w:hanging="270"/>
        <w:jc w:val="both"/>
        <w:rPr>
          <w:rFonts w:ascii="Arial" w:hAnsi="Arial" w:cs="Arial"/>
          <w:sz w:val="22"/>
          <w:szCs w:val="22"/>
        </w:rPr>
      </w:pPr>
      <w:r w:rsidRPr="000B6FF6">
        <w:rPr>
          <w:rFonts w:ascii="Arial" w:hAnsi="Arial" w:cs="Arial"/>
          <w:i/>
          <w:sz w:val="22"/>
          <w:szCs w:val="22"/>
        </w:rPr>
        <w:t>Building of Momentum and Consolidation:</w:t>
      </w:r>
      <w:r w:rsidRPr="00EC2E03">
        <w:rPr>
          <w:rFonts w:ascii="Arial" w:hAnsi="Arial" w:cs="Arial"/>
          <w:sz w:val="22"/>
          <w:szCs w:val="22"/>
        </w:rPr>
        <w:t xml:space="preserve"> </w:t>
      </w:r>
      <w:r>
        <w:rPr>
          <w:rFonts w:ascii="Arial" w:hAnsi="Arial" w:cs="Arial"/>
          <w:sz w:val="22"/>
          <w:szCs w:val="22"/>
        </w:rPr>
        <w:t>T</w:t>
      </w:r>
      <w:r w:rsidR="00473A0B">
        <w:rPr>
          <w:rFonts w:ascii="Arial" w:hAnsi="Arial" w:cs="Arial"/>
          <w:sz w:val="22"/>
          <w:szCs w:val="22"/>
        </w:rPr>
        <w:t>here is momentum for PAR. T</w:t>
      </w:r>
      <w:r>
        <w:rPr>
          <w:rFonts w:ascii="Arial" w:hAnsi="Arial" w:cs="Arial"/>
          <w:sz w:val="22"/>
          <w:szCs w:val="22"/>
        </w:rPr>
        <w:t xml:space="preserve">he project has been catalytic in building that momentum by helping to identify discrete PAR reform targets and then addressing those targets in an organized, detailed and cooperative manner. Some have said that senior political support has waivered over the years given the macro political situation but even so, public servants have kept it going and the main impetus, adopting European country standards and the commitments made by government, keep the reform alive. </w:t>
      </w:r>
      <w:r w:rsidR="00473A0B">
        <w:rPr>
          <w:rFonts w:ascii="Arial" w:hAnsi="Arial" w:cs="Arial"/>
          <w:sz w:val="22"/>
          <w:szCs w:val="22"/>
        </w:rPr>
        <w:t>PAR will continue. The challenge is to make it government-wide and have the political will and leadership to advance ownership and accountability to allow an independent and merit-based professional civil service to evolve that uses evidenced-based policy making.</w:t>
      </w:r>
    </w:p>
    <w:p w14:paraId="0B227FC6" w14:textId="77777777" w:rsidR="00473A0B" w:rsidRDefault="00473A0B" w:rsidP="00473A0B">
      <w:pPr>
        <w:jc w:val="both"/>
        <w:rPr>
          <w:rFonts w:ascii="Arial" w:hAnsi="Arial" w:cs="Arial"/>
          <w:sz w:val="22"/>
          <w:szCs w:val="22"/>
        </w:rPr>
      </w:pPr>
    </w:p>
    <w:p w14:paraId="4CA4FEE5" w14:textId="6EB27C24" w:rsidR="00473A0B" w:rsidRPr="00192955" w:rsidRDefault="00473A0B" w:rsidP="00EB743C">
      <w:pPr>
        <w:pStyle w:val="ListParagraph"/>
        <w:numPr>
          <w:ilvl w:val="0"/>
          <w:numId w:val="16"/>
        </w:numPr>
        <w:ind w:left="270" w:hanging="270"/>
        <w:jc w:val="both"/>
        <w:rPr>
          <w:rFonts w:ascii="Arial" w:hAnsi="Arial" w:cs="Arial"/>
          <w:sz w:val="22"/>
          <w:szCs w:val="22"/>
        </w:rPr>
      </w:pPr>
      <w:r w:rsidRPr="00192955">
        <w:rPr>
          <w:rFonts w:ascii="Arial" w:hAnsi="Arial" w:cs="Arial"/>
          <w:i/>
          <w:sz w:val="22"/>
          <w:szCs w:val="22"/>
        </w:rPr>
        <w:t>Planning and Implementation with Flexibility:</w:t>
      </w:r>
      <w:r w:rsidRPr="00192955">
        <w:rPr>
          <w:rFonts w:ascii="Arial" w:hAnsi="Arial" w:cs="Arial"/>
          <w:sz w:val="22"/>
          <w:szCs w:val="22"/>
        </w:rPr>
        <w:t xml:space="preserve"> The project was adeptly flexible to facilitate each of the outcome areas and applied its resources as needed. Sometimes, such as waiting for a document to be approved like the policy planning, monitoring and evaluation handbook and </w:t>
      </w:r>
      <w:r w:rsidR="00923AA7">
        <w:rPr>
          <w:rFonts w:ascii="Arial" w:hAnsi="Arial" w:cs="Arial"/>
          <w:sz w:val="22"/>
          <w:szCs w:val="22"/>
        </w:rPr>
        <w:t xml:space="preserve">related </w:t>
      </w:r>
      <w:r w:rsidRPr="00192955">
        <w:rPr>
          <w:rFonts w:ascii="Arial" w:hAnsi="Arial" w:cs="Arial"/>
          <w:sz w:val="22"/>
          <w:szCs w:val="22"/>
        </w:rPr>
        <w:t>process and UP</w:t>
      </w:r>
      <w:r w:rsidR="00922C25" w:rsidRPr="00922C25">
        <w:rPr>
          <w:rFonts w:ascii="Arial" w:hAnsi="Arial" w:cs="Arial"/>
          <w:sz w:val="22"/>
          <w:szCs w:val="22"/>
        </w:rPr>
        <w:t>S</w:t>
      </w:r>
      <w:r w:rsidRPr="00192955">
        <w:rPr>
          <w:rFonts w:ascii="Arial" w:hAnsi="Arial" w:cs="Arial"/>
          <w:sz w:val="22"/>
          <w:szCs w:val="22"/>
        </w:rPr>
        <w:t xml:space="preserve">DD, the project adjusted so it could still address the need and </w:t>
      </w:r>
      <w:r w:rsidRPr="00192955">
        <w:rPr>
          <w:rFonts w:ascii="Arial" w:hAnsi="Arial" w:cs="Arial"/>
          <w:sz w:val="22"/>
          <w:szCs w:val="22"/>
        </w:rPr>
        <w:lastRenderedPageBreak/>
        <w:t>put things in place so that when appr</w:t>
      </w:r>
      <w:r w:rsidR="00A9739A">
        <w:rPr>
          <w:rFonts w:ascii="Arial" w:hAnsi="Arial" w:cs="Arial"/>
          <w:sz w:val="22"/>
          <w:szCs w:val="22"/>
        </w:rPr>
        <w:t>oval was given, stakeholders could</w:t>
      </w:r>
      <w:r w:rsidRPr="00192955">
        <w:rPr>
          <w:rFonts w:ascii="Arial" w:hAnsi="Arial" w:cs="Arial"/>
          <w:sz w:val="22"/>
          <w:szCs w:val="22"/>
        </w:rPr>
        <w:t xml:space="preserve"> progress since the building blocks were already set.</w:t>
      </w:r>
      <w:r w:rsidR="00192955">
        <w:rPr>
          <w:rFonts w:ascii="Arial" w:hAnsi="Arial" w:cs="Arial"/>
          <w:sz w:val="22"/>
          <w:szCs w:val="22"/>
        </w:rPr>
        <w:t xml:space="preserve"> The flexibility allowed is</w:t>
      </w:r>
      <w:r w:rsidRPr="00192955">
        <w:rPr>
          <w:rFonts w:ascii="Arial" w:hAnsi="Arial" w:cs="Arial"/>
          <w:sz w:val="22"/>
          <w:szCs w:val="22"/>
        </w:rPr>
        <w:t xml:space="preserve"> a testament to close cooperation with the project partners – UNDP and the UK government – to allow such flexibility. The flexibility did not throw the project off course as shown by the results to date, budget execution and feedback from the parties involved. The resourcefulness shown by all parties - project team, development partners and stakeholders is a key lesson for PAR in Georgia.</w:t>
      </w:r>
    </w:p>
    <w:p w14:paraId="6CECAF6E" w14:textId="77777777" w:rsidR="00473A0B" w:rsidRDefault="00473A0B" w:rsidP="00192955">
      <w:pPr>
        <w:ind w:left="270" w:hanging="270"/>
        <w:jc w:val="both"/>
        <w:rPr>
          <w:rFonts w:ascii="Arial" w:hAnsi="Arial" w:cs="Arial"/>
          <w:sz w:val="22"/>
          <w:szCs w:val="22"/>
        </w:rPr>
      </w:pPr>
    </w:p>
    <w:p w14:paraId="54B330EC" w14:textId="29E16F28" w:rsidR="00473A0B" w:rsidRPr="00E8321B" w:rsidRDefault="00473A0B" w:rsidP="00EB743C">
      <w:pPr>
        <w:pStyle w:val="ListParagraph"/>
        <w:numPr>
          <w:ilvl w:val="0"/>
          <w:numId w:val="16"/>
        </w:numPr>
        <w:ind w:left="270" w:hanging="270"/>
        <w:jc w:val="both"/>
        <w:rPr>
          <w:rFonts w:ascii="Arial" w:hAnsi="Arial" w:cs="Arial"/>
          <w:sz w:val="22"/>
          <w:szCs w:val="22"/>
        </w:rPr>
      </w:pPr>
      <w:r w:rsidRPr="00192955">
        <w:rPr>
          <w:rFonts w:ascii="Arial" w:hAnsi="Arial"/>
          <w:i/>
          <w:sz w:val="22"/>
          <w:szCs w:val="22"/>
        </w:rPr>
        <w:t>Change Management Takes Time and Should Always be Present:</w:t>
      </w:r>
      <w:r w:rsidRPr="00192955">
        <w:rPr>
          <w:rFonts w:ascii="Arial" w:hAnsi="Arial"/>
          <w:sz w:val="22"/>
          <w:szCs w:val="22"/>
        </w:rPr>
        <w:t xml:space="preserve">  A change management approach was established at project start. The focus on change management helped to draw attention to priority need</w:t>
      </w:r>
      <w:r w:rsidR="00192955" w:rsidRPr="00192955">
        <w:rPr>
          <w:rFonts w:ascii="Arial" w:hAnsi="Arial"/>
          <w:sz w:val="22"/>
          <w:szCs w:val="22"/>
        </w:rPr>
        <w:t>s</w:t>
      </w:r>
      <w:r w:rsidRPr="00192955">
        <w:rPr>
          <w:rFonts w:ascii="Arial" w:hAnsi="Arial"/>
          <w:sz w:val="22"/>
          <w:szCs w:val="22"/>
        </w:rPr>
        <w:t xml:space="preserve">. As time went on, the project went from advocating for change to actually making it happen </w:t>
      </w:r>
      <w:r w:rsidRPr="00E8321B">
        <w:rPr>
          <w:rFonts w:ascii="Arial" w:hAnsi="Arial"/>
          <w:sz w:val="22"/>
          <w:szCs w:val="22"/>
        </w:rPr>
        <w:t>with the various interventions. However, PAR-related reform is</w:t>
      </w:r>
      <w:r w:rsidR="008E2BF2" w:rsidRPr="00E8321B">
        <w:rPr>
          <w:rFonts w:ascii="Arial" w:hAnsi="Arial"/>
          <w:sz w:val="22"/>
          <w:szCs w:val="22"/>
        </w:rPr>
        <w:t xml:space="preserve"> not</w:t>
      </w:r>
      <w:r w:rsidRPr="00E8321B">
        <w:rPr>
          <w:rFonts w:ascii="Arial" w:hAnsi="Arial"/>
          <w:sz w:val="22"/>
          <w:szCs w:val="22"/>
        </w:rPr>
        <w:t xml:space="preserve"> complete. Change will need to be constant as </w:t>
      </w:r>
      <w:r w:rsidR="00192955" w:rsidRPr="00E8321B">
        <w:rPr>
          <w:rFonts w:ascii="Arial" w:hAnsi="Arial"/>
          <w:sz w:val="22"/>
          <w:szCs w:val="22"/>
        </w:rPr>
        <w:t>PAR is further planned and implemented.</w:t>
      </w:r>
    </w:p>
    <w:p w14:paraId="3BF08B71" w14:textId="77777777" w:rsidR="00192955" w:rsidRPr="00E8321B" w:rsidRDefault="00192955" w:rsidP="00192955">
      <w:pPr>
        <w:jc w:val="both"/>
        <w:rPr>
          <w:rFonts w:ascii="Arial" w:hAnsi="Arial" w:cs="Arial"/>
          <w:sz w:val="22"/>
          <w:szCs w:val="22"/>
        </w:rPr>
      </w:pPr>
    </w:p>
    <w:p w14:paraId="609CBAB2" w14:textId="250D4AE0" w:rsidR="00192955" w:rsidRDefault="00192955" w:rsidP="00192955">
      <w:pPr>
        <w:jc w:val="both"/>
        <w:rPr>
          <w:rFonts w:ascii="Arial" w:hAnsi="Arial"/>
          <w:sz w:val="22"/>
          <w:szCs w:val="22"/>
        </w:rPr>
      </w:pPr>
      <w:r w:rsidRPr="00E8321B">
        <w:rPr>
          <w:rFonts w:ascii="Arial" w:hAnsi="Arial"/>
          <w:sz w:val="22"/>
        </w:rPr>
        <w:t>PAR in Georgia is real and is making p</w:t>
      </w:r>
      <w:r w:rsidR="008E2BF2" w:rsidRPr="00E8321B">
        <w:rPr>
          <w:rFonts w:ascii="Arial" w:hAnsi="Arial"/>
          <w:sz w:val="22"/>
        </w:rPr>
        <w:t>rogr</w:t>
      </w:r>
      <w:r w:rsidRPr="00E8321B">
        <w:rPr>
          <w:rFonts w:ascii="Arial" w:hAnsi="Arial"/>
          <w:sz w:val="22"/>
        </w:rPr>
        <w:t xml:space="preserve">ess. The goal remains the adoption of EU standards and practices in line with past commitments as well as future needs including a more participatory approach with civil society input and some more formal checks and balances. The following is “unfinished business” to bring to close outputs or activities that are currently underway but will not end by project closure in March 2021. </w:t>
      </w:r>
      <w:r w:rsidR="00B4743B" w:rsidRPr="00E8321B">
        <w:rPr>
          <w:rFonts w:ascii="Arial" w:hAnsi="Arial"/>
          <w:sz w:val="22"/>
          <w:szCs w:val="22"/>
        </w:rPr>
        <w:t xml:space="preserve">The reasons for the delay are mainly because of the adjustments made in 2020 due to the COVID-19 pandemic and several changes in government that impacted certain approvals and had an impact on the continuity of counterparts. </w:t>
      </w:r>
      <w:r w:rsidRPr="00E8321B">
        <w:rPr>
          <w:rFonts w:ascii="Arial" w:hAnsi="Arial"/>
          <w:sz w:val="22"/>
        </w:rPr>
        <w:t>The activitie</w:t>
      </w:r>
      <w:r w:rsidR="00FC55D5" w:rsidRPr="00E8321B">
        <w:rPr>
          <w:rFonts w:ascii="Arial" w:hAnsi="Arial"/>
          <w:sz w:val="22"/>
        </w:rPr>
        <w:t>s are reportedly being included</w:t>
      </w:r>
      <w:r w:rsidRPr="00E8321B">
        <w:rPr>
          <w:rFonts w:ascii="Arial" w:hAnsi="Arial"/>
          <w:sz w:val="22"/>
        </w:rPr>
        <w:t xml:space="preserve"> in the next project phase.</w:t>
      </w:r>
    </w:p>
    <w:p w14:paraId="77B3290F" w14:textId="77777777" w:rsidR="00192955" w:rsidRPr="00FC55D5" w:rsidRDefault="00192955" w:rsidP="00192955">
      <w:pPr>
        <w:rPr>
          <w:rFonts w:ascii="Arial" w:hAnsi="Arial" w:cs="Arial"/>
          <w:sz w:val="22"/>
          <w:szCs w:val="22"/>
        </w:rPr>
      </w:pPr>
    </w:p>
    <w:p w14:paraId="00DD0EF8" w14:textId="3A1D58B7" w:rsidR="00FC55D5" w:rsidRPr="00FC55D5" w:rsidRDefault="00FC55D5" w:rsidP="00192955">
      <w:pPr>
        <w:rPr>
          <w:rFonts w:ascii="Arial" w:hAnsi="Arial" w:cs="Arial"/>
          <w:b/>
          <w:sz w:val="22"/>
          <w:szCs w:val="22"/>
          <w:u w:val="single"/>
        </w:rPr>
      </w:pPr>
      <w:r w:rsidRPr="00FC55D5">
        <w:rPr>
          <w:rFonts w:ascii="Arial" w:hAnsi="Arial" w:cs="Arial"/>
          <w:b/>
          <w:sz w:val="22"/>
          <w:szCs w:val="22"/>
          <w:u w:val="single"/>
        </w:rPr>
        <w:t>Policy Development and Coordination</w:t>
      </w:r>
    </w:p>
    <w:p w14:paraId="0A927113" w14:textId="47F9E426" w:rsidR="00192955" w:rsidRDefault="00192955" w:rsidP="00EB743C">
      <w:pPr>
        <w:pStyle w:val="ListParagraph"/>
        <w:numPr>
          <w:ilvl w:val="0"/>
          <w:numId w:val="54"/>
        </w:numPr>
        <w:ind w:left="360"/>
        <w:jc w:val="both"/>
        <w:rPr>
          <w:rFonts w:ascii="Arial" w:hAnsi="Arial"/>
          <w:sz w:val="22"/>
          <w:szCs w:val="22"/>
        </w:rPr>
      </w:pPr>
      <w:r w:rsidRPr="00192955">
        <w:rPr>
          <w:rFonts w:ascii="Arial" w:hAnsi="Arial"/>
          <w:i/>
          <w:sz w:val="22"/>
          <w:szCs w:val="22"/>
        </w:rPr>
        <w:t>Drafting of National Strategies Applying Policy Planning, Monitoring and Evaluation Standards:</w:t>
      </w:r>
      <w:r w:rsidRPr="00192955">
        <w:rPr>
          <w:rFonts w:ascii="Arial" w:hAnsi="Arial"/>
          <w:sz w:val="22"/>
          <w:szCs w:val="22"/>
        </w:rPr>
        <w:t xml:space="preserve"> Three strategic documents with accompanying action plans are being prepared with project support to include: 1) PAR Roadmap 2021-24; 2) e-Governance Strategy; and 3) </w:t>
      </w:r>
      <w:r w:rsidR="00294C4E">
        <w:rPr>
          <w:rFonts w:ascii="Arial" w:hAnsi="Arial"/>
          <w:sz w:val="22"/>
          <w:szCs w:val="22"/>
        </w:rPr>
        <w:t>M</w:t>
      </w:r>
      <w:r w:rsidRPr="00192955">
        <w:rPr>
          <w:rFonts w:ascii="Arial" w:hAnsi="Arial"/>
          <w:sz w:val="22"/>
          <w:szCs w:val="22"/>
        </w:rPr>
        <w:t xml:space="preserve">aritime </w:t>
      </w:r>
      <w:r w:rsidR="00294C4E">
        <w:rPr>
          <w:rFonts w:ascii="Arial" w:hAnsi="Arial"/>
          <w:sz w:val="22"/>
          <w:szCs w:val="22"/>
        </w:rPr>
        <w:t>T</w:t>
      </w:r>
      <w:r w:rsidRPr="00192955">
        <w:rPr>
          <w:rFonts w:ascii="Arial" w:hAnsi="Arial"/>
          <w:sz w:val="22"/>
          <w:szCs w:val="22"/>
        </w:rPr>
        <w:t xml:space="preserve">ransport </w:t>
      </w:r>
      <w:r w:rsidR="00294C4E">
        <w:rPr>
          <w:rFonts w:ascii="Arial" w:hAnsi="Arial"/>
          <w:sz w:val="22"/>
          <w:szCs w:val="22"/>
        </w:rPr>
        <w:t>S</w:t>
      </w:r>
      <w:r w:rsidRPr="00192955">
        <w:rPr>
          <w:rFonts w:ascii="Arial" w:hAnsi="Arial"/>
          <w:sz w:val="22"/>
          <w:szCs w:val="22"/>
        </w:rPr>
        <w:t xml:space="preserve">trategy. The strategies are being prepared by applying the methodologies and processes of the new policy planning, monitoring and evaluation process documented in the accompanying handbook and being applied by the </w:t>
      </w:r>
      <w:proofErr w:type="spellStart"/>
      <w:r w:rsidRPr="00192955">
        <w:rPr>
          <w:rFonts w:ascii="Arial" w:hAnsi="Arial"/>
          <w:sz w:val="22"/>
          <w:szCs w:val="22"/>
        </w:rPr>
        <w:t>AoG</w:t>
      </w:r>
      <w:proofErr w:type="spellEnd"/>
      <w:r w:rsidRPr="00192955">
        <w:rPr>
          <w:rFonts w:ascii="Arial" w:hAnsi="Arial"/>
          <w:sz w:val="22"/>
          <w:szCs w:val="22"/>
        </w:rPr>
        <w:t xml:space="preserve">. The PAR Roadmap is slated for completion in March 2021 and requires PAR Council approval. </w:t>
      </w:r>
    </w:p>
    <w:p w14:paraId="45AAFF97" w14:textId="77777777" w:rsidR="00192955" w:rsidRPr="00192955" w:rsidRDefault="00192955" w:rsidP="00192955">
      <w:pPr>
        <w:jc w:val="both"/>
        <w:rPr>
          <w:rFonts w:ascii="Arial" w:hAnsi="Arial"/>
          <w:sz w:val="22"/>
          <w:szCs w:val="22"/>
        </w:rPr>
      </w:pPr>
    </w:p>
    <w:p w14:paraId="78278D73" w14:textId="441F5795" w:rsidR="00192955" w:rsidRDefault="00192955" w:rsidP="00EB743C">
      <w:pPr>
        <w:pStyle w:val="ListParagraph"/>
        <w:numPr>
          <w:ilvl w:val="0"/>
          <w:numId w:val="54"/>
        </w:numPr>
        <w:ind w:left="360"/>
        <w:jc w:val="both"/>
        <w:rPr>
          <w:rFonts w:ascii="Arial" w:hAnsi="Arial"/>
          <w:sz w:val="22"/>
          <w:szCs w:val="22"/>
        </w:rPr>
      </w:pPr>
      <w:r w:rsidRPr="00192955">
        <w:rPr>
          <w:rFonts w:ascii="Arial" w:hAnsi="Arial"/>
          <w:i/>
          <w:sz w:val="22"/>
          <w:szCs w:val="22"/>
        </w:rPr>
        <w:t>Unified Policy Planning, Monitoring and Evaluation e-platform:</w:t>
      </w:r>
      <w:r w:rsidRPr="00192955">
        <w:rPr>
          <w:rFonts w:ascii="Arial" w:hAnsi="Arial"/>
          <w:sz w:val="22"/>
          <w:szCs w:val="22"/>
        </w:rPr>
        <w:t xml:space="preserve"> The e-platform will be the backbone of the policy planning, monitoring and evaluation process. It will provide an electronic system to help standardize inputs and outputs that will standardize national, sector and institution strategies. Completion is expected in the third quarter, 2021. </w:t>
      </w:r>
    </w:p>
    <w:p w14:paraId="016FBA83" w14:textId="77777777" w:rsidR="00192955" w:rsidRPr="00192955" w:rsidRDefault="00192955" w:rsidP="00192955">
      <w:pPr>
        <w:jc w:val="both"/>
        <w:rPr>
          <w:rFonts w:ascii="Arial" w:hAnsi="Arial"/>
          <w:sz w:val="22"/>
          <w:szCs w:val="22"/>
        </w:rPr>
      </w:pPr>
    </w:p>
    <w:p w14:paraId="2EC8F659" w14:textId="301E3FDB" w:rsidR="00192955" w:rsidRDefault="00192955" w:rsidP="00EB743C">
      <w:pPr>
        <w:pStyle w:val="ListParagraph"/>
        <w:numPr>
          <w:ilvl w:val="0"/>
          <w:numId w:val="54"/>
        </w:numPr>
        <w:ind w:left="360"/>
        <w:jc w:val="both"/>
        <w:rPr>
          <w:rFonts w:ascii="Arial" w:hAnsi="Arial"/>
          <w:sz w:val="22"/>
          <w:szCs w:val="22"/>
        </w:rPr>
      </w:pPr>
      <w:r w:rsidRPr="00192955">
        <w:rPr>
          <w:rFonts w:ascii="Arial" w:hAnsi="Arial"/>
          <w:i/>
          <w:sz w:val="22"/>
          <w:szCs w:val="22"/>
        </w:rPr>
        <w:t>On-Line Policy Planning, Monitoring and Evaluation Course:</w:t>
      </w:r>
      <w:r w:rsidRPr="00192955">
        <w:rPr>
          <w:rFonts w:ascii="Arial" w:hAnsi="Arial"/>
          <w:sz w:val="22"/>
          <w:szCs w:val="22"/>
        </w:rPr>
        <w:t xml:space="preserve"> The project has trained policy planning managers and staff throughout the government. The plans for the next phase of the project is to create an on-line course that is p</w:t>
      </w:r>
      <w:r>
        <w:rPr>
          <w:rFonts w:ascii="Arial" w:hAnsi="Arial"/>
          <w:sz w:val="22"/>
          <w:szCs w:val="22"/>
        </w:rPr>
        <w:t>art of the e-learning platform.</w:t>
      </w:r>
    </w:p>
    <w:p w14:paraId="26DAB9FF" w14:textId="77777777" w:rsidR="00192955" w:rsidRPr="00192955" w:rsidRDefault="00192955" w:rsidP="00192955">
      <w:pPr>
        <w:jc w:val="both"/>
        <w:rPr>
          <w:rFonts w:ascii="Arial" w:hAnsi="Arial"/>
          <w:sz w:val="22"/>
          <w:szCs w:val="22"/>
        </w:rPr>
      </w:pPr>
    </w:p>
    <w:p w14:paraId="797A2706" w14:textId="6EDF33F9" w:rsidR="00192955" w:rsidRDefault="00192955" w:rsidP="00EB743C">
      <w:pPr>
        <w:pStyle w:val="ListParagraph"/>
        <w:numPr>
          <w:ilvl w:val="0"/>
          <w:numId w:val="54"/>
        </w:numPr>
        <w:ind w:left="360"/>
        <w:jc w:val="both"/>
        <w:rPr>
          <w:rFonts w:ascii="Arial" w:hAnsi="Arial"/>
          <w:sz w:val="22"/>
          <w:szCs w:val="22"/>
        </w:rPr>
      </w:pPr>
      <w:r w:rsidRPr="00192955">
        <w:rPr>
          <w:rFonts w:ascii="Arial" w:hAnsi="Arial"/>
          <w:i/>
          <w:sz w:val="22"/>
          <w:szCs w:val="22"/>
        </w:rPr>
        <w:t>PAR Communication and Action Plan:</w:t>
      </w:r>
      <w:r w:rsidRPr="00192955">
        <w:rPr>
          <w:rFonts w:ascii="Arial" w:hAnsi="Arial"/>
          <w:sz w:val="22"/>
          <w:szCs w:val="22"/>
        </w:rPr>
        <w:t xml:space="preserve"> The plan was finalized in October 2020</w:t>
      </w:r>
      <w:r w:rsidR="00923AA7">
        <w:rPr>
          <w:rFonts w:ascii="Arial" w:hAnsi="Arial"/>
          <w:sz w:val="22"/>
          <w:szCs w:val="22"/>
        </w:rPr>
        <w:t xml:space="preserve"> but not approved. </w:t>
      </w:r>
      <w:r w:rsidRPr="00192955">
        <w:rPr>
          <w:rFonts w:ascii="Arial" w:hAnsi="Arial"/>
          <w:sz w:val="22"/>
          <w:szCs w:val="22"/>
        </w:rPr>
        <w:t>Approval is expected a</w:t>
      </w:r>
      <w:r>
        <w:rPr>
          <w:rFonts w:ascii="Arial" w:hAnsi="Arial"/>
          <w:sz w:val="22"/>
          <w:szCs w:val="22"/>
        </w:rPr>
        <w:t>t the next PAR Council meeting.</w:t>
      </w:r>
      <w:r w:rsidR="00923AA7">
        <w:rPr>
          <w:rFonts w:ascii="Arial" w:hAnsi="Arial"/>
          <w:sz w:val="22"/>
          <w:szCs w:val="22"/>
        </w:rPr>
        <w:t xml:space="preserve"> I</w:t>
      </w:r>
      <w:r w:rsidR="00A9739A">
        <w:rPr>
          <w:rFonts w:ascii="Arial" w:hAnsi="Arial"/>
          <w:sz w:val="22"/>
          <w:szCs w:val="22"/>
        </w:rPr>
        <w:t>mplementation is required.</w:t>
      </w:r>
    </w:p>
    <w:p w14:paraId="3F7DC7B3" w14:textId="77777777" w:rsidR="00A9739A" w:rsidRPr="00A9739A" w:rsidRDefault="00A9739A" w:rsidP="00A9739A">
      <w:pPr>
        <w:jc w:val="both"/>
        <w:rPr>
          <w:rFonts w:ascii="Arial" w:hAnsi="Arial"/>
          <w:sz w:val="22"/>
          <w:szCs w:val="22"/>
        </w:rPr>
      </w:pPr>
    </w:p>
    <w:p w14:paraId="28A666D9" w14:textId="2A00C1CF" w:rsidR="00192955" w:rsidRPr="000934F0" w:rsidRDefault="00192955" w:rsidP="00192955">
      <w:pPr>
        <w:jc w:val="both"/>
        <w:rPr>
          <w:rFonts w:ascii="Arial" w:hAnsi="Arial"/>
          <w:sz w:val="22"/>
          <w:szCs w:val="22"/>
        </w:rPr>
      </w:pPr>
      <w:r w:rsidRPr="000934F0">
        <w:rPr>
          <w:rFonts w:ascii="Arial" w:hAnsi="Arial"/>
          <w:b/>
          <w:i/>
          <w:sz w:val="22"/>
          <w:szCs w:val="22"/>
          <w:u w:val="single"/>
        </w:rPr>
        <w:t>Civil Service Reform and Human Resource Management</w:t>
      </w:r>
    </w:p>
    <w:p w14:paraId="1430B82B" w14:textId="03D9D5DD" w:rsidR="00192955" w:rsidRDefault="00192955" w:rsidP="00EB743C">
      <w:pPr>
        <w:pStyle w:val="ListParagraph"/>
        <w:numPr>
          <w:ilvl w:val="0"/>
          <w:numId w:val="54"/>
        </w:numPr>
        <w:ind w:left="360"/>
        <w:jc w:val="both"/>
        <w:rPr>
          <w:rFonts w:ascii="Arial" w:hAnsi="Arial"/>
          <w:sz w:val="22"/>
          <w:szCs w:val="22"/>
        </w:rPr>
      </w:pPr>
      <w:r w:rsidRPr="00192955">
        <w:rPr>
          <w:rFonts w:ascii="Arial" w:hAnsi="Arial"/>
          <w:i/>
          <w:sz w:val="22"/>
          <w:szCs w:val="22"/>
        </w:rPr>
        <w:t>Linkage of Performance Appraisals and Professional Development Plans:</w:t>
      </w:r>
      <w:r w:rsidRPr="00192955">
        <w:rPr>
          <w:rFonts w:ascii="Arial" w:hAnsi="Arial"/>
          <w:sz w:val="22"/>
          <w:szCs w:val="22"/>
        </w:rPr>
        <w:t xml:space="preserve"> Work continues regarding performance appraisals and professional development plan preparation in pilot ministries. </w:t>
      </w:r>
      <w:r w:rsidR="008E2BF2">
        <w:rPr>
          <w:rFonts w:ascii="Arial" w:hAnsi="Arial"/>
          <w:sz w:val="22"/>
          <w:szCs w:val="22"/>
        </w:rPr>
        <w:t>These results will be evaluated and recommendations drafted will be shared with the CSB with the aim to replicate this experience in other ministries and agencies.</w:t>
      </w:r>
    </w:p>
    <w:p w14:paraId="479DDC65" w14:textId="77777777" w:rsidR="00192955" w:rsidRPr="00192955" w:rsidRDefault="00192955" w:rsidP="00192955">
      <w:pPr>
        <w:jc w:val="both"/>
        <w:rPr>
          <w:rFonts w:ascii="Arial" w:hAnsi="Arial"/>
          <w:sz w:val="22"/>
          <w:szCs w:val="22"/>
        </w:rPr>
      </w:pPr>
    </w:p>
    <w:p w14:paraId="647004AC" w14:textId="56C1B491" w:rsidR="00192955" w:rsidRDefault="00192955" w:rsidP="00EB743C">
      <w:pPr>
        <w:pStyle w:val="ListParagraph"/>
        <w:numPr>
          <w:ilvl w:val="0"/>
          <w:numId w:val="54"/>
        </w:numPr>
        <w:ind w:left="360"/>
        <w:jc w:val="both"/>
        <w:rPr>
          <w:rFonts w:ascii="Arial" w:hAnsi="Arial"/>
          <w:sz w:val="22"/>
          <w:szCs w:val="22"/>
        </w:rPr>
      </w:pPr>
      <w:r w:rsidRPr="002E394E">
        <w:rPr>
          <w:rFonts w:ascii="Arial" w:hAnsi="Arial"/>
          <w:i/>
          <w:sz w:val="22"/>
          <w:szCs w:val="22"/>
        </w:rPr>
        <w:t>Electronic Human Resources Management System (</w:t>
      </w:r>
      <w:proofErr w:type="spellStart"/>
      <w:r w:rsidRPr="002E394E">
        <w:rPr>
          <w:rFonts w:ascii="Arial" w:hAnsi="Arial"/>
          <w:i/>
          <w:sz w:val="22"/>
          <w:szCs w:val="22"/>
        </w:rPr>
        <w:t>eHRMS</w:t>
      </w:r>
      <w:proofErr w:type="spellEnd"/>
      <w:r w:rsidRPr="002E394E">
        <w:rPr>
          <w:rFonts w:ascii="Arial" w:hAnsi="Arial"/>
          <w:i/>
          <w:sz w:val="22"/>
          <w:szCs w:val="22"/>
        </w:rPr>
        <w:t>) Support:</w:t>
      </w:r>
      <w:r w:rsidRPr="002E394E">
        <w:rPr>
          <w:rFonts w:ascii="Arial" w:hAnsi="Arial"/>
          <w:sz w:val="22"/>
          <w:szCs w:val="22"/>
        </w:rPr>
        <w:t xml:space="preserve"> The project supported adding 4 modules to the e-HRMS: performance appraisal, professional development, self-service modules for civil servants, and smart analytical module. In line with the previous recommendation, the use of the e-HRMS modules should be monitored to ensure they are being used as designed and contributing to at least better store data and report on performance appraisal and professional development information. </w:t>
      </w:r>
    </w:p>
    <w:p w14:paraId="6038F272" w14:textId="77777777" w:rsidR="002E394E" w:rsidRPr="002E394E" w:rsidRDefault="002E394E" w:rsidP="002E394E">
      <w:pPr>
        <w:jc w:val="both"/>
        <w:rPr>
          <w:rFonts w:ascii="Arial" w:hAnsi="Arial"/>
          <w:sz w:val="22"/>
          <w:szCs w:val="22"/>
        </w:rPr>
      </w:pPr>
    </w:p>
    <w:p w14:paraId="4188C624" w14:textId="45D98FB6" w:rsidR="00192955" w:rsidRDefault="00192955" w:rsidP="00EB743C">
      <w:pPr>
        <w:pStyle w:val="ListParagraph"/>
        <w:numPr>
          <w:ilvl w:val="0"/>
          <w:numId w:val="54"/>
        </w:numPr>
        <w:ind w:left="360"/>
        <w:jc w:val="both"/>
        <w:rPr>
          <w:rFonts w:ascii="Arial" w:hAnsi="Arial"/>
          <w:sz w:val="22"/>
          <w:szCs w:val="22"/>
        </w:rPr>
      </w:pPr>
      <w:r w:rsidRPr="002E394E">
        <w:rPr>
          <w:rFonts w:ascii="Arial" w:hAnsi="Arial"/>
          <w:i/>
          <w:sz w:val="22"/>
          <w:szCs w:val="22"/>
        </w:rPr>
        <w:t>Unified e-Learning Platform:</w:t>
      </w:r>
      <w:r w:rsidRPr="002E394E">
        <w:rPr>
          <w:rFonts w:ascii="Arial" w:hAnsi="Arial"/>
          <w:sz w:val="22"/>
          <w:szCs w:val="22"/>
        </w:rPr>
        <w:t xml:space="preserve"> The e-platform concept was due to be completed in February. The </w:t>
      </w:r>
      <w:r w:rsidR="00AD06C1">
        <w:rPr>
          <w:rFonts w:ascii="Arial" w:hAnsi="Arial"/>
          <w:sz w:val="22"/>
          <w:szCs w:val="22"/>
        </w:rPr>
        <w:t>technical part of the</w:t>
      </w:r>
      <w:r w:rsidRPr="002E394E">
        <w:rPr>
          <w:rFonts w:ascii="Arial" w:hAnsi="Arial"/>
          <w:sz w:val="22"/>
          <w:szCs w:val="22"/>
        </w:rPr>
        <w:t xml:space="preserve"> platform is scheduled </w:t>
      </w:r>
      <w:r w:rsidR="00AD06C1">
        <w:rPr>
          <w:rFonts w:ascii="Arial" w:hAnsi="Arial"/>
          <w:sz w:val="22"/>
          <w:szCs w:val="22"/>
        </w:rPr>
        <w:t xml:space="preserve">to be finalized in </w:t>
      </w:r>
      <w:r w:rsidRPr="002E394E">
        <w:rPr>
          <w:rFonts w:ascii="Arial" w:hAnsi="Arial"/>
          <w:sz w:val="22"/>
          <w:szCs w:val="22"/>
        </w:rPr>
        <w:t xml:space="preserve">April 2021. </w:t>
      </w:r>
      <w:r w:rsidR="00923AA7">
        <w:rPr>
          <w:rFonts w:ascii="Arial" w:hAnsi="Arial"/>
          <w:sz w:val="22"/>
          <w:szCs w:val="22"/>
        </w:rPr>
        <w:t>A next step is to link the e-HRMS and e-learning system</w:t>
      </w:r>
    </w:p>
    <w:p w14:paraId="4BD748FE" w14:textId="77777777" w:rsidR="002E394E" w:rsidRPr="002E394E" w:rsidRDefault="002E394E" w:rsidP="002E394E">
      <w:pPr>
        <w:jc w:val="both"/>
        <w:rPr>
          <w:rFonts w:ascii="Arial" w:hAnsi="Arial"/>
          <w:sz w:val="22"/>
          <w:szCs w:val="22"/>
        </w:rPr>
      </w:pPr>
    </w:p>
    <w:p w14:paraId="37262041" w14:textId="4109DFF6" w:rsidR="00192955" w:rsidRDefault="00192955" w:rsidP="00EB743C">
      <w:pPr>
        <w:pStyle w:val="ListParagraph"/>
        <w:numPr>
          <w:ilvl w:val="0"/>
          <w:numId w:val="54"/>
        </w:numPr>
        <w:ind w:left="360"/>
        <w:jc w:val="both"/>
        <w:rPr>
          <w:rFonts w:ascii="Arial" w:hAnsi="Arial"/>
          <w:sz w:val="22"/>
          <w:szCs w:val="22"/>
        </w:rPr>
      </w:pPr>
      <w:r w:rsidRPr="0040798F">
        <w:rPr>
          <w:rFonts w:ascii="Arial" w:hAnsi="Arial"/>
          <w:i/>
          <w:sz w:val="22"/>
          <w:szCs w:val="22"/>
        </w:rPr>
        <w:t>Civil Servants’ Forum Meeting Support:</w:t>
      </w:r>
      <w:r>
        <w:rPr>
          <w:rFonts w:ascii="Arial" w:hAnsi="Arial"/>
          <w:sz w:val="22"/>
          <w:szCs w:val="22"/>
        </w:rPr>
        <w:t xml:space="preserve"> The Civil Servants’ Forum and Human Resource Managers’ Forum meetings have proven effective as a way to advance civil service reform in a participatory manner. There should be a transition period and agreement at the start of the next project phase so that the CSB steadily takes on more responsibility and tasks so that project support is phased out within an agreed timeframe. </w:t>
      </w:r>
    </w:p>
    <w:p w14:paraId="4CB03AE6" w14:textId="77777777" w:rsidR="00192955" w:rsidRPr="00B67E58" w:rsidRDefault="00192955" w:rsidP="00192955">
      <w:pPr>
        <w:jc w:val="both"/>
        <w:rPr>
          <w:rFonts w:ascii="Arial" w:hAnsi="Arial"/>
          <w:sz w:val="22"/>
          <w:szCs w:val="22"/>
        </w:rPr>
      </w:pPr>
    </w:p>
    <w:p w14:paraId="1FD068DE" w14:textId="0EBEBF84" w:rsidR="00192955" w:rsidRDefault="00192955" w:rsidP="00EB743C">
      <w:pPr>
        <w:pStyle w:val="ListParagraph"/>
        <w:numPr>
          <w:ilvl w:val="0"/>
          <w:numId w:val="54"/>
        </w:numPr>
        <w:ind w:left="360"/>
        <w:jc w:val="both"/>
        <w:rPr>
          <w:rFonts w:ascii="Arial" w:hAnsi="Arial"/>
          <w:sz w:val="22"/>
          <w:szCs w:val="22"/>
        </w:rPr>
      </w:pPr>
      <w:r w:rsidRPr="0040798F">
        <w:rPr>
          <w:rFonts w:ascii="Arial" w:hAnsi="Arial"/>
          <w:i/>
          <w:sz w:val="22"/>
          <w:szCs w:val="22"/>
        </w:rPr>
        <w:t>Advancing Dispute Resolution:</w:t>
      </w:r>
      <w:r w:rsidRPr="0040798F">
        <w:rPr>
          <w:rFonts w:ascii="Arial" w:hAnsi="Arial"/>
          <w:sz w:val="22"/>
          <w:szCs w:val="22"/>
        </w:rPr>
        <w:t xml:space="preserve"> Advances on dispute resolution have </w:t>
      </w:r>
      <w:r>
        <w:rPr>
          <w:rFonts w:ascii="Arial" w:hAnsi="Arial"/>
          <w:sz w:val="22"/>
          <w:szCs w:val="22"/>
        </w:rPr>
        <w:t>been made with the investment in</w:t>
      </w:r>
      <w:r w:rsidRPr="0040798F">
        <w:rPr>
          <w:rFonts w:ascii="Arial" w:hAnsi="Arial"/>
          <w:sz w:val="22"/>
          <w:szCs w:val="22"/>
        </w:rPr>
        <w:t xml:space="preserve"> a multi-year effort. The project is currently implementing a plan consisting of formulating detailed </w:t>
      </w:r>
      <w:r w:rsidR="00A9739A">
        <w:rPr>
          <w:rFonts w:ascii="Arial" w:hAnsi="Arial"/>
          <w:sz w:val="22"/>
          <w:szCs w:val="22"/>
        </w:rPr>
        <w:t>mediation guidelines</w:t>
      </w:r>
      <w:r w:rsidR="006C64D8">
        <w:rPr>
          <w:rFonts w:ascii="Arial" w:hAnsi="Arial"/>
          <w:sz w:val="22"/>
          <w:szCs w:val="22"/>
        </w:rPr>
        <w:t>, cooperating with the Association of Mediators</w:t>
      </w:r>
      <w:r w:rsidRPr="0040798F">
        <w:rPr>
          <w:rFonts w:ascii="Arial" w:hAnsi="Arial"/>
          <w:sz w:val="22"/>
          <w:szCs w:val="22"/>
        </w:rPr>
        <w:t xml:space="preserve"> and</w:t>
      </w:r>
      <w:r>
        <w:rPr>
          <w:rFonts w:ascii="Arial" w:hAnsi="Arial"/>
          <w:sz w:val="22"/>
          <w:szCs w:val="22"/>
        </w:rPr>
        <w:t xml:space="preserve"> </w:t>
      </w:r>
      <w:r w:rsidR="006C64D8">
        <w:rPr>
          <w:rFonts w:ascii="Arial" w:hAnsi="Arial"/>
          <w:sz w:val="22"/>
          <w:szCs w:val="22"/>
        </w:rPr>
        <w:t xml:space="preserve">also capacity building </w:t>
      </w:r>
      <w:r w:rsidR="008E2BF2">
        <w:rPr>
          <w:rFonts w:ascii="Arial" w:hAnsi="Arial"/>
          <w:sz w:val="22"/>
          <w:szCs w:val="22"/>
        </w:rPr>
        <w:t>of human resource personnel</w:t>
      </w:r>
      <w:r w:rsidR="006C64D8">
        <w:rPr>
          <w:rFonts w:ascii="Arial" w:hAnsi="Arial"/>
          <w:sz w:val="22"/>
          <w:szCs w:val="22"/>
        </w:rPr>
        <w:t xml:space="preserve"> </w:t>
      </w:r>
      <w:r w:rsidR="002E0F17">
        <w:rPr>
          <w:rFonts w:ascii="Arial" w:hAnsi="Arial"/>
          <w:sz w:val="22"/>
          <w:szCs w:val="22"/>
        </w:rPr>
        <w:t xml:space="preserve">in </w:t>
      </w:r>
      <w:r w:rsidR="002E394E">
        <w:rPr>
          <w:rFonts w:ascii="Arial" w:hAnsi="Arial"/>
          <w:sz w:val="22"/>
          <w:szCs w:val="22"/>
        </w:rPr>
        <w:t xml:space="preserve">conflict management techniques. </w:t>
      </w:r>
      <w:r>
        <w:rPr>
          <w:rFonts w:ascii="Arial" w:hAnsi="Arial"/>
          <w:sz w:val="22"/>
          <w:szCs w:val="22"/>
        </w:rPr>
        <w:t xml:space="preserve">If successful and accepted, formalizing the approach and methodology will be necessary.  </w:t>
      </w:r>
    </w:p>
    <w:p w14:paraId="1953C1ED" w14:textId="77777777" w:rsidR="00192955" w:rsidRPr="000934F0" w:rsidRDefault="00192955" w:rsidP="00192955">
      <w:pPr>
        <w:jc w:val="both"/>
        <w:rPr>
          <w:rFonts w:ascii="Arial" w:hAnsi="Arial"/>
          <w:sz w:val="22"/>
          <w:szCs w:val="22"/>
        </w:rPr>
      </w:pPr>
    </w:p>
    <w:p w14:paraId="4A5FB2CF" w14:textId="56EE433E" w:rsidR="00FC55D5" w:rsidRPr="00923AA7" w:rsidRDefault="00192955" w:rsidP="00192955">
      <w:pPr>
        <w:jc w:val="both"/>
        <w:rPr>
          <w:rFonts w:ascii="Arial" w:hAnsi="Arial"/>
          <w:b/>
          <w:i/>
          <w:sz w:val="22"/>
          <w:szCs w:val="22"/>
          <w:u w:val="single"/>
        </w:rPr>
      </w:pPr>
      <w:r>
        <w:rPr>
          <w:rFonts w:ascii="Arial" w:hAnsi="Arial"/>
          <w:b/>
          <w:i/>
          <w:sz w:val="22"/>
          <w:szCs w:val="22"/>
          <w:u w:val="single"/>
        </w:rPr>
        <w:t>Public Service Delivery</w:t>
      </w:r>
    </w:p>
    <w:p w14:paraId="331539AE" w14:textId="12B09DD7" w:rsidR="00192955" w:rsidRDefault="00A9739A" w:rsidP="00EB743C">
      <w:pPr>
        <w:pStyle w:val="ListParagraph"/>
        <w:numPr>
          <w:ilvl w:val="0"/>
          <w:numId w:val="54"/>
        </w:numPr>
        <w:ind w:left="360"/>
        <w:jc w:val="both"/>
        <w:rPr>
          <w:rFonts w:ascii="Arial" w:hAnsi="Arial"/>
          <w:sz w:val="22"/>
          <w:szCs w:val="22"/>
        </w:rPr>
      </w:pPr>
      <w:r>
        <w:rPr>
          <w:rFonts w:ascii="Arial" w:hAnsi="Arial"/>
          <w:i/>
          <w:sz w:val="22"/>
          <w:szCs w:val="22"/>
        </w:rPr>
        <w:t>UPSDD</w:t>
      </w:r>
      <w:r w:rsidR="00192955" w:rsidRPr="002E394E">
        <w:rPr>
          <w:rFonts w:ascii="Arial" w:hAnsi="Arial"/>
          <w:i/>
          <w:sz w:val="22"/>
          <w:szCs w:val="22"/>
        </w:rPr>
        <w:t xml:space="preserve"> Full Implementation:</w:t>
      </w:r>
      <w:r w:rsidR="00192955" w:rsidRPr="002E394E">
        <w:rPr>
          <w:rFonts w:ascii="Arial" w:hAnsi="Arial"/>
          <w:sz w:val="22"/>
          <w:szCs w:val="22"/>
        </w:rPr>
        <w:t xml:space="preserve"> The UPSDD is designed and </w:t>
      </w:r>
      <w:r w:rsidR="00294C4E">
        <w:rPr>
          <w:rFonts w:ascii="Arial" w:hAnsi="Arial"/>
          <w:sz w:val="22"/>
          <w:szCs w:val="22"/>
        </w:rPr>
        <w:t xml:space="preserve">its components </w:t>
      </w:r>
      <w:r w:rsidR="00192955" w:rsidRPr="002E394E">
        <w:rPr>
          <w:rFonts w:ascii="Arial" w:hAnsi="Arial"/>
          <w:sz w:val="22"/>
          <w:szCs w:val="22"/>
        </w:rPr>
        <w:t>implemented in two pilot entities that provide servic</w:t>
      </w:r>
      <w:r w:rsidR="00FC55D5">
        <w:rPr>
          <w:rFonts w:ascii="Arial" w:hAnsi="Arial"/>
          <w:sz w:val="22"/>
          <w:szCs w:val="22"/>
        </w:rPr>
        <w:t>es Georgia-wide. The pilots are reportedly</w:t>
      </w:r>
      <w:r w:rsidR="00192955" w:rsidRPr="002E394E">
        <w:rPr>
          <w:rFonts w:ascii="Arial" w:hAnsi="Arial"/>
          <w:sz w:val="22"/>
          <w:szCs w:val="22"/>
        </w:rPr>
        <w:t xml:space="preserve"> success</w:t>
      </w:r>
      <w:r w:rsidR="00FC55D5">
        <w:rPr>
          <w:rFonts w:ascii="Arial" w:hAnsi="Arial"/>
          <w:sz w:val="22"/>
          <w:szCs w:val="22"/>
        </w:rPr>
        <w:t>ful. However, the standards are not yet</w:t>
      </w:r>
      <w:r w:rsidR="00192955" w:rsidRPr="002E394E">
        <w:rPr>
          <w:rFonts w:ascii="Arial" w:hAnsi="Arial"/>
          <w:sz w:val="22"/>
          <w:szCs w:val="22"/>
        </w:rPr>
        <w:t xml:space="preserve"> approved. </w:t>
      </w:r>
    </w:p>
    <w:p w14:paraId="4F7DCAE5" w14:textId="77777777" w:rsidR="002E394E" w:rsidRPr="002E394E" w:rsidRDefault="002E394E" w:rsidP="002E394E">
      <w:pPr>
        <w:jc w:val="both"/>
        <w:rPr>
          <w:rFonts w:ascii="Arial" w:hAnsi="Arial"/>
          <w:sz w:val="22"/>
          <w:szCs w:val="22"/>
        </w:rPr>
      </w:pPr>
    </w:p>
    <w:p w14:paraId="33952CE9" w14:textId="3B7B6F24" w:rsidR="005E7887" w:rsidRPr="00BF74B3" w:rsidRDefault="00192955" w:rsidP="005E7887">
      <w:pPr>
        <w:pStyle w:val="ListParagraph"/>
        <w:numPr>
          <w:ilvl w:val="0"/>
          <w:numId w:val="54"/>
        </w:numPr>
        <w:ind w:left="360"/>
        <w:jc w:val="both"/>
        <w:rPr>
          <w:rFonts w:ascii="Arial" w:hAnsi="Arial" w:cs="Arial"/>
          <w:sz w:val="22"/>
          <w:szCs w:val="22"/>
        </w:rPr>
      </w:pPr>
      <w:r w:rsidRPr="00BF74B3">
        <w:rPr>
          <w:rFonts w:ascii="Arial" w:hAnsi="Arial"/>
          <w:i/>
          <w:sz w:val="22"/>
          <w:szCs w:val="22"/>
        </w:rPr>
        <w:t>Monitoring of CSO Inp</w:t>
      </w:r>
      <w:r w:rsidR="00B06803" w:rsidRPr="00BF74B3">
        <w:rPr>
          <w:rFonts w:ascii="Arial" w:hAnsi="Arial"/>
          <w:i/>
          <w:sz w:val="22"/>
          <w:szCs w:val="22"/>
        </w:rPr>
        <w:t>ut and Fe</w:t>
      </w:r>
      <w:r w:rsidR="00FC55D5" w:rsidRPr="00BF74B3">
        <w:rPr>
          <w:rFonts w:ascii="Arial" w:hAnsi="Arial"/>
          <w:i/>
          <w:sz w:val="22"/>
          <w:szCs w:val="22"/>
        </w:rPr>
        <w:t>ed</w:t>
      </w:r>
      <w:r w:rsidR="00B06803" w:rsidRPr="00BF74B3">
        <w:rPr>
          <w:rFonts w:ascii="Arial" w:hAnsi="Arial"/>
          <w:i/>
          <w:sz w:val="22"/>
          <w:szCs w:val="22"/>
        </w:rPr>
        <w:t>back</w:t>
      </w:r>
      <w:r w:rsidRPr="00BF74B3">
        <w:rPr>
          <w:rFonts w:ascii="Arial" w:hAnsi="Arial"/>
          <w:i/>
          <w:sz w:val="22"/>
          <w:szCs w:val="22"/>
        </w:rPr>
        <w:t xml:space="preserve"> and Comparative Perception Survey Study:</w:t>
      </w:r>
      <w:r w:rsidR="00CB1D2C" w:rsidRPr="00BF74B3">
        <w:rPr>
          <w:rFonts w:ascii="Arial" w:hAnsi="Arial"/>
          <w:sz w:val="22"/>
          <w:szCs w:val="22"/>
        </w:rPr>
        <w:t xml:space="preserve"> Avenues were</w:t>
      </w:r>
      <w:r w:rsidRPr="00BF74B3">
        <w:rPr>
          <w:rFonts w:ascii="Arial" w:hAnsi="Arial"/>
          <w:sz w:val="22"/>
          <w:szCs w:val="22"/>
        </w:rPr>
        <w:t xml:space="preserve"> built and capacities developed through various project interventions to allow for CSO input and feedback. During the next phase of the project, such input and feedback should be monitored to measure if CSOs interests are being considered. Also, the project has supported 3 public and civil servant perception surveys. </w:t>
      </w:r>
      <w:r w:rsidR="00BF74B3" w:rsidRPr="005E7887">
        <w:rPr>
          <w:rFonts w:ascii="Arial" w:hAnsi="Arial"/>
          <w:sz w:val="22"/>
          <w:szCs w:val="22"/>
        </w:rPr>
        <w:t>The survey results should be information inputs</w:t>
      </w:r>
      <w:r w:rsidR="00BF74B3">
        <w:rPr>
          <w:rFonts w:ascii="Arial" w:hAnsi="Arial"/>
          <w:sz w:val="22"/>
          <w:szCs w:val="22"/>
        </w:rPr>
        <w:t xml:space="preserve"> to the </w:t>
      </w:r>
      <w:proofErr w:type="spellStart"/>
      <w:r w:rsidR="00BF74B3">
        <w:rPr>
          <w:rFonts w:ascii="Arial" w:hAnsi="Arial"/>
          <w:sz w:val="22"/>
          <w:szCs w:val="22"/>
        </w:rPr>
        <w:t>AoG</w:t>
      </w:r>
      <w:proofErr w:type="spellEnd"/>
      <w:r w:rsidR="00BF74B3">
        <w:rPr>
          <w:rFonts w:ascii="Arial" w:hAnsi="Arial"/>
          <w:sz w:val="22"/>
          <w:szCs w:val="22"/>
        </w:rPr>
        <w:t xml:space="preserve">, CSB, PSDA, DGA, </w:t>
      </w:r>
      <w:r w:rsidR="00BF74B3" w:rsidRPr="005E7887">
        <w:rPr>
          <w:rFonts w:ascii="Arial" w:hAnsi="Arial"/>
          <w:sz w:val="22"/>
          <w:szCs w:val="22"/>
        </w:rPr>
        <w:t>PAR development partners</w:t>
      </w:r>
      <w:r w:rsidR="00BF74B3">
        <w:rPr>
          <w:rFonts w:ascii="Arial" w:hAnsi="Arial"/>
          <w:sz w:val="22"/>
          <w:szCs w:val="22"/>
        </w:rPr>
        <w:t>, and the project team to help advance PAR.</w:t>
      </w:r>
      <w:r w:rsidR="00BF74B3">
        <w:rPr>
          <w:rFonts w:ascii="Arial" w:hAnsi="Arial" w:cs="Arial"/>
          <w:sz w:val="22"/>
          <w:szCs w:val="22"/>
        </w:rPr>
        <w:t xml:space="preserve"> </w:t>
      </w:r>
      <w:r w:rsidR="008E2BF2" w:rsidRPr="00BF74B3">
        <w:rPr>
          <w:rFonts w:ascii="Arial" w:hAnsi="Arial"/>
          <w:sz w:val="22"/>
          <w:szCs w:val="22"/>
        </w:rPr>
        <w:t>There c</w:t>
      </w:r>
      <w:r w:rsidRPr="00BF74B3">
        <w:rPr>
          <w:rFonts w:ascii="Arial" w:hAnsi="Arial"/>
          <w:sz w:val="22"/>
          <w:szCs w:val="22"/>
        </w:rPr>
        <w:t>ould be a comparative assessment of the surveys’ findings to show how perceptions have changed over the years and what areas need</w:t>
      </w:r>
      <w:r w:rsidR="00923AA7">
        <w:rPr>
          <w:rFonts w:ascii="Arial" w:hAnsi="Arial"/>
          <w:sz w:val="22"/>
          <w:szCs w:val="22"/>
        </w:rPr>
        <w:t xml:space="preserve"> further attention</w:t>
      </w:r>
      <w:r w:rsidRPr="00BF74B3">
        <w:rPr>
          <w:rFonts w:ascii="Arial" w:hAnsi="Arial"/>
          <w:sz w:val="22"/>
          <w:szCs w:val="22"/>
        </w:rPr>
        <w:t xml:space="preserve">. </w:t>
      </w:r>
      <w:r w:rsidR="00BF74B3">
        <w:rPr>
          <w:rFonts w:ascii="Arial" w:hAnsi="Arial"/>
          <w:sz w:val="22"/>
          <w:szCs w:val="22"/>
        </w:rPr>
        <w:t>If data is not comparable between the surveys, any future surveys should have a survey framework that will provide for comparative data assessment.</w:t>
      </w:r>
    </w:p>
    <w:p w14:paraId="3A83FC03" w14:textId="77777777" w:rsidR="00BF74B3" w:rsidRPr="00BF74B3" w:rsidRDefault="00BF74B3" w:rsidP="00BF74B3">
      <w:pPr>
        <w:jc w:val="both"/>
        <w:rPr>
          <w:rFonts w:ascii="Arial" w:hAnsi="Arial" w:cs="Arial"/>
          <w:sz w:val="22"/>
          <w:szCs w:val="22"/>
        </w:rPr>
      </w:pPr>
    </w:p>
    <w:p w14:paraId="616DEC32" w14:textId="4A9A1040" w:rsidR="002E394E" w:rsidRDefault="002E394E" w:rsidP="002E394E">
      <w:pPr>
        <w:jc w:val="both"/>
        <w:rPr>
          <w:rFonts w:ascii="Arial" w:hAnsi="Arial"/>
          <w:sz w:val="22"/>
          <w:szCs w:val="22"/>
        </w:rPr>
      </w:pPr>
      <w:r>
        <w:rPr>
          <w:rFonts w:ascii="Arial" w:hAnsi="Arial"/>
          <w:sz w:val="22"/>
          <w:szCs w:val="22"/>
        </w:rPr>
        <w:t xml:space="preserve">The following are a set of recommendations to help move the PAR effort forward. Any </w:t>
      </w:r>
      <w:r w:rsidR="00CB1D2C">
        <w:rPr>
          <w:rFonts w:ascii="Arial" w:hAnsi="Arial"/>
          <w:sz w:val="22"/>
          <w:szCs w:val="22"/>
        </w:rPr>
        <w:t xml:space="preserve">future </w:t>
      </w:r>
      <w:r>
        <w:rPr>
          <w:rFonts w:ascii="Arial" w:hAnsi="Arial"/>
          <w:sz w:val="22"/>
          <w:szCs w:val="22"/>
        </w:rPr>
        <w:t>intervention</w:t>
      </w:r>
      <w:r w:rsidR="00923AA7">
        <w:rPr>
          <w:rFonts w:ascii="Arial" w:hAnsi="Arial"/>
          <w:sz w:val="22"/>
          <w:szCs w:val="22"/>
        </w:rPr>
        <w:t>s need</w:t>
      </w:r>
      <w:r>
        <w:rPr>
          <w:rFonts w:ascii="Arial" w:hAnsi="Arial"/>
          <w:sz w:val="22"/>
          <w:szCs w:val="22"/>
        </w:rPr>
        <w:t xml:space="preserve"> to be fully align</w:t>
      </w:r>
      <w:r w:rsidR="00923AA7">
        <w:rPr>
          <w:rFonts w:ascii="Arial" w:hAnsi="Arial"/>
          <w:sz w:val="22"/>
          <w:szCs w:val="22"/>
        </w:rPr>
        <w:t>ed with the PAR Roadmap</w:t>
      </w:r>
      <w:r>
        <w:rPr>
          <w:rFonts w:ascii="Arial" w:hAnsi="Arial"/>
          <w:sz w:val="22"/>
          <w:szCs w:val="22"/>
        </w:rPr>
        <w:t xml:space="preserve"> now under development. </w:t>
      </w:r>
    </w:p>
    <w:p w14:paraId="510B2DB4" w14:textId="77777777" w:rsidR="002E394E" w:rsidRDefault="002E394E" w:rsidP="002E394E">
      <w:pPr>
        <w:jc w:val="both"/>
        <w:rPr>
          <w:rFonts w:ascii="Arial" w:hAnsi="Arial"/>
          <w:sz w:val="22"/>
          <w:szCs w:val="22"/>
        </w:rPr>
      </w:pPr>
    </w:p>
    <w:p w14:paraId="0717DD2C" w14:textId="3A5CB5A0" w:rsidR="002E394E" w:rsidRPr="002E394E" w:rsidRDefault="002E394E" w:rsidP="00EB743C">
      <w:pPr>
        <w:pStyle w:val="ListParagraph"/>
        <w:numPr>
          <w:ilvl w:val="0"/>
          <w:numId w:val="55"/>
        </w:numPr>
        <w:ind w:left="360"/>
        <w:jc w:val="both"/>
        <w:rPr>
          <w:rFonts w:ascii="Arial" w:hAnsi="Arial"/>
          <w:sz w:val="22"/>
          <w:szCs w:val="22"/>
        </w:rPr>
      </w:pPr>
      <w:r w:rsidRPr="002E394E">
        <w:rPr>
          <w:rFonts w:ascii="Arial" w:hAnsi="Arial"/>
          <w:i/>
          <w:sz w:val="22"/>
          <w:szCs w:val="22"/>
        </w:rPr>
        <w:t>Leadership and Ownership of the of PAR Process:</w:t>
      </w:r>
      <w:r w:rsidRPr="002E394E">
        <w:rPr>
          <w:rFonts w:ascii="Arial" w:hAnsi="Arial"/>
          <w:sz w:val="22"/>
          <w:szCs w:val="22"/>
        </w:rPr>
        <w:t xml:space="preserve"> The project, development partners as well as actions by the </w:t>
      </w:r>
      <w:proofErr w:type="spellStart"/>
      <w:r w:rsidRPr="002E394E">
        <w:rPr>
          <w:rFonts w:ascii="Arial" w:hAnsi="Arial"/>
          <w:sz w:val="22"/>
          <w:szCs w:val="22"/>
        </w:rPr>
        <w:t>GoG</w:t>
      </w:r>
      <w:proofErr w:type="spellEnd"/>
      <w:r w:rsidRPr="002E394E">
        <w:rPr>
          <w:rFonts w:ascii="Arial" w:hAnsi="Arial"/>
          <w:sz w:val="22"/>
          <w:szCs w:val="22"/>
        </w:rPr>
        <w:t xml:space="preserve"> itself show that PAR leadership and ownership are with the </w:t>
      </w:r>
      <w:proofErr w:type="spellStart"/>
      <w:r w:rsidRPr="002E394E">
        <w:rPr>
          <w:rFonts w:ascii="Arial" w:hAnsi="Arial"/>
          <w:sz w:val="22"/>
          <w:szCs w:val="22"/>
        </w:rPr>
        <w:t>GoG</w:t>
      </w:r>
      <w:proofErr w:type="spellEnd"/>
      <w:r w:rsidRPr="002E394E">
        <w:rPr>
          <w:rFonts w:ascii="Arial" w:hAnsi="Arial"/>
          <w:sz w:val="22"/>
          <w:szCs w:val="22"/>
        </w:rPr>
        <w:t xml:space="preserve">. While the support and advancement may not have been as consistent as initially envisioned, despite a changing environment PAR continues to advance. Development partner support will remain crucial to help advance the reforms. The PAR Roadmap, currently under development, will help to set the direction for further interventions. The </w:t>
      </w:r>
      <w:r w:rsidRPr="002E394E">
        <w:rPr>
          <w:rFonts w:ascii="Arial" w:hAnsi="Arial"/>
          <w:sz w:val="22"/>
          <w:szCs w:val="22"/>
        </w:rPr>
        <w:lastRenderedPageBreak/>
        <w:t xml:space="preserve">project was well placed as a catalytic actor that helped to advance change in a constructive, collaborative and results-oriented manner. While </w:t>
      </w:r>
      <w:r w:rsidR="00CB1D2C">
        <w:rPr>
          <w:rFonts w:ascii="Arial" w:hAnsi="Arial"/>
          <w:sz w:val="22"/>
          <w:szCs w:val="22"/>
        </w:rPr>
        <w:t xml:space="preserve">external </w:t>
      </w:r>
      <w:r w:rsidRPr="002E394E">
        <w:rPr>
          <w:rFonts w:ascii="Arial" w:hAnsi="Arial"/>
          <w:sz w:val="22"/>
          <w:szCs w:val="22"/>
        </w:rPr>
        <w:t xml:space="preserve">support (leadership, personnel, finance resources) must be provided to those entities responsible, such support should be carefully gauged and planned out so that there is a clear transition from any future project support to </w:t>
      </w:r>
      <w:r w:rsidR="00B06803">
        <w:rPr>
          <w:rFonts w:ascii="Arial" w:hAnsi="Arial"/>
          <w:sz w:val="22"/>
          <w:szCs w:val="22"/>
        </w:rPr>
        <w:t xml:space="preserve">the </w:t>
      </w:r>
      <w:proofErr w:type="spellStart"/>
      <w:r w:rsidR="00B06803">
        <w:rPr>
          <w:rFonts w:ascii="Arial" w:hAnsi="Arial"/>
          <w:sz w:val="22"/>
          <w:szCs w:val="22"/>
        </w:rPr>
        <w:t>GoG</w:t>
      </w:r>
      <w:proofErr w:type="spellEnd"/>
      <w:r w:rsidRPr="002E394E">
        <w:rPr>
          <w:rFonts w:ascii="Arial" w:hAnsi="Arial"/>
          <w:sz w:val="22"/>
          <w:szCs w:val="22"/>
        </w:rPr>
        <w:t>. Such transition should account for leadership, personnel and financial resources to take on the roles and responsibilities developed.</w:t>
      </w:r>
    </w:p>
    <w:p w14:paraId="2F7B4153" w14:textId="77777777" w:rsidR="002E394E" w:rsidRPr="00F80555" w:rsidRDefault="002E394E" w:rsidP="002E394E">
      <w:pPr>
        <w:jc w:val="both"/>
        <w:rPr>
          <w:rFonts w:ascii="Arial" w:hAnsi="Arial"/>
          <w:sz w:val="22"/>
          <w:szCs w:val="22"/>
        </w:rPr>
      </w:pPr>
    </w:p>
    <w:p w14:paraId="75B1A83A" w14:textId="24A1C214" w:rsidR="002E394E" w:rsidRPr="00E8321B" w:rsidRDefault="002E394E" w:rsidP="00EB743C">
      <w:pPr>
        <w:pStyle w:val="ListParagraph"/>
        <w:numPr>
          <w:ilvl w:val="0"/>
          <w:numId w:val="55"/>
        </w:numPr>
        <w:ind w:left="360"/>
        <w:jc w:val="both"/>
        <w:rPr>
          <w:rFonts w:ascii="Arial" w:hAnsi="Arial"/>
          <w:sz w:val="22"/>
          <w:szCs w:val="22"/>
        </w:rPr>
      </w:pPr>
      <w:r w:rsidRPr="002E394E">
        <w:rPr>
          <w:rFonts w:ascii="Arial" w:hAnsi="Arial"/>
          <w:i/>
          <w:sz w:val="22"/>
          <w:szCs w:val="22"/>
        </w:rPr>
        <w:t>Developing Linkages Within and Between PAR Components:</w:t>
      </w:r>
      <w:r w:rsidRPr="002E394E">
        <w:rPr>
          <w:rFonts w:ascii="Arial" w:hAnsi="Arial"/>
          <w:sz w:val="22"/>
          <w:szCs w:val="22"/>
        </w:rPr>
        <w:t xml:space="preserve"> The project has</w:t>
      </w:r>
      <w:r w:rsidR="00B06803">
        <w:rPr>
          <w:rFonts w:ascii="Arial" w:hAnsi="Arial"/>
          <w:sz w:val="22"/>
          <w:szCs w:val="22"/>
        </w:rPr>
        <w:t xml:space="preserve"> developed</w:t>
      </w:r>
      <w:r w:rsidRPr="002E394E">
        <w:rPr>
          <w:rFonts w:ascii="Arial" w:hAnsi="Arial"/>
          <w:sz w:val="22"/>
          <w:szCs w:val="22"/>
        </w:rPr>
        <w:t xml:space="preserve"> different systems and approaches within each of the outcome areas. Toward project end, these components began to be linked. Examples are the policy planning, monitoring and evaluation process and methodology; performance appraisal and human resource development planning; and public service assessment and standard setting to upgrade public services. For the next PAR phase, such cooperation and collaboration should be sought at </w:t>
      </w:r>
      <w:r w:rsidRPr="00E8321B">
        <w:rPr>
          <w:rFonts w:ascii="Arial" w:hAnsi="Arial"/>
          <w:sz w:val="22"/>
          <w:szCs w:val="22"/>
        </w:rPr>
        <w:t>the beginning of intervention planning rather than towards the end. Such collab</w:t>
      </w:r>
      <w:r w:rsidR="00B06803" w:rsidRPr="00E8321B">
        <w:rPr>
          <w:rFonts w:ascii="Arial" w:hAnsi="Arial"/>
          <w:sz w:val="22"/>
          <w:szCs w:val="22"/>
        </w:rPr>
        <w:t>oration</w:t>
      </w:r>
      <w:r w:rsidRPr="00E8321B">
        <w:rPr>
          <w:rFonts w:ascii="Arial" w:hAnsi="Arial"/>
          <w:sz w:val="22"/>
          <w:szCs w:val="22"/>
        </w:rPr>
        <w:t xml:space="preserve"> will provide more </w:t>
      </w:r>
      <w:proofErr w:type="spellStart"/>
      <w:r w:rsidRPr="00E8321B">
        <w:rPr>
          <w:rFonts w:ascii="Arial" w:hAnsi="Arial"/>
          <w:sz w:val="22"/>
          <w:szCs w:val="22"/>
        </w:rPr>
        <w:t>GoG</w:t>
      </w:r>
      <w:proofErr w:type="spellEnd"/>
      <w:r w:rsidRPr="00E8321B">
        <w:rPr>
          <w:rFonts w:ascii="Arial" w:hAnsi="Arial"/>
          <w:sz w:val="22"/>
          <w:szCs w:val="22"/>
        </w:rPr>
        <w:t xml:space="preserve"> ownership and help to implement at a more rapid pace.</w:t>
      </w:r>
    </w:p>
    <w:p w14:paraId="3B8FB36E" w14:textId="77777777" w:rsidR="002E394E" w:rsidRPr="00E8321B" w:rsidRDefault="002E394E" w:rsidP="002E394E">
      <w:pPr>
        <w:jc w:val="both"/>
        <w:rPr>
          <w:rFonts w:ascii="Arial" w:hAnsi="Arial"/>
          <w:sz w:val="22"/>
          <w:szCs w:val="22"/>
        </w:rPr>
      </w:pPr>
    </w:p>
    <w:p w14:paraId="3886577A" w14:textId="4AE8272F" w:rsidR="002E394E" w:rsidRPr="00E8321B" w:rsidRDefault="002E394E" w:rsidP="00EB743C">
      <w:pPr>
        <w:pStyle w:val="ListParagraph"/>
        <w:numPr>
          <w:ilvl w:val="0"/>
          <w:numId w:val="55"/>
        </w:numPr>
        <w:ind w:left="360"/>
        <w:jc w:val="both"/>
        <w:rPr>
          <w:rFonts w:ascii="Arial" w:hAnsi="Arial"/>
          <w:sz w:val="22"/>
        </w:rPr>
      </w:pPr>
      <w:r w:rsidRPr="00E8321B">
        <w:rPr>
          <w:rFonts w:ascii="Arial" w:hAnsi="Arial"/>
          <w:i/>
          <w:sz w:val="22"/>
        </w:rPr>
        <w:t>Medium Term Depth and Breadth of PAR:</w:t>
      </w:r>
      <w:r w:rsidRPr="00E8321B">
        <w:rPr>
          <w:rFonts w:ascii="Arial" w:hAnsi="Arial"/>
          <w:sz w:val="22"/>
        </w:rPr>
        <w:t xml:space="preserve"> Applying PAR government-wide takes time and cycles of activity. The legal/regulatory framework is mostly in place. At this time, various reform areas have been addressed with components in place or at least piloted. The challenge now is to keep on conforming to the legal/regulatory framework and applying the requirements by using these methodologies, systems and processes developed. This will take time and attention of the political leadership as well as all levels of the civil service. There will also be trial and error. Public feedback should be a key ingredient and some advancement has been made to allow it to happen as well as shows how feedback can actually support policy making and service delivery. Two issues remain outstanding. </w:t>
      </w:r>
    </w:p>
    <w:p w14:paraId="14D6B705" w14:textId="77777777" w:rsidR="002E394E" w:rsidRPr="00E8321B" w:rsidRDefault="002E394E" w:rsidP="002E394E">
      <w:pPr>
        <w:ind w:left="360"/>
        <w:jc w:val="both"/>
        <w:rPr>
          <w:rFonts w:ascii="Arial" w:hAnsi="Arial"/>
          <w:sz w:val="22"/>
        </w:rPr>
      </w:pPr>
    </w:p>
    <w:p w14:paraId="0C37EA2D" w14:textId="70EA20D8" w:rsidR="002E394E" w:rsidRPr="00E8321B" w:rsidRDefault="002E394E" w:rsidP="002E394E">
      <w:pPr>
        <w:ind w:left="360"/>
        <w:jc w:val="both"/>
        <w:rPr>
          <w:rFonts w:ascii="Arial" w:hAnsi="Arial"/>
          <w:sz w:val="22"/>
        </w:rPr>
      </w:pPr>
      <w:r w:rsidRPr="00E8321B">
        <w:rPr>
          <w:rFonts w:ascii="Arial" w:hAnsi="Arial"/>
          <w:sz w:val="22"/>
        </w:rPr>
        <w:t>First, while there have been advances on a professional and merit-based civil service, the question of “independence” still lingers. Changes in government over the project’s timeframe and the public and civil serv</w:t>
      </w:r>
      <w:r w:rsidR="00B06803" w:rsidRPr="00E8321B">
        <w:rPr>
          <w:rFonts w:ascii="Arial" w:hAnsi="Arial"/>
          <w:sz w:val="22"/>
        </w:rPr>
        <w:t>ant perception of independence keeps it</w:t>
      </w:r>
      <w:r w:rsidRPr="00E8321B">
        <w:rPr>
          <w:rFonts w:ascii="Arial" w:hAnsi="Arial"/>
          <w:sz w:val="22"/>
        </w:rPr>
        <w:t xml:space="preserve"> as a front burner issue. </w:t>
      </w:r>
      <w:r w:rsidR="00B024AD" w:rsidRPr="00E8321B">
        <w:rPr>
          <w:rFonts w:ascii="Arial" w:hAnsi="Arial"/>
          <w:sz w:val="22"/>
          <w:szCs w:val="22"/>
        </w:rPr>
        <w:t>Attention is need</w:t>
      </w:r>
      <w:r w:rsidR="00E23DEE" w:rsidRPr="00E8321B">
        <w:rPr>
          <w:rFonts w:ascii="Arial" w:hAnsi="Arial"/>
          <w:sz w:val="22"/>
          <w:szCs w:val="22"/>
        </w:rPr>
        <w:t>ed so that civil servant independ</w:t>
      </w:r>
      <w:r w:rsidR="00B024AD" w:rsidRPr="00E8321B">
        <w:rPr>
          <w:rFonts w:ascii="Arial" w:hAnsi="Arial"/>
          <w:sz w:val="22"/>
          <w:szCs w:val="22"/>
        </w:rPr>
        <w:t>ence continues to be pursued.</w:t>
      </w:r>
    </w:p>
    <w:p w14:paraId="581F6C08" w14:textId="77777777" w:rsidR="002E394E" w:rsidRPr="00E8321B" w:rsidRDefault="002E394E" w:rsidP="002E394E">
      <w:pPr>
        <w:ind w:left="360"/>
        <w:jc w:val="both"/>
        <w:rPr>
          <w:rFonts w:ascii="Arial" w:hAnsi="Arial"/>
          <w:sz w:val="22"/>
        </w:rPr>
      </w:pPr>
    </w:p>
    <w:p w14:paraId="488044C6" w14:textId="56C64583" w:rsidR="002E394E" w:rsidRPr="00E8321B" w:rsidRDefault="002E394E" w:rsidP="002E394E">
      <w:pPr>
        <w:ind w:left="360"/>
        <w:jc w:val="both"/>
        <w:rPr>
          <w:rFonts w:ascii="Arial" w:hAnsi="Arial"/>
          <w:sz w:val="22"/>
          <w:szCs w:val="22"/>
        </w:rPr>
      </w:pPr>
      <w:r w:rsidRPr="00E8321B">
        <w:rPr>
          <w:rFonts w:ascii="Arial" w:hAnsi="Arial"/>
          <w:sz w:val="22"/>
        </w:rPr>
        <w:t xml:space="preserve">Second, the status of LEPLs </w:t>
      </w:r>
      <w:r w:rsidR="00923AA7" w:rsidRPr="00E8321B">
        <w:rPr>
          <w:rFonts w:ascii="Arial" w:hAnsi="Arial"/>
          <w:sz w:val="22"/>
        </w:rPr>
        <w:t xml:space="preserve">is an issue. </w:t>
      </w:r>
      <w:r w:rsidRPr="00E8321B">
        <w:rPr>
          <w:rFonts w:ascii="Arial" w:hAnsi="Arial"/>
          <w:sz w:val="22"/>
        </w:rPr>
        <w:t xml:space="preserve">Though not an output area for the project, the project has had to work with LEPLs as stakeholders as well as participants in project activities. While PAR is being undertaken, LEPLs seem to be treated differently and there are similarities and dissimilarities between LEPLs themselves. If the </w:t>
      </w:r>
      <w:proofErr w:type="spellStart"/>
      <w:r w:rsidRPr="00E8321B">
        <w:rPr>
          <w:rFonts w:ascii="Arial" w:hAnsi="Arial"/>
          <w:sz w:val="22"/>
        </w:rPr>
        <w:t>GoG</w:t>
      </w:r>
      <w:proofErr w:type="spellEnd"/>
      <w:r w:rsidRPr="00E8321B">
        <w:rPr>
          <w:rFonts w:ascii="Arial" w:hAnsi="Arial"/>
          <w:sz w:val="22"/>
        </w:rPr>
        <w:t xml:space="preserve"> is truly interested in PAR, such rules, regulations, etc., should be applied equally and across government. Currently, LEPLs operate in a different manner than line ministries and agencies yet also provide public services and help to administer the state. The current approach creates distortions for all of PAR.</w:t>
      </w:r>
      <w:r w:rsidR="00E23DEE" w:rsidRPr="00E8321B">
        <w:rPr>
          <w:rFonts w:ascii="Arial" w:hAnsi="Arial"/>
          <w:sz w:val="22"/>
          <w:szCs w:val="22"/>
        </w:rPr>
        <w:t xml:space="preserve"> The LEPL situation needs to be addressed so there is more conformity with the public administration framework, </w:t>
      </w:r>
      <w:r w:rsidR="00B4374E" w:rsidRPr="00E8321B">
        <w:rPr>
          <w:rFonts w:ascii="Arial" w:hAnsi="Arial"/>
          <w:sz w:val="22"/>
          <w:szCs w:val="22"/>
        </w:rPr>
        <w:t>laws,</w:t>
      </w:r>
      <w:r w:rsidR="00E23DEE" w:rsidRPr="00E8321B">
        <w:rPr>
          <w:rFonts w:ascii="Arial" w:hAnsi="Arial"/>
          <w:sz w:val="22"/>
          <w:szCs w:val="22"/>
        </w:rPr>
        <w:t xml:space="preserve"> and policies.</w:t>
      </w:r>
    </w:p>
    <w:p w14:paraId="7BDB3FE9" w14:textId="77777777" w:rsidR="002E394E" w:rsidRPr="00E8321B" w:rsidRDefault="002E394E" w:rsidP="002E394E">
      <w:pPr>
        <w:jc w:val="both"/>
        <w:rPr>
          <w:rFonts w:ascii="Arial" w:hAnsi="Arial"/>
          <w:sz w:val="22"/>
          <w:szCs w:val="22"/>
        </w:rPr>
      </w:pPr>
    </w:p>
    <w:p w14:paraId="6E67F512" w14:textId="67287D90" w:rsidR="002E394E" w:rsidRPr="002E394E" w:rsidRDefault="002E394E" w:rsidP="00EB743C">
      <w:pPr>
        <w:pStyle w:val="ListParagraph"/>
        <w:numPr>
          <w:ilvl w:val="0"/>
          <w:numId w:val="55"/>
        </w:numPr>
        <w:ind w:left="360"/>
        <w:jc w:val="both"/>
        <w:rPr>
          <w:rFonts w:ascii="Arial" w:hAnsi="Arial"/>
          <w:sz w:val="22"/>
          <w:szCs w:val="22"/>
        </w:rPr>
      </w:pPr>
      <w:r w:rsidRPr="00E8321B">
        <w:rPr>
          <w:rFonts w:ascii="Arial" w:hAnsi="Arial"/>
          <w:i/>
          <w:sz w:val="22"/>
          <w:szCs w:val="22"/>
        </w:rPr>
        <w:t>Human Rights-Based PAR</w:t>
      </w:r>
      <w:r w:rsidR="00923AA7" w:rsidRPr="00E8321B">
        <w:rPr>
          <w:rFonts w:ascii="Arial" w:hAnsi="Arial"/>
          <w:i/>
          <w:sz w:val="22"/>
          <w:szCs w:val="22"/>
        </w:rPr>
        <w:t xml:space="preserve"> -</w:t>
      </w:r>
      <w:r w:rsidRPr="00E8321B">
        <w:rPr>
          <w:rFonts w:ascii="Arial" w:hAnsi="Arial"/>
          <w:i/>
          <w:sz w:val="22"/>
          <w:szCs w:val="22"/>
        </w:rPr>
        <w:t xml:space="preserve"> Addressing Gender, Various Community Needs and Civil Society Input:</w:t>
      </w:r>
      <w:r w:rsidRPr="00E8321B">
        <w:rPr>
          <w:rFonts w:ascii="Arial" w:hAnsi="Arial"/>
          <w:sz w:val="22"/>
          <w:szCs w:val="22"/>
        </w:rPr>
        <w:t xml:space="preserve"> The project has made significant gains to help streamline and implement a human rights-based PAR. Though it is in the early stage to tell the impact, some of the tools have been developed as well as avenues opened to allow for civil society input and feedback. For the next round of the PAR Roadmap, it is reported that this focus will continue</w:t>
      </w:r>
      <w:r w:rsidR="00BF74B3" w:rsidRPr="00E8321B">
        <w:rPr>
          <w:rFonts w:ascii="Arial" w:hAnsi="Arial"/>
          <w:sz w:val="22"/>
          <w:szCs w:val="22"/>
        </w:rPr>
        <w:t xml:space="preserve"> and will be designed into the Roadmap. </w:t>
      </w:r>
      <w:proofErr w:type="gramStart"/>
      <w:r w:rsidR="00BF74B3" w:rsidRPr="00E8321B">
        <w:rPr>
          <w:rFonts w:ascii="Arial" w:hAnsi="Arial"/>
          <w:sz w:val="22"/>
          <w:szCs w:val="22"/>
        </w:rPr>
        <w:t>Also</w:t>
      </w:r>
      <w:proofErr w:type="gramEnd"/>
      <w:r w:rsidR="00BF74B3" w:rsidRPr="00E8321B">
        <w:rPr>
          <w:rFonts w:ascii="Arial" w:hAnsi="Arial"/>
          <w:sz w:val="22"/>
          <w:szCs w:val="22"/>
        </w:rPr>
        <w:t xml:space="preserve"> a human rights-</w:t>
      </w:r>
      <w:r w:rsidR="00BF74B3">
        <w:rPr>
          <w:rFonts w:ascii="Arial" w:hAnsi="Arial"/>
          <w:sz w:val="22"/>
          <w:szCs w:val="22"/>
        </w:rPr>
        <w:t xml:space="preserve">based approach, including addressing SDGs, should be part of national sector and institution strategies as it is required according to the policy planning handbook. Such inclusion should be monitored to ensure </w:t>
      </w:r>
      <w:r w:rsidR="00BF74B3">
        <w:rPr>
          <w:rFonts w:ascii="Arial" w:hAnsi="Arial"/>
          <w:sz w:val="22"/>
          <w:szCs w:val="22"/>
        </w:rPr>
        <w:lastRenderedPageBreak/>
        <w:t>the prioritization continues</w:t>
      </w:r>
      <w:r w:rsidRPr="002E394E">
        <w:rPr>
          <w:rFonts w:ascii="Arial" w:hAnsi="Arial"/>
          <w:sz w:val="22"/>
          <w:szCs w:val="22"/>
        </w:rPr>
        <w:t xml:space="preserve">. </w:t>
      </w:r>
      <w:r>
        <w:rPr>
          <w:rFonts w:ascii="Arial" w:hAnsi="Arial"/>
          <w:sz w:val="22"/>
          <w:szCs w:val="22"/>
        </w:rPr>
        <w:t>While</w:t>
      </w:r>
      <w:r w:rsidRPr="002E394E">
        <w:rPr>
          <w:rFonts w:ascii="Arial" w:hAnsi="Arial"/>
          <w:sz w:val="22"/>
          <w:szCs w:val="22"/>
        </w:rPr>
        <w:t xml:space="preserve"> advances have been made, the human rights emphasis needs to continue. Implementation is always challenging and attention can be refocused elsewhere. For the next </w:t>
      </w:r>
      <w:r w:rsidR="00C87B8F">
        <w:rPr>
          <w:rFonts w:ascii="Arial" w:hAnsi="Arial"/>
          <w:sz w:val="22"/>
          <w:szCs w:val="22"/>
        </w:rPr>
        <w:t>project phase</w:t>
      </w:r>
      <w:r w:rsidRPr="002E394E">
        <w:rPr>
          <w:rFonts w:ascii="Arial" w:hAnsi="Arial"/>
          <w:sz w:val="22"/>
          <w:szCs w:val="22"/>
        </w:rPr>
        <w:t>, indicators should be identified at the beginning along w</w:t>
      </w:r>
      <w:r w:rsidR="00923AA7">
        <w:rPr>
          <w:rFonts w:ascii="Arial" w:hAnsi="Arial"/>
          <w:sz w:val="22"/>
          <w:szCs w:val="22"/>
        </w:rPr>
        <w:t>ith collection modalities so</w:t>
      </w:r>
      <w:r w:rsidRPr="002E394E">
        <w:rPr>
          <w:rFonts w:ascii="Arial" w:hAnsi="Arial"/>
          <w:sz w:val="22"/>
          <w:szCs w:val="22"/>
        </w:rPr>
        <w:t xml:space="preserve"> impact</w:t>
      </w:r>
      <w:r w:rsidR="00923AA7">
        <w:rPr>
          <w:rFonts w:ascii="Arial" w:hAnsi="Arial"/>
          <w:sz w:val="22"/>
          <w:szCs w:val="22"/>
        </w:rPr>
        <w:t>s</w:t>
      </w:r>
      <w:r w:rsidRPr="002E394E">
        <w:rPr>
          <w:rFonts w:ascii="Arial" w:hAnsi="Arial"/>
          <w:sz w:val="22"/>
          <w:szCs w:val="22"/>
        </w:rPr>
        <w:t xml:space="preserve"> can be better measured. There should be constant </w:t>
      </w:r>
      <w:r w:rsidR="00923AA7">
        <w:rPr>
          <w:rFonts w:ascii="Arial" w:hAnsi="Arial"/>
          <w:sz w:val="22"/>
          <w:szCs w:val="22"/>
        </w:rPr>
        <w:t xml:space="preserve">indicator monitoring to make sure </w:t>
      </w:r>
      <w:r w:rsidRPr="002E394E">
        <w:rPr>
          <w:rFonts w:ascii="Arial" w:hAnsi="Arial"/>
          <w:sz w:val="22"/>
          <w:szCs w:val="22"/>
        </w:rPr>
        <w:t>appropriat</w:t>
      </w:r>
      <w:r w:rsidR="00923AA7">
        <w:rPr>
          <w:rFonts w:ascii="Arial" w:hAnsi="Arial"/>
          <w:sz w:val="22"/>
          <w:szCs w:val="22"/>
        </w:rPr>
        <w:t xml:space="preserve">e feedback is being provided by </w:t>
      </w:r>
      <w:r w:rsidRPr="002E394E">
        <w:rPr>
          <w:rFonts w:ascii="Arial" w:hAnsi="Arial"/>
          <w:sz w:val="22"/>
          <w:szCs w:val="22"/>
        </w:rPr>
        <w:t>civ</w:t>
      </w:r>
      <w:r w:rsidR="00B06803">
        <w:rPr>
          <w:rFonts w:ascii="Arial" w:hAnsi="Arial"/>
          <w:sz w:val="22"/>
          <w:szCs w:val="22"/>
        </w:rPr>
        <w:t>il society</w:t>
      </w:r>
      <w:r w:rsidRPr="002E394E">
        <w:rPr>
          <w:rFonts w:ascii="Arial" w:hAnsi="Arial"/>
          <w:sz w:val="22"/>
          <w:szCs w:val="22"/>
        </w:rPr>
        <w:t>.</w:t>
      </w:r>
    </w:p>
    <w:p w14:paraId="2531B7CA" w14:textId="77777777" w:rsidR="002E394E" w:rsidRDefault="002E394E" w:rsidP="002E394E">
      <w:pPr>
        <w:jc w:val="both"/>
        <w:rPr>
          <w:rFonts w:ascii="Arial" w:hAnsi="Arial"/>
          <w:sz w:val="22"/>
          <w:szCs w:val="22"/>
        </w:rPr>
      </w:pPr>
    </w:p>
    <w:p w14:paraId="7F648AC8" w14:textId="75BEC022" w:rsidR="002E394E" w:rsidRDefault="002E394E" w:rsidP="00EB743C">
      <w:pPr>
        <w:pStyle w:val="ListParagraph"/>
        <w:numPr>
          <w:ilvl w:val="0"/>
          <w:numId w:val="55"/>
        </w:numPr>
        <w:ind w:left="360"/>
        <w:jc w:val="both"/>
        <w:rPr>
          <w:rFonts w:ascii="Arial" w:hAnsi="Arial"/>
          <w:sz w:val="22"/>
          <w:szCs w:val="22"/>
        </w:rPr>
      </w:pPr>
      <w:r w:rsidRPr="00E501DE">
        <w:rPr>
          <w:rFonts w:ascii="Arial" w:hAnsi="Arial"/>
          <w:i/>
          <w:sz w:val="22"/>
          <w:szCs w:val="22"/>
        </w:rPr>
        <w:t>Decentralization and Local Government</w:t>
      </w:r>
      <w:r>
        <w:rPr>
          <w:rFonts w:ascii="Arial" w:hAnsi="Arial"/>
          <w:sz w:val="22"/>
          <w:szCs w:val="22"/>
        </w:rPr>
        <w:t xml:space="preserve">: Decentralization and local governance development are priority areas as indicated by the </w:t>
      </w:r>
      <w:proofErr w:type="spellStart"/>
      <w:r w:rsidR="00BF74B3">
        <w:rPr>
          <w:rFonts w:ascii="Arial" w:hAnsi="Arial"/>
          <w:sz w:val="22"/>
          <w:szCs w:val="22"/>
        </w:rPr>
        <w:t>GoG’s</w:t>
      </w:r>
      <w:proofErr w:type="spellEnd"/>
      <w:r w:rsidR="00BF74B3">
        <w:rPr>
          <w:rFonts w:ascii="Arial" w:hAnsi="Arial"/>
          <w:sz w:val="22"/>
          <w:szCs w:val="22"/>
        </w:rPr>
        <w:t xml:space="preserve"> </w:t>
      </w:r>
      <w:r>
        <w:rPr>
          <w:rFonts w:ascii="Arial" w:hAnsi="Arial"/>
          <w:sz w:val="22"/>
          <w:szCs w:val="22"/>
        </w:rPr>
        <w:t>decentralization strategy and various local government strengthening efforts, including those supported by UNDP and other development partners. It appears that the project touched upon local governance to a certain extent. It is not currently foreseen that the next phase of the project will be able to address applying what has been developed through the project at the local level. Such activities could be integrated into projects that are currently active at the local level, if additional funding is added to such a project. Or, additional funding could be added to bring the next phase of the PAR project’s activities to the local level.</w:t>
      </w:r>
      <w:r w:rsidR="00BF74B3">
        <w:rPr>
          <w:rFonts w:ascii="Arial" w:hAnsi="Arial"/>
          <w:sz w:val="22"/>
          <w:szCs w:val="22"/>
        </w:rPr>
        <w:t xml:space="preserve"> Such a consideration should </w:t>
      </w:r>
      <w:r w:rsidR="004F5249">
        <w:rPr>
          <w:rFonts w:ascii="Arial" w:hAnsi="Arial"/>
          <w:sz w:val="22"/>
          <w:szCs w:val="22"/>
        </w:rPr>
        <w:t>depend on what other development partners are doing in this space to avoid duplication.</w:t>
      </w:r>
    </w:p>
    <w:p w14:paraId="4F2D2905" w14:textId="77777777" w:rsidR="002E394E" w:rsidRPr="009020FB" w:rsidRDefault="002E394E" w:rsidP="002E394E">
      <w:pPr>
        <w:jc w:val="both"/>
        <w:rPr>
          <w:rFonts w:ascii="Arial" w:hAnsi="Arial"/>
          <w:sz w:val="22"/>
          <w:szCs w:val="22"/>
        </w:rPr>
      </w:pPr>
    </w:p>
    <w:p w14:paraId="0D333CF2" w14:textId="4A398FF2" w:rsidR="002E394E" w:rsidRDefault="002E394E" w:rsidP="00EB743C">
      <w:pPr>
        <w:pStyle w:val="ListParagraph"/>
        <w:numPr>
          <w:ilvl w:val="0"/>
          <w:numId w:val="55"/>
        </w:numPr>
        <w:ind w:left="360"/>
        <w:jc w:val="both"/>
        <w:rPr>
          <w:rFonts w:ascii="Arial" w:hAnsi="Arial"/>
          <w:sz w:val="22"/>
          <w:szCs w:val="22"/>
        </w:rPr>
      </w:pPr>
      <w:proofErr w:type="spellStart"/>
      <w:r w:rsidRPr="00B06803">
        <w:rPr>
          <w:rFonts w:ascii="Arial" w:hAnsi="Arial"/>
          <w:i/>
          <w:sz w:val="22"/>
          <w:szCs w:val="22"/>
        </w:rPr>
        <w:t>GoG</w:t>
      </w:r>
      <w:proofErr w:type="spellEnd"/>
      <w:r w:rsidRPr="00B06803">
        <w:rPr>
          <w:rFonts w:ascii="Arial" w:hAnsi="Arial"/>
          <w:i/>
          <w:sz w:val="22"/>
          <w:szCs w:val="22"/>
        </w:rPr>
        <w:t xml:space="preserve"> External Assistance Coordination:</w:t>
      </w:r>
      <w:r w:rsidRPr="00B06803">
        <w:rPr>
          <w:rFonts w:ascii="Arial" w:hAnsi="Arial"/>
          <w:sz w:val="22"/>
          <w:szCs w:val="22"/>
        </w:rPr>
        <w:t xml:space="preserve"> As previously mentioned, development partner coordination is happening by the development partners amongst themselves and with government stakeholders as required. However, given that the PAR is intended to be government-wide and given the depth that is needed across government, there seems to be the need for more government-led development partner coordination. Such coordination could help PAR to move at a more rapid pace, concentrate resources on prior</w:t>
      </w:r>
      <w:r w:rsidR="00B06803">
        <w:rPr>
          <w:rFonts w:ascii="Arial" w:hAnsi="Arial"/>
          <w:sz w:val="22"/>
          <w:szCs w:val="22"/>
        </w:rPr>
        <w:t xml:space="preserve">ities, and address issue that are </w:t>
      </w:r>
      <w:r w:rsidRPr="00B06803">
        <w:rPr>
          <w:rFonts w:ascii="Arial" w:hAnsi="Arial"/>
          <w:sz w:val="22"/>
          <w:szCs w:val="22"/>
        </w:rPr>
        <w:t xml:space="preserve">sensitive or difficult. </w:t>
      </w:r>
      <w:r w:rsidR="00FB7CD4">
        <w:rPr>
          <w:rFonts w:ascii="Arial" w:hAnsi="Arial"/>
          <w:sz w:val="22"/>
          <w:szCs w:val="22"/>
        </w:rPr>
        <w:t>G</w:t>
      </w:r>
      <w:r w:rsidRPr="00B06803">
        <w:rPr>
          <w:rFonts w:ascii="Arial" w:hAnsi="Arial"/>
          <w:sz w:val="22"/>
          <w:szCs w:val="22"/>
        </w:rPr>
        <w:t>iven a further stage of PAR about to begin, and in line with leadership, ownership, transparency and accountability, such government-led coordination appears appropriate. An emphasis should be on government management and execution. Also, it may give impetus for the PAR Council t</w:t>
      </w:r>
      <w:r w:rsidR="00917218" w:rsidRPr="00B06803">
        <w:rPr>
          <w:rFonts w:ascii="Arial" w:hAnsi="Arial"/>
          <w:sz w:val="22"/>
          <w:szCs w:val="22"/>
        </w:rPr>
        <w:t>o be more active</w:t>
      </w:r>
      <w:r w:rsidRPr="00B06803">
        <w:rPr>
          <w:rFonts w:ascii="Arial" w:hAnsi="Arial"/>
          <w:sz w:val="22"/>
          <w:szCs w:val="22"/>
        </w:rPr>
        <w:t xml:space="preserve">. </w:t>
      </w:r>
    </w:p>
    <w:p w14:paraId="072C8DB2" w14:textId="77777777" w:rsidR="00B06803" w:rsidRPr="00B06803" w:rsidRDefault="00B06803" w:rsidP="00B06803">
      <w:pPr>
        <w:jc w:val="both"/>
        <w:rPr>
          <w:rFonts w:ascii="Arial" w:hAnsi="Arial"/>
          <w:sz w:val="22"/>
          <w:szCs w:val="22"/>
        </w:rPr>
      </w:pPr>
    </w:p>
    <w:p w14:paraId="5ADEC7FF" w14:textId="2BCF369C" w:rsidR="002E394E" w:rsidRPr="00383BE7" w:rsidRDefault="002E394E" w:rsidP="002E394E">
      <w:pPr>
        <w:ind w:left="360" w:hanging="360"/>
        <w:jc w:val="both"/>
        <w:rPr>
          <w:rFonts w:ascii="Arial" w:hAnsi="Arial"/>
          <w:sz w:val="22"/>
          <w:szCs w:val="22"/>
        </w:rPr>
      </w:pPr>
      <w:r>
        <w:rPr>
          <w:rFonts w:ascii="Arial" w:hAnsi="Arial"/>
          <w:sz w:val="22"/>
          <w:szCs w:val="22"/>
        </w:rPr>
        <w:tab/>
        <w:t xml:space="preserve">Also, the governance and PAR space has many players working throughout government to include, the parliament, policy planning and management, civil service reform, public service delivery, decentralization, local governance, public finance, anti-corruption, etc. The </w:t>
      </w:r>
      <w:proofErr w:type="spellStart"/>
      <w:r>
        <w:rPr>
          <w:rFonts w:ascii="Arial" w:hAnsi="Arial"/>
          <w:sz w:val="22"/>
          <w:szCs w:val="22"/>
        </w:rPr>
        <w:t>GoG</w:t>
      </w:r>
      <w:proofErr w:type="spellEnd"/>
      <w:r>
        <w:rPr>
          <w:rFonts w:ascii="Arial" w:hAnsi="Arial"/>
          <w:sz w:val="22"/>
          <w:szCs w:val="22"/>
        </w:rPr>
        <w:t xml:space="preserve"> and development partners may benefit to have an inventory of all such interventions. It is reported that USAID is </w:t>
      </w:r>
      <w:r w:rsidR="004F5249">
        <w:rPr>
          <w:rFonts w:ascii="Arial" w:hAnsi="Arial"/>
          <w:sz w:val="22"/>
          <w:szCs w:val="22"/>
        </w:rPr>
        <w:t>preparing a list of PAR-related projects</w:t>
      </w:r>
      <w:r>
        <w:rPr>
          <w:rFonts w:ascii="Arial" w:hAnsi="Arial"/>
          <w:sz w:val="22"/>
          <w:szCs w:val="22"/>
        </w:rPr>
        <w:t xml:space="preserve">. Such an inventory should be thorough and show what areas are being addressed, timelines and counterparts/stakeholders. Such an effort will help the </w:t>
      </w:r>
      <w:proofErr w:type="spellStart"/>
      <w:r>
        <w:rPr>
          <w:rFonts w:ascii="Arial" w:hAnsi="Arial"/>
          <w:sz w:val="22"/>
          <w:szCs w:val="22"/>
        </w:rPr>
        <w:t>GoG</w:t>
      </w:r>
      <w:proofErr w:type="spellEnd"/>
      <w:r>
        <w:rPr>
          <w:rFonts w:ascii="Arial" w:hAnsi="Arial"/>
          <w:sz w:val="22"/>
          <w:szCs w:val="22"/>
        </w:rPr>
        <w:t xml:space="preserve"> and all development partners to be on the same page</w:t>
      </w:r>
      <w:r w:rsidR="00FB7CD4">
        <w:rPr>
          <w:rFonts w:ascii="Arial" w:hAnsi="Arial"/>
          <w:sz w:val="22"/>
          <w:szCs w:val="22"/>
        </w:rPr>
        <w:t xml:space="preserve"> and that activities are aligned with the PAR Roadmap</w:t>
      </w:r>
      <w:r>
        <w:rPr>
          <w:rFonts w:ascii="Arial" w:hAnsi="Arial"/>
          <w:sz w:val="22"/>
          <w:szCs w:val="22"/>
        </w:rPr>
        <w:t>. It will also show what government agencies are doing since some entities are involved in several interventions at once. Such an inventory is essential for government-development partner coordination.</w:t>
      </w:r>
      <w:r w:rsidR="00917218">
        <w:rPr>
          <w:rFonts w:ascii="Arial" w:hAnsi="Arial"/>
          <w:sz w:val="22"/>
          <w:szCs w:val="22"/>
        </w:rPr>
        <w:t xml:space="preserve"> </w:t>
      </w:r>
      <w:r>
        <w:rPr>
          <w:rFonts w:ascii="Arial" w:hAnsi="Arial"/>
          <w:sz w:val="22"/>
          <w:szCs w:val="22"/>
        </w:rPr>
        <w:t>UNDP is positioned to assist in facilitating this government-led coordination given its experience with the governance reform agenda and its objective stance.</w:t>
      </w:r>
    </w:p>
    <w:p w14:paraId="2FAB5BED" w14:textId="77777777" w:rsidR="002E394E" w:rsidRPr="00E501DE" w:rsidRDefault="002E394E" w:rsidP="002E394E">
      <w:pPr>
        <w:jc w:val="both"/>
        <w:rPr>
          <w:rFonts w:ascii="Arial" w:hAnsi="Arial"/>
          <w:sz w:val="22"/>
          <w:szCs w:val="22"/>
        </w:rPr>
      </w:pPr>
    </w:p>
    <w:p w14:paraId="2296D352" w14:textId="29256A99" w:rsidR="00C21390" w:rsidRPr="008F0A41" w:rsidRDefault="002E394E" w:rsidP="00ED5B2D">
      <w:pPr>
        <w:pStyle w:val="ListParagraph"/>
        <w:numPr>
          <w:ilvl w:val="0"/>
          <w:numId w:val="55"/>
        </w:numPr>
        <w:ind w:left="360"/>
        <w:jc w:val="both"/>
        <w:rPr>
          <w:rFonts w:ascii="Arial" w:hAnsi="Arial"/>
          <w:sz w:val="22"/>
          <w:szCs w:val="22"/>
        </w:rPr>
      </w:pPr>
      <w:r>
        <w:rPr>
          <w:rFonts w:ascii="Arial" w:hAnsi="Arial"/>
          <w:i/>
          <w:sz w:val="22"/>
          <w:szCs w:val="22"/>
        </w:rPr>
        <w:t>Exist Strategy, Exit Strategy, Exit Strategy:</w:t>
      </w:r>
      <w:r>
        <w:rPr>
          <w:rFonts w:ascii="Arial" w:hAnsi="Arial"/>
          <w:sz w:val="22"/>
          <w:szCs w:val="22"/>
        </w:rPr>
        <w:t xml:space="preserve"> The next phase of the project should have an exit strategy for each output</w:t>
      </w:r>
      <w:r w:rsidR="00FB7CD4">
        <w:rPr>
          <w:rFonts w:ascii="Arial" w:hAnsi="Arial"/>
          <w:sz w:val="22"/>
          <w:szCs w:val="22"/>
        </w:rPr>
        <w:t xml:space="preserve"> designed in at the start</w:t>
      </w:r>
      <w:r>
        <w:rPr>
          <w:rFonts w:ascii="Arial" w:hAnsi="Arial"/>
          <w:sz w:val="22"/>
          <w:szCs w:val="22"/>
        </w:rPr>
        <w:t>. The respective strategies should be discussed and agreed to with each of the stakeholders and a</w:t>
      </w:r>
      <w:r w:rsidR="00917218">
        <w:rPr>
          <w:rFonts w:ascii="Arial" w:hAnsi="Arial"/>
          <w:sz w:val="22"/>
          <w:szCs w:val="22"/>
        </w:rPr>
        <w:t xml:space="preserve"> “handover” timeline prepared</w:t>
      </w:r>
      <w:r>
        <w:rPr>
          <w:rFonts w:ascii="Arial" w:hAnsi="Arial"/>
          <w:sz w:val="22"/>
          <w:szCs w:val="22"/>
        </w:rPr>
        <w:t xml:space="preserve">. Included in the strategy should be the “elements of sustainability.” These elements should identify what is needed for the interventions to be sustainable. </w:t>
      </w:r>
    </w:p>
    <w:p w14:paraId="0FAD6AAB" w14:textId="4858940D" w:rsidR="00B646F0" w:rsidRPr="00561C20" w:rsidRDefault="00721906" w:rsidP="003060EE">
      <w:pPr>
        <w:pStyle w:val="Heading1"/>
        <w:numPr>
          <w:ilvl w:val="0"/>
          <w:numId w:val="1"/>
        </w:numPr>
      </w:pPr>
      <w:bookmarkStart w:id="4" w:name="_Toc478138856"/>
      <w:r>
        <w:lastRenderedPageBreak/>
        <w:t xml:space="preserve">Final </w:t>
      </w:r>
      <w:r w:rsidR="005B0769">
        <w:t>Evaluation Framework, Development Context and Intervention Description</w:t>
      </w:r>
      <w:bookmarkEnd w:id="4"/>
    </w:p>
    <w:p w14:paraId="0753855B" w14:textId="7F273C5D" w:rsidR="006C5733" w:rsidRDefault="006C5733" w:rsidP="003060EE">
      <w:pPr>
        <w:pStyle w:val="Heading2"/>
        <w:numPr>
          <w:ilvl w:val="0"/>
          <w:numId w:val="2"/>
        </w:numPr>
      </w:pPr>
      <w:bookmarkStart w:id="5" w:name="_Toc478138857"/>
      <w:r>
        <w:t>Development Context and Description of Intervention</w:t>
      </w:r>
      <w:bookmarkEnd w:id="5"/>
    </w:p>
    <w:p w14:paraId="2A2F99AD" w14:textId="77777777" w:rsidR="006C5733" w:rsidRDefault="006C5733" w:rsidP="006C5733"/>
    <w:p w14:paraId="1CD36701" w14:textId="63AD7922" w:rsidR="00810591" w:rsidRDefault="00810591" w:rsidP="00810591">
      <w:pPr>
        <w:jc w:val="both"/>
        <w:rPr>
          <w:rFonts w:ascii="Arial" w:hAnsi="Arial"/>
          <w:sz w:val="22"/>
          <w:szCs w:val="22"/>
        </w:rPr>
      </w:pPr>
      <w:r>
        <w:rPr>
          <w:rFonts w:ascii="Arial" w:hAnsi="Arial"/>
          <w:sz w:val="22"/>
          <w:szCs w:val="22"/>
        </w:rPr>
        <w:t>Georgia has made progress over the last decade in terms of political, economic and social development. As of 2019, Georgia ranks 61</w:t>
      </w:r>
      <w:r w:rsidRPr="00761F54">
        <w:rPr>
          <w:rFonts w:ascii="Arial" w:hAnsi="Arial"/>
          <w:sz w:val="22"/>
          <w:szCs w:val="22"/>
          <w:vertAlign w:val="superscript"/>
        </w:rPr>
        <w:t>st</w:t>
      </w:r>
      <w:r>
        <w:rPr>
          <w:rFonts w:ascii="Arial" w:hAnsi="Arial"/>
          <w:sz w:val="22"/>
          <w:szCs w:val="22"/>
        </w:rPr>
        <w:t xml:space="preserve"> on the Human Development Index with a rate of 0.812 in 2019 compared to 0.769 in 2015 and 0.710 in 2010.</w:t>
      </w:r>
      <w:r>
        <w:rPr>
          <w:rStyle w:val="FootnoteReference"/>
          <w:rFonts w:ascii="Arial" w:hAnsi="Arial"/>
          <w:sz w:val="22"/>
          <w:szCs w:val="22"/>
        </w:rPr>
        <w:footnoteReference w:id="5"/>
      </w:r>
      <w:r>
        <w:rPr>
          <w:rFonts w:ascii="Arial" w:hAnsi="Arial"/>
          <w:sz w:val="22"/>
          <w:szCs w:val="22"/>
        </w:rPr>
        <w:t xml:space="preserve"> It has held peaceful elections with accompanying transfers of power, improved trade and economic relations with Europe and other countries, and strengthened the social support framework. Governance reform to include public administration reform, decentralization</w:t>
      </w:r>
      <w:r w:rsidR="00813258">
        <w:rPr>
          <w:rFonts w:ascii="Arial" w:hAnsi="Arial"/>
          <w:sz w:val="22"/>
          <w:szCs w:val="22"/>
        </w:rPr>
        <w:t xml:space="preserve"> of governance and economic development</w:t>
      </w:r>
      <w:r>
        <w:rPr>
          <w:rFonts w:ascii="Arial" w:hAnsi="Arial"/>
          <w:sz w:val="22"/>
          <w:szCs w:val="22"/>
        </w:rPr>
        <w:t xml:space="preserve">, public finance reform and country-wide oriented development have been key components of Georgia’s development agenda as formerly illustrated in various government strategies and action plans as well as reform of the legal and regulatory framework to be more in line with European Union </w:t>
      </w:r>
      <w:r w:rsidR="0078200A">
        <w:rPr>
          <w:rFonts w:ascii="Arial" w:hAnsi="Arial"/>
          <w:sz w:val="22"/>
          <w:szCs w:val="22"/>
        </w:rPr>
        <w:t xml:space="preserve">(EU) </w:t>
      </w:r>
      <w:r>
        <w:rPr>
          <w:rFonts w:ascii="Arial" w:hAnsi="Arial"/>
          <w:sz w:val="22"/>
          <w:szCs w:val="22"/>
        </w:rPr>
        <w:t>standards and practices.</w:t>
      </w:r>
      <w:r>
        <w:rPr>
          <w:rStyle w:val="FootnoteReference"/>
          <w:rFonts w:ascii="Arial" w:hAnsi="Arial"/>
          <w:sz w:val="22"/>
          <w:szCs w:val="22"/>
        </w:rPr>
        <w:footnoteReference w:id="6"/>
      </w:r>
    </w:p>
    <w:p w14:paraId="752354DF" w14:textId="77777777" w:rsidR="00810591" w:rsidRDefault="00810591" w:rsidP="00810591">
      <w:pPr>
        <w:jc w:val="both"/>
        <w:rPr>
          <w:rFonts w:ascii="Arial" w:hAnsi="Arial"/>
          <w:sz w:val="22"/>
          <w:szCs w:val="22"/>
        </w:rPr>
      </w:pPr>
    </w:p>
    <w:p w14:paraId="677BE219" w14:textId="4E7CC31B" w:rsidR="00810591" w:rsidRDefault="00810591" w:rsidP="00810591">
      <w:pPr>
        <w:jc w:val="both"/>
        <w:rPr>
          <w:rFonts w:ascii="Arial" w:hAnsi="Arial"/>
          <w:sz w:val="22"/>
          <w:szCs w:val="22"/>
        </w:rPr>
      </w:pPr>
      <w:r>
        <w:rPr>
          <w:rFonts w:ascii="Arial" w:hAnsi="Arial"/>
          <w:sz w:val="22"/>
          <w:szCs w:val="22"/>
        </w:rPr>
        <w:t xml:space="preserve">UNDP in partnership with the government of the United Kingdom, through its Good Governance Fund, initiated the project </w:t>
      </w:r>
      <w:r w:rsidRPr="00960A63">
        <w:rPr>
          <w:rFonts w:ascii="Arial" w:hAnsi="Arial"/>
          <w:i/>
          <w:sz w:val="22"/>
          <w:szCs w:val="22"/>
        </w:rPr>
        <w:t xml:space="preserve">Supporting Public Administration </w:t>
      </w:r>
      <w:r w:rsidRPr="00E5577D">
        <w:rPr>
          <w:rFonts w:ascii="Arial" w:hAnsi="Arial"/>
          <w:i/>
          <w:sz w:val="22"/>
          <w:szCs w:val="22"/>
        </w:rPr>
        <w:t>Reform in Georgia</w:t>
      </w:r>
      <w:r>
        <w:rPr>
          <w:rFonts w:ascii="Arial" w:hAnsi="Arial"/>
          <w:sz w:val="22"/>
          <w:szCs w:val="22"/>
        </w:rPr>
        <w:t xml:space="preserve"> in July 2016 (hereinafter “PAR project”) to help advance the government’s public administration reform agenda and implement key parts of that agenda. The intervention was designed based on the experience of past UNDP activities under its Governance Reform Fund </w:t>
      </w:r>
      <w:r w:rsidR="007A276D">
        <w:rPr>
          <w:rFonts w:ascii="Arial" w:hAnsi="Arial"/>
          <w:sz w:val="22"/>
          <w:szCs w:val="22"/>
        </w:rPr>
        <w:t xml:space="preserve">(GRF) </w:t>
      </w:r>
      <w:r>
        <w:rPr>
          <w:rFonts w:ascii="Arial" w:hAnsi="Arial"/>
          <w:sz w:val="22"/>
          <w:szCs w:val="22"/>
        </w:rPr>
        <w:t>initiatives, the government’s interests and strategies to undertake major public administration reform, and other UNDP and development partner governance</w:t>
      </w:r>
      <w:r w:rsidR="00813258">
        <w:rPr>
          <w:rFonts w:ascii="Arial" w:hAnsi="Arial"/>
          <w:sz w:val="22"/>
          <w:szCs w:val="22"/>
        </w:rPr>
        <w:t xml:space="preserve"> reform project interventions.</w:t>
      </w:r>
    </w:p>
    <w:p w14:paraId="169DD94A" w14:textId="77777777" w:rsidR="00810591" w:rsidRDefault="00810591" w:rsidP="00810591">
      <w:pPr>
        <w:jc w:val="both"/>
        <w:rPr>
          <w:rFonts w:ascii="Arial" w:hAnsi="Arial"/>
          <w:sz w:val="22"/>
          <w:szCs w:val="22"/>
        </w:rPr>
      </w:pPr>
    </w:p>
    <w:p w14:paraId="633E3374" w14:textId="1A9A257C" w:rsidR="00A86865" w:rsidRDefault="00810591" w:rsidP="00810591">
      <w:pPr>
        <w:jc w:val="both"/>
        <w:rPr>
          <w:rFonts w:ascii="Arial" w:hAnsi="Arial"/>
          <w:sz w:val="22"/>
          <w:szCs w:val="22"/>
        </w:rPr>
      </w:pPr>
      <w:r>
        <w:rPr>
          <w:rFonts w:ascii="Arial" w:hAnsi="Arial"/>
          <w:sz w:val="22"/>
          <w:szCs w:val="22"/>
        </w:rPr>
        <w:t xml:space="preserve">The PAR project goal and targeted outcome is: </w:t>
      </w:r>
      <w:r w:rsidRPr="00813258">
        <w:rPr>
          <w:rFonts w:ascii="Arial" w:hAnsi="Arial"/>
          <w:i/>
          <w:sz w:val="22"/>
          <w:szCs w:val="22"/>
        </w:rPr>
        <w:t>to enhance the capability of the Government of Georgia to implement its national development agenda through a more effective, professionally trained, unified and independent public administration that delivers public services with greater accountability and responsiveness to citizen’s needs.</w:t>
      </w:r>
      <w:r w:rsidR="00D8461E">
        <w:rPr>
          <w:rStyle w:val="FootnoteReference"/>
          <w:rFonts w:ascii="Arial" w:hAnsi="Arial"/>
          <w:i/>
          <w:sz w:val="22"/>
          <w:szCs w:val="22"/>
        </w:rPr>
        <w:footnoteReference w:id="7"/>
      </w:r>
      <w:r>
        <w:rPr>
          <w:rFonts w:ascii="Arial" w:hAnsi="Arial"/>
          <w:sz w:val="22"/>
          <w:szCs w:val="22"/>
        </w:rPr>
        <w:t xml:space="preserve"> The project has had a budget of $6.1 million provided by the government of the United Kingdom.</w:t>
      </w:r>
      <w:r>
        <w:rPr>
          <w:rStyle w:val="FootnoteReference"/>
          <w:rFonts w:ascii="Arial" w:hAnsi="Arial"/>
          <w:sz w:val="22"/>
          <w:szCs w:val="22"/>
        </w:rPr>
        <w:footnoteReference w:id="8"/>
      </w:r>
      <w:r>
        <w:rPr>
          <w:rFonts w:ascii="Arial" w:hAnsi="Arial"/>
          <w:sz w:val="22"/>
          <w:szCs w:val="22"/>
        </w:rPr>
        <w:t xml:space="preserve"> The project is administered by UNDP and in partnership with the government of Georgia (</w:t>
      </w:r>
      <w:proofErr w:type="spellStart"/>
      <w:r>
        <w:rPr>
          <w:rFonts w:ascii="Arial" w:hAnsi="Arial"/>
          <w:sz w:val="22"/>
          <w:szCs w:val="22"/>
        </w:rPr>
        <w:t>GoG</w:t>
      </w:r>
      <w:proofErr w:type="spellEnd"/>
      <w:r>
        <w:rPr>
          <w:rFonts w:ascii="Arial" w:hAnsi="Arial"/>
          <w:sz w:val="22"/>
          <w:szCs w:val="22"/>
        </w:rPr>
        <w:t xml:space="preserve">). </w:t>
      </w:r>
      <w:r w:rsidR="00C87B8F">
        <w:rPr>
          <w:rFonts w:ascii="Arial" w:hAnsi="Arial"/>
          <w:sz w:val="22"/>
          <w:szCs w:val="22"/>
        </w:rPr>
        <w:t>A</w:t>
      </w:r>
      <w:r>
        <w:rPr>
          <w:rFonts w:ascii="Arial" w:hAnsi="Arial"/>
          <w:sz w:val="22"/>
          <w:szCs w:val="22"/>
        </w:rPr>
        <w:t xml:space="preserve"> mi</w:t>
      </w:r>
      <w:r w:rsidR="00C87B8F">
        <w:rPr>
          <w:rFonts w:ascii="Arial" w:hAnsi="Arial"/>
          <w:sz w:val="22"/>
          <w:szCs w:val="22"/>
        </w:rPr>
        <w:t>d-term evaluation</w:t>
      </w:r>
      <w:r>
        <w:rPr>
          <w:rFonts w:ascii="Arial" w:hAnsi="Arial"/>
          <w:sz w:val="22"/>
          <w:szCs w:val="22"/>
        </w:rPr>
        <w:t xml:space="preserve"> for the period 2016 to December 2018</w:t>
      </w:r>
      <w:r w:rsidR="00C87B8F">
        <w:rPr>
          <w:rFonts w:ascii="Arial" w:hAnsi="Arial"/>
          <w:sz w:val="22"/>
          <w:szCs w:val="22"/>
        </w:rPr>
        <w:t xml:space="preserve"> was conducted</w:t>
      </w:r>
      <w:r>
        <w:rPr>
          <w:rFonts w:ascii="Arial" w:hAnsi="Arial"/>
          <w:sz w:val="22"/>
          <w:szCs w:val="22"/>
        </w:rPr>
        <w:t>.</w:t>
      </w:r>
    </w:p>
    <w:p w14:paraId="12060ED6" w14:textId="77777777" w:rsidR="00A86865" w:rsidRDefault="00A86865" w:rsidP="00810591">
      <w:pPr>
        <w:jc w:val="both"/>
        <w:rPr>
          <w:rFonts w:ascii="Arial" w:hAnsi="Arial"/>
          <w:sz w:val="22"/>
          <w:szCs w:val="22"/>
        </w:rPr>
      </w:pPr>
    </w:p>
    <w:p w14:paraId="3F3F124C" w14:textId="2BCA1B82" w:rsidR="00810591" w:rsidRDefault="00810591" w:rsidP="00810591">
      <w:pPr>
        <w:jc w:val="both"/>
        <w:rPr>
          <w:rFonts w:ascii="Arial" w:hAnsi="Arial"/>
          <w:sz w:val="22"/>
          <w:szCs w:val="22"/>
        </w:rPr>
      </w:pPr>
      <w:r>
        <w:rPr>
          <w:rFonts w:ascii="Arial" w:hAnsi="Arial"/>
          <w:sz w:val="22"/>
          <w:szCs w:val="22"/>
        </w:rPr>
        <w:t xml:space="preserve">The PAR project is an effort to contribute to the overall UN Partnership for Sustainable Development </w:t>
      </w:r>
      <w:r w:rsidR="00AC27C0" w:rsidRPr="00E40D87">
        <w:rPr>
          <w:rFonts w:ascii="Arial" w:hAnsi="Arial"/>
          <w:sz w:val="22"/>
          <w:szCs w:val="22"/>
        </w:rPr>
        <w:t xml:space="preserve">2016-2020 </w:t>
      </w:r>
      <w:r>
        <w:rPr>
          <w:rFonts w:ascii="Arial" w:hAnsi="Arial"/>
          <w:sz w:val="22"/>
          <w:szCs w:val="22"/>
        </w:rPr>
        <w:t xml:space="preserve">outcome and UNDP 2016-20 Country </w:t>
      </w:r>
      <w:proofErr w:type="spellStart"/>
      <w:r>
        <w:rPr>
          <w:rFonts w:ascii="Arial" w:hAnsi="Arial"/>
          <w:sz w:val="22"/>
          <w:szCs w:val="22"/>
        </w:rPr>
        <w:t>Programme</w:t>
      </w:r>
      <w:proofErr w:type="spellEnd"/>
      <w:r>
        <w:rPr>
          <w:rFonts w:ascii="Arial" w:hAnsi="Arial"/>
          <w:sz w:val="22"/>
          <w:szCs w:val="22"/>
        </w:rPr>
        <w:t xml:space="preserve"> strategic plan outcome: by 2020, expectations of citizens of Georgia for voice, rule of law, public sector </w:t>
      </w:r>
      <w:r>
        <w:rPr>
          <w:rFonts w:ascii="Arial" w:hAnsi="Arial"/>
          <w:sz w:val="22"/>
          <w:szCs w:val="22"/>
        </w:rPr>
        <w:lastRenderedPageBreak/>
        <w:t xml:space="preserve">reforms, and accountability are met by stronger systems of democratic governance at all levels. The project is also directly responsive to the country </w:t>
      </w:r>
      <w:proofErr w:type="spellStart"/>
      <w:r>
        <w:rPr>
          <w:rFonts w:ascii="Arial" w:hAnsi="Arial"/>
          <w:sz w:val="22"/>
          <w:szCs w:val="22"/>
        </w:rPr>
        <w:t>programme’s</w:t>
      </w:r>
      <w:proofErr w:type="spellEnd"/>
      <w:r>
        <w:rPr>
          <w:rFonts w:ascii="Arial" w:hAnsi="Arial"/>
          <w:sz w:val="22"/>
          <w:szCs w:val="22"/>
        </w:rPr>
        <w:t xml:space="preserve"> output 1.1: by 2020, government has stronger capacities to formulate, implement and monitor policies in a participatory manner for improved service delivery, with equal access for all.</w:t>
      </w:r>
      <w:r>
        <w:rPr>
          <w:rStyle w:val="FootnoteReference"/>
          <w:rFonts w:ascii="Arial" w:hAnsi="Arial"/>
          <w:sz w:val="22"/>
          <w:szCs w:val="22"/>
        </w:rPr>
        <w:footnoteReference w:id="9"/>
      </w:r>
      <w:r>
        <w:rPr>
          <w:rFonts w:ascii="Arial" w:hAnsi="Arial"/>
          <w:sz w:val="22"/>
          <w:szCs w:val="22"/>
        </w:rPr>
        <w:t xml:space="preserve"> </w:t>
      </w:r>
      <w:r w:rsidR="008C0A97">
        <w:rPr>
          <w:rFonts w:ascii="Arial" w:hAnsi="Arial"/>
          <w:sz w:val="22"/>
          <w:szCs w:val="22"/>
        </w:rPr>
        <w:t>And, t</w:t>
      </w:r>
      <w:r w:rsidR="004A6CAA">
        <w:rPr>
          <w:rFonts w:ascii="Arial" w:hAnsi="Arial"/>
          <w:sz w:val="22"/>
          <w:szCs w:val="22"/>
        </w:rPr>
        <w:t xml:space="preserve">he project has contributed to UNDP Strategic Plan 2018-21 output 1.1.1: capacities developed across the whole of government to integrate the 2030 Agenda, the Paris Agreement, and other international agreements in development plans and budget, and to analyze progress towards the SDGS, using innovative and data-driven solutions. </w:t>
      </w:r>
    </w:p>
    <w:p w14:paraId="520637C1" w14:textId="77777777" w:rsidR="004A6CAA" w:rsidRDefault="004A6CAA" w:rsidP="00810591">
      <w:pPr>
        <w:jc w:val="both"/>
        <w:rPr>
          <w:rFonts w:ascii="Arial" w:hAnsi="Arial"/>
          <w:sz w:val="22"/>
          <w:szCs w:val="22"/>
        </w:rPr>
      </w:pPr>
    </w:p>
    <w:p w14:paraId="71ADB995" w14:textId="77777777" w:rsidR="00810591" w:rsidRDefault="00810591" w:rsidP="00810591">
      <w:pPr>
        <w:jc w:val="both"/>
        <w:rPr>
          <w:rFonts w:ascii="Arial" w:hAnsi="Arial"/>
          <w:sz w:val="22"/>
          <w:szCs w:val="22"/>
        </w:rPr>
      </w:pPr>
      <w:r>
        <w:rPr>
          <w:rFonts w:ascii="Arial" w:hAnsi="Arial"/>
          <w:sz w:val="22"/>
          <w:szCs w:val="22"/>
        </w:rPr>
        <w:t>Through the government’s nationalization of the Sustainable Development Goals (SDGs), Goal 16 is applicable to the project: promote peaceful and inclusive societies for sustainable development, provide access to justice for all and build effective, accountable and inclusive institutions at all levels.</w:t>
      </w:r>
      <w:r>
        <w:rPr>
          <w:rStyle w:val="FootnoteReference"/>
          <w:rFonts w:ascii="Arial" w:hAnsi="Arial"/>
          <w:sz w:val="22"/>
          <w:szCs w:val="22"/>
        </w:rPr>
        <w:footnoteReference w:id="10"/>
      </w:r>
    </w:p>
    <w:p w14:paraId="30B59060" w14:textId="77777777" w:rsidR="00810591" w:rsidRDefault="00810591" w:rsidP="00810591">
      <w:pPr>
        <w:jc w:val="both"/>
        <w:rPr>
          <w:rFonts w:ascii="Arial" w:hAnsi="Arial"/>
          <w:sz w:val="22"/>
          <w:szCs w:val="22"/>
        </w:rPr>
      </w:pPr>
    </w:p>
    <w:p w14:paraId="40708778" w14:textId="5720DFE9" w:rsidR="00810591" w:rsidRDefault="00810591" w:rsidP="00810591">
      <w:pPr>
        <w:jc w:val="both"/>
        <w:rPr>
          <w:rFonts w:ascii="Arial" w:hAnsi="Arial"/>
          <w:sz w:val="22"/>
          <w:szCs w:val="22"/>
        </w:rPr>
      </w:pPr>
      <w:r>
        <w:rPr>
          <w:rFonts w:ascii="Arial" w:hAnsi="Arial"/>
          <w:sz w:val="22"/>
          <w:szCs w:val="22"/>
        </w:rPr>
        <w:t>The PAR project was designed and implemented in the context of a major public administration reform effort initiated in 2015 with the development of the Roadmap of Public Administration Reform 2020. The roadmap had the objective of establishing a transparent, predictable responsible, and efficient public admi</w:t>
      </w:r>
      <w:r w:rsidR="00C87B8F">
        <w:rPr>
          <w:rFonts w:ascii="Arial" w:hAnsi="Arial"/>
          <w:sz w:val="22"/>
          <w:szCs w:val="22"/>
        </w:rPr>
        <w:t xml:space="preserve">nistration that </w:t>
      </w:r>
      <w:r w:rsidR="00B50341">
        <w:rPr>
          <w:rFonts w:ascii="Arial" w:hAnsi="Arial"/>
          <w:sz w:val="22"/>
          <w:szCs w:val="22"/>
        </w:rPr>
        <w:t>would meet</w:t>
      </w:r>
      <w:r>
        <w:rPr>
          <w:rFonts w:ascii="Arial" w:hAnsi="Arial"/>
          <w:sz w:val="22"/>
          <w:szCs w:val="22"/>
        </w:rPr>
        <w:t xml:space="preserve"> society’s demands and correspond to European standards by 2020. The roadmap was developed by the Administration of the Government of Georgia (</w:t>
      </w:r>
      <w:proofErr w:type="spellStart"/>
      <w:r>
        <w:rPr>
          <w:rFonts w:ascii="Arial" w:hAnsi="Arial"/>
          <w:sz w:val="22"/>
          <w:szCs w:val="22"/>
        </w:rPr>
        <w:t>AoG</w:t>
      </w:r>
      <w:proofErr w:type="spellEnd"/>
      <w:r>
        <w:rPr>
          <w:rFonts w:ascii="Arial" w:hAnsi="Arial"/>
          <w:sz w:val="22"/>
          <w:szCs w:val="22"/>
        </w:rPr>
        <w:t xml:space="preserve">). It included six policy areas: policy development and cooperation, civil service reform and human resource management, accountability, service delivery, public finance management, and local government and decentralization. The roadmap was preceded by work with the support of the EU and OECD/SIGMA. The PAR project is in direct response to the roadmap to help implement </w:t>
      </w:r>
      <w:r w:rsidR="00B50341">
        <w:rPr>
          <w:rFonts w:ascii="Arial" w:hAnsi="Arial"/>
          <w:sz w:val="22"/>
          <w:szCs w:val="22"/>
        </w:rPr>
        <w:t xml:space="preserve">several of </w:t>
      </w:r>
      <w:r>
        <w:rPr>
          <w:rFonts w:ascii="Arial" w:hAnsi="Arial"/>
          <w:sz w:val="22"/>
          <w:szCs w:val="22"/>
        </w:rPr>
        <w:t>its components.</w:t>
      </w:r>
    </w:p>
    <w:p w14:paraId="3809E335" w14:textId="77777777" w:rsidR="00810591" w:rsidRDefault="00810591" w:rsidP="00810591">
      <w:pPr>
        <w:jc w:val="both"/>
        <w:rPr>
          <w:rFonts w:ascii="Arial" w:hAnsi="Arial"/>
          <w:sz w:val="22"/>
          <w:szCs w:val="22"/>
        </w:rPr>
      </w:pPr>
    </w:p>
    <w:p w14:paraId="6E5E2F35" w14:textId="3DBCAE46" w:rsidR="00810591" w:rsidRDefault="00810591" w:rsidP="00810591">
      <w:pPr>
        <w:jc w:val="both"/>
        <w:rPr>
          <w:rFonts w:ascii="Arial" w:hAnsi="Arial"/>
          <w:sz w:val="22"/>
          <w:szCs w:val="22"/>
        </w:rPr>
      </w:pPr>
      <w:r>
        <w:rPr>
          <w:rFonts w:ascii="Arial" w:hAnsi="Arial"/>
          <w:sz w:val="22"/>
          <w:szCs w:val="22"/>
        </w:rPr>
        <w:t>The Civil Service Concept Note adopted by Government Decree no. 627 on November 19th 2014 sets out the government objective to develop a unified, impartial, professional and politically neutral civil service. And the Law on Civil Service of Georgia, drafted in 2015, was approved and implemented in July 2017 with 10 by-laws t</w:t>
      </w:r>
      <w:r w:rsidR="006E6215">
        <w:rPr>
          <w:rFonts w:ascii="Arial" w:hAnsi="Arial"/>
          <w:sz w:val="22"/>
          <w:szCs w:val="22"/>
        </w:rPr>
        <w:t>o facilitate implementation. PAR</w:t>
      </w:r>
      <w:r>
        <w:rPr>
          <w:rFonts w:ascii="Arial" w:hAnsi="Arial"/>
          <w:sz w:val="22"/>
          <w:szCs w:val="22"/>
        </w:rPr>
        <w:t xml:space="preserve"> Action Plans helped implement these documents with the last approved for 2019-20.</w:t>
      </w:r>
    </w:p>
    <w:p w14:paraId="2E4604FB" w14:textId="77777777" w:rsidR="00810591" w:rsidRDefault="00810591" w:rsidP="00810591">
      <w:pPr>
        <w:jc w:val="both"/>
        <w:rPr>
          <w:rFonts w:ascii="Arial" w:hAnsi="Arial"/>
          <w:sz w:val="22"/>
          <w:szCs w:val="22"/>
        </w:rPr>
      </w:pPr>
    </w:p>
    <w:p w14:paraId="4F39ED6B" w14:textId="399EB904" w:rsidR="00810591" w:rsidRDefault="00810591" w:rsidP="00810591">
      <w:pPr>
        <w:jc w:val="both"/>
        <w:rPr>
          <w:rFonts w:ascii="Arial" w:hAnsi="Arial"/>
          <w:sz w:val="22"/>
          <w:szCs w:val="22"/>
        </w:rPr>
      </w:pPr>
      <w:r>
        <w:rPr>
          <w:rFonts w:ascii="Arial" w:hAnsi="Arial"/>
          <w:sz w:val="22"/>
          <w:szCs w:val="22"/>
        </w:rPr>
        <w:t>The changes are being made in the context of the Association Agreement (AA) including the Deep and Comprehensive Freed Trade Agreement (</w:t>
      </w:r>
      <w:r w:rsidR="0078200A">
        <w:rPr>
          <w:rFonts w:ascii="Arial" w:hAnsi="Arial"/>
          <w:sz w:val="22"/>
          <w:szCs w:val="22"/>
        </w:rPr>
        <w:t>DCFTA) with the EU</w:t>
      </w:r>
      <w:r>
        <w:rPr>
          <w:rFonts w:ascii="Arial" w:hAnsi="Arial"/>
          <w:sz w:val="22"/>
          <w:szCs w:val="22"/>
        </w:rPr>
        <w:t xml:space="preserve"> that were signed in 2014 and came into force in 2016. The strengthening of the government’s public administration and its coordination capabilities were key elements of reforms resulting from the AA and subsequently supported by various EU instruments. </w:t>
      </w:r>
    </w:p>
    <w:p w14:paraId="7C5612B6" w14:textId="77777777" w:rsidR="00810591" w:rsidRDefault="00810591" w:rsidP="00810591">
      <w:pPr>
        <w:jc w:val="both"/>
        <w:rPr>
          <w:rFonts w:ascii="Arial" w:hAnsi="Arial"/>
          <w:sz w:val="22"/>
          <w:szCs w:val="22"/>
        </w:rPr>
      </w:pPr>
    </w:p>
    <w:p w14:paraId="708E062E" w14:textId="5C446E50" w:rsidR="00767F1E" w:rsidRDefault="00810591" w:rsidP="00810591">
      <w:pPr>
        <w:jc w:val="both"/>
        <w:rPr>
          <w:rFonts w:ascii="Arial" w:hAnsi="Arial"/>
          <w:sz w:val="22"/>
          <w:szCs w:val="22"/>
        </w:rPr>
      </w:pPr>
      <w:r>
        <w:rPr>
          <w:rFonts w:ascii="Arial" w:hAnsi="Arial"/>
          <w:sz w:val="22"/>
          <w:szCs w:val="22"/>
        </w:rPr>
        <w:lastRenderedPageBreak/>
        <w:t>The reforms were also being implemented in a changing political and economic context. Politically, while there have been peaceful transfers of power from 2012, there have been various elections since that time as the governance transition</w:t>
      </w:r>
      <w:r w:rsidR="00B50341">
        <w:rPr>
          <w:rFonts w:ascii="Arial" w:hAnsi="Arial"/>
          <w:sz w:val="22"/>
          <w:szCs w:val="22"/>
        </w:rPr>
        <w:t>ed</w:t>
      </w:r>
      <w:r>
        <w:rPr>
          <w:rFonts w:ascii="Arial" w:hAnsi="Arial"/>
          <w:sz w:val="22"/>
          <w:szCs w:val="22"/>
        </w:rPr>
        <w:t xml:space="preserve"> to more of a parliamentary system of governance that culminated in the October 2020 elections. Economically, the country confronted an economic crisis in 2014-16 that led to currency depreciation and socioeconomic fallout. </w:t>
      </w:r>
      <w:r w:rsidR="00767F1E">
        <w:rPr>
          <w:rFonts w:ascii="Arial" w:hAnsi="Arial"/>
          <w:sz w:val="22"/>
          <w:szCs w:val="22"/>
        </w:rPr>
        <w:t>The COVID-19 pandemic added to this environment. The pandemic has had a significant impact on Georgia beginning in March 2019 and a direct impact on PAR. The pandemic has challenged government to respond to the pandemic and at the same time helped to prove the case for PAR and showed how the PAR undertaken to date has helped to more effectively respond to the pandemic. The PAR project itself has been in the midst of the response as well as attempting to continue to administer and implement the project in a more challenging environment as well as bring the project to a close.</w:t>
      </w:r>
    </w:p>
    <w:p w14:paraId="1926ED46" w14:textId="77777777" w:rsidR="00767F1E" w:rsidRDefault="00767F1E" w:rsidP="00810591">
      <w:pPr>
        <w:jc w:val="both"/>
        <w:rPr>
          <w:rFonts w:ascii="Arial" w:hAnsi="Arial"/>
          <w:sz w:val="22"/>
          <w:szCs w:val="22"/>
        </w:rPr>
      </w:pPr>
    </w:p>
    <w:p w14:paraId="0D18BF17" w14:textId="1390129E" w:rsidR="00810591" w:rsidRDefault="00810591" w:rsidP="00810591">
      <w:pPr>
        <w:jc w:val="both"/>
        <w:rPr>
          <w:rFonts w:ascii="Arial" w:hAnsi="Arial"/>
          <w:sz w:val="22"/>
          <w:szCs w:val="22"/>
        </w:rPr>
      </w:pPr>
      <w:r>
        <w:rPr>
          <w:rFonts w:ascii="Arial" w:hAnsi="Arial"/>
          <w:sz w:val="22"/>
          <w:szCs w:val="22"/>
        </w:rPr>
        <w:t xml:space="preserve">PAR in this context was challenging and gave rise to different political and public directions for and attitudes toward the reform agenda. These challenges included government size reductions and different philosophies about the size of government, centralization versus decentralization of authority and services, organizational and unit leadership changes, public participation, and the financing of public services as well as overall reform and development. </w:t>
      </w:r>
    </w:p>
    <w:p w14:paraId="09678949" w14:textId="77777777" w:rsidR="00810591" w:rsidRDefault="00810591" w:rsidP="00810591">
      <w:pPr>
        <w:jc w:val="both"/>
        <w:rPr>
          <w:rFonts w:ascii="Arial" w:hAnsi="Arial"/>
          <w:sz w:val="22"/>
          <w:szCs w:val="22"/>
        </w:rPr>
      </w:pPr>
    </w:p>
    <w:p w14:paraId="7DB5B874" w14:textId="1555BA7D" w:rsidR="00810591" w:rsidRDefault="00810591" w:rsidP="00810591">
      <w:pPr>
        <w:jc w:val="both"/>
        <w:rPr>
          <w:rFonts w:ascii="Arial" w:hAnsi="Arial"/>
          <w:sz w:val="22"/>
          <w:szCs w:val="22"/>
        </w:rPr>
      </w:pPr>
      <w:r>
        <w:rPr>
          <w:rFonts w:ascii="Arial" w:hAnsi="Arial"/>
          <w:sz w:val="22"/>
          <w:szCs w:val="22"/>
        </w:rPr>
        <w:t>The size of the public service is considerable and its scope of services in terms of policy development and implementation and service provision are essential given the current political and economic structure.</w:t>
      </w:r>
      <w:r>
        <w:rPr>
          <w:rStyle w:val="FootnoteReference"/>
          <w:rFonts w:ascii="Arial" w:hAnsi="Arial"/>
          <w:sz w:val="22"/>
          <w:szCs w:val="22"/>
        </w:rPr>
        <w:footnoteReference w:id="11"/>
      </w:r>
      <w:r>
        <w:rPr>
          <w:rFonts w:ascii="Arial" w:hAnsi="Arial"/>
          <w:sz w:val="22"/>
          <w:szCs w:val="22"/>
        </w:rPr>
        <w:t xml:space="preserve"> Public input and perceptions of the public service and its service provision have adjusted over the years. And, through the PAR project, feedback has been provided from both civil servants as well as the public to measure the perception, attitudes and performance. While some progress seems to have been made, such as in reducing corruption and 74% of citizens surveyed believe that “civil servants are oriented at providing quality service to citizens,” there is much on the agenda to be addressed.</w:t>
      </w:r>
      <w:r>
        <w:rPr>
          <w:rStyle w:val="FootnoteReference"/>
          <w:rFonts w:ascii="Arial" w:hAnsi="Arial"/>
          <w:sz w:val="22"/>
          <w:szCs w:val="22"/>
        </w:rPr>
        <w:footnoteReference w:id="12"/>
      </w:r>
      <w:r>
        <w:rPr>
          <w:rFonts w:ascii="Arial" w:hAnsi="Arial"/>
          <w:sz w:val="22"/>
          <w:szCs w:val="22"/>
        </w:rPr>
        <w:t xml:space="preserve"> </w:t>
      </w:r>
      <w:r>
        <w:rPr>
          <w:rStyle w:val="FootnoteReference"/>
          <w:rFonts w:ascii="Arial" w:hAnsi="Arial"/>
          <w:sz w:val="22"/>
          <w:szCs w:val="22"/>
        </w:rPr>
        <w:footnoteReference w:id="13"/>
      </w:r>
      <w:r>
        <w:rPr>
          <w:rStyle w:val="FootnoteReference"/>
          <w:rFonts w:ascii="Arial" w:hAnsi="Arial"/>
          <w:sz w:val="22"/>
          <w:szCs w:val="22"/>
        </w:rPr>
        <w:t xml:space="preserve"> </w:t>
      </w:r>
    </w:p>
    <w:p w14:paraId="14DFFE6B" w14:textId="77777777" w:rsidR="00767F1E" w:rsidRDefault="00767F1E" w:rsidP="00810591">
      <w:pPr>
        <w:jc w:val="both"/>
        <w:rPr>
          <w:rFonts w:ascii="Arial" w:hAnsi="Arial"/>
          <w:sz w:val="22"/>
          <w:szCs w:val="22"/>
        </w:rPr>
      </w:pPr>
    </w:p>
    <w:p w14:paraId="7731030D" w14:textId="77777777" w:rsidR="00A62B43" w:rsidRDefault="00767F1E" w:rsidP="00810591">
      <w:pPr>
        <w:jc w:val="both"/>
        <w:rPr>
          <w:rFonts w:ascii="Arial" w:hAnsi="Arial"/>
          <w:sz w:val="22"/>
          <w:szCs w:val="22"/>
        </w:rPr>
      </w:pPr>
      <w:r>
        <w:rPr>
          <w:rFonts w:ascii="Arial" w:hAnsi="Arial"/>
          <w:sz w:val="22"/>
          <w:szCs w:val="22"/>
        </w:rPr>
        <w:t xml:space="preserve">The current context of the public administration has evolved from an </w:t>
      </w:r>
      <w:r w:rsidR="00980633">
        <w:rPr>
          <w:rFonts w:ascii="Arial" w:hAnsi="Arial"/>
          <w:sz w:val="22"/>
          <w:szCs w:val="22"/>
        </w:rPr>
        <w:t>ever-changing</w:t>
      </w:r>
      <w:r>
        <w:rPr>
          <w:rFonts w:ascii="Arial" w:hAnsi="Arial"/>
          <w:sz w:val="22"/>
          <w:szCs w:val="22"/>
        </w:rPr>
        <w:t xml:space="preserve"> governanc</w:t>
      </w:r>
      <w:r w:rsidR="00980633">
        <w:rPr>
          <w:rFonts w:ascii="Arial" w:hAnsi="Arial"/>
          <w:sz w:val="22"/>
          <w:szCs w:val="22"/>
        </w:rPr>
        <w:t xml:space="preserve">e landscape over past decades. The public administration context can be split into four phases. </w:t>
      </w:r>
    </w:p>
    <w:p w14:paraId="268AB9E2" w14:textId="77777777" w:rsidR="00A62B43" w:rsidRDefault="00A62B43" w:rsidP="00810591">
      <w:pPr>
        <w:jc w:val="both"/>
        <w:rPr>
          <w:rFonts w:ascii="Arial" w:hAnsi="Arial"/>
          <w:sz w:val="22"/>
          <w:szCs w:val="22"/>
        </w:rPr>
      </w:pPr>
    </w:p>
    <w:p w14:paraId="3309EB12" w14:textId="11AE537A" w:rsidR="00A62B43" w:rsidRDefault="00980633" w:rsidP="00810591">
      <w:pPr>
        <w:jc w:val="both"/>
        <w:rPr>
          <w:rFonts w:ascii="Arial" w:hAnsi="Arial"/>
          <w:sz w:val="22"/>
          <w:szCs w:val="22"/>
        </w:rPr>
      </w:pPr>
      <w:r>
        <w:rPr>
          <w:rFonts w:ascii="Arial" w:hAnsi="Arial"/>
          <w:sz w:val="22"/>
          <w:szCs w:val="22"/>
        </w:rPr>
        <w:t xml:space="preserve">The first phase was the highly centralized bureaucratic structure established during </w:t>
      </w:r>
      <w:r w:rsidR="008F2430">
        <w:rPr>
          <w:rFonts w:ascii="Arial" w:hAnsi="Arial"/>
          <w:sz w:val="22"/>
          <w:szCs w:val="22"/>
        </w:rPr>
        <w:t>the time of the Soviet Union</w:t>
      </w:r>
      <w:r>
        <w:rPr>
          <w:rFonts w:ascii="Arial" w:hAnsi="Arial"/>
          <w:sz w:val="22"/>
          <w:szCs w:val="22"/>
        </w:rPr>
        <w:t xml:space="preserve">. The highly centralized system was established in Georgia itself with extraordinary external power and control with central planning and </w:t>
      </w:r>
      <w:r w:rsidR="008F2430">
        <w:rPr>
          <w:rFonts w:ascii="Arial" w:hAnsi="Arial"/>
          <w:sz w:val="22"/>
          <w:szCs w:val="22"/>
        </w:rPr>
        <w:t>decision-making</w:t>
      </w:r>
      <w:r>
        <w:rPr>
          <w:rFonts w:ascii="Arial" w:hAnsi="Arial"/>
          <w:sz w:val="22"/>
          <w:szCs w:val="22"/>
        </w:rPr>
        <w:t xml:space="preserve"> from Moscow. As the system failed, corruption became more of the norm to access public services</w:t>
      </w:r>
      <w:r w:rsidR="008F2430">
        <w:rPr>
          <w:rFonts w:ascii="Arial" w:hAnsi="Arial"/>
          <w:sz w:val="22"/>
          <w:szCs w:val="22"/>
        </w:rPr>
        <w:t>, serve in government,</w:t>
      </w:r>
      <w:r>
        <w:rPr>
          <w:rFonts w:ascii="Arial" w:hAnsi="Arial"/>
          <w:sz w:val="22"/>
          <w:szCs w:val="22"/>
        </w:rPr>
        <w:t xml:space="preserve"> or be a recipient of public funds, goods and services. </w:t>
      </w:r>
    </w:p>
    <w:p w14:paraId="747C2BD4" w14:textId="77777777" w:rsidR="00A62B43" w:rsidRDefault="00A62B43" w:rsidP="00810591">
      <w:pPr>
        <w:jc w:val="both"/>
        <w:rPr>
          <w:rFonts w:ascii="Arial" w:hAnsi="Arial"/>
          <w:sz w:val="22"/>
          <w:szCs w:val="22"/>
        </w:rPr>
      </w:pPr>
    </w:p>
    <w:p w14:paraId="58DE199D" w14:textId="4850D5DD" w:rsidR="00A62B43" w:rsidRDefault="00980633" w:rsidP="00810591">
      <w:pPr>
        <w:jc w:val="both"/>
        <w:rPr>
          <w:rFonts w:ascii="Arial" w:hAnsi="Arial"/>
          <w:sz w:val="22"/>
          <w:szCs w:val="22"/>
        </w:rPr>
      </w:pPr>
      <w:r>
        <w:rPr>
          <w:rFonts w:ascii="Arial" w:hAnsi="Arial"/>
          <w:sz w:val="22"/>
          <w:szCs w:val="22"/>
        </w:rPr>
        <w:lastRenderedPageBreak/>
        <w:t xml:space="preserve">The second phase was the transition period as of 1991 </w:t>
      </w:r>
      <w:r w:rsidR="00A62B43">
        <w:rPr>
          <w:rFonts w:ascii="Arial" w:hAnsi="Arial"/>
          <w:sz w:val="22"/>
          <w:szCs w:val="22"/>
        </w:rPr>
        <w:t>as a new government of centralized control managed by Soviet dissidents</w:t>
      </w:r>
      <w:r>
        <w:rPr>
          <w:rFonts w:ascii="Arial" w:hAnsi="Arial"/>
          <w:sz w:val="22"/>
          <w:szCs w:val="22"/>
        </w:rPr>
        <w:t xml:space="preserve"> that created in-country power centers </w:t>
      </w:r>
      <w:r w:rsidR="00A62B43">
        <w:rPr>
          <w:rFonts w:ascii="Arial" w:hAnsi="Arial"/>
          <w:sz w:val="22"/>
          <w:szCs w:val="22"/>
        </w:rPr>
        <w:t>while at the same time allowing for the initial formation of a more market-driven economy</w:t>
      </w:r>
      <w:r w:rsidR="008F2430">
        <w:rPr>
          <w:rFonts w:ascii="Arial" w:hAnsi="Arial"/>
          <w:sz w:val="22"/>
          <w:szCs w:val="22"/>
        </w:rPr>
        <w:t xml:space="preserve"> with inconsistent regulation</w:t>
      </w:r>
      <w:r w:rsidR="00A62B43">
        <w:rPr>
          <w:rFonts w:ascii="Arial" w:hAnsi="Arial"/>
          <w:sz w:val="22"/>
          <w:szCs w:val="22"/>
        </w:rPr>
        <w:t>. This period was unstable for a coordinated and well-managed public administration to form. As mentioned in the 2016 Political Economy Analysis, “In the turbulent years replete with a coup, civil war, and two local conflicts, the modern civil service has failed to consolidate.”</w:t>
      </w:r>
      <w:r w:rsidR="00A62B43">
        <w:rPr>
          <w:rStyle w:val="FootnoteReference"/>
          <w:rFonts w:ascii="Arial" w:hAnsi="Arial"/>
          <w:sz w:val="22"/>
          <w:szCs w:val="22"/>
        </w:rPr>
        <w:footnoteReference w:id="14"/>
      </w:r>
      <w:r w:rsidR="00A62B43">
        <w:rPr>
          <w:rFonts w:ascii="Arial" w:hAnsi="Arial"/>
          <w:sz w:val="22"/>
          <w:szCs w:val="22"/>
        </w:rPr>
        <w:t xml:space="preserve"> </w:t>
      </w:r>
      <w:r w:rsidR="00A62B43" w:rsidRPr="00FF40E9">
        <w:rPr>
          <w:rFonts w:ascii="Arial" w:hAnsi="Arial"/>
          <w:sz w:val="22"/>
          <w:szCs w:val="22"/>
        </w:rPr>
        <w:t>Corruption persisted with market economy princi</w:t>
      </w:r>
      <w:r w:rsidR="004F5249">
        <w:rPr>
          <w:rFonts w:ascii="Arial" w:hAnsi="Arial"/>
          <w:sz w:val="22"/>
          <w:szCs w:val="22"/>
        </w:rPr>
        <w:t>ples</w:t>
      </w:r>
      <w:r w:rsidR="00A62B43" w:rsidRPr="00FF40E9">
        <w:rPr>
          <w:rFonts w:ascii="Arial" w:hAnsi="Arial"/>
          <w:sz w:val="22"/>
          <w:szCs w:val="22"/>
        </w:rPr>
        <w:t xml:space="preserve"> being applied to accessing government services, </w:t>
      </w:r>
      <w:r w:rsidR="008F2430" w:rsidRPr="00FF40E9">
        <w:rPr>
          <w:rFonts w:ascii="Arial" w:hAnsi="Arial"/>
          <w:sz w:val="22"/>
          <w:szCs w:val="22"/>
        </w:rPr>
        <w:t xml:space="preserve">employment, </w:t>
      </w:r>
      <w:r w:rsidR="00A62B43" w:rsidRPr="00FF40E9">
        <w:rPr>
          <w:rFonts w:ascii="Arial" w:hAnsi="Arial"/>
          <w:sz w:val="22"/>
          <w:szCs w:val="22"/>
        </w:rPr>
        <w:t>finances and influence.</w:t>
      </w:r>
      <w:r w:rsidR="00A62B43">
        <w:rPr>
          <w:rFonts w:ascii="Arial" w:hAnsi="Arial"/>
          <w:sz w:val="22"/>
          <w:szCs w:val="22"/>
        </w:rPr>
        <w:t xml:space="preserve"> </w:t>
      </w:r>
    </w:p>
    <w:p w14:paraId="3AA653DF" w14:textId="77777777" w:rsidR="00A62B43" w:rsidRDefault="00A62B43" w:rsidP="00810591">
      <w:pPr>
        <w:jc w:val="both"/>
        <w:rPr>
          <w:rFonts w:ascii="Arial" w:hAnsi="Arial"/>
          <w:sz w:val="22"/>
          <w:szCs w:val="22"/>
        </w:rPr>
      </w:pPr>
    </w:p>
    <w:p w14:paraId="4FBD63BD" w14:textId="0F65A9BB" w:rsidR="004D2ED7" w:rsidRDefault="00A924A6" w:rsidP="00810591">
      <w:pPr>
        <w:jc w:val="both"/>
        <w:rPr>
          <w:rFonts w:ascii="Arial" w:hAnsi="Arial"/>
          <w:sz w:val="22"/>
          <w:szCs w:val="22"/>
        </w:rPr>
      </w:pPr>
      <w:r>
        <w:rPr>
          <w:rFonts w:ascii="Arial" w:hAnsi="Arial"/>
          <w:sz w:val="22"/>
          <w:szCs w:val="22"/>
        </w:rPr>
        <w:t>The third</w:t>
      </w:r>
      <w:r w:rsidR="00A62B43">
        <w:rPr>
          <w:rFonts w:ascii="Arial" w:hAnsi="Arial"/>
          <w:sz w:val="22"/>
          <w:szCs w:val="22"/>
        </w:rPr>
        <w:t xml:space="preserve"> phase began in </w:t>
      </w:r>
      <w:r w:rsidR="004D2ED7">
        <w:rPr>
          <w:rFonts w:ascii="Arial" w:hAnsi="Arial"/>
          <w:sz w:val="22"/>
          <w:szCs w:val="22"/>
        </w:rPr>
        <w:t xml:space="preserve">November </w:t>
      </w:r>
      <w:r w:rsidR="00A62B43">
        <w:rPr>
          <w:rFonts w:ascii="Arial" w:hAnsi="Arial"/>
          <w:sz w:val="22"/>
          <w:szCs w:val="22"/>
        </w:rPr>
        <w:t>2003</w:t>
      </w:r>
      <w:r w:rsidR="004D2ED7">
        <w:rPr>
          <w:rFonts w:ascii="Arial" w:hAnsi="Arial"/>
          <w:sz w:val="22"/>
          <w:szCs w:val="22"/>
        </w:rPr>
        <w:t xml:space="preserve"> with the Rose Revolution with the intent to oust former leaders that appeared to administer the state with more of </w:t>
      </w:r>
      <w:r w:rsidR="008F2430">
        <w:rPr>
          <w:rFonts w:ascii="Arial" w:hAnsi="Arial"/>
          <w:sz w:val="22"/>
          <w:szCs w:val="22"/>
        </w:rPr>
        <w:t xml:space="preserve">a </w:t>
      </w:r>
      <w:r w:rsidR="004D2ED7">
        <w:rPr>
          <w:rFonts w:ascii="Arial" w:hAnsi="Arial"/>
          <w:sz w:val="22"/>
          <w:szCs w:val="22"/>
        </w:rPr>
        <w:t>Soviet mindset and a public distraught by corruption and failed</w:t>
      </w:r>
      <w:r w:rsidR="008F2430">
        <w:rPr>
          <w:rFonts w:ascii="Arial" w:hAnsi="Arial"/>
          <w:sz w:val="22"/>
          <w:szCs w:val="22"/>
        </w:rPr>
        <w:t>, weak</w:t>
      </w:r>
      <w:r w:rsidR="004D2ED7">
        <w:rPr>
          <w:rFonts w:ascii="Arial" w:hAnsi="Arial"/>
          <w:sz w:val="22"/>
          <w:szCs w:val="22"/>
        </w:rPr>
        <w:t xml:space="preserve"> or non existent political and economic development. The orientation of the new government was “small” government and economic liberalization more in line with Western standards. Various reforms took place within the public administration with more of </w:t>
      </w:r>
      <w:r w:rsidR="008F2430">
        <w:rPr>
          <w:rFonts w:ascii="Arial" w:hAnsi="Arial"/>
          <w:sz w:val="22"/>
          <w:szCs w:val="22"/>
        </w:rPr>
        <w:t xml:space="preserve">a </w:t>
      </w:r>
      <w:r w:rsidR="004D2ED7">
        <w:rPr>
          <w:rFonts w:ascii="Arial" w:hAnsi="Arial"/>
          <w:sz w:val="22"/>
          <w:szCs w:val="22"/>
        </w:rPr>
        <w:t xml:space="preserve">“competition” approach to services, developing responsive government services, and attempts to address corruption. This period is seen as uneven since there was reportedly lack of social welfare progress, political </w:t>
      </w:r>
      <w:r w:rsidR="00060CA7">
        <w:rPr>
          <w:rFonts w:ascii="Arial" w:hAnsi="Arial"/>
          <w:sz w:val="22"/>
          <w:szCs w:val="22"/>
        </w:rPr>
        <w:t>decision-making</w:t>
      </w:r>
      <w:r w:rsidR="004D2ED7">
        <w:rPr>
          <w:rFonts w:ascii="Arial" w:hAnsi="Arial"/>
          <w:sz w:val="22"/>
          <w:szCs w:val="22"/>
        </w:rPr>
        <w:t xml:space="preserve"> remained centralized and, again, there </w:t>
      </w:r>
      <w:r w:rsidR="008A18E5">
        <w:rPr>
          <w:rFonts w:ascii="Arial" w:hAnsi="Arial"/>
          <w:sz w:val="22"/>
          <w:szCs w:val="22"/>
        </w:rPr>
        <w:t xml:space="preserve">was no </w:t>
      </w:r>
      <w:r w:rsidR="0078200A">
        <w:rPr>
          <w:rFonts w:ascii="Arial" w:hAnsi="Arial"/>
          <w:sz w:val="22"/>
          <w:szCs w:val="22"/>
        </w:rPr>
        <w:t xml:space="preserve">clear </w:t>
      </w:r>
      <w:r w:rsidR="008A18E5">
        <w:rPr>
          <w:rFonts w:ascii="Arial" w:hAnsi="Arial"/>
          <w:sz w:val="22"/>
          <w:szCs w:val="22"/>
        </w:rPr>
        <w:t>direction</w:t>
      </w:r>
      <w:r w:rsidR="00060CA7">
        <w:rPr>
          <w:rFonts w:ascii="Arial" w:hAnsi="Arial"/>
          <w:sz w:val="22"/>
          <w:szCs w:val="22"/>
        </w:rPr>
        <w:t xml:space="preserve"> for a competent and independent non-</w:t>
      </w:r>
      <w:r w:rsidR="004D2ED7">
        <w:rPr>
          <w:rFonts w:ascii="Arial" w:hAnsi="Arial"/>
          <w:sz w:val="22"/>
          <w:szCs w:val="22"/>
        </w:rPr>
        <w:t xml:space="preserve">political civil service. </w:t>
      </w:r>
    </w:p>
    <w:p w14:paraId="4B414881" w14:textId="77777777" w:rsidR="004D2ED7" w:rsidRDefault="004D2ED7" w:rsidP="00810591">
      <w:pPr>
        <w:jc w:val="both"/>
        <w:rPr>
          <w:rFonts w:ascii="Arial" w:hAnsi="Arial"/>
          <w:sz w:val="22"/>
          <w:szCs w:val="22"/>
        </w:rPr>
      </w:pPr>
    </w:p>
    <w:p w14:paraId="1BBEF538" w14:textId="01023A36" w:rsidR="00A62B43" w:rsidRDefault="004D2ED7" w:rsidP="00810591">
      <w:pPr>
        <w:jc w:val="both"/>
        <w:rPr>
          <w:rFonts w:ascii="Arial" w:hAnsi="Arial"/>
          <w:sz w:val="22"/>
          <w:szCs w:val="22"/>
        </w:rPr>
      </w:pPr>
      <w:r>
        <w:rPr>
          <w:rFonts w:ascii="Arial" w:hAnsi="Arial"/>
          <w:sz w:val="22"/>
          <w:szCs w:val="22"/>
        </w:rPr>
        <w:t xml:space="preserve">The fourth phase is the current phase with the reforms stated above and a committed direction to adopt European public administration standards. As can be seen with the laws and decrees put in place, this has been a slow process also characterized by changes in government and </w:t>
      </w:r>
      <w:r w:rsidR="00795920">
        <w:rPr>
          <w:rFonts w:ascii="Arial" w:hAnsi="Arial"/>
          <w:sz w:val="22"/>
          <w:szCs w:val="22"/>
        </w:rPr>
        <w:t>some delays in having the appropriate legal and regulatory framework in place</w:t>
      </w:r>
      <w:r w:rsidR="008A18E5">
        <w:rPr>
          <w:rFonts w:ascii="Arial" w:hAnsi="Arial"/>
          <w:sz w:val="22"/>
          <w:szCs w:val="22"/>
        </w:rPr>
        <w:t xml:space="preserve"> and sometimes limited or lack of attention to implementation</w:t>
      </w:r>
      <w:r w:rsidR="00795920">
        <w:rPr>
          <w:rFonts w:ascii="Arial" w:hAnsi="Arial"/>
          <w:sz w:val="22"/>
          <w:szCs w:val="22"/>
        </w:rPr>
        <w:t xml:space="preserve">. But, given </w:t>
      </w:r>
      <w:r w:rsidR="008A18E5">
        <w:rPr>
          <w:rFonts w:ascii="Arial" w:hAnsi="Arial"/>
          <w:sz w:val="22"/>
          <w:szCs w:val="22"/>
        </w:rPr>
        <w:t xml:space="preserve">overall </w:t>
      </w:r>
      <w:r w:rsidR="00795920">
        <w:rPr>
          <w:rFonts w:ascii="Arial" w:hAnsi="Arial"/>
          <w:sz w:val="22"/>
          <w:szCs w:val="22"/>
        </w:rPr>
        <w:t>government direc</w:t>
      </w:r>
      <w:r w:rsidR="008A18E5">
        <w:rPr>
          <w:rFonts w:ascii="Arial" w:hAnsi="Arial"/>
          <w:sz w:val="22"/>
          <w:szCs w:val="22"/>
        </w:rPr>
        <w:t>tion, a committed civil service, more public participation and feedback than in the past,</w:t>
      </w:r>
      <w:r w:rsidR="00795920">
        <w:rPr>
          <w:rFonts w:ascii="Arial" w:hAnsi="Arial"/>
          <w:sz w:val="22"/>
          <w:szCs w:val="22"/>
        </w:rPr>
        <w:t xml:space="preserve"> and the participation of </w:t>
      </w:r>
      <w:r w:rsidR="00060CA7">
        <w:rPr>
          <w:rFonts w:ascii="Arial" w:hAnsi="Arial"/>
          <w:sz w:val="22"/>
          <w:szCs w:val="22"/>
        </w:rPr>
        <w:t>development partners, while th</w:t>
      </w:r>
      <w:r w:rsidR="00795920">
        <w:rPr>
          <w:rFonts w:ascii="Arial" w:hAnsi="Arial"/>
          <w:sz w:val="22"/>
          <w:szCs w:val="22"/>
        </w:rPr>
        <w:t xml:space="preserve">e road has been arduous, there </w:t>
      </w:r>
      <w:r w:rsidR="008A18E5">
        <w:rPr>
          <w:rFonts w:ascii="Arial" w:hAnsi="Arial"/>
          <w:sz w:val="22"/>
          <w:szCs w:val="22"/>
        </w:rPr>
        <w:t xml:space="preserve">are </w:t>
      </w:r>
      <w:r w:rsidR="00795920">
        <w:rPr>
          <w:rFonts w:ascii="Arial" w:hAnsi="Arial"/>
          <w:sz w:val="22"/>
          <w:szCs w:val="22"/>
        </w:rPr>
        <w:t xml:space="preserve">signs of progress. </w:t>
      </w:r>
      <w:r w:rsidR="00AE26C4">
        <w:rPr>
          <w:rFonts w:ascii="Arial" w:hAnsi="Arial"/>
          <w:sz w:val="22"/>
          <w:szCs w:val="22"/>
        </w:rPr>
        <w:t xml:space="preserve">The project document states that, “The Theory of Change takes as its logical departure point a simple historic fact: that Georgia has never had a modern, unified, politically independent, professional and career-based civil service which differentiates itself from all new members of the European Union.” As </w:t>
      </w:r>
      <w:r w:rsidR="00795920">
        <w:rPr>
          <w:rFonts w:ascii="Arial" w:hAnsi="Arial"/>
          <w:sz w:val="22"/>
          <w:szCs w:val="22"/>
        </w:rPr>
        <w:t>one interviewer stated, “What Georgia is going through is not real</w:t>
      </w:r>
      <w:r w:rsidR="00060CA7">
        <w:rPr>
          <w:rFonts w:ascii="Arial" w:hAnsi="Arial"/>
          <w:sz w:val="22"/>
          <w:szCs w:val="22"/>
        </w:rPr>
        <w:t>ly public administration reform. Georgia is</w:t>
      </w:r>
      <w:r w:rsidR="00795920">
        <w:rPr>
          <w:rFonts w:ascii="Arial" w:hAnsi="Arial"/>
          <w:sz w:val="22"/>
          <w:szCs w:val="22"/>
        </w:rPr>
        <w:t xml:space="preserve"> really establishing a public administration and civil service based on European and international standards for the first time.”</w:t>
      </w:r>
      <w:r w:rsidR="00AE26C4">
        <w:rPr>
          <w:rFonts w:ascii="Arial" w:hAnsi="Arial"/>
          <w:sz w:val="22"/>
          <w:szCs w:val="22"/>
        </w:rPr>
        <w:t xml:space="preserve"> In practice, reform started, in various manners and approaches, with more serious efforts dating back to 2004. However, with the EU accession agreement and </w:t>
      </w:r>
      <w:r w:rsidR="00741A3E">
        <w:rPr>
          <w:rFonts w:ascii="Arial" w:hAnsi="Arial"/>
          <w:sz w:val="22"/>
          <w:szCs w:val="22"/>
        </w:rPr>
        <w:t>the PAR Roadmap, a more whole-of-government and comprehensive approach is now being undertaken.</w:t>
      </w:r>
      <w:r w:rsidR="00AE26C4">
        <w:rPr>
          <w:rFonts w:ascii="Arial" w:hAnsi="Arial"/>
          <w:sz w:val="22"/>
          <w:szCs w:val="22"/>
        </w:rPr>
        <w:t xml:space="preserve"> </w:t>
      </w:r>
    </w:p>
    <w:p w14:paraId="24001C4D" w14:textId="77777777" w:rsidR="008A18E5" w:rsidRDefault="008A18E5" w:rsidP="00810591">
      <w:pPr>
        <w:jc w:val="both"/>
        <w:rPr>
          <w:rFonts w:ascii="Arial" w:hAnsi="Arial"/>
          <w:sz w:val="22"/>
          <w:szCs w:val="22"/>
        </w:rPr>
      </w:pPr>
    </w:p>
    <w:p w14:paraId="334A8360" w14:textId="04361A0C" w:rsidR="008A18E5" w:rsidRDefault="00060CA7" w:rsidP="00810591">
      <w:pPr>
        <w:jc w:val="both"/>
        <w:rPr>
          <w:rFonts w:ascii="Arial" w:hAnsi="Arial"/>
          <w:sz w:val="22"/>
          <w:szCs w:val="22"/>
        </w:rPr>
      </w:pPr>
      <w:r>
        <w:rPr>
          <w:rFonts w:ascii="Arial" w:hAnsi="Arial"/>
          <w:sz w:val="22"/>
          <w:szCs w:val="22"/>
        </w:rPr>
        <w:t>A</w:t>
      </w:r>
      <w:r w:rsidR="008A18E5">
        <w:rPr>
          <w:rFonts w:ascii="Arial" w:hAnsi="Arial"/>
          <w:sz w:val="22"/>
          <w:szCs w:val="22"/>
        </w:rPr>
        <w:t xml:space="preserve"> more decentralized public administration and a</w:t>
      </w:r>
      <w:r>
        <w:rPr>
          <w:rFonts w:ascii="Arial" w:hAnsi="Arial"/>
          <w:sz w:val="22"/>
          <w:szCs w:val="22"/>
        </w:rPr>
        <w:t xml:space="preserve"> more independent civil service is taking shape</w:t>
      </w:r>
      <w:r w:rsidR="008A18E5">
        <w:rPr>
          <w:rFonts w:ascii="Arial" w:hAnsi="Arial"/>
          <w:sz w:val="22"/>
          <w:szCs w:val="22"/>
        </w:rPr>
        <w:t>. However, it appears that more of a top down decision-making and management profile exists.  Political decision-making and control still persists but, with the help of the PAR project and other development interventions, the driving force of EU accession, more public participation</w:t>
      </w:r>
      <w:r>
        <w:rPr>
          <w:rFonts w:ascii="Arial" w:hAnsi="Arial"/>
          <w:sz w:val="22"/>
          <w:szCs w:val="22"/>
        </w:rPr>
        <w:t>,</w:t>
      </w:r>
      <w:r w:rsidR="008A18E5">
        <w:rPr>
          <w:rFonts w:ascii="Arial" w:hAnsi="Arial"/>
          <w:sz w:val="22"/>
          <w:szCs w:val="22"/>
        </w:rPr>
        <w:t xml:space="preserve"> and the application of the laws, policies and plans put in place, a more networked and professional publ</w:t>
      </w:r>
      <w:r w:rsidR="00C10DF1">
        <w:rPr>
          <w:rFonts w:ascii="Arial" w:hAnsi="Arial"/>
          <w:sz w:val="22"/>
          <w:szCs w:val="22"/>
        </w:rPr>
        <w:t xml:space="preserve">ic administration is emerging. </w:t>
      </w:r>
    </w:p>
    <w:p w14:paraId="1ACDC3F5" w14:textId="77777777" w:rsidR="00810591" w:rsidRDefault="00810591" w:rsidP="00810591">
      <w:pPr>
        <w:jc w:val="both"/>
        <w:rPr>
          <w:rFonts w:ascii="Arial" w:hAnsi="Arial"/>
          <w:sz w:val="22"/>
          <w:szCs w:val="22"/>
        </w:rPr>
      </w:pPr>
    </w:p>
    <w:p w14:paraId="62E35F60" w14:textId="6FCB4452" w:rsidR="00810591" w:rsidRDefault="00810591" w:rsidP="00810591">
      <w:pPr>
        <w:jc w:val="both"/>
        <w:rPr>
          <w:rFonts w:ascii="Arial" w:hAnsi="Arial"/>
          <w:sz w:val="22"/>
          <w:szCs w:val="22"/>
        </w:rPr>
      </w:pPr>
      <w:r>
        <w:rPr>
          <w:rFonts w:ascii="Arial" w:hAnsi="Arial"/>
          <w:sz w:val="22"/>
          <w:szCs w:val="22"/>
        </w:rPr>
        <w:t>The project has 3 main outcomes</w:t>
      </w:r>
      <w:r w:rsidR="00C87B8F">
        <w:rPr>
          <w:rFonts w:ascii="Arial" w:hAnsi="Arial"/>
          <w:sz w:val="22"/>
          <w:szCs w:val="22"/>
        </w:rPr>
        <w:t xml:space="preserve"> that respond to the previously mentioned goal</w:t>
      </w:r>
      <w:r>
        <w:rPr>
          <w:rFonts w:ascii="Arial" w:hAnsi="Arial"/>
          <w:sz w:val="22"/>
          <w:szCs w:val="22"/>
        </w:rPr>
        <w:t>:</w:t>
      </w:r>
    </w:p>
    <w:p w14:paraId="47CEC9C1" w14:textId="77777777" w:rsidR="00810591" w:rsidRDefault="00810591" w:rsidP="00810591">
      <w:pPr>
        <w:jc w:val="both"/>
        <w:rPr>
          <w:rFonts w:ascii="Arial" w:hAnsi="Arial"/>
          <w:sz w:val="22"/>
          <w:szCs w:val="22"/>
        </w:rPr>
      </w:pPr>
    </w:p>
    <w:p w14:paraId="631ECFD2" w14:textId="255EBBCC" w:rsidR="00810591" w:rsidRDefault="00810591" w:rsidP="00810591">
      <w:pPr>
        <w:jc w:val="both"/>
        <w:rPr>
          <w:rFonts w:ascii="Arial" w:hAnsi="Arial"/>
          <w:sz w:val="22"/>
          <w:szCs w:val="22"/>
        </w:rPr>
      </w:pPr>
      <w:r w:rsidRPr="00225388">
        <w:rPr>
          <w:rFonts w:ascii="Arial" w:hAnsi="Arial"/>
          <w:b/>
          <w:i/>
          <w:sz w:val="22"/>
          <w:szCs w:val="22"/>
        </w:rPr>
        <w:lastRenderedPageBreak/>
        <w:t>Outcome 1 Po</w:t>
      </w:r>
      <w:r w:rsidR="00B874AE">
        <w:rPr>
          <w:rFonts w:ascii="Arial" w:hAnsi="Arial"/>
          <w:b/>
          <w:i/>
          <w:sz w:val="22"/>
          <w:szCs w:val="22"/>
        </w:rPr>
        <w:t>licy Development and Coordination</w:t>
      </w:r>
      <w:r w:rsidRPr="00225388">
        <w:rPr>
          <w:rFonts w:ascii="Arial" w:hAnsi="Arial"/>
          <w:b/>
          <w:i/>
          <w:sz w:val="22"/>
          <w:szCs w:val="22"/>
        </w:rPr>
        <w:t>:</w:t>
      </w:r>
      <w:r>
        <w:rPr>
          <w:rFonts w:ascii="Arial" w:hAnsi="Arial"/>
          <w:sz w:val="22"/>
          <w:szCs w:val="22"/>
        </w:rPr>
        <w:t xml:space="preserve"> Government of Georgia ensures enhanced participatory policy making and coordination between its institutions in PAR implementation.</w:t>
      </w:r>
    </w:p>
    <w:p w14:paraId="14C4ED59" w14:textId="70918287" w:rsidR="00810591" w:rsidRDefault="00810591" w:rsidP="00810591">
      <w:pPr>
        <w:jc w:val="both"/>
        <w:rPr>
          <w:rFonts w:ascii="Arial" w:hAnsi="Arial"/>
          <w:sz w:val="22"/>
          <w:szCs w:val="22"/>
        </w:rPr>
      </w:pPr>
      <w:r w:rsidRPr="00B64B81">
        <w:rPr>
          <w:rFonts w:ascii="Arial" w:hAnsi="Arial"/>
          <w:i/>
          <w:sz w:val="22"/>
          <w:szCs w:val="22"/>
        </w:rPr>
        <w:t>Main Counterparts:</w:t>
      </w:r>
      <w:r>
        <w:rPr>
          <w:rFonts w:ascii="Arial" w:hAnsi="Arial"/>
          <w:sz w:val="22"/>
          <w:szCs w:val="22"/>
        </w:rPr>
        <w:t xml:space="preserve"> </w:t>
      </w:r>
      <w:proofErr w:type="spellStart"/>
      <w:r>
        <w:rPr>
          <w:rFonts w:ascii="Arial" w:hAnsi="Arial"/>
          <w:sz w:val="22"/>
          <w:szCs w:val="22"/>
        </w:rPr>
        <w:t>AoG</w:t>
      </w:r>
      <w:proofErr w:type="spellEnd"/>
      <w:r>
        <w:rPr>
          <w:rFonts w:ascii="Arial" w:hAnsi="Arial"/>
          <w:sz w:val="22"/>
          <w:szCs w:val="22"/>
        </w:rPr>
        <w:t xml:space="preserve"> and its Department of Policy Planning and Coordination and its two units – Policy Planning Unit and Pu</w:t>
      </w:r>
      <w:r w:rsidR="00B50341">
        <w:rPr>
          <w:rFonts w:ascii="Arial" w:hAnsi="Arial"/>
          <w:sz w:val="22"/>
          <w:szCs w:val="22"/>
        </w:rPr>
        <w:t>blic Administration Reform Unit;</w:t>
      </w:r>
      <w:r>
        <w:rPr>
          <w:rFonts w:ascii="Arial" w:hAnsi="Arial"/>
          <w:sz w:val="22"/>
          <w:szCs w:val="22"/>
        </w:rPr>
        <w:t xml:space="preserve"> PAR Council</w:t>
      </w:r>
      <w:r w:rsidR="00B50341">
        <w:rPr>
          <w:rFonts w:ascii="Arial" w:hAnsi="Arial"/>
          <w:sz w:val="22"/>
          <w:szCs w:val="22"/>
        </w:rPr>
        <w:t>; planning and policy units of ministries and agencies</w:t>
      </w:r>
    </w:p>
    <w:p w14:paraId="61D22F8B" w14:textId="77777777" w:rsidR="00810591" w:rsidRDefault="00810591" w:rsidP="00810591">
      <w:pPr>
        <w:jc w:val="both"/>
        <w:rPr>
          <w:rFonts w:ascii="Arial" w:hAnsi="Arial"/>
          <w:sz w:val="22"/>
          <w:szCs w:val="22"/>
        </w:rPr>
      </w:pPr>
    </w:p>
    <w:p w14:paraId="05B805D1" w14:textId="3026FA9A" w:rsidR="00810591" w:rsidRDefault="00810591" w:rsidP="00810591">
      <w:pPr>
        <w:jc w:val="both"/>
        <w:rPr>
          <w:rFonts w:ascii="Arial" w:hAnsi="Arial"/>
          <w:sz w:val="22"/>
          <w:szCs w:val="22"/>
        </w:rPr>
      </w:pPr>
      <w:r w:rsidRPr="00225388">
        <w:rPr>
          <w:rFonts w:ascii="Arial" w:hAnsi="Arial"/>
          <w:b/>
          <w:i/>
          <w:sz w:val="22"/>
          <w:szCs w:val="22"/>
        </w:rPr>
        <w:t>Outcome 2 Civil Service Reform and Human Resource Management:</w:t>
      </w:r>
      <w:r>
        <w:rPr>
          <w:rFonts w:ascii="Arial" w:hAnsi="Arial"/>
          <w:sz w:val="22"/>
          <w:szCs w:val="22"/>
        </w:rPr>
        <w:t xml:space="preserve"> Performance of civil service is more professional and effective.</w:t>
      </w:r>
    </w:p>
    <w:p w14:paraId="7FC3E41C" w14:textId="194967FC" w:rsidR="00810591" w:rsidRDefault="00810591" w:rsidP="00810591">
      <w:pPr>
        <w:jc w:val="both"/>
        <w:rPr>
          <w:rFonts w:ascii="Arial" w:hAnsi="Arial"/>
          <w:sz w:val="22"/>
          <w:szCs w:val="22"/>
        </w:rPr>
      </w:pPr>
      <w:r>
        <w:rPr>
          <w:rFonts w:ascii="Arial" w:hAnsi="Arial"/>
          <w:i/>
          <w:sz w:val="22"/>
          <w:szCs w:val="22"/>
        </w:rPr>
        <w:t>Main Counterpart</w:t>
      </w:r>
      <w:r w:rsidRPr="00B64B81">
        <w:rPr>
          <w:rFonts w:ascii="Arial" w:hAnsi="Arial"/>
          <w:i/>
          <w:sz w:val="22"/>
          <w:szCs w:val="22"/>
        </w:rPr>
        <w:t>:</w:t>
      </w:r>
      <w:r>
        <w:rPr>
          <w:rFonts w:ascii="Arial" w:hAnsi="Arial"/>
          <w:sz w:val="22"/>
          <w:szCs w:val="22"/>
        </w:rPr>
        <w:t xml:space="preserve"> Civil Service Bureau (CSB) and line ministries and agencies</w:t>
      </w:r>
      <w:r w:rsidR="00B50341">
        <w:rPr>
          <w:rFonts w:ascii="Arial" w:hAnsi="Arial"/>
          <w:sz w:val="22"/>
          <w:szCs w:val="22"/>
        </w:rPr>
        <w:t xml:space="preserve"> mainly the personnel or human resource management units</w:t>
      </w:r>
    </w:p>
    <w:p w14:paraId="1913076D" w14:textId="77777777" w:rsidR="00810591" w:rsidRDefault="00810591" w:rsidP="00810591">
      <w:pPr>
        <w:jc w:val="both"/>
        <w:rPr>
          <w:rFonts w:ascii="Arial" w:hAnsi="Arial"/>
          <w:sz w:val="22"/>
          <w:szCs w:val="22"/>
        </w:rPr>
      </w:pPr>
    </w:p>
    <w:p w14:paraId="3AF61897" w14:textId="6268A76E" w:rsidR="00810591" w:rsidRDefault="00810591" w:rsidP="00810591">
      <w:pPr>
        <w:jc w:val="both"/>
        <w:rPr>
          <w:rFonts w:ascii="Arial" w:hAnsi="Arial"/>
          <w:sz w:val="22"/>
          <w:szCs w:val="22"/>
        </w:rPr>
      </w:pPr>
      <w:r w:rsidRPr="00225388">
        <w:rPr>
          <w:rFonts w:ascii="Arial" w:hAnsi="Arial"/>
          <w:b/>
          <w:i/>
          <w:sz w:val="22"/>
          <w:szCs w:val="22"/>
        </w:rPr>
        <w:t xml:space="preserve">Outcome 3 Public Service Delivery: </w:t>
      </w:r>
      <w:r>
        <w:rPr>
          <w:rFonts w:ascii="Arial" w:hAnsi="Arial"/>
          <w:sz w:val="22"/>
          <w:szCs w:val="22"/>
        </w:rPr>
        <w:t>The government delivers higher quality, (digitally) more accessible and inclusive services to citizens.</w:t>
      </w:r>
    </w:p>
    <w:p w14:paraId="0E1A2835" w14:textId="77777777" w:rsidR="00810591" w:rsidRDefault="00810591" w:rsidP="00810591">
      <w:pPr>
        <w:jc w:val="both"/>
        <w:rPr>
          <w:rFonts w:ascii="Arial" w:hAnsi="Arial"/>
          <w:sz w:val="22"/>
          <w:szCs w:val="22"/>
        </w:rPr>
      </w:pPr>
      <w:r w:rsidRPr="00B64B81">
        <w:rPr>
          <w:rFonts w:ascii="Arial" w:hAnsi="Arial"/>
          <w:i/>
          <w:sz w:val="22"/>
          <w:szCs w:val="22"/>
        </w:rPr>
        <w:t>Main Counterparts:</w:t>
      </w:r>
      <w:r>
        <w:rPr>
          <w:rFonts w:ascii="Arial" w:hAnsi="Arial"/>
          <w:sz w:val="22"/>
          <w:szCs w:val="22"/>
        </w:rPr>
        <w:t xml:space="preserve"> Digital Governance Agency (DGA)</w:t>
      </w:r>
      <w:r>
        <w:rPr>
          <w:rStyle w:val="FootnoteReference"/>
          <w:rFonts w:ascii="Arial" w:hAnsi="Arial"/>
          <w:sz w:val="22"/>
          <w:szCs w:val="22"/>
        </w:rPr>
        <w:footnoteReference w:id="15"/>
      </w:r>
      <w:r>
        <w:rPr>
          <w:rFonts w:ascii="Arial" w:hAnsi="Arial"/>
          <w:sz w:val="22"/>
          <w:szCs w:val="22"/>
        </w:rPr>
        <w:t>, Public Service Development Agency (PSDA)</w:t>
      </w:r>
    </w:p>
    <w:p w14:paraId="1C853A72" w14:textId="77777777" w:rsidR="00810591" w:rsidRDefault="00810591" w:rsidP="00810591">
      <w:pPr>
        <w:jc w:val="both"/>
        <w:rPr>
          <w:rFonts w:ascii="Arial" w:hAnsi="Arial"/>
          <w:sz w:val="22"/>
          <w:szCs w:val="22"/>
        </w:rPr>
      </w:pPr>
    </w:p>
    <w:p w14:paraId="3E1FDBF0" w14:textId="2A91FEF3" w:rsidR="00810591" w:rsidRDefault="00810591" w:rsidP="00810591">
      <w:pPr>
        <w:jc w:val="both"/>
        <w:rPr>
          <w:rFonts w:ascii="Arial" w:hAnsi="Arial"/>
          <w:sz w:val="22"/>
          <w:szCs w:val="22"/>
        </w:rPr>
      </w:pPr>
      <w:r>
        <w:rPr>
          <w:rFonts w:ascii="Arial" w:hAnsi="Arial"/>
          <w:sz w:val="22"/>
          <w:szCs w:val="22"/>
        </w:rPr>
        <w:t>The individual ministries and other government agencies supplement the main counterparts, including LEPL’s, with whom the PAR project have provided training and other support services.</w:t>
      </w:r>
      <w:r>
        <w:rPr>
          <w:rStyle w:val="FootnoteReference"/>
          <w:rFonts w:ascii="Arial" w:hAnsi="Arial"/>
          <w:sz w:val="22"/>
          <w:szCs w:val="22"/>
        </w:rPr>
        <w:footnoteReference w:id="16"/>
      </w:r>
      <w:r>
        <w:rPr>
          <w:rFonts w:ascii="Arial" w:hAnsi="Arial"/>
          <w:sz w:val="22"/>
          <w:szCs w:val="22"/>
        </w:rPr>
        <w:t xml:space="preserve"> The units within these entities are mainly the policy and planning and human resource management or personnel units.</w:t>
      </w:r>
    </w:p>
    <w:p w14:paraId="67456CB0" w14:textId="77777777" w:rsidR="00810591" w:rsidRDefault="00810591" w:rsidP="00810591">
      <w:pPr>
        <w:jc w:val="both"/>
        <w:rPr>
          <w:rFonts w:ascii="Arial" w:hAnsi="Arial"/>
          <w:sz w:val="22"/>
          <w:szCs w:val="22"/>
        </w:rPr>
      </w:pPr>
    </w:p>
    <w:p w14:paraId="6D67885B" w14:textId="3DEE79C8" w:rsidR="00810591" w:rsidRDefault="00810591" w:rsidP="00810591">
      <w:pPr>
        <w:jc w:val="both"/>
        <w:rPr>
          <w:rFonts w:ascii="Arial" w:hAnsi="Arial"/>
          <w:sz w:val="22"/>
          <w:szCs w:val="22"/>
        </w:rPr>
      </w:pPr>
      <w:r>
        <w:rPr>
          <w:rFonts w:ascii="Arial" w:hAnsi="Arial"/>
          <w:sz w:val="22"/>
          <w:szCs w:val="22"/>
        </w:rPr>
        <w:t>Table 1 provides a basic breakdown of outcome</w:t>
      </w:r>
      <w:r w:rsidR="00C10DF1">
        <w:rPr>
          <w:rFonts w:ascii="Arial" w:hAnsi="Arial"/>
          <w:sz w:val="22"/>
          <w:szCs w:val="22"/>
        </w:rPr>
        <w:t>s</w:t>
      </w:r>
      <w:r>
        <w:rPr>
          <w:rFonts w:ascii="Arial" w:hAnsi="Arial"/>
          <w:sz w:val="22"/>
          <w:szCs w:val="22"/>
        </w:rPr>
        <w:t xml:space="preserve"> and outputs</w:t>
      </w:r>
      <w:r w:rsidR="00060CA7">
        <w:rPr>
          <w:rFonts w:ascii="Arial" w:hAnsi="Arial"/>
          <w:sz w:val="22"/>
          <w:szCs w:val="22"/>
        </w:rPr>
        <w:t xml:space="preserve"> and associated indicators</w:t>
      </w:r>
      <w:r>
        <w:rPr>
          <w:rFonts w:ascii="Arial" w:hAnsi="Arial"/>
          <w:sz w:val="22"/>
          <w:szCs w:val="22"/>
        </w:rPr>
        <w:t xml:space="preserve">. The breakdown is provided given that the project document’s logical framework is the road map for project activity. Progress of the project and its interventions will be measured according to this framework. </w:t>
      </w:r>
      <w:r w:rsidR="00060CA7">
        <w:rPr>
          <w:rFonts w:ascii="Arial" w:hAnsi="Arial"/>
          <w:sz w:val="22"/>
          <w:szCs w:val="22"/>
        </w:rPr>
        <w:t>The</w:t>
      </w:r>
      <w:r>
        <w:rPr>
          <w:rFonts w:ascii="Arial" w:hAnsi="Arial"/>
          <w:sz w:val="22"/>
          <w:szCs w:val="22"/>
        </w:rPr>
        <w:t xml:space="preserve"> indicators will be reviewed to provide the basis of the evaluation to determine if the outcomes and outputs were achieved. </w:t>
      </w:r>
    </w:p>
    <w:p w14:paraId="37E704E5" w14:textId="77777777" w:rsidR="00810591" w:rsidRDefault="00810591" w:rsidP="00810591">
      <w:pPr>
        <w:jc w:val="both"/>
        <w:rPr>
          <w:rFonts w:ascii="Arial" w:hAnsi="Arial"/>
          <w:sz w:val="22"/>
          <w:szCs w:val="22"/>
        </w:rPr>
      </w:pPr>
    </w:p>
    <w:p w14:paraId="34B38628" w14:textId="77777777" w:rsidR="00810591" w:rsidRDefault="00810591" w:rsidP="00810591">
      <w:pPr>
        <w:jc w:val="center"/>
        <w:rPr>
          <w:rFonts w:ascii="Arial" w:hAnsi="Arial"/>
          <w:b/>
          <w:sz w:val="22"/>
          <w:szCs w:val="22"/>
        </w:rPr>
      </w:pPr>
      <w:r>
        <w:rPr>
          <w:rFonts w:ascii="Arial" w:hAnsi="Arial"/>
          <w:b/>
          <w:sz w:val="22"/>
          <w:szCs w:val="22"/>
        </w:rPr>
        <w:t>Table 1: PAR Project Logical Framework Summary</w:t>
      </w:r>
    </w:p>
    <w:p w14:paraId="662E7283" w14:textId="77777777" w:rsidR="00810591" w:rsidRDefault="00810591" w:rsidP="00810591">
      <w:pPr>
        <w:jc w:val="center"/>
        <w:rPr>
          <w:rFonts w:ascii="Arial" w:hAnsi="Arial"/>
          <w:b/>
          <w:sz w:val="22"/>
          <w:szCs w:val="22"/>
        </w:rPr>
      </w:pPr>
    </w:p>
    <w:tbl>
      <w:tblPr>
        <w:tblStyle w:val="LightGrid-Accent1"/>
        <w:tblW w:w="0" w:type="auto"/>
        <w:tblLook w:val="04A0" w:firstRow="1" w:lastRow="0" w:firstColumn="1" w:lastColumn="0" w:noHBand="0" w:noVBand="1"/>
      </w:tblPr>
      <w:tblGrid>
        <w:gridCol w:w="4788"/>
        <w:gridCol w:w="4788"/>
      </w:tblGrid>
      <w:tr w:rsidR="00810591" w14:paraId="785E0DB8" w14:textId="77777777" w:rsidTr="008F0A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8" w:type="dxa"/>
          </w:tcPr>
          <w:p w14:paraId="1EEBFE75" w14:textId="2434DE22" w:rsidR="00810591" w:rsidRPr="00B7215C" w:rsidRDefault="00810591" w:rsidP="00810591">
            <w:pPr>
              <w:jc w:val="center"/>
              <w:rPr>
                <w:rFonts w:ascii="Arial" w:hAnsi="Arial"/>
                <w:sz w:val="22"/>
                <w:szCs w:val="22"/>
              </w:rPr>
            </w:pPr>
            <w:r w:rsidRPr="00B7215C">
              <w:rPr>
                <w:rFonts w:ascii="Arial" w:hAnsi="Arial"/>
                <w:sz w:val="22"/>
                <w:szCs w:val="22"/>
              </w:rPr>
              <w:t>Outcomes</w:t>
            </w:r>
            <w:r w:rsidR="00227865" w:rsidRPr="00B7215C">
              <w:rPr>
                <w:rFonts w:ascii="Arial" w:hAnsi="Arial"/>
                <w:sz w:val="22"/>
                <w:szCs w:val="22"/>
              </w:rPr>
              <w:t xml:space="preserve"> and Indicators</w:t>
            </w:r>
          </w:p>
        </w:tc>
        <w:tc>
          <w:tcPr>
            <w:tcW w:w="4788" w:type="dxa"/>
          </w:tcPr>
          <w:p w14:paraId="5E8D9370" w14:textId="6A71A0DB" w:rsidR="00810591" w:rsidRPr="00B7215C" w:rsidRDefault="00810591" w:rsidP="00810591">
            <w:pPr>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B7215C">
              <w:rPr>
                <w:rFonts w:ascii="Arial" w:hAnsi="Arial"/>
                <w:sz w:val="22"/>
                <w:szCs w:val="22"/>
              </w:rPr>
              <w:t>Outputs</w:t>
            </w:r>
            <w:r w:rsidR="00227865" w:rsidRPr="00B7215C">
              <w:rPr>
                <w:rFonts w:ascii="Arial" w:hAnsi="Arial"/>
                <w:sz w:val="22"/>
                <w:szCs w:val="22"/>
              </w:rPr>
              <w:t xml:space="preserve"> and Indicators</w:t>
            </w:r>
          </w:p>
        </w:tc>
      </w:tr>
      <w:tr w:rsidR="00810591" w14:paraId="519CD5B3" w14:textId="77777777" w:rsidTr="00350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B414A79" w14:textId="58A99EFC" w:rsidR="00810591" w:rsidRPr="00B7215C" w:rsidRDefault="00810591" w:rsidP="00810591">
            <w:pPr>
              <w:jc w:val="both"/>
              <w:rPr>
                <w:rFonts w:ascii="Arial" w:hAnsi="Arial"/>
                <w:b w:val="0"/>
                <w:sz w:val="22"/>
                <w:szCs w:val="22"/>
              </w:rPr>
            </w:pPr>
            <w:r w:rsidRPr="00B7215C">
              <w:rPr>
                <w:rFonts w:ascii="Arial" w:hAnsi="Arial"/>
                <w:b w:val="0"/>
                <w:i/>
                <w:sz w:val="22"/>
                <w:szCs w:val="22"/>
              </w:rPr>
              <w:t>Outcome 1 Policy Development and Coo</w:t>
            </w:r>
            <w:r w:rsidR="00B874AE" w:rsidRPr="00B7215C">
              <w:rPr>
                <w:rFonts w:ascii="Arial" w:hAnsi="Arial"/>
                <w:b w:val="0"/>
                <w:i/>
                <w:sz w:val="22"/>
                <w:szCs w:val="22"/>
              </w:rPr>
              <w:t>rdination</w:t>
            </w:r>
            <w:r w:rsidRPr="00B7215C">
              <w:rPr>
                <w:rFonts w:ascii="Arial" w:hAnsi="Arial"/>
                <w:b w:val="0"/>
                <w:i/>
                <w:sz w:val="22"/>
                <w:szCs w:val="22"/>
              </w:rPr>
              <w:t>:</w:t>
            </w:r>
            <w:r w:rsidRPr="00B7215C">
              <w:rPr>
                <w:rFonts w:ascii="Arial" w:hAnsi="Arial"/>
                <w:b w:val="0"/>
                <w:sz w:val="22"/>
                <w:szCs w:val="22"/>
              </w:rPr>
              <w:t xml:space="preserve"> Government of Georgia ensures enhanced participatory policy making and coordination between its institutions in PAR implementation.</w:t>
            </w:r>
          </w:p>
          <w:p w14:paraId="70B72BC5" w14:textId="77777777" w:rsidR="00810591" w:rsidRPr="00B7215C" w:rsidRDefault="00810591" w:rsidP="00810591">
            <w:pPr>
              <w:jc w:val="both"/>
              <w:rPr>
                <w:rFonts w:ascii="Arial" w:hAnsi="Arial"/>
                <w:b w:val="0"/>
                <w:sz w:val="22"/>
                <w:szCs w:val="22"/>
              </w:rPr>
            </w:pPr>
          </w:p>
          <w:p w14:paraId="0FA6557D" w14:textId="77777777" w:rsidR="00810591" w:rsidRPr="00B7215C" w:rsidRDefault="00810591" w:rsidP="00810591">
            <w:pPr>
              <w:jc w:val="both"/>
              <w:rPr>
                <w:rFonts w:ascii="Arial" w:hAnsi="Arial"/>
                <w:b w:val="0"/>
                <w:i/>
                <w:sz w:val="22"/>
                <w:szCs w:val="22"/>
                <w:u w:val="single"/>
              </w:rPr>
            </w:pPr>
            <w:r w:rsidRPr="00B7215C">
              <w:rPr>
                <w:rFonts w:ascii="Arial" w:hAnsi="Arial"/>
                <w:b w:val="0"/>
                <w:i/>
                <w:sz w:val="22"/>
                <w:szCs w:val="22"/>
                <w:u w:val="single"/>
              </w:rPr>
              <w:t>Outcome Indicators</w:t>
            </w:r>
          </w:p>
          <w:p w14:paraId="25B9E439" w14:textId="15DC31FC" w:rsidR="00810591" w:rsidRPr="00B7215C" w:rsidRDefault="00810591" w:rsidP="00EB743C">
            <w:pPr>
              <w:pStyle w:val="ListParagraph"/>
              <w:numPr>
                <w:ilvl w:val="0"/>
                <w:numId w:val="7"/>
              </w:numPr>
              <w:jc w:val="both"/>
              <w:rPr>
                <w:rFonts w:ascii="Arial" w:hAnsi="Arial"/>
                <w:b w:val="0"/>
                <w:sz w:val="22"/>
                <w:szCs w:val="22"/>
              </w:rPr>
            </w:pPr>
            <w:r w:rsidRPr="00B7215C">
              <w:rPr>
                <w:rFonts w:ascii="Arial" w:hAnsi="Arial"/>
                <w:b w:val="0"/>
                <w:sz w:val="22"/>
                <w:szCs w:val="22"/>
              </w:rPr>
              <w:t>Share of government strategies drafted in line with new policy standards</w:t>
            </w:r>
          </w:p>
          <w:p w14:paraId="0944376C" w14:textId="77777777" w:rsidR="00810591" w:rsidRPr="00B7215C" w:rsidRDefault="00810591" w:rsidP="00EB743C">
            <w:pPr>
              <w:pStyle w:val="ListParagraph"/>
              <w:numPr>
                <w:ilvl w:val="0"/>
                <w:numId w:val="7"/>
              </w:numPr>
              <w:jc w:val="both"/>
              <w:rPr>
                <w:rFonts w:ascii="Arial" w:hAnsi="Arial"/>
                <w:b w:val="0"/>
                <w:sz w:val="22"/>
                <w:szCs w:val="22"/>
              </w:rPr>
            </w:pPr>
            <w:r w:rsidRPr="00B7215C">
              <w:rPr>
                <w:rFonts w:ascii="Arial" w:hAnsi="Arial"/>
                <w:b w:val="0"/>
                <w:sz w:val="22"/>
                <w:szCs w:val="22"/>
              </w:rPr>
              <w:t>Degree of institutionalized coordination between government institutions</w:t>
            </w:r>
          </w:p>
          <w:p w14:paraId="5CB725A1" w14:textId="77777777" w:rsidR="00810591" w:rsidRPr="00B7215C" w:rsidRDefault="00810591" w:rsidP="00EB743C">
            <w:pPr>
              <w:pStyle w:val="ListParagraph"/>
              <w:numPr>
                <w:ilvl w:val="0"/>
                <w:numId w:val="7"/>
              </w:numPr>
              <w:jc w:val="both"/>
              <w:rPr>
                <w:rFonts w:ascii="Arial" w:hAnsi="Arial"/>
                <w:b w:val="0"/>
                <w:sz w:val="22"/>
                <w:szCs w:val="22"/>
              </w:rPr>
            </w:pPr>
            <w:r w:rsidRPr="00B7215C">
              <w:rPr>
                <w:rFonts w:ascii="Arial" w:hAnsi="Arial"/>
                <w:b w:val="0"/>
                <w:sz w:val="22"/>
                <w:szCs w:val="22"/>
              </w:rPr>
              <w:t xml:space="preserve">Rate of satisfaction of CSO </w:t>
            </w:r>
            <w:r w:rsidRPr="00B7215C">
              <w:rPr>
                <w:rFonts w:ascii="Arial" w:hAnsi="Arial"/>
                <w:b w:val="0"/>
                <w:sz w:val="22"/>
                <w:szCs w:val="22"/>
              </w:rPr>
              <w:lastRenderedPageBreak/>
              <w:t>participation in policy process</w:t>
            </w:r>
          </w:p>
          <w:p w14:paraId="1336F661" w14:textId="77777777" w:rsidR="00810591" w:rsidRPr="00B7215C" w:rsidRDefault="00810591" w:rsidP="00EB743C">
            <w:pPr>
              <w:pStyle w:val="ListParagraph"/>
              <w:numPr>
                <w:ilvl w:val="0"/>
                <w:numId w:val="7"/>
              </w:numPr>
              <w:jc w:val="both"/>
              <w:rPr>
                <w:rFonts w:ascii="Arial" w:hAnsi="Arial"/>
                <w:b w:val="0"/>
                <w:sz w:val="22"/>
                <w:szCs w:val="22"/>
              </w:rPr>
            </w:pPr>
            <w:r w:rsidRPr="00B7215C">
              <w:rPr>
                <w:rFonts w:ascii="Arial" w:hAnsi="Arial"/>
                <w:b w:val="0"/>
                <w:sz w:val="22"/>
                <w:szCs w:val="22"/>
              </w:rPr>
              <w:t>Share of civil servants supporting ongoing PAR through the development of PAR communication strategy and action plan</w:t>
            </w:r>
          </w:p>
          <w:p w14:paraId="22D2DCE6" w14:textId="32DCAE9A" w:rsidR="00810591" w:rsidRPr="00810591" w:rsidRDefault="00810591" w:rsidP="00EB743C">
            <w:pPr>
              <w:pStyle w:val="ListParagraph"/>
              <w:numPr>
                <w:ilvl w:val="0"/>
                <w:numId w:val="7"/>
              </w:numPr>
              <w:jc w:val="both"/>
              <w:rPr>
                <w:rFonts w:ascii="Arial" w:hAnsi="Arial"/>
                <w:sz w:val="22"/>
                <w:szCs w:val="22"/>
              </w:rPr>
            </w:pPr>
            <w:r w:rsidRPr="00B7215C">
              <w:rPr>
                <w:rFonts w:ascii="Arial" w:hAnsi="Arial"/>
                <w:b w:val="0"/>
                <w:sz w:val="22"/>
                <w:szCs w:val="22"/>
              </w:rPr>
              <w:t>Number of PAR Council meetings reviewing the new PAR Strategy and Action Plan for 2021-2024</w:t>
            </w:r>
          </w:p>
        </w:tc>
        <w:tc>
          <w:tcPr>
            <w:tcW w:w="4788" w:type="dxa"/>
          </w:tcPr>
          <w:p w14:paraId="0E712E56" w14:textId="77777777" w:rsidR="00810591" w:rsidRDefault="00810591" w:rsidP="00EB743C">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B64B81">
              <w:rPr>
                <w:rFonts w:ascii="Arial" w:hAnsi="Arial"/>
                <w:sz w:val="22"/>
                <w:szCs w:val="22"/>
              </w:rPr>
              <w:lastRenderedPageBreak/>
              <w:t>Policy planning unit staff from line ministries trained in</w:t>
            </w:r>
            <w:r>
              <w:rPr>
                <w:rFonts w:ascii="Arial" w:hAnsi="Arial"/>
                <w:sz w:val="22"/>
                <w:szCs w:val="22"/>
              </w:rPr>
              <w:t xml:space="preserve"> line with new policy standards</w:t>
            </w:r>
          </w:p>
          <w:p w14:paraId="1B3A84DD" w14:textId="2EEBA5E5" w:rsidR="00227865" w:rsidRPr="00BF7668" w:rsidRDefault="00227865"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 xml:space="preserve">Share of Policy Planning Unit staff from central and </w:t>
            </w:r>
            <w:r w:rsidR="00B03A89">
              <w:rPr>
                <w:rFonts w:ascii="Arial" w:hAnsi="Arial"/>
                <w:sz w:val="20"/>
                <w:szCs w:val="20"/>
              </w:rPr>
              <w:t>Adjara</w:t>
            </w:r>
            <w:r w:rsidRPr="00BF7668">
              <w:rPr>
                <w:rFonts w:ascii="Arial" w:hAnsi="Arial"/>
                <w:sz w:val="20"/>
                <w:szCs w:val="20"/>
              </w:rPr>
              <w:t xml:space="preserve"> Autonomous Republic (AR) trained on policy planning, monitoring and evaluation standards</w:t>
            </w:r>
          </w:p>
          <w:p w14:paraId="76ED387F" w14:textId="385F5341" w:rsidR="00227865"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Share of female and male policy planning unit staff demonstrating increased knowledge of the unified standards</w:t>
            </w:r>
          </w:p>
          <w:p w14:paraId="270B575C" w14:textId="77777777" w:rsidR="00810591" w:rsidRPr="00D97FAD" w:rsidRDefault="00810591"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79232E26" w14:textId="77777777" w:rsidR="00810591" w:rsidRDefault="00810591" w:rsidP="00EB743C">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 xml:space="preserve">Government strategic documents drafted </w:t>
            </w:r>
            <w:r>
              <w:rPr>
                <w:rFonts w:ascii="Arial" w:hAnsi="Arial"/>
                <w:sz w:val="22"/>
                <w:szCs w:val="22"/>
              </w:rPr>
              <w:lastRenderedPageBreak/>
              <w:t>through coaching of individual ministries in line with new policy standards</w:t>
            </w:r>
          </w:p>
          <w:p w14:paraId="3C09B89C" w14:textId="77777777" w:rsidR="00BF7668"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Number of government strategic documents drafted via coaching</w:t>
            </w:r>
          </w:p>
          <w:p w14:paraId="5BFC03E6" w14:textId="0784240E" w:rsidR="00BF7668"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Quality of government strategic documents drafted via coaching</w:t>
            </w:r>
          </w:p>
          <w:p w14:paraId="55AE5DD1" w14:textId="77777777" w:rsidR="00810591" w:rsidRPr="00D97FAD" w:rsidRDefault="00810591"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1D51F810" w14:textId="77777777" w:rsidR="00810591" w:rsidRDefault="00810591" w:rsidP="00EB743C">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Unified electronic system for policy planning, monitoring and evaluation is operational and meetings its objectives</w:t>
            </w:r>
          </w:p>
          <w:p w14:paraId="7367D8C4" w14:textId="77777777" w:rsidR="00BF7668"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Number of government strategic documents produced using new system</w:t>
            </w:r>
          </w:p>
          <w:p w14:paraId="71F3D36E" w14:textId="3E5A4924" w:rsidR="00BF7668"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Number of men and women from the respective ministries and LEPLs trained</w:t>
            </w:r>
          </w:p>
          <w:p w14:paraId="6CA64F2F" w14:textId="77777777" w:rsidR="00810591" w:rsidRPr="00D97FAD" w:rsidRDefault="00810591"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4338A1F4" w14:textId="77777777" w:rsidR="00810591" w:rsidRDefault="00810591" w:rsidP="00EB743C">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New training module on policy planning, monitoring and evaluation incorporates inclusive public participation elements</w:t>
            </w:r>
          </w:p>
          <w:p w14:paraId="3AA47658" w14:textId="525CE52F" w:rsidR="00BF7668"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Rate of female and male participants reporting usage of inclusive public participation elements</w:t>
            </w:r>
          </w:p>
          <w:p w14:paraId="28B4C98A" w14:textId="77777777" w:rsidR="00BF7668" w:rsidRPr="00D97FAD" w:rsidRDefault="00BF7668"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07DFE2D3" w14:textId="77777777" w:rsidR="00810591" w:rsidRDefault="00810591" w:rsidP="00EB743C">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roofErr w:type="spellStart"/>
            <w:r>
              <w:rPr>
                <w:rFonts w:ascii="Arial" w:hAnsi="Arial"/>
                <w:sz w:val="22"/>
                <w:szCs w:val="22"/>
              </w:rPr>
              <w:t>AoG</w:t>
            </w:r>
            <w:proofErr w:type="spellEnd"/>
            <w:r>
              <w:rPr>
                <w:rFonts w:ascii="Arial" w:hAnsi="Arial"/>
                <w:sz w:val="22"/>
                <w:szCs w:val="22"/>
              </w:rPr>
              <w:t xml:space="preserve"> has tools to improve the communication on PAR both internally and externally</w:t>
            </w:r>
          </w:p>
          <w:p w14:paraId="20D465C9" w14:textId="65D6F8EE" w:rsidR="00BF7668"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PAR communication strategy and action plan drafted</w:t>
            </w:r>
          </w:p>
          <w:p w14:paraId="330D683C" w14:textId="77777777" w:rsidR="00810591" w:rsidRPr="00D97FAD" w:rsidRDefault="00810591"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24648663" w14:textId="77777777" w:rsidR="00810591" w:rsidRDefault="00810591" w:rsidP="00EB743C">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roofErr w:type="spellStart"/>
            <w:r>
              <w:rPr>
                <w:rFonts w:ascii="Arial" w:hAnsi="Arial"/>
                <w:sz w:val="22"/>
                <w:szCs w:val="22"/>
              </w:rPr>
              <w:t>AoG</w:t>
            </w:r>
            <w:proofErr w:type="spellEnd"/>
            <w:r>
              <w:rPr>
                <w:rFonts w:ascii="Arial" w:hAnsi="Arial"/>
                <w:sz w:val="22"/>
                <w:szCs w:val="22"/>
              </w:rPr>
              <w:t xml:space="preserve"> is able to launch and steer the implementation of the PAR beyond 2020</w:t>
            </w:r>
          </w:p>
          <w:p w14:paraId="0D255297" w14:textId="402B1186" w:rsidR="00BF7668" w:rsidRPr="00BF7668" w:rsidRDefault="00BF7668" w:rsidP="00EB743C">
            <w:pPr>
              <w:pStyle w:val="ListParagraph"/>
              <w:numPr>
                <w:ilvl w:val="2"/>
                <w:numId w:val="6"/>
              </w:num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F7668">
              <w:rPr>
                <w:rFonts w:ascii="Arial" w:hAnsi="Arial"/>
                <w:sz w:val="20"/>
                <w:szCs w:val="20"/>
              </w:rPr>
              <w:t>New PAR strategy and action plan for 2021-2024 is compliant with new policy guidelines and is based on PAR Roadmap 2020 review</w:t>
            </w:r>
          </w:p>
          <w:p w14:paraId="3F844D78" w14:textId="77777777" w:rsidR="00810591" w:rsidRPr="00D97FAD" w:rsidRDefault="00810591"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810591" w14:paraId="48D336E3" w14:textId="77777777" w:rsidTr="003507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8BF1D75" w14:textId="32032975" w:rsidR="00810591" w:rsidRPr="00B7215C" w:rsidRDefault="00810591" w:rsidP="00810591">
            <w:pPr>
              <w:rPr>
                <w:rFonts w:ascii="Arial" w:hAnsi="Arial"/>
                <w:b w:val="0"/>
                <w:sz w:val="22"/>
                <w:szCs w:val="22"/>
              </w:rPr>
            </w:pPr>
            <w:r w:rsidRPr="00B7215C">
              <w:rPr>
                <w:rFonts w:ascii="Arial" w:hAnsi="Arial"/>
                <w:b w:val="0"/>
                <w:i/>
                <w:sz w:val="22"/>
                <w:szCs w:val="22"/>
              </w:rPr>
              <w:lastRenderedPageBreak/>
              <w:t>Outcome 2 Civil Service Reform and Human Resource Management:</w:t>
            </w:r>
            <w:r w:rsidRPr="00B7215C">
              <w:rPr>
                <w:rFonts w:ascii="Arial" w:hAnsi="Arial"/>
                <w:b w:val="0"/>
                <w:sz w:val="22"/>
                <w:szCs w:val="22"/>
              </w:rPr>
              <w:t xml:space="preserve"> Performance of civil service is more professional and effective.</w:t>
            </w:r>
          </w:p>
          <w:p w14:paraId="7B725786" w14:textId="77777777" w:rsidR="00227865" w:rsidRPr="00B7215C" w:rsidRDefault="00227865" w:rsidP="00810591">
            <w:pPr>
              <w:rPr>
                <w:rFonts w:ascii="Arial" w:hAnsi="Arial"/>
                <w:b w:val="0"/>
                <w:sz w:val="22"/>
                <w:szCs w:val="22"/>
              </w:rPr>
            </w:pPr>
          </w:p>
          <w:p w14:paraId="5D03E851" w14:textId="77777777" w:rsidR="00227865" w:rsidRPr="00B7215C" w:rsidRDefault="00227865" w:rsidP="00227865">
            <w:pPr>
              <w:jc w:val="both"/>
              <w:rPr>
                <w:rFonts w:ascii="Arial" w:hAnsi="Arial"/>
                <w:b w:val="0"/>
                <w:i/>
                <w:sz w:val="22"/>
                <w:szCs w:val="22"/>
                <w:u w:val="single"/>
              </w:rPr>
            </w:pPr>
            <w:r w:rsidRPr="00B7215C">
              <w:rPr>
                <w:rFonts w:ascii="Arial" w:hAnsi="Arial"/>
                <w:b w:val="0"/>
                <w:i/>
                <w:sz w:val="22"/>
                <w:szCs w:val="22"/>
                <w:u w:val="single"/>
              </w:rPr>
              <w:t>Outcome Indicators</w:t>
            </w:r>
          </w:p>
          <w:p w14:paraId="1F9E076A" w14:textId="53514C79" w:rsidR="00810591" w:rsidRPr="00B7215C" w:rsidRDefault="00227865" w:rsidP="00EB743C">
            <w:pPr>
              <w:pStyle w:val="ListParagraph"/>
              <w:numPr>
                <w:ilvl w:val="0"/>
                <w:numId w:val="8"/>
              </w:numPr>
              <w:rPr>
                <w:rFonts w:ascii="Arial" w:hAnsi="Arial"/>
                <w:b w:val="0"/>
                <w:sz w:val="22"/>
                <w:szCs w:val="22"/>
              </w:rPr>
            </w:pPr>
            <w:r w:rsidRPr="00B7215C">
              <w:rPr>
                <w:rFonts w:ascii="Arial" w:hAnsi="Arial"/>
                <w:b w:val="0"/>
                <w:sz w:val="22"/>
                <w:szCs w:val="22"/>
              </w:rPr>
              <w:t>Share of female and male civil servants whose individual performance plans are in line with organizational strategic goals/objectives</w:t>
            </w:r>
          </w:p>
          <w:p w14:paraId="13EA01E8" w14:textId="31E18751" w:rsidR="00227865" w:rsidRPr="00B7215C" w:rsidRDefault="00227865" w:rsidP="00EB743C">
            <w:pPr>
              <w:pStyle w:val="ListParagraph"/>
              <w:numPr>
                <w:ilvl w:val="0"/>
                <w:numId w:val="8"/>
              </w:numPr>
              <w:rPr>
                <w:rFonts w:ascii="Arial" w:hAnsi="Arial"/>
                <w:b w:val="0"/>
                <w:sz w:val="22"/>
                <w:szCs w:val="22"/>
              </w:rPr>
            </w:pPr>
            <w:r w:rsidRPr="00B7215C">
              <w:rPr>
                <w:rFonts w:ascii="Arial" w:hAnsi="Arial"/>
                <w:b w:val="0"/>
                <w:sz w:val="22"/>
                <w:szCs w:val="22"/>
              </w:rPr>
              <w:t>Share of female and male civil servants satisfied with individual performance plans</w:t>
            </w:r>
          </w:p>
          <w:p w14:paraId="2C953C1F" w14:textId="77777777" w:rsidR="00227865" w:rsidRPr="00B7215C" w:rsidRDefault="00227865" w:rsidP="00EB743C">
            <w:pPr>
              <w:pStyle w:val="ListParagraph"/>
              <w:numPr>
                <w:ilvl w:val="0"/>
                <w:numId w:val="8"/>
              </w:numPr>
              <w:rPr>
                <w:rFonts w:ascii="Arial" w:hAnsi="Arial"/>
                <w:b w:val="0"/>
                <w:sz w:val="22"/>
                <w:szCs w:val="22"/>
              </w:rPr>
            </w:pPr>
            <w:r w:rsidRPr="00B7215C">
              <w:rPr>
                <w:rFonts w:ascii="Arial" w:hAnsi="Arial"/>
                <w:b w:val="0"/>
                <w:sz w:val="22"/>
                <w:szCs w:val="22"/>
              </w:rPr>
              <w:t>Qualify of drafted individual performance plans</w:t>
            </w:r>
          </w:p>
          <w:p w14:paraId="26D9B46C" w14:textId="040AC9E5" w:rsidR="00227865" w:rsidRPr="00227865" w:rsidRDefault="00227865" w:rsidP="00EB743C">
            <w:pPr>
              <w:pStyle w:val="ListParagraph"/>
              <w:numPr>
                <w:ilvl w:val="0"/>
                <w:numId w:val="8"/>
              </w:numPr>
              <w:rPr>
                <w:rFonts w:ascii="Arial" w:hAnsi="Arial"/>
                <w:sz w:val="22"/>
                <w:szCs w:val="22"/>
              </w:rPr>
            </w:pPr>
            <w:r w:rsidRPr="00B7215C">
              <w:rPr>
                <w:rFonts w:ascii="Arial" w:hAnsi="Arial"/>
                <w:b w:val="0"/>
                <w:sz w:val="22"/>
                <w:szCs w:val="22"/>
              </w:rPr>
              <w:lastRenderedPageBreak/>
              <w:t>Share of female and male civil servants who support project-relevant changes brought by civil service reform.</w:t>
            </w:r>
          </w:p>
        </w:tc>
        <w:tc>
          <w:tcPr>
            <w:tcW w:w="4788" w:type="dxa"/>
          </w:tcPr>
          <w:p w14:paraId="08EB5F71" w14:textId="3441A094" w:rsidR="00810591" w:rsidRPr="00BF7668" w:rsidRDefault="00810591" w:rsidP="003060E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BF7668">
              <w:rPr>
                <w:rFonts w:ascii="Arial" w:hAnsi="Arial"/>
                <w:sz w:val="22"/>
                <w:szCs w:val="22"/>
              </w:rPr>
              <w:lastRenderedPageBreak/>
              <w:t>Trained managers develop individual performance and professional development plans jointly with civil servants</w:t>
            </w:r>
          </w:p>
          <w:p w14:paraId="4F4C1154" w14:textId="4970B9E0" w:rsidR="00BF7668" w:rsidRPr="009746D5" w:rsidRDefault="00BF7668"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 xml:space="preserve">Share of female and male managers trained in elaboration </w:t>
            </w:r>
            <w:r w:rsidR="009746D5" w:rsidRPr="009746D5">
              <w:rPr>
                <w:rFonts w:ascii="Arial" w:hAnsi="Arial"/>
                <w:sz w:val="20"/>
                <w:szCs w:val="20"/>
              </w:rPr>
              <w:t>of professional development plans</w:t>
            </w:r>
          </w:p>
          <w:p w14:paraId="23CB3D8E" w14:textId="2D6C94E8"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Share of female and male civil servants that have professional development plans</w:t>
            </w:r>
          </w:p>
          <w:p w14:paraId="48B91B1C" w14:textId="77777777" w:rsidR="00810591" w:rsidRDefault="00810591" w:rsidP="00810591">
            <w:pPr>
              <w:ind w:left="342" w:hanging="342"/>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0051EFB2" w14:textId="4970724D" w:rsidR="00810591" w:rsidRPr="009746D5" w:rsidRDefault="00810591" w:rsidP="003060E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9746D5">
              <w:rPr>
                <w:rFonts w:ascii="Arial" w:hAnsi="Arial"/>
                <w:sz w:val="22"/>
                <w:szCs w:val="22"/>
              </w:rPr>
              <w:t>Accreditation system of civil servants’ training programs is operational</w:t>
            </w:r>
          </w:p>
          <w:p w14:paraId="39994ECA" w14:textId="77777777"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Number of accredited training programs</w:t>
            </w:r>
          </w:p>
          <w:p w14:paraId="7FC011F4" w14:textId="1D3280CC"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 xml:space="preserve">Number of female and male civil servants from all line ministries trained through </w:t>
            </w:r>
            <w:r w:rsidRPr="009746D5">
              <w:rPr>
                <w:rFonts w:ascii="Arial" w:hAnsi="Arial"/>
                <w:sz w:val="20"/>
                <w:szCs w:val="20"/>
              </w:rPr>
              <w:lastRenderedPageBreak/>
              <w:t xml:space="preserve">accredited programs </w:t>
            </w:r>
          </w:p>
          <w:p w14:paraId="62653011" w14:textId="77777777" w:rsidR="00810591" w:rsidRDefault="00810591" w:rsidP="00810591">
            <w:pPr>
              <w:ind w:left="342" w:hanging="342"/>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5EF1E30D" w14:textId="1A9C048A" w:rsidR="00810591" w:rsidRPr="009746D5" w:rsidRDefault="00810591" w:rsidP="003060E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9746D5">
              <w:rPr>
                <w:rFonts w:ascii="Arial" w:hAnsi="Arial"/>
                <w:sz w:val="22"/>
                <w:szCs w:val="22"/>
              </w:rPr>
              <w:t>Civil servants access learning opportunities online through unified platform</w:t>
            </w:r>
          </w:p>
          <w:p w14:paraId="3583C151" w14:textId="4B1F907C"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Share of female and male civil servants using the unified e-learning platform</w:t>
            </w:r>
          </w:p>
          <w:p w14:paraId="00A06103" w14:textId="77777777" w:rsidR="00810591" w:rsidRDefault="00810591" w:rsidP="00810591">
            <w:pPr>
              <w:ind w:left="342" w:hanging="342"/>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23B66A29" w14:textId="5C4D365F" w:rsidR="00810591" w:rsidRPr="009746D5" w:rsidRDefault="00810591" w:rsidP="003060E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9746D5">
              <w:rPr>
                <w:rFonts w:ascii="Arial" w:hAnsi="Arial"/>
                <w:sz w:val="22"/>
                <w:szCs w:val="22"/>
              </w:rPr>
              <w:t>Enhanced knowledge of female and male civil servants on civil service reform</w:t>
            </w:r>
          </w:p>
          <w:p w14:paraId="14F6D4C5" w14:textId="453C9118"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Number of female and male civil servants participating in Civil Servants’ Forum meetings</w:t>
            </w:r>
          </w:p>
          <w:p w14:paraId="3F9714B2" w14:textId="4DC9368E"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Share of female and male civil servants who report satisfaction with participation in forum meetings</w:t>
            </w:r>
          </w:p>
          <w:p w14:paraId="3B3EC738" w14:textId="4B0DD002"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Number of trained managers in management and civil service reform-related issues</w:t>
            </w:r>
          </w:p>
          <w:p w14:paraId="281377F8" w14:textId="77777777" w:rsidR="00810591" w:rsidRDefault="00810591" w:rsidP="00810591">
            <w:pPr>
              <w:ind w:left="342" w:hanging="342"/>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0DEE389B" w14:textId="321E140C" w:rsidR="00810591" w:rsidRPr="009746D5" w:rsidRDefault="00810591" w:rsidP="003060E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9746D5">
              <w:rPr>
                <w:rFonts w:ascii="Arial" w:hAnsi="Arial"/>
                <w:sz w:val="22"/>
                <w:szCs w:val="22"/>
              </w:rPr>
              <w:t>CSB has instruments to effectively manage civil service</w:t>
            </w:r>
          </w:p>
          <w:p w14:paraId="15BE6486" w14:textId="4C82F843"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Numbe</w:t>
            </w:r>
            <w:r w:rsidR="00C10DF1">
              <w:rPr>
                <w:rFonts w:ascii="Arial" w:hAnsi="Arial"/>
                <w:sz w:val="20"/>
                <w:szCs w:val="20"/>
              </w:rPr>
              <w:t>r of Human Resources (HR) Forum</w:t>
            </w:r>
            <w:r w:rsidRPr="009746D5">
              <w:rPr>
                <w:rFonts w:ascii="Arial" w:hAnsi="Arial"/>
                <w:sz w:val="20"/>
                <w:szCs w:val="20"/>
              </w:rPr>
              <w:t xml:space="preserve"> meetings held on key CSR issues</w:t>
            </w:r>
          </w:p>
          <w:p w14:paraId="6BF1B0F2" w14:textId="2798388E"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Electronic Human Resources Management System (HRMS) generates key statistics on civil service</w:t>
            </w:r>
          </w:p>
          <w:p w14:paraId="129CF4F7" w14:textId="5C1908CC"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Number of female and male civil servants trained in dispute management</w:t>
            </w:r>
          </w:p>
          <w:p w14:paraId="06FE436E" w14:textId="77777777" w:rsidR="00810591" w:rsidRDefault="00810591" w:rsidP="00810591">
            <w:pPr>
              <w:ind w:left="342" w:hanging="342"/>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636D75C3" w14:textId="2DEFA862" w:rsidR="00810591" w:rsidRPr="009746D5" w:rsidRDefault="00810591" w:rsidP="003060E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sidRPr="009746D5">
              <w:rPr>
                <w:rFonts w:ascii="Arial" w:hAnsi="Arial"/>
                <w:sz w:val="22"/>
                <w:szCs w:val="22"/>
              </w:rPr>
              <w:t>Civil Society Organization (CSO) initiatives supported through small grants scheme provide required research and expertise in designing inclusive policy, improving civil service and offer practical solutions to government</w:t>
            </w:r>
          </w:p>
          <w:p w14:paraId="477350CD" w14:textId="4461F152" w:rsidR="009746D5" w:rsidRPr="009746D5" w:rsidRDefault="009746D5" w:rsidP="003060E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46D5">
              <w:rPr>
                <w:rFonts w:ascii="Arial" w:hAnsi="Arial"/>
                <w:sz w:val="20"/>
                <w:szCs w:val="20"/>
              </w:rPr>
              <w:t>Number of CSO initiatives providing expertise to the government inclusive policy making process and civil service reform</w:t>
            </w:r>
          </w:p>
          <w:p w14:paraId="6870C219" w14:textId="77777777" w:rsidR="00810591" w:rsidRPr="00B64B81" w:rsidRDefault="00810591" w:rsidP="00810591">
            <w:pPr>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tc>
      </w:tr>
      <w:tr w:rsidR="00810591" w14:paraId="52CF3C95" w14:textId="77777777" w:rsidTr="00350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CF00D0A" w14:textId="2201B560" w:rsidR="00810591" w:rsidRPr="00B7215C" w:rsidRDefault="00810591" w:rsidP="00810591">
            <w:pPr>
              <w:rPr>
                <w:rFonts w:ascii="Arial" w:hAnsi="Arial"/>
                <w:b w:val="0"/>
                <w:sz w:val="22"/>
                <w:szCs w:val="22"/>
              </w:rPr>
            </w:pPr>
            <w:r w:rsidRPr="00B7215C">
              <w:rPr>
                <w:rFonts w:ascii="Arial" w:hAnsi="Arial"/>
                <w:b w:val="0"/>
                <w:i/>
                <w:sz w:val="22"/>
                <w:szCs w:val="22"/>
              </w:rPr>
              <w:lastRenderedPageBreak/>
              <w:t xml:space="preserve">Outcome 3 Public Service Delivery: </w:t>
            </w:r>
            <w:r w:rsidRPr="00B7215C">
              <w:rPr>
                <w:rFonts w:ascii="Arial" w:hAnsi="Arial"/>
                <w:b w:val="0"/>
                <w:sz w:val="22"/>
                <w:szCs w:val="22"/>
              </w:rPr>
              <w:t>The government delivers higher quality, (digitally) more accessible and inclusive services to citizens.</w:t>
            </w:r>
          </w:p>
          <w:p w14:paraId="103110FA" w14:textId="77777777" w:rsidR="00227865" w:rsidRPr="00B7215C" w:rsidRDefault="00227865" w:rsidP="00810591">
            <w:pPr>
              <w:rPr>
                <w:rFonts w:ascii="Arial" w:hAnsi="Arial"/>
                <w:b w:val="0"/>
                <w:sz w:val="22"/>
                <w:szCs w:val="22"/>
              </w:rPr>
            </w:pPr>
          </w:p>
          <w:p w14:paraId="45650037" w14:textId="77777777" w:rsidR="00227865" w:rsidRPr="00B7215C" w:rsidRDefault="00227865" w:rsidP="00810591">
            <w:pPr>
              <w:rPr>
                <w:rFonts w:ascii="Arial" w:hAnsi="Arial"/>
                <w:b w:val="0"/>
                <w:i/>
                <w:sz w:val="22"/>
                <w:szCs w:val="22"/>
                <w:u w:val="single"/>
              </w:rPr>
            </w:pPr>
            <w:r w:rsidRPr="00B7215C">
              <w:rPr>
                <w:rFonts w:ascii="Arial" w:hAnsi="Arial"/>
                <w:b w:val="0"/>
                <w:i/>
                <w:sz w:val="22"/>
                <w:szCs w:val="22"/>
                <w:u w:val="single"/>
              </w:rPr>
              <w:t>Outcome Indicators</w:t>
            </w:r>
          </w:p>
          <w:p w14:paraId="69ED7B54" w14:textId="42087F65" w:rsidR="00227865" w:rsidRPr="00B7215C" w:rsidRDefault="00227865" w:rsidP="00EB743C">
            <w:pPr>
              <w:pStyle w:val="ListParagraph"/>
              <w:numPr>
                <w:ilvl w:val="0"/>
                <w:numId w:val="9"/>
              </w:numPr>
              <w:rPr>
                <w:rFonts w:ascii="Arial" w:hAnsi="Arial"/>
                <w:b w:val="0"/>
                <w:sz w:val="22"/>
                <w:szCs w:val="22"/>
              </w:rPr>
            </w:pPr>
            <w:r w:rsidRPr="00B7215C">
              <w:rPr>
                <w:rFonts w:ascii="Arial" w:hAnsi="Arial"/>
                <w:b w:val="0"/>
                <w:sz w:val="22"/>
                <w:szCs w:val="22"/>
              </w:rPr>
              <w:t xml:space="preserve">Number of key service delivery agencies initiating implementation of disability inclusive unified service </w:t>
            </w:r>
            <w:r w:rsidRPr="00B7215C">
              <w:rPr>
                <w:rFonts w:ascii="Arial" w:hAnsi="Arial"/>
                <w:b w:val="0"/>
                <w:sz w:val="22"/>
                <w:szCs w:val="22"/>
              </w:rPr>
              <w:lastRenderedPageBreak/>
              <w:t>delivery standards</w:t>
            </w:r>
          </w:p>
          <w:p w14:paraId="7163C8CA" w14:textId="77777777" w:rsidR="00227865" w:rsidRPr="00227865" w:rsidRDefault="00227865" w:rsidP="00EB743C">
            <w:pPr>
              <w:pStyle w:val="ListParagraph"/>
              <w:numPr>
                <w:ilvl w:val="0"/>
                <w:numId w:val="9"/>
              </w:numPr>
              <w:rPr>
                <w:rFonts w:ascii="Arial" w:hAnsi="Arial"/>
                <w:b w:val="0"/>
                <w:sz w:val="22"/>
                <w:szCs w:val="22"/>
              </w:rPr>
            </w:pPr>
            <w:r w:rsidRPr="00B7215C">
              <w:rPr>
                <w:rFonts w:ascii="Arial" w:hAnsi="Arial"/>
                <w:b w:val="0"/>
                <w:sz w:val="22"/>
                <w:szCs w:val="22"/>
              </w:rPr>
              <w:t>Usage rate of the unified government services portal (my.gov.ge) increases</w:t>
            </w:r>
          </w:p>
        </w:tc>
        <w:tc>
          <w:tcPr>
            <w:tcW w:w="4788" w:type="dxa"/>
          </w:tcPr>
          <w:p w14:paraId="1175E71C" w14:textId="598C5502" w:rsidR="00FD00F3" w:rsidRDefault="00FD00F3" w:rsidP="00813258">
            <w:pPr>
              <w:ind w:left="342" w:hanging="342"/>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lastRenderedPageBreak/>
              <w:t>3.1 Public service delivery officials ready to use Unified Service Delivery Standards</w:t>
            </w:r>
          </w:p>
          <w:p w14:paraId="77A61BA5" w14:textId="64636DFC" w:rsidR="00FD00F3" w:rsidRPr="00FD00F3" w:rsidRDefault="00FD00F3" w:rsidP="00FD00F3">
            <w:pPr>
              <w:ind w:left="702" w:hanging="72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FD00F3">
              <w:rPr>
                <w:rFonts w:ascii="Arial" w:hAnsi="Arial"/>
                <w:sz w:val="20"/>
                <w:szCs w:val="20"/>
              </w:rPr>
              <w:t xml:space="preserve">3.1.1 </w:t>
            </w:r>
            <w:r>
              <w:rPr>
                <w:rFonts w:ascii="Arial" w:hAnsi="Arial"/>
                <w:sz w:val="20"/>
                <w:szCs w:val="20"/>
              </w:rPr>
              <w:t xml:space="preserve">    </w:t>
            </w:r>
            <w:r w:rsidRPr="00FD00F3">
              <w:rPr>
                <w:rFonts w:ascii="Arial" w:hAnsi="Arial"/>
                <w:sz w:val="20"/>
                <w:szCs w:val="20"/>
              </w:rPr>
              <w:t>Number of disability inclusive (where applicable) Unified Public Service Design and Delivery (UPSDD) methodological packages developed</w:t>
            </w:r>
          </w:p>
          <w:p w14:paraId="0C962B10" w14:textId="557F37E2" w:rsidR="009746D5" w:rsidRPr="00FD00F3" w:rsidRDefault="00FD00F3" w:rsidP="00FD00F3">
            <w:pPr>
              <w:ind w:left="702" w:hanging="72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FD00F3">
              <w:rPr>
                <w:rFonts w:ascii="Arial" w:hAnsi="Arial"/>
                <w:sz w:val="20"/>
                <w:szCs w:val="20"/>
              </w:rPr>
              <w:t xml:space="preserve">3.1.2 </w:t>
            </w:r>
            <w:r>
              <w:rPr>
                <w:rFonts w:ascii="Arial" w:hAnsi="Arial"/>
                <w:sz w:val="20"/>
                <w:szCs w:val="20"/>
              </w:rPr>
              <w:t xml:space="preserve">    </w:t>
            </w:r>
            <w:r w:rsidRPr="00FD00F3">
              <w:rPr>
                <w:rFonts w:ascii="Arial" w:hAnsi="Arial"/>
                <w:sz w:val="20"/>
                <w:szCs w:val="20"/>
              </w:rPr>
              <w:t>Number of female and male civil servants trained under each of UPSDD packages</w:t>
            </w:r>
          </w:p>
          <w:p w14:paraId="47CC062E" w14:textId="0C8FC30E" w:rsidR="00FD00F3" w:rsidRPr="00FD00F3" w:rsidRDefault="00FD00F3" w:rsidP="00FD00F3">
            <w:pPr>
              <w:ind w:left="702" w:hanging="72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FD00F3">
              <w:rPr>
                <w:rFonts w:ascii="Arial" w:hAnsi="Arial"/>
                <w:sz w:val="20"/>
                <w:szCs w:val="20"/>
              </w:rPr>
              <w:t xml:space="preserve">3.1.3 </w:t>
            </w:r>
            <w:r>
              <w:rPr>
                <w:rFonts w:ascii="Arial" w:hAnsi="Arial"/>
                <w:sz w:val="20"/>
                <w:szCs w:val="20"/>
              </w:rPr>
              <w:t xml:space="preserve">   </w:t>
            </w:r>
            <w:r w:rsidRPr="00FD00F3">
              <w:rPr>
                <w:rFonts w:ascii="Arial" w:hAnsi="Arial"/>
                <w:sz w:val="20"/>
                <w:szCs w:val="20"/>
              </w:rPr>
              <w:t xml:space="preserve">Number of agencies implementing new </w:t>
            </w:r>
            <w:r w:rsidRPr="00FD00F3">
              <w:rPr>
                <w:rFonts w:ascii="Arial" w:hAnsi="Arial"/>
                <w:sz w:val="20"/>
                <w:szCs w:val="20"/>
              </w:rPr>
              <w:lastRenderedPageBreak/>
              <w:t>quality assurance standards in line with UPSDD</w:t>
            </w:r>
          </w:p>
          <w:p w14:paraId="00AF5B8B" w14:textId="77777777" w:rsidR="00810591" w:rsidRDefault="00810591"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5B0E9062" w14:textId="77777777" w:rsidR="00810591" w:rsidRDefault="00810591" w:rsidP="00813258">
            <w:pPr>
              <w:ind w:left="432" w:hanging="432"/>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3.2 More services and data are accessible in digital format on unified government portals and the uptake of services are increased</w:t>
            </w:r>
          </w:p>
          <w:p w14:paraId="598DE9FB" w14:textId="023A9D6C" w:rsidR="00FD00F3" w:rsidRPr="00FD00F3" w:rsidRDefault="00FD00F3" w:rsidP="00FD00F3">
            <w:pPr>
              <w:ind w:left="702" w:hanging="702"/>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FD00F3">
              <w:rPr>
                <w:rFonts w:ascii="Arial" w:hAnsi="Arial"/>
                <w:sz w:val="20"/>
                <w:szCs w:val="20"/>
              </w:rPr>
              <w:t xml:space="preserve">3.2.1 </w:t>
            </w:r>
            <w:r>
              <w:rPr>
                <w:rFonts w:ascii="Arial" w:hAnsi="Arial"/>
                <w:sz w:val="20"/>
                <w:szCs w:val="20"/>
              </w:rPr>
              <w:t xml:space="preserve">   </w:t>
            </w:r>
            <w:r w:rsidRPr="00FD00F3">
              <w:rPr>
                <w:rFonts w:ascii="Arial" w:hAnsi="Arial"/>
                <w:sz w:val="20"/>
                <w:szCs w:val="20"/>
              </w:rPr>
              <w:t>Number of new services accessible on my.gov.ge</w:t>
            </w:r>
          </w:p>
          <w:p w14:paraId="3456186D" w14:textId="27F0434D" w:rsidR="00FD00F3" w:rsidRPr="00FD00F3" w:rsidRDefault="00FD00F3" w:rsidP="00FD00F3">
            <w:pPr>
              <w:ind w:left="702" w:hanging="702"/>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FD00F3">
              <w:rPr>
                <w:rFonts w:ascii="Arial" w:hAnsi="Arial"/>
                <w:sz w:val="20"/>
                <w:szCs w:val="20"/>
              </w:rPr>
              <w:t xml:space="preserve">3.2.2 </w:t>
            </w:r>
            <w:r>
              <w:rPr>
                <w:rFonts w:ascii="Arial" w:hAnsi="Arial"/>
                <w:sz w:val="20"/>
                <w:szCs w:val="20"/>
              </w:rPr>
              <w:t xml:space="preserve">   </w:t>
            </w:r>
            <w:r w:rsidR="00813258">
              <w:rPr>
                <w:rFonts w:ascii="Arial" w:hAnsi="Arial"/>
                <w:sz w:val="20"/>
                <w:szCs w:val="20"/>
              </w:rPr>
              <w:t xml:space="preserve"> </w:t>
            </w:r>
            <w:r w:rsidRPr="00FD00F3">
              <w:rPr>
                <w:rFonts w:ascii="Arial" w:hAnsi="Arial"/>
                <w:sz w:val="20"/>
                <w:szCs w:val="20"/>
              </w:rPr>
              <w:t>Number of citizens covered by public relations and information outreach</w:t>
            </w:r>
          </w:p>
          <w:p w14:paraId="6257867C" w14:textId="77777777" w:rsidR="00FD00F3" w:rsidRPr="00B64B81" w:rsidRDefault="00FD00F3" w:rsidP="0081059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bl>
    <w:p w14:paraId="2922FCAB" w14:textId="77777777" w:rsidR="00810591" w:rsidRDefault="00810591" w:rsidP="006C5733">
      <w:pPr>
        <w:jc w:val="both"/>
        <w:rPr>
          <w:rFonts w:ascii="Arial" w:hAnsi="Arial"/>
          <w:sz w:val="22"/>
          <w:szCs w:val="22"/>
        </w:rPr>
      </w:pPr>
    </w:p>
    <w:p w14:paraId="3A9D4C68" w14:textId="7BDC427B" w:rsidR="00FC5873" w:rsidRDefault="00FC5873" w:rsidP="006C5733">
      <w:pPr>
        <w:jc w:val="both"/>
        <w:rPr>
          <w:rFonts w:ascii="Arial" w:hAnsi="Arial"/>
          <w:sz w:val="22"/>
          <w:szCs w:val="22"/>
        </w:rPr>
      </w:pPr>
      <w:r>
        <w:rPr>
          <w:rFonts w:ascii="Arial" w:hAnsi="Arial"/>
          <w:sz w:val="22"/>
          <w:szCs w:val="22"/>
        </w:rPr>
        <w:t xml:space="preserve">Georgia’s development partners share the </w:t>
      </w:r>
      <w:proofErr w:type="spellStart"/>
      <w:r>
        <w:rPr>
          <w:rFonts w:ascii="Arial" w:hAnsi="Arial"/>
          <w:sz w:val="22"/>
          <w:szCs w:val="22"/>
        </w:rPr>
        <w:t>GoG’s</w:t>
      </w:r>
      <w:proofErr w:type="spellEnd"/>
      <w:r>
        <w:rPr>
          <w:rFonts w:ascii="Arial" w:hAnsi="Arial"/>
          <w:sz w:val="22"/>
          <w:szCs w:val="22"/>
        </w:rPr>
        <w:t xml:space="preserve"> prioritization and interest of PAR. The main </w:t>
      </w:r>
      <w:r w:rsidR="00E13CE5">
        <w:rPr>
          <w:rFonts w:ascii="Arial" w:hAnsi="Arial"/>
          <w:sz w:val="22"/>
          <w:szCs w:val="22"/>
        </w:rPr>
        <w:t xml:space="preserve">partners are the EU, U.S.AID, UNDP, UK Government, Sweden’s SIDA, and Germany’s GIZ. </w:t>
      </w:r>
      <w:r w:rsidR="00A32192">
        <w:rPr>
          <w:rFonts w:ascii="Arial" w:hAnsi="Arial"/>
          <w:sz w:val="22"/>
          <w:szCs w:val="22"/>
        </w:rPr>
        <w:t xml:space="preserve">A review of the development landscape helps to put the PAR project in context of other development partner activities. </w:t>
      </w:r>
      <w:r w:rsidR="0071717E">
        <w:rPr>
          <w:rFonts w:ascii="Arial" w:hAnsi="Arial"/>
          <w:sz w:val="22"/>
          <w:szCs w:val="22"/>
        </w:rPr>
        <w:t>The following is a description of the key projects, not all PAR development partner projects.</w:t>
      </w:r>
    </w:p>
    <w:p w14:paraId="757BA1FA" w14:textId="77777777" w:rsidR="00E13CE5" w:rsidRDefault="00E13CE5" w:rsidP="006C5733">
      <w:pPr>
        <w:jc w:val="both"/>
        <w:rPr>
          <w:rFonts w:ascii="Arial" w:hAnsi="Arial"/>
          <w:sz w:val="22"/>
          <w:szCs w:val="22"/>
        </w:rPr>
      </w:pPr>
    </w:p>
    <w:p w14:paraId="1D0E0B0D" w14:textId="603C8A91" w:rsidR="00E13CE5" w:rsidRDefault="00E13CE5" w:rsidP="006C5733">
      <w:pPr>
        <w:jc w:val="both"/>
        <w:rPr>
          <w:rFonts w:ascii="Arial" w:hAnsi="Arial"/>
          <w:sz w:val="22"/>
          <w:szCs w:val="22"/>
        </w:rPr>
      </w:pPr>
      <w:r>
        <w:rPr>
          <w:rFonts w:ascii="Arial" w:hAnsi="Arial"/>
          <w:sz w:val="22"/>
          <w:szCs w:val="22"/>
        </w:rPr>
        <w:t xml:space="preserve">The EU’s partnership is to facilitate the Association Agreement commitments and work with the </w:t>
      </w:r>
      <w:proofErr w:type="spellStart"/>
      <w:r>
        <w:rPr>
          <w:rFonts w:ascii="Arial" w:hAnsi="Arial"/>
          <w:sz w:val="22"/>
          <w:szCs w:val="22"/>
        </w:rPr>
        <w:t>GoG</w:t>
      </w:r>
      <w:proofErr w:type="spellEnd"/>
      <w:r>
        <w:rPr>
          <w:rFonts w:ascii="Arial" w:hAnsi="Arial"/>
          <w:sz w:val="22"/>
          <w:szCs w:val="22"/>
        </w:rPr>
        <w:t xml:space="preserve"> to keep PAR as </w:t>
      </w:r>
      <w:r w:rsidR="00EB743C">
        <w:rPr>
          <w:rFonts w:ascii="Arial" w:hAnsi="Arial"/>
          <w:sz w:val="22"/>
          <w:szCs w:val="22"/>
        </w:rPr>
        <w:t>a priority. OECD/SIGMA</w:t>
      </w:r>
      <w:r>
        <w:rPr>
          <w:rFonts w:ascii="Arial" w:hAnsi="Arial"/>
          <w:sz w:val="22"/>
          <w:szCs w:val="22"/>
        </w:rPr>
        <w:t xml:space="preserve"> had helped with the formulation of the PAR Roadmap 2016-20 and has provided assessment and advisory services on policy planning as well as input into the formulation of the new PAR Roadmap. The EU provided 3.6 million euro to support PAR in 2019-20 to strengthen the institutional capacity of the main PAR stakeholders as well as ministries and agencies.</w:t>
      </w:r>
      <w:r w:rsidR="00B7215C">
        <w:rPr>
          <w:rStyle w:val="FootnoteReference"/>
          <w:rFonts w:ascii="Arial" w:hAnsi="Arial"/>
          <w:sz w:val="22"/>
          <w:szCs w:val="22"/>
        </w:rPr>
        <w:footnoteReference w:id="17"/>
      </w:r>
      <w:r>
        <w:rPr>
          <w:rFonts w:ascii="Arial" w:hAnsi="Arial"/>
          <w:sz w:val="22"/>
          <w:szCs w:val="22"/>
        </w:rPr>
        <w:t xml:space="preserve"> The EU also supported a two-year 1.2 million euro twinning project between the CSB and the Republic of Lithuania.</w:t>
      </w:r>
      <w:r>
        <w:rPr>
          <w:rStyle w:val="FootnoteReference"/>
          <w:rFonts w:ascii="Arial" w:hAnsi="Arial"/>
          <w:sz w:val="22"/>
          <w:szCs w:val="22"/>
        </w:rPr>
        <w:footnoteReference w:id="18"/>
      </w:r>
      <w:r>
        <w:rPr>
          <w:rFonts w:ascii="Arial" w:hAnsi="Arial"/>
          <w:sz w:val="22"/>
          <w:szCs w:val="22"/>
        </w:rPr>
        <w:t xml:space="preserve"> The EU has also supported a large-scale CSO initiative to build alternative monitoring mechanisms to support PAR and build capacity of CSOs to contribute to the oversight and</w:t>
      </w:r>
      <w:r w:rsidR="00A32192">
        <w:rPr>
          <w:rFonts w:ascii="Arial" w:hAnsi="Arial"/>
          <w:sz w:val="22"/>
          <w:szCs w:val="22"/>
        </w:rPr>
        <w:t xml:space="preserve"> implementation of PAR.</w:t>
      </w:r>
    </w:p>
    <w:p w14:paraId="7EE10DE9" w14:textId="77777777" w:rsidR="00A32192" w:rsidRDefault="00A32192" w:rsidP="006C5733">
      <w:pPr>
        <w:jc w:val="both"/>
        <w:rPr>
          <w:rFonts w:ascii="Arial" w:hAnsi="Arial"/>
          <w:sz w:val="22"/>
          <w:szCs w:val="22"/>
        </w:rPr>
      </w:pPr>
    </w:p>
    <w:p w14:paraId="11AEA15F" w14:textId="375CA193" w:rsidR="00A32192" w:rsidRDefault="00A32192" w:rsidP="006C5733">
      <w:pPr>
        <w:jc w:val="both"/>
        <w:rPr>
          <w:rFonts w:ascii="Arial" w:hAnsi="Arial"/>
          <w:sz w:val="22"/>
          <w:szCs w:val="22"/>
        </w:rPr>
      </w:pPr>
      <w:r>
        <w:rPr>
          <w:rFonts w:ascii="Arial" w:hAnsi="Arial"/>
          <w:sz w:val="22"/>
          <w:szCs w:val="22"/>
        </w:rPr>
        <w:t>USAID supports the 5-year Good Governance Initiative (GGI) that was extend</w:t>
      </w:r>
      <w:r w:rsidR="007A276D">
        <w:rPr>
          <w:rFonts w:ascii="Arial" w:hAnsi="Arial"/>
          <w:sz w:val="22"/>
          <w:szCs w:val="22"/>
        </w:rPr>
        <w:t>ed to April 2022. The project addresses</w:t>
      </w:r>
      <w:r>
        <w:rPr>
          <w:rFonts w:ascii="Arial" w:hAnsi="Arial"/>
          <w:sz w:val="22"/>
          <w:szCs w:val="22"/>
        </w:rPr>
        <w:t xml:space="preserve"> all PAR Roadmap components. An emphasis of the project is on accountability and an open government partnership. Other area</w:t>
      </w:r>
      <w:r w:rsidR="007A276D">
        <w:rPr>
          <w:rFonts w:ascii="Arial" w:hAnsi="Arial"/>
          <w:sz w:val="22"/>
          <w:szCs w:val="22"/>
        </w:rPr>
        <w:t>s addressed</w:t>
      </w:r>
      <w:r>
        <w:rPr>
          <w:rFonts w:ascii="Arial" w:hAnsi="Arial"/>
          <w:sz w:val="22"/>
          <w:szCs w:val="22"/>
        </w:rPr>
        <w:t xml:space="preserve"> include local government and decentralization reform, civil service and public service delivery reform, financial management</w:t>
      </w:r>
      <w:r w:rsidR="007A276D">
        <w:rPr>
          <w:rFonts w:ascii="Arial" w:hAnsi="Arial"/>
          <w:sz w:val="22"/>
          <w:szCs w:val="22"/>
        </w:rPr>
        <w:t xml:space="preserve"> improvements,</w:t>
      </w:r>
      <w:r>
        <w:rPr>
          <w:rFonts w:ascii="Arial" w:hAnsi="Arial"/>
          <w:sz w:val="22"/>
          <w:szCs w:val="22"/>
        </w:rPr>
        <w:t xml:space="preserve"> and work with the Parliament. </w:t>
      </w:r>
    </w:p>
    <w:p w14:paraId="71D5EA43" w14:textId="77777777" w:rsidR="00A32192" w:rsidRDefault="00A32192" w:rsidP="006C5733">
      <w:pPr>
        <w:jc w:val="both"/>
        <w:rPr>
          <w:rFonts w:ascii="Arial" w:hAnsi="Arial"/>
          <w:sz w:val="22"/>
          <w:szCs w:val="22"/>
        </w:rPr>
      </w:pPr>
    </w:p>
    <w:p w14:paraId="3E2C9649" w14:textId="6408E749" w:rsidR="00A32192" w:rsidRDefault="00A32192" w:rsidP="006C5733">
      <w:pPr>
        <w:jc w:val="both"/>
        <w:rPr>
          <w:rFonts w:ascii="Arial" w:hAnsi="Arial"/>
          <w:sz w:val="22"/>
          <w:szCs w:val="22"/>
        </w:rPr>
      </w:pPr>
      <w:r>
        <w:rPr>
          <w:rFonts w:ascii="Arial" w:hAnsi="Arial"/>
          <w:sz w:val="22"/>
          <w:szCs w:val="22"/>
        </w:rPr>
        <w:t>SIDA provides support t</w:t>
      </w:r>
      <w:r w:rsidR="007A276D">
        <w:rPr>
          <w:rFonts w:ascii="Arial" w:hAnsi="Arial"/>
          <w:sz w:val="22"/>
          <w:szCs w:val="22"/>
        </w:rPr>
        <w:t>o UNDP’s GRF</w:t>
      </w:r>
      <w:r>
        <w:rPr>
          <w:rFonts w:ascii="Arial" w:hAnsi="Arial"/>
          <w:sz w:val="22"/>
          <w:szCs w:val="22"/>
        </w:rPr>
        <w:t xml:space="preserve">. The </w:t>
      </w:r>
      <w:r w:rsidR="007A276D">
        <w:rPr>
          <w:rFonts w:ascii="Arial" w:hAnsi="Arial"/>
          <w:sz w:val="22"/>
          <w:szCs w:val="22"/>
        </w:rPr>
        <w:t xml:space="preserve">PAR </w:t>
      </w:r>
      <w:r w:rsidR="00C87B8F">
        <w:rPr>
          <w:rFonts w:ascii="Arial" w:hAnsi="Arial"/>
          <w:sz w:val="22"/>
          <w:szCs w:val="22"/>
        </w:rPr>
        <w:t xml:space="preserve">project </w:t>
      </w:r>
      <w:r w:rsidR="007A276D">
        <w:rPr>
          <w:rFonts w:ascii="Arial" w:hAnsi="Arial"/>
          <w:sz w:val="22"/>
          <w:szCs w:val="22"/>
        </w:rPr>
        <w:t xml:space="preserve">was formerly part of the </w:t>
      </w:r>
      <w:r>
        <w:rPr>
          <w:rFonts w:ascii="Arial" w:hAnsi="Arial"/>
          <w:sz w:val="22"/>
          <w:szCs w:val="22"/>
        </w:rPr>
        <w:t>GRF</w:t>
      </w:r>
      <w:r w:rsidR="007A276D">
        <w:rPr>
          <w:rFonts w:ascii="Arial" w:hAnsi="Arial"/>
          <w:sz w:val="22"/>
          <w:szCs w:val="22"/>
        </w:rPr>
        <w:t xml:space="preserve"> before evolving to a stand-alone project.</w:t>
      </w:r>
      <w:r>
        <w:rPr>
          <w:rFonts w:ascii="Arial" w:hAnsi="Arial"/>
          <w:sz w:val="22"/>
          <w:szCs w:val="22"/>
        </w:rPr>
        <w:t xml:space="preserve"> </w:t>
      </w:r>
      <w:r w:rsidR="007A276D">
        <w:rPr>
          <w:rFonts w:ascii="Arial" w:hAnsi="Arial"/>
          <w:sz w:val="22"/>
          <w:szCs w:val="22"/>
        </w:rPr>
        <w:t xml:space="preserve">The GRF </w:t>
      </w:r>
      <w:r>
        <w:rPr>
          <w:rFonts w:ascii="Arial" w:hAnsi="Arial"/>
          <w:sz w:val="22"/>
          <w:szCs w:val="22"/>
        </w:rPr>
        <w:t>supports government agency institutional strengthening. There have been collaborative efforts between the PAR project and the GRF to include civil service reform and adapting services to the people with disabilities and special needs.</w:t>
      </w:r>
    </w:p>
    <w:p w14:paraId="7C5DA7E9" w14:textId="77777777" w:rsidR="00A32192" w:rsidRDefault="00A32192" w:rsidP="006C5733">
      <w:pPr>
        <w:jc w:val="both"/>
        <w:rPr>
          <w:rFonts w:ascii="Arial" w:hAnsi="Arial"/>
          <w:sz w:val="22"/>
          <w:szCs w:val="22"/>
        </w:rPr>
      </w:pPr>
    </w:p>
    <w:p w14:paraId="7B3CB116" w14:textId="77777777" w:rsidR="00AE0487" w:rsidRDefault="00A32192" w:rsidP="006C5733">
      <w:pPr>
        <w:jc w:val="both"/>
        <w:rPr>
          <w:rFonts w:ascii="Arial" w:hAnsi="Arial"/>
          <w:sz w:val="22"/>
          <w:szCs w:val="22"/>
        </w:rPr>
      </w:pPr>
      <w:r>
        <w:rPr>
          <w:rFonts w:ascii="Arial" w:hAnsi="Arial"/>
          <w:sz w:val="22"/>
          <w:szCs w:val="22"/>
        </w:rPr>
        <w:lastRenderedPageBreak/>
        <w:t>GI</w:t>
      </w:r>
      <w:r w:rsidR="00AE0487">
        <w:rPr>
          <w:rFonts w:ascii="Arial" w:hAnsi="Arial"/>
          <w:sz w:val="22"/>
          <w:szCs w:val="22"/>
        </w:rPr>
        <w:t>Z</w:t>
      </w:r>
      <w:r>
        <w:rPr>
          <w:rFonts w:ascii="Arial" w:hAnsi="Arial"/>
          <w:sz w:val="22"/>
          <w:szCs w:val="22"/>
        </w:rPr>
        <w:t xml:space="preserve"> focuses on local governance and decentralization and emphasizes service delivery improvements, public participation at the local level, and local economic development. </w:t>
      </w:r>
      <w:r w:rsidR="00AE0487">
        <w:rPr>
          <w:rFonts w:ascii="Arial" w:hAnsi="Arial"/>
          <w:sz w:val="22"/>
          <w:szCs w:val="22"/>
        </w:rPr>
        <w:t>GIZ also continues to work on public finance reform at the central and local levels.</w:t>
      </w:r>
    </w:p>
    <w:p w14:paraId="7AFDCBF2" w14:textId="77777777" w:rsidR="00AE0487" w:rsidRDefault="00AE0487" w:rsidP="006C5733">
      <w:pPr>
        <w:jc w:val="both"/>
        <w:rPr>
          <w:rFonts w:ascii="Arial" w:hAnsi="Arial"/>
          <w:sz w:val="22"/>
          <w:szCs w:val="22"/>
        </w:rPr>
      </w:pPr>
    </w:p>
    <w:p w14:paraId="799209AE" w14:textId="77F58B68" w:rsidR="00A32192" w:rsidRDefault="00AE0487" w:rsidP="006C5733">
      <w:pPr>
        <w:jc w:val="both"/>
        <w:rPr>
          <w:rFonts w:ascii="Arial" w:hAnsi="Arial"/>
          <w:sz w:val="22"/>
          <w:szCs w:val="22"/>
        </w:rPr>
      </w:pPr>
      <w:r>
        <w:rPr>
          <w:rFonts w:ascii="Arial" w:hAnsi="Arial"/>
          <w:sz w:val="22"/>
          <w:szCs w:val="22"/>
        </w:rPr>
        <w:t xml:space="preserve">UNDP has a variety of </w:t>
      </w:r>
      <w:r w:rsidR="0071717E">
        <w:rPr>
          <w:rFonts w:ascii="Arial" w:hAnsi="Arial"/>
          <w:sz w:val="22"/>
          <w:szCs w:val="22"/>
        </w:rPr>
        <w:t>projects within</w:t>
      </w:r>
      <w:r w:rsidR="00B6564F">
        <w:rPr>
          <w:rFonts w:ascii="Arial" w:hAnsi="Arial"/>
          <w:sz w:val="22"/>
          <w:szCs w:val="22"/>
        </w:rPr>
        <w:t xml:space="preserve"> its democratic governance program. In addition to the GRF, the projects include: consolidating parliamentary democracy in Georgia, protecting the rights of persons with disabilities in Georgia, mediation and arbitration, fostering decentralization and good governance at the local level, </w:t>
      </w:r>
      <w:r w:rsidR="0071717E">
        <w:rPr>
          <w:rFonts w:ascii="Arial" w:hAnsi="Arial"/>
          <w:sz w:val="22"/>
          <w:szCs w:val="22"/>
        </w:rPr>
        <w:t xml:space="preserve">fostering regional and local development in Georgia, UN Joint </w:t>
      </w:r>
      <w:proofErr w:type="spellStart"/>
      <w:r w:rsidR="0071717E">
        <w:rPr>
          <w:rFonts w:ascii="Arial" w:hAnsi="Arial"/>
          <w:sz w:val="22"/>
          <w:szCs w:val="22"/>
        </w:rPr>
        <w:t>Programme</w:t>
      </w:r>
      <w:proofErr w:type="spellEnd"/>
      <w:r w:rsidR="0071717E">
        <w:rPr>
          <w:rFonts w:ascii="Arial" w:hAnsi="Arial"/>
          <w:sz w:val="22"/>
          <w:szCs w:val="22"/>
        </w:rPr>
        <w:t xml:space="preserve"> for gender equality in Georgia, and assisting Georgia’s government and local communities in mitigating </w:t>
      </w:r>
      <w:r w:rsidR="007A276D">
        <w:rPr>
          <w:rFonts w:ascii="Arial" w:hAnsi="Arial"/>
          <w:sz w:val="22"/>
          <w:szCs w:val="22"/>
        </w:rPr>
        <w:t xml:space="preserve">the </w:t>
      </w:r>
      <w:r w:rsidR="0071717E">
        <w:rPr>
          <w:rFonts w:ascii="Arial" w:hAnsi="Arial"/>
          <w:sz w:val="22"/>
          <w:szCs w:val="22"/>
        </w:rPr>
        <w:t xml:space="preserve">COVID-19 impact. </w:t>
      </w:r>
    </w:p>
    <w:p w14:paraId="5219FB62" w14:textId="77777777" w:rsidR="006C5733" w:rsidRDefault="006C5733" w:rsidP="006C5733">
      <w:pPr>
        <w:jc w:val="both"/>
        <w:rPr>
          <w:rFonts w:ascii="Arial" w:hAnsi="Arial"/>
          <w:sz w:val="22"/>
          <w:szCs w:val="22"/>
        </w:rPr>
      </w:pPr>
    </w:p>
    <w:p w14:paraId="03C393C5" w14:textId="14B47B6D" w:rsidR="006C5733" w:rsidRPr="006C5733" w:rsidRDefault="006C5733" w:rsidP="006C5733">
      <w:pPr>
        <w:jc w:val="both"/>
        <w:rPr>
          <w:rFonts w:ascii="Arial" w:hAnsi="Arial"/>
          <w:sz w:val="22"/>
          <w:szCs w:val="22"/>
        </w:rPr>
      </w:pPr>
      <w:r w:rsidRPr="004B754B">
        <w:rPr>
          <w:rFonts w:ascii="Arial" w:hAnsi="Arial"/>
          <w:sz w:val="22"/>
          <w:szCs w:val="22"/>
        </w:rPr>
        <w:t>The Evaluator would like to thank the project</w:t>
      </w:r>
      <w:r>
        <w:rPr>
          <w:rFonts w:ascii="Arial" w:hAnsi="Arial"/>
          <w:sz w:val="22"/>
          <w:szCs w:val="22"/>
        </w:rPr>
        <w:t xml:space="preserve"> team for their collaboration and coordination of the assignment. The assignment was im</w:t>
      </w:r>
      <w:r w:rsidR="00C87B8F">
        <w:rPr>
          <w:rFonts w:ascii="Arial" w:hAnsi="Arial"/>
          <w:sz w:val="22"/>
          <w:szCs w:val="22"/>
        </w:rPr>
        <w:t xml:space="preserve">plemented in a short time frame </w:t>
      </w:r>
      <w:r w:rsidR="00EB743C">
        <w:rPr>
          <w:rFonts w:ascii="Arial" w:hAnsi="Arial"/>
          <w:sz w:val="22"/>
          <w:szCs w:val="22"/>
        </w:rPr>
        <w:t xml:space="preserve">near </w:t>
      </w:r>
      <w:r w:rsidR="00C33F96">
        <w:rPr>
          <w:rFonts w:ascii="Arial" w:hAnsi="Arial"/>
          <w:sz w:val="22"/>
          <w:szCs w:val="22"/>
        </w:rPr>
        <w:t>project end</w:t>
      </w:r>
      <w:r w:rsidR="00C87B8F">
        <w:rPr>
          <w:rFonts w:ascii="Arial" w:hAnsi="Arial"/>
          <w:sz w:val="22"/>
          <w:szCs w:val="22"/>
        </w:rPr>
        <w:t>. T</w:t>
      </w:r>
      <w:r>
        <w:rPr>
          <w:rFonts w:ascii="Arial" w:hAnsi="Arial"/>
          <w:sz w:val="22"/>
          <w:szCs w:val="22"/>
        </w:rPr>
        <w:t xml:space="preserve">he </w:t>
      </w:r>
      <w:r w:rsidR="00C87B8F">
        <w:rPr>
          <w:rFonts w:ascii="Arial" w:hAnsi="Arial"/>
          <w:sz w:val="22"/>
          <w:szCs w:val="22"/>
        </w:rPr>
        <w:t>project team’s efforts</w:t>
      </w:r>
      <w:r>
        <w:rPr>
          <w:rFonts w:ascii="Arial" w:hAnsi="Arial"/>
          <w:sz w:val="22"/>
          <w:szCs w:val="22"/>
        </w:rPr>
        <w:t xml:space="preserve"> to provide the necessary documentation, coordinate meetings, and</w:t>
      </w:r>
      <w:r w:rsidR="00C87B8F">
        <w:rPr>
          <w:rFonts w:ascii="Arial" w:hAnsi="Arial"/>
          <w:sz w:val="22"/>
          <w:szCs w:val="22"/>
        </w:rPr>
        <w:t xml:space="preserve"> provide insights helped</w:t>
      </w:r>
      <w:r>
        <w:rPr>
          <w:rFonts w:ascii="Arial" w:hAnsi="Arial"/>
          <w:sz w:val="22"/>
          <w:szCs w:val="22"/>
        </w:rPr>
        <w:t xml:space="preserve"> the a</w:t>
      </w:r>
      <w:r w:rsidR="001C3009">
        <w:rPr>
          <w:rFonts w:ascii="Arial" w:hAnsi="Arial"/>
          <w:sz w:val="22"/>
          <w:szCs w:val="22"/>
        </w:rPr>
        <w:t>ssignment proceed smoothly. Their effort is especially commendable given that they were also ending project activities while planning for the next</w:t>
      </w:r>
      <w:r w:rsidR="004D7700">
        <w:rPr>
          <w:rFonts w:ascii="Arial" w:hAnsi="Arial"/>
          <w:sz w:val="22"/>
          <w:szCs w:val="22"/>
        </w:rPr>
        <w:t xml:space="preserve"> project phase</w:t>
      </w:r>
      <w:r w:rsidR="001C3009">
        <w:rPr>
          <w:rFonts w:ascii="Arial" w:hAnsi="Arial"/>
          <w:sz w:val="22"/>
          <w:szCs w:val="22"/>
        </w:rPr>
        <w:t>. And, all this was done during the COVID-19 pandemic so extra efforts were needed given the</w:t>
      </w:r>
      <w:r w:rsidR="00C33F96">
        <w:rPr>
          <w:rFonts w:ascii="Arial" w:hAnsi="Arial"/>
          <w:sz w:val="22"/>
          <w:szCs w:val="22"/>
        </w:rPr>
        <w:t xml:space="preserve"> collection of information </w:t>
      </w:r>
      <w:r w:rsidR="007A276D">
        <w:rPr>
          <w:rFonts w:ascii="Arial" w:hAnsi="Arial"/>
          <w:sz w:val="22"/>
          <w:szCs w:val="22"/>
        </w:rPr>
        <w:t xml:space="preserve">from </w:t>
      </w:r>
      <w:r w:rsidR="00C33F96">
        <w:rPr>
          <w:rFonts w:ascii="Arial" w:hAnsi="Arial"/>
          <w:sz w:val="22"/>
          <w:szCs w:val="22"/>
        </w:rPr>
        <w:t>various sources</w:t>
      </w:r>
      <w:r w:rsidR="007A276D">
        <w:rPr>
          <w:rFonts w:ascii="Arial" w:hAnsi="Arial"/>
          <w:sz w:val="22"/>
          <w:szCs w:val="22"/>
        </w:rPr>
        <w:t>,</w:t>
      </w:r>
      <w:r w:rsidR="00C33F96">
        <w:rPr>
          <w:rFonts w:ascii="Arial" w:hAnsi="Arial"/>
          <w:sz w:val="22"/>
          <w:szCs w:val="22"/>
        </w:rPr>
        <w:t xml:space="preserve"> and the scheduling of and participation in numerous </w:t>
      </w:r>
      <w:r w:rsidR="007A276D">
        <w:rPr>
          <w:rFonts w:ascii="Arial" w:hAnsi="Arial"/>
          <w:sz w:val="22"/>
          <w:szCs w:val="22"/>
        </w:rPr>
        <w:t>videoconferences</w:t>
      </w:r>
      <w:r w:rsidR="00C33F96">
        <w:rPr>
          <w:rFonts w:ascii="Arial" w:hAnsi="Arial"/>
          <w:sz w:val="22"/>
          <w:szCs w:val="22"/>
        </w:rPr>
        <w:t xml:space="preserve"> in tw</w:t>
      </w:r>
      <w:r w:rsidR="004D7700">
        <w:rPr>
          <w:rFonts w:ascii="Arial" w:hAnsi="Arial"/>
          <w:sz w:val="22"/>
          <w:szCs w:val="22"/>
        </w:rPr>
        <w:t>o far apart time zones with</w:t>
      </w:r>
      <w:r w:rsidR="00C33F96">
        <w:rPr>
          <w:rFonts w:ascii="Arial" w:hAnsi="Arial"/>
          <w:sz w:val="22"/>
          <w:szCs w:val="22"/>
        </w:rPr>
        <w:t xml:space="preserve"> meetings taking place in the Georgian evening. </w:t>
      </w:r>
      <w:r>
        <w:rPr>
          <w:rFonts w:ascii="Arial" w:hAnsi="Arial"/>
          <w:sz w:val="22"/>
          <w:szCs w:val="22"/>
        </w:rPr>
        <w:t>The Evaluator would also like to thank the UNDP Country Office for their</w:t>
      </w:r>
      <w:r w:rsidR="004D7700">
        <w:rPr>
          <w:rFonts w:ascii="Arial" w:hAnsi="Arial"/>
          <w:sz w:val="22"/>
          <w:szCs w:val="22"/>
        </w:rPr>
        <w:t xml:space="preserve"> support and insights and</w:t>
      </w:r>
      <w:r>
        <w:rPr>
          <w:rFonts w:ascii="Arial" w:hAnsi="Arial"/>
          <w:sz w:val="22"/>
          <w:szCs w:val="22"/>
        </w:rPr>
        <w:t xml:space="preserve"> </w:t>
      </w:r>
      <w:r w:rsidR="00C33F96">
        <w:rPr>
          <w:rFonts w:ascii="Arial" w:hAnsi="Arial"/>
          <w:sz w:val="22"/>
          <w:szCs w:val="22"/>
        </w:rPr>
        <w:t>the Government of the United King</w:t>
      </w:r>
      <w:r w:rsidR="007A276D">
        <w:rPr>
          <w:rFonts w:ascii="Arial" w:hAnsi="Arial"/>
          <w:sz w:val="22"/>
          <w:szCs w:val="22"/>
        </w:rPr>
        <w:t>dom for their support and insights</w:t>
      </w:r>
      <w:r w:rsidR="004D7700">
        <w:rPr>
          <w:rFonts w:ascii="Arial" w:hAnsi="Arial"/>
          <w:sz w:val="22"/>
          <w:szCs w:val="22"/>
        </w:rPr>
        <w:t xml:space="preserve">. The </w:t>
      </w:r>
      <w:proofErr w:type="spellStart"/>
      <w:r w:rsidR="004D7700">
        <w:rPr>
          <w:rFonts w:ascii="Arial" w:hAnsi="Arial"/>
          <w:sz w:val="22"/>
          <w:szCs w:val="22"/>
        </w:rPr>
        <w:t>Ao</w:t>
      </w:r>
      <w:r w:rsidR="00C33F96">
        <w:rPr>
          <w:rFonts w:ascii="Arial" w:hAnsi="Arial"/>
          <w:sz w:val="22"/>
          <w:szCs w:val="22"/>
        </w:rPr>
        <w:t>G</w:t>
      </w:r>
      <w:proofErr w:type="spellEnd"/>
      <w:r w:rsidR="00C33F96">
        <w:rPr>
          <w:rFonts w:ascii="Arial" w:hAnsi="Arial"/>
          <w:sz w:val="22"/>
          <w:szCs w:val="22"/>
        </w:rPr>
        <w:t>, CSB, PSDA and DGA,</w:t>
      </w:r>
      <w:r>
        <w:rPr>
          <w:rFonts w:ascii="Arial" w:hAnsi="Arial"/>
          <w:sz w:val="22"/>
          <w:szCs w:val="22"/>
        </w:rPr>
        <w:t xml:space="preserve"> and other national government entities </w:t>
      </w:r>
      <w:r w:rsidR="00C33F96">
        <w:rPr>
          <w:rFonts w:ascii="Arial" w:hAnsi="Arial"/>
          <w:sz w:val="22"/>
          <w:szCs w:val="22"/>
        </w:rPr>
        <w:t xml:space="preserve">and CSOs were </w:t>
      </w:r>
      <w:r>
        <w:rPr>
          <w:rFonts w:ascii="Arial" w:hAnsi="Arial"/>
          <w:sz w:val="22"/>
          <w:szCs w:val="22"/>
        </w:rPr>
        <w:t>helpful to gain an understanding of the project’s context, collect feedback on the project’s performance, and receive per</w:t>
      </w:r>
      <w:r w:rsidR="00C33F96">
        <w:rPr>
          <w:rFonts w:ascii="Arial" w:hAnsi="Arial"/>
          <w:sz w:val="22"/>
          <w:szCs w:val="22"/>
        </w:rPr>
        <w:t xml:space="preserve">spectives on </w:t>
      </w:r>
      <w:r w:rsidR="004D7700">
        <w:rPr>
          <w:rFonts w:ascii="Arial" w:hAnsi="Arial"/>
          <w:sz w:val="22"/>
          <w:szCs w:val="22"/>
        </w:rPr>
        <w:t>the PAR components.</w:t>
      </w:r>
    </w:p>
    <w:p w14:paraId="0AE1CA96" w14:textId="08449438" w:rsidR="005B0769" w:rsidRDefault="006C5733" w:rsidP="003060EE">
      <w:pPr>
        <w:pStyle w:val="Heading2"/>
        <w:numPr>
          <w:ilvl w:val="0"/>
          <w:numId w:val="2"/>
        </w:numPr>
      </w:pPr>
      <w:bookmarkStart w:id="6" w:name="_Toc478138858"/>
      <w:r>
        <w:t>E</w:t>
      </w:r>
      <w:r w:rsidR="005B0769">
        <w:t>valuation Scope and Objectives</w:t>
      </w:r>
      <w:bookmarkEnd w:id="6"/>
    </w:p>
    <w:p w14:paraId="13259345" w14:textId="77777777" w:rsidR="005B0769" w:rsidRDefault="005B0769" w:rsidP="005B0769">
      <w:pPr>
        <w:jc w:val="both"/>
        <w:rPr>
          <w:rFonts w:ascii="Arial" w:hAnsi="Arial"/>
          <w:b/>
          <w:sz w:val="22"/>
          <w:szCs w:val="22"/>
        </w:rPr>
      </w:pPr>
    </w:p>
    <w:p w14:paraId="41A6A0E4" w14:textId="6783E10B" w:rsidR="005C3113" w:rsidRDefault="005C3113" w:rsidP="005C3113">
      <w:pPr>
        <w:jc w:val="both"/>
        <w:rPr>
          <w:rFonts w:ascii="Arial" w:hAnsi="Arial"/>
          <w:sz w:val="22"/>
          <w:szCs w:val="22"/>
        </w:rPr>
      </w:pPr>
      <w:r>
        <w:rPr>
          <w:rFonts w:ascii="Arial" w:hAnsi="Arial"/>
          <w:sz w:val="22"/>
          <w:szCs w:val="22"/>
        </w:rPr>
        <w:t>The project was scheduled to end in December 2020 and an extension was agreed to allow for this final project evaluation</w:t>
      </w:r>
      <w:r w:rsidR="00E30ABF">
        <w:rPr>
          <w:rFonts w:ascii="Arial" w:hAnsi="Arial"/>
          <w:sz w:val="22"/>
          <w:szCs w:val="22"/>
        </w:rPr>
        <w:t>,</w:t>
      </w:r>
      <w:r>
        <w:rPr>
          <w:rFonts w:ascii="Arial" w:hAnsi="Arial"/>
          <w:sz w:val="22"/>
          <w:szCs w:val="22"/>
        </w:rPr>
        <w:t xml:space="preserve"> end tasks delayed given the COVID-19 pandemic, and allow for the immediate follow-up activities in all three outcome areas that emerged as a result of past interventions. The final evaluation is timely to determine if project outcomes and outputs were achieved according to the project document and follow-on annual plans. As indicated in the previous section, the project was implemented in a changing environment. The final evaluation is an opportunity to measure results, summarize the lessons learned, and contribute to future programming, policymaking and overall organizational learning by outlining recommendations for further PAR. The Terms of Reference (TOR) for the evaluation is provided as Annex A.</w:t>
      </w:r>
    </w:p>
    <w:p w14:paraId="3C579EA5" w14:textId="77777777" w:rsidR="00741A3E" w:rsidRDefault="00741A3E" w:rsidP="005C3113">
      <w:pPr>
        <w:jc w:val="both"/>
        <w:rPr>
          <w:rFonts w:ascii="Arial" w:hAnsi="Arial"/>
          <w:sz w:val="22"/>
          <w:szCs w:val="22"/>
        </w:rPr>
      </w:pPr>
    </w:p>
    <w:p w14:paraId="5E19AC63" w14:textId="77777777" w:rsidR="00FC5873" w:rsidRDefault="00FC5873" w:rsidP="00FC5873">
      <w:pPr>
        <w:jc w:val="both"/>
        <w:rPr>
          <w:rFonts w:ascii="Arial" w:hAnsi="Arial"/>
          <w:sz w:val="22"/>
          <w:szCs w:val="22"/>
        </w:rPr>
      </w:pPr>
      <w:r>
        <w:rPr>
          <w:rFonts w:ascii="Arial" w:hAnsi="Arial"/>
          <w:sz w:val="22"/>
          <w:szCs w:val="22"/>
        </w:rPr>
        <w:t>The final evaluation was conducted from 1 January to 19 March 2021. The purpose of the evaluation was to assess the efficacy of the project design and structure, relevance of the project outcomes and outputs, specific contributions and impact, efficiency and effectiveness of the assistance, and the sustainability of interventions. The evaluation is to also include an analysis of how PAR project interventions address human rights and gender equality principles.</w:t>
      </w:r>
      <w:r>
        <w:rPr>
          <w:rStyle w:val="FootnoteReference"/>
          <w:rFonts w:ascii="Arial" w:hAnsi="Arial"/>
          <w:sz w:val="22"/>
          <w:szCs w:val="22"/>
        </w:rPr>
        <w:footnoteReference w:id="19"/>
      </w:r>
    </w:p>
    <w:p w14:paraId="7B4D12DA" w14:textId="77777777" w:rsidR="00FC5873" w:rsidRPr="00FC5873" w:rsidRDefault="00FC5873" w:rsidP="00FC5873">
      <w:pPr>
        <w:jc w:val="both"/>
        <w:rPr>
          <w:rFonts w:ascii="Arial" w:eastAsia="MS Mincho" w:hAnsi="Arial" w:cs="Arial"/>
          <w:sz w:val="22"/>
          <w:szCs w:val="22"/>
          <w:lang w:val="en-GB"/>
        </w:rPr>
      </w:pPr>
    </w:p>
    <w:p w14:paraId="22A66596" w14:textId="41F865E9" w:rsidR="00FC5873" w:rsidRDefault="005E5079" w:rsidP="00FC5873">
      <w:pPr>
        <w:jc w:val="both"/>
        <w:rPr>
          <w:rFonts w:ascii="Arial" w:hAnsi="Arial"/>
          <w:sz w:val="22"/>
          <w:szCs w:val="22"/>
        </w:rPr>
      </w:pPr>
      <w:r w:rsidRPr="00FC5873">
        <w:rPr>
          <w:rFonts w:ascii="Arial" w:eastAsia="MS Mincho" w:hAnsi="Arial" w:cs="Arial"/>
          <w:sz w:val="22"/>
          <w:szCs w:val="22"/>
          <w:lang w:val="en-GB"/>
        </w:rPr>
        <w:t>Also as stated in the TOR, the specific objectives of the evaluation are to:</w:t>
      </w:r>
      <w:r w:rsidR="00FC5873">
        <w:rPr>
          <w:rStyle w:val="FootnoteReference"/>
          <w:rFonts w:ascii="Arial" w:hAnsi="Arial"/>
          <w:sz w:val="22"/>
          <w:szCs w:val="22"/>
        </w:rPr>
        <w:footnoteReference w:id="20"/>
      </w:r>
    </w:p>
    <w:p w14:paraId="5943597B" w14:textId="77777777" w:rsidR="00FC5873" w:rsidRPr="00FC5873" w:rsidRDefault="00FC5873" w:rsidP="005E5079">
      <w:pPr>
        <w:jc w:val="both"/>
        <w:rPr>
          <w:rFonts w:ascii="Arial" w:eastAsia="MS Mincho" w:hAnsi="Arial" w:cs="Arial"/>
          <w:sz w:val="22"/>
          <w:szCs w:val="22"/>
          <w:lang w:val="en-GB"/>
        </w:rPr>
      </w:pPr>
    </w:p>
    <w:p w14:paraId="18548D59" w14:textId="39FCD813" w:rsidR="005E5079" w:rsidRPr="00FC5873" w:rsidRDefault="005E5079" w:rsidP="00EB743C">
      <w:pPr>
        <w:pStyle w:val="ListParagraph"/>
        <w:numPr>
          <w:ilvl w:val="0"/>
          <w:numId w:val="15"/>
        </w:numPr>
        <w:jc w:val="both"/>
        <w:rPr>
          <w:rFonts w:ascii="Arial" w:hAnsi="Arial" w:cs="Arial"/>
          <w:sz w:val="22"/>
          <w:szCs w:val="22"/>
          <w:lang w:val="en-GB"/>
        </w:rPr>
      </w:pPr>
      <w:r w:rsidRPr="00FC5873">
        <w:rPr>
          <w:rFonts w:ascii="Arial" w:eastAsia="MS Mincho" w:hAnsi="Arial" w:cs="Arial"/>
          <w:sz w:val="22"/>
          <w:szCs w:val="22"/>
          <w:lang w:val="en-GB"/>
        </w:rPr>
        <w:t xml:space="preserve">Evaluate the achievements against the project’s objectives and expected outcomes; </w:t>
      </w:r>
    </w:p>
    <w:p w14:paraId="7EBF5CF4" w14:textId="20A81CCA" w:rsidR="005E5079" w:rsidRPr="00FC5873" w:rsidRDefault="005E5079" w:rsidP="00EB743C">
      <w:pPr>
        <w:pStyle w:val="ListParagraph"/>
        <w:numPr>
          <w:ilvl w:val="0"/>
          <w:numId w:val="15"/>
        </w:numPr>
        <w:jc w:val="both"/>
        <w:rPr>
          <w:rFonts w:ascii="Arial" w:hAnsi="Arial" w:cs="Arial"/>
          <w:sz w:val="22"/>
          <w:szCs w:val="22"/>
          <w:lang w:val="en-GB"/>
        </w:rPr>
      </w:pPr>
      <w:r w:rsidRPr="00FC5873">
        <w:rPr>
          <w:rFonts w:ascii="Arial" w:eastAsia="MS Mincho" w:hAnsi="Arial" w:cs="Arial"/>
          <w:sz w:val="22"/>
          <w:szCs w:val="22"/>
          <w:lang w:val="en-GB"/>
        </w:rPr>
        <w:t>Identify strengths and weaknesses in design and implementation;</w:t>
      </w:r>
    </w:p>
    <w:p w14:paraId="0E5E03BD" w14:textId="1B9FD0A3" w:rsidR="005E5079" w:rsidRPr="00FC5873" w:rsidRDefault="005E5079" w:rsidP="00EB743C">
      <w:pPr>
        <w:pStyle w:val="ListParagraph"/>
        <w:numPr>
          <w:ilvl w:val="0"/>
          <w:numId w:val="15"/>
        </w:numPr>
        <w:jc w:val="both"/>
        <w:rPr>
          <w:rFonts w:ascii="Arial" w:hAnsi="Arial" w:cs="Arial"/>
          <w:sz w:val="22"/>
          <w:szCs w:val="22"/>
          <w:lang w:val="en-GB"/>
        </w:rPr>
      </w:pPr>
      <w:r w:rsidRPr="00FC5873">
        <w:rPr>
          <w:rFonts w:ascii="Arial" w:eastAsia="MS Mincho" w:hAnsi="Arial" w:cs="Arial"/>
          <w:sz w:val="22"/>
          <w:szCs w:val="22"/>
          <w:lang w:val="en-GB"/>
        </w:rPr>
        <w:t>Assess the effectiveness, efficiency and added value of the project in terms of achieved outputs and results and its contribution to</w:t>
      </w:r>
      <w:r w:rsidR="00E30ABF">
        <w:rPr>
          <w:rFonts w:ascii="Arial" w:eastAsia="MS Mincho" w:hAnsi="Arial" w:cs="Arial"/>
          <w:sz w:val="22"/>
          <w:szCs w:val="22"/>
          <w:lang w:val="en-GB"/>
        </w:rPr>
        <w:t xml:space="preserve"> Country Program Document </w:t>
      </w:r>
      <w:r w:rsidRPr="00FC5873">
        <w:rPr>
          <w:rFonts w:ascii="Arial" w:eastAsia="MS Mincho" w:hAnsi="Arial" w:cs="Arial"/>
          <w:sz w:val="22"/>
          <w:szCs w:val="22"/>
          <w:lang w:val="en-GB"/>
        </w:rPr>
        <w:t>outcome;</w:t>
      </w:r>
    </w:p>
    <w:p w14:paraId="47C23051" w14:textId="6AEFD13F" w:rsidR="005E5079" w:rsidRPr="00FC5873" w:rsidRDefault="005E5079" w:rsidP="00EB743C">
      <w:pPr>
        <w:pStyle w:val="ListParagraph"/>
        <w:numPr>
          <w:ilvl w:val="0"/>
          <w:numId w:val="15"/>
        </w:numPr>
        <w:jc w:val="both"/>
        <w:rPr>
          <w:rFonts w:ascii="Arial" w:hAnsi="Arial" w:cs="Arial"/>
          <w:sz w:val="22"/>
          <w:szCs w:val="22"/>
          <w:lang w:val="en-GB"/>
        </w:rPr>
      </w:pPr>
      <w:r w:rsidRPr="00FC5873">
        <w:rPr>
          <w:rFonts w:ascii="Arial" w:eastAsia="MS Mincho" w:hAnsi="Arial" w:cs="Arial"/>
          <w:sz w:val="22"/>
          <w:szCs w:val="22"/>
          <w:lang w:val="en-GB"/>
        </w:rPr>
        <w:t>Identify lessons learned and good practices;</w:t>
      </w:r>
      <w:r w:rsidR="004D7700">
        <w:rPr>
          <w:rFonts w:ascii="Arial" w:eastAsia="MS Mincho" w:hAnsi="Arial" w:cs="Arial"/>
          <w:sz w:val="22"/>
          <w:szCs w:val="22"/>
          <w:lang w:val="en-GB"/>
        </w:rPr>
        <w:t xml:space="preserve"> and</w:t>
      </w:r>
    </w:p>
    <w:p w14:paraId="30772EEF" w14:textId="1DEEF8A9" w:rsidR="005C3113" w:rsidRPr="00E30ABF" w:rsidRDefault="005E5079" w:rsidP="00EB743C">
      <w:pPr>
        <w:pStyle w:val="ListParagraph"/>
        <w:numPr>
          <w:ilvl w:val="0"/>
          <w:numId w:val="15"/>
        </w:numPr>
        <w:jc w:val="both"/>
        <w:rPr>
          <w:rFonts w:ascii="Arial" w:hAnsi="Arial" w:cs="Arial"/>
          <w:sz w:val="22"/>
          <w:szCs w:val="22"/>
          <w:lang w:val="en-GB"/>
        </w:rPr>
      </w:pPr>
      <w:r w:rsidRPr="00FC5873">
        <w:rPr>
          <w:rFonts w:ascii="Arial" w:eastAsia="MS Mincho" w:hAnsi="Arial" w:cs="Arial"/>
          <w:sz w:val="22"/>
          <w:szCs w:val="22"/>
          <w:lang w:val="en-GB"/>
        </w:rPr>
        <w:t xml:space="preserve">Provide recommendations for future phase of the project. </w:t>
      </w:r>
    </w:p>
    <w:p w14:paraId="57903F92" w14:textId="60153C6C" w:rsidR="005E5079" w:rsidRDefault="005E5079" w:rsidP="003060EE">
      <w:pPr>
        <w:pStyle w:val="Heading2"/>
        <w:numPr>
          <w:ilvl w:val="0"/>
          <w:numId w:val="2"/>
        </w:numPr>
      </w:pPr>
      <w:bookmarkStart w:id="7" w:name="_Toc478138859"/>
      <w:r>
        <w:t>Evaluation Timeline</w:t>
      </w:r>
      <w:bookmarkEnd w:id="7"/>
    </w:p>
    <w:p w14:paraId="35A35F6A" w14:textId="77777777" w:rsidR="005E5079" w:rsidRDefault="005E5079" w:rsidP="005C3113">
      <w:pPr>
        <w:jc w:val="both"/>
        <w:rPr>
          <w:rFonts w:ascii="Arial" w:hAnsi="Arial"/>
          <w:sz w:val="22"/>
          <w:szCs w:val="22"/>
        </w:rPr>
      </w:pPr>
    </w:p>
    <w:p w14:paraId="67505413" w14:textId="4D7FD693" w:rsidR="005C3113" w:rsidRDefault="005C3113" w:rsidP="005C3113">
      <w:pPr>
        <w:jc w:val="both"/>
        <w:rPr>
          <w:rFonts w:ascii="Arial" w:hAnsi="Arial"/>
          <w:sz w:val="22"/>
          <w:szCs w:val="22"/>
        </w:rPr>
      </w:pPr>
      <w:r>
        <w:rPr>
          <w:rFonts w:ascii="Arial" w:hAnsi="Arial"/>
          <w:sz w:val="22"/>
          <w:szCs w:val="22"/>
        </w:rPr>
        <w:t>The evaluation w</w:t>
      </w:r>
      <w:r w:rsidR="00741A3E">
        <w:rPr>
          <w:rFonts w:ascii="Arial" w:hAnsi="Arial"/>
          <w:sz w:val="22"/>
          <w:szCs w:val="22"/>
        </w:rPr>
        <w:t>a</w:t>
      </w:r>
      <w:r>
        <w:rPr>
          <w:rFonts w:ascii="Arial" w:hAnsi="Arial"/>
          <w:sz w:val="22"/>
          <w:szCs w:val="22"/>
        </w:rPr>
        <w:t>s to take place from January 1 to March 19, 2021 with the following time schedule:</w:t>
      </w:r>
    </w:p>
    <w:p w14:paraId="0FB64129" w14:textId="77777777" w:rsidR="005C3113" w:rsidRDefault="005C3113" w:rsidP="005C3113">
      <w:pPr>
        <w:jc w:val="both"/>
        <w:rPr>
          <w:rFonts w:ascii="Arial" w:hAnsi="Arial"/>
          <w:sz w:val="22"/>
          <w:szCs w:val="22"/>
        </w:rPr>
      </w:pPr>
    </w:p>
    <w:p w14:paraId="5DEE76B8" w14:textId="77777777" w:rsidR="005C3113" w:rsidRDefault="005C3113" w:rsidP="00EB743C">
      <w:pPr>
        <w:pStyle w:val="ListParagraph"/>
        <w:numPr>
          <w:ilvl w:val="0"/>
          <w:numId w:val="11"/>
        </w:numPr>
        <w:jc w:val="both"/>
        <w:rPr>
          <w:rFonts w:ascii="Arial" w:hAnsi="Arial"/>
          <w:sz w:val="22"/>
          <w:szCs w:val="22"/>
        </w:rPr>
      </w:pPr>
      <w:r>
        <w:rPr>
          <w:rFonts w:ascii="Arial" w:hAnsi="Arial"/>
          <w:sz w:val="22"/>
          <w:szCs w:val="22"/>
        </w:rPr>
        <w:t xml:space="preserve">1 January </w:t>
      </w:r>
      <w:r>
        <w:rPr>
          <w:rFonts w:ascii="Arial" w:hAnsi="Arial"/>
          <w:sz w:val="22"/>
          <w:szCs w:val="22"/>
        </w:rPr>
        <w:tab/>
      </w:r>
      <w:r>
        <w:rPr>
          <w:rFonts w:ascii="Arial" w:hAnsi="Arial"/>
          <w:sz w:val="22"/>
          <w:szCs w:val="22"/>
        </w:rPr>
        <w:tab/>
        <w:t>Contract start date</w:t>
      </w:r>
    </w:p>
    <w:p w14:paraId="204D4CDC" w14:textId="77777777" w:rsidR="005C3113" w:rsidRDefault="005C3113" w:rsidP="00EB743C">
      <w:pPr>
        <w:pStyle w:val="ListParagraph"/>
        <w:numPr>
          <w:ilvl w:val="0"/>
          <w:numId w:val="11"/>
        </w:numPr>
        <w:jc w:val="both"/>
        <w:rPr>
          <w:rFonts w:ascii="Arial" w:hAnsi="Arial"/>
          <w:sz w:val="22"/>
          <w:szCs w:val="22"/>
        </w:rPr>
      </w:pPr>
      <w:r>
        <w:rPr>
          <w:rFonts w:ascii="Arial" w:hAnsi="Arial"/>
          <w:sz w:val="22"/>
          <w:szCs w:val="22"/>
        </w:rPr>
        <w:t>27January</w:t>
      </w:r>
      <w:r>
        <w:rPr>
          <w:rFonts w:ascii="Arial" w:hAnsi="Arial"/>
          <w:sz w:val="22"/>
          <w:szCs w:val="22"/>
        </w:rPr>
        <w:tab/>
      </w:r>
      <w:r>
        <w:rPr>
          <w:rFonts w:ascii="Arial" w:hAnsi="Arial"/>
          <w:sz w:val="22"/>
          <w:szCs w:val="22"/>
        </w:rPr>
        <w:tab/>
        <w:t>Inception Report submitted</w:t>
      </w:r>
    </w:p>
    <w:p w14:paraId="508A497F" w14:textId="77777777" w:rsidR="005C3113" w:rsidRDefault="005C3113" w:rsidP="00EB743C">
      <w:pPr>
        <w:pStyle w:val="ListParagraph"/>
        <w:numPr>
          <w:ilvl w:val="0"/>
          <w:numId w:val="11"/>
        </w:numPr>
        <w:tabs>
          <w:tab w:val="left" w:pos="2880"/>
        </w:tabs>
        <w:jc w:val="both"/>
        <w:rPr>
          <w:rFonts w:ascii="Arial" w:hAnsi="Arial"/>
          <w:sz w:val="22"/>
          <w:szCs w:val="22"/>
        </w:rPr>
      </w:pPr>
      <w:r>
        <w:rPr>
          <w:rFonts w:ascii="Arial" w:hAnsi="Arial"/>
          <w:sz w:val="22"/>
          <w:szCs w:val="22"/>
        </w:rPr>
        <w:t>8 January, ongoing</w:t>
      </w:r>
      <w:r>
        <w:rPr>
          <w:rFonts w:ascii="Arial" w:hAnsi="Arial"/>
          <w:sz w:val="22"/>
          <w:szCs w:val="22"/>
        </w:rPr>
        <w:tab/>
        <w:t>Document Review</w:t>
      </w:r>
    </w:p>
    <w:p w14:paraId="6432621B" w14:textId="77777777" w:rsidR="005C3113" w:rsidRDefault="005C3113" w:rsidP="00EB743C">
      <w:pPr>
        <w:pStyle w:val="ListParagraph"/>
        <w:numPr>
          <w:ilvl w:val="0"/>
          <w:numId w:val="11"/>
        </w:numPr>
        <w:tabs>
          <w:tab w:val="left" w:pos="2880"/>
        </w:tabs>
        <w:jc w:val="both"/>
        <w:rPr>
          <w:rFonts w:ascii="Arial" w:hAnsi="Arial"/>
          <w:sz w:val="22"/>
          <w:szCs w:val="22"/>
        </w:rPr>
      </w:pPr>
      <w:r w:rsidRPr="00241994">
        <w:rPr>
          <w:rFonts w:ascii="Arial" w:hAnsi="Arial"/>
          <w:sz w:val="22"/>
          <w:szCs w:val="22"/>
        </w:rPr>
        <w:t>21 January</w:t>
      </w:r>
      <w:r>
        <w:rPr>
          <w:rFonts w:ascii="Arial" w:hAnsi="Arial"/>
          <w:sz w:val="22"/>
          <w:szCs w:val="22"/>
        </w:rPr>
        <w:t xml:space="preserve"> – 19 Feb</w:t>
      </w:r>
      <w:r w:rsidRPr="00241994">
        <w:rPr>
          <w:rFonts w:ascii="Arial" w:hAnsi="Arial"/>
          <w:sz w:val="22"/>
          <w:szCs w:val="22"/>
        </w:rPr>
        <w:tab/>
        <w:t>Discussions and interviews wit</w:t>
      </w:r>
      <w:r>
        <w:rPr>
          <w:rFonts w:ascii="Arial" w:hAnsi="Arial"/>
          <w:sz w:val="22"/>
          <w:szCs w:val="22"/>
        </w:rPr>
        <w:t>h project management and staff,</w:t>
      </w:r>
    </w:p>
    <w:p w14:paraId="7BEA7EE5" w14:textId="77777777" w:rsidR="005C3113" w:rsidRPr="00241994" w:rsidRDefault="005C3113" w:rsidP="005C3113">
      <w:pPr>
        <w:tabs>
          <w:tab w:val="left" w:pos="2880"/>
        </w:tabs>
        <w:ind w:left="360"/>
        <w:jc w:val="both"/>
        <w:rPr>
          <w:rFonts w:ascii="Arial" w:hAnsi="Arial"/>
          <w:sz w:val="22"/>
          <w:szCs w:val="22"/>
        </w:rPr>
      </w:pPr>
      <w:r w:rsidRPr="00241994">
        <w:rPr>
          <w:rFonts w:ascii="Arial" w:hAnsi="Arial"/>
          <w:sz w:val="22"/>
          <w:szCs w:val="22"/>
        </w:rPr>
        <w:tab/>
        <w:t>project donor representat</w:t>
      </w:r>
      <w:r>
        <w:rPr>
          <w:rFonts w:ascii="Arial" w:hAnsi="Arial"/>
          <w:sz w:val="22"/>
          <w:szCs w:val="22"/>
        </w:rPr>
        <w:t>ives, counterparts (</w:t>
      </w:r>
      <w:proofErr w:type="spellStart"/>
      <w:r>
        <w:rPr>
          <w:rFonts w:ascii="Arial" w:hAnsi="Arial"/>
          <w:sz w:val="22"/>
          <w:szCs w:val="22"/>
        </w:rPr>
        <w:t>AoG</w:t>
      </w:r>
      <w:proofErr w:type="spellEnd"/>
      <w:r>
        <w:rPr>
          <w:rFonts w:ascii="Arial" w:hAnsi="Arial"/>
          <w:sz w:val="22"/>
          <w:szCs w:val="22"/>
        </w:rPr>
        <w:t>, CSB, DG</w:t>
      </w:r>
      <w:r w:rsidRPr="00241994">
        <w:rPr>
          <w:rFonts w:ascii="Arial" w:hAnsi="Arial"/>
          <w:sz w:val="22"/>
          <w:szCs w:val="22"/>
        </w:rPr>
        <w:t xml:space="preserve">A, </w:t>
      </w:r>
      <w:r>
        <w:rPr>
          <w:rFonts w:ascii="Arial" w:hAnsi="Arial"/>
          <w:sz w:val="22"/>
          <w:szCs w:val="22"/>
        </w:rPr>
        <w:tab/>
      </w:r>
      <w:r w:rsidRPr="00241994">
        <w:rPr>
          <w:rFonts w:ascii="Arial" w:hAnsi="Arial"/>
          <w:sz w:val="22"/>
          <w:szCs w:val="22"/>
        </w:rPr>
        <w:t>PSDA, others), CSOs, other development partners as appropriate</w:t>
      </w:r>
    </w:p>
    <w:p w14:paraId="6E131644" w14:textId="77777777" w:rsidR="005C3113" w:rsidRDefault="005C3113" w:rsidP="00EB743C">
      <w:pPr>
        <w:pStyle w:val="ListParagraph"/>
        <w:numPr>
          <w:ilvl w:val="0"/>
          <w:numId w:val="11"/>
        </w:numPr>
        <w:jc w:val="both"/>
        <w:rPr>
          <w:rFonts w:ascii="Arial" w:hAnsi="Arial"/>
          <w:sz w:val="22"/>
          <w:szCs w:val="22"/>
        </w:rPr>
      </w:pPr>
      <w:r>
        <w:rPr>
          <w:rFonts w:ascii="Arial" w:hAnsi="Arial"/>
          <w:sz w:val="22"/>
          <w:szCs w:val="22"/>
        </w:rPr>
        <w:t>5 March</w:t>
      </w:r>
      <w:r>
        <w:rPr>
          <w:rFonts w:ascii="Arial" w:hAnsi="Arial"/>
          <w:sz w:val="22"/>
          <w:szCs w:val="22"/>
        </w:rPr>
        <w:tab/>
      </w:r>
      <w:r>
        <w:rPr>
          <w:rFonts w:ascii="Arial" w:hAnsi="Arial"/>
          <w:sz w:val="22"/>
          <w:szCs w:val="22"/>
        </w:rPr>
        <w:tab/>
        <w:t>Draft Report submitted</w:t>
      </w:r>
    </w:p>
    <w:p w14:paraId="6D4A314D" w14:textId="77777777" w:rsidR="005C3113" w:rsidRDefault="005C3113" w:rsidP="00EB743C">
      <w:pPr>
        <w:pStyle w:val="ListParagraph"/>
        <w:numPr>
          <w:ilvl w:val="0"/>
          <w:numId w:val="11"/>
        </w:numPr>
        <w:tabs>
          <w:tab w:val="left" w:pos="2790"/>
          <w:tab w:val="left" w:pos="2880"/>
        </w:tabs>
        <w:jc w:val="both"/>
        <w:rPr>
          <w:rFonts w:ascii="Arial" w:hAnsi="Arial"/>
          <w:sz w:val="22"/>
          <w:szCs w:val="22"/>
        </w:rPr>
      </w:pPr>
      <w:r>
        <w:rPr>
          <w:rFonts w:ascii="Arial" w:hAnsi="Arial"/>
          <w:sz w:val="22"/>
          <w:szCs w:val="22"/>
        </w:rPr>
        <w:t>12 March</w:t>
      </w:r>
      <w:r>
        <w:rPr>
          <w:rFonts w:ascii="Arial" w:hAnsi="Arial"/>
          <w:sz w:val="22"/>
          <w:szCs w:val="22"/>
        </w:rPr>
        <w:tab/>
      </w:r>
      <w:r>
        <w:rPr>
          <w:rFonts w:ascii="Arial" w:hAnsi="Arial"/>
          <w:sz w:val="22"/>
          <w:szCs w:val="22"/>
        </w:rPr>
        <w:tab/>
        <w:t>Consolidated UNDP and donor comments to the draft report</w:t>
      </w:r>
    </w:p>
    <w:p w14:paraId="525247E4" w14:textId="77777777" w:rsidR="005C3113" w:rsidRPr="00483BD0" w:rsidRDefault="005C3113" w:rsidP="005C3113">
      <w:pPr>
        <w:tabs>
          <w:tab w:val="left" w:pos="2790"/>
          <w:tab w:val="left" w:pos="2880"/>
        </w:tabs>
        <w:ind w:left="360"/>
        <w:jc w:val="both"/>
        <w:rPr>
          <w:rFonts w:ascii="Arial" w:hAnsi="Arial"/>
          <w:sz w:val="22"/>
          <w:szCs w:val="22"/>
        </w:rPr>
      </w:pPr>
      <w:r w:rsidRPr="00483BD0">
        <w:rPr>
          <w:rFonts w:ascii="Arial" w:hAnsi="Arial"/>
          <w:sz w:val="22"/>
          <w:szCs w:val="22"/>
        </w:rPr>
        <w:tab/>
      </w:r>
      <w:r w:rsidRPr="00483BD0">
        <w:rPr>
          <w:rFonts w:ascii="Arial" w:hAnsi="Arial"/>
          <w:sz w:val="22"/>
          <w:szCs w:val="22"/>
        </w:rPr>
        <w:tab/>
        <w:t>received</w:t>
      </w:r>
    </w:p>
    <w:p w14:paraId="399CC57A" w14:textId="77777777" w:rsidR="005C3113" w:rsidRDefault="005C3113" w:rsidP="00EB743C">
      <w:pPr>
        <w:pStyle w:val="ListParagraph"/>
        <w:numPr>
          <w:ilvl w:val="0"/>
          <w:numId w:val="11"/>
        </w:numPr>
        <w:jc w:val="both"/>
        <w:rPr>
          <w:rFonts w:ascii="Arial" w:hAnsi="Arial"/>
          <w:sz w:val="22"/>
          <w:szCs w:val="22"/>
        </w:rPr>
      </w:pPr>
      <w:r>
        <w:rPr>
          <w:rFonts w:ascii="Arial" w:hAnsi="Arial"/>
          <w:sz w:val="22"/>
          <w:szCs w:val="22"/>
        </w:rPr>
        <w:t>19 March</w:t>
      </w:r>
      <w:r>
        <w:rPr>
          <w:rFonts w:ascii="Arial" w:hAnsi="Arial"/>
          <w:sz w:val="22"/>
          <w:szCs w:val="22"/>
        </w:rPr>
        <w:tab/>
      </w:r>
      <w:r>
        <w:rPr>
          <w:rFonts w:ascii="Arial" w:hAnsi="Arial"/>
          <w:sz w:val="22"/>
          <w:szCs w:val="22"/>
        </w:rPr>
        <w:tab/>
        <w:t>Final Report and PowerPoint Summary Presentation submitted</w:t>
      </w:r>
    </w:p>
    <w:p w14:paraId="7FE73A3A" w14:textId="1A56121E" w:rsidR="005C3113" w:rsidRDefault="005C3113" w:rsidP="005C3113">
      <w:pPr>
        <w:ind w:left="36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and assignment end</w:t>
      </w:r>
    </w:p>
    <w:p w14:paraId="64B1CC7D" w14:textId="77777777" w:rsidR="005C3113" w:rsidRDefault="005C3113" w:rsidP="005C3113">
      <w:pPr>
        <w:ind w:left="360"/>
        <w:jc w:val="both"/>
        <w:rPr>
          <w:rFonts w:ascii="Arial" w:hAnsi="Arial"/>
          <w:sz w:val="22"/>
          <w:szCs w:val="22"/>
        </w:rPr>
      </w:pPr>
    </w:p>
    <w:p w14:paraId="13FEB659" w14:textId="775CB741" w:rsidR="005C3113" w:rsidRPr="00285B70" w:rsidRDefault="00C23D33" w:rsidP="005C3113">
      <w:pPr>
        <w:ind w:left="360"/>
        <w:jc w:val="center"/>
        <w:rPr>
          <w:rFonts w:ascii="Arial" w:hAnsi="Arial"/>
          <w:b/>
          <w:sz w:val="22"/>
          <w:szCs w:val="22"/>
        </w:rPr>
      </w:pPr>
      <w:r>
        <w:rPr>
          <w:rFonts w:ascii="Arial" w:hAnsi="Arial"/>
          <w:b/>
          <w:sz w:val="22"/>
          <w:szCs w:val="22"/>
        </w:rPr>
        <w:t>Table 2</w:t>
      </w:r>
      <w:r w:rsidR="005C3113" w:rsidRPr="00285B70">
        <w:rPr>
          <w:rFonts w:ascii="Arial" w:hAnsi="Arial"/>
          <w:b/>
          <w:sz w:val="22"/>
          <w:szCs w:val="22"/>
        </w:rPr>
        <w:t>: Graphic Work Plan</w:t>
      </w:r>
    </w:p>
    <w:p w14:paraId="2DA62D21" w14:textId="77777777" w:rsidR="005C3113" w:rsidRDefault="005C3113" w:rsidP="005C3113">
      <w:pPr>
        <w:jc w:val="both"/>
        <w:rPr>
          <w:rFonts w:ascii="Arial" w:hAnsi="Arial"/>
          <w:sz w:val="22"/>
          <w:szCs w:val="22"/>
        </w:rPr>
      </w:pPr>
    </w:p>
    <w:tbl>
      <w:tblPr>
        <w:tblStyle w:val="GridTable5Dark-Accent11"/>
        <w:tblW w:w="9915" w:type="dxa"/>
        <w:tblLook w:val="04A0" w:firstRow="1" w:lastRow="0" w:firstColumn="1" w:lastColumn="0" w:noHBand="0" w:noVBand="1"/>
      </w:tblPr>
      <w:tblGrid>
        <w:gridCol w:w="4503"/>
        <w:gridCol w:w="359"/>
        <w:gridCol w:w="433"/>
        <w:gridCol w:w="506"/>
        <w:gridCol w:w="535"/>
        <w:gridCol w:w="359"/>
        <w:gridCol w:w="433"/>
        <w:gridCol w:w="506"/>
        <w:gridCol w:w="535"/>
        <w:gridCol w:w="359"/>
        <w:gridCol w:w="1387"/>
      </w:tblGrid>
      <w:tr w:rsidR="005C3113" w:rsidRPr="004D7700" w14:paraId="774CF909" w14:textId="77777777" w:rsidTr="002728D9">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4502" w:type="dxa"/>
            <w:vMerge w:val="restart"/>
            <w:shd w:val="clear" w:color="auto" w:fill="1F497D" w:themeFill="text2"/>
            <w:vAlign w:val="center"/>
          </w:tcPr>
          <w:p w14:paraId="5B1E18B0"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Deliverables</w:t>
            </w:r>
          </w:p>
        </w:tc>
        <w:tc>
          <w:tcPr>
            <w:tcW w:w="0" w:type="auto"/>
            <w:gridSpan w:val="10"/>
            <w:shd w:val="clear" w:color="auto" w:fill="1F497D" w:themeFill="text2"/>
          </w:tcPr>
          <w:p w14:paraId="2CA5FFA4"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Timeline</w:t>
            </w:r>
          </w:p>
        </w:tc>
      </w:tr>
      <w:tr w:rsidR="005C3113" w:rsidRPr="004D7700" w14:paraId="0573D1AA" w14:textId="77777777" w:rsidTr="002728D9">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4502" w:type="dxa"/>
            <w:vMerge/>
            <w:shd w:val="clear" w:color="auto" w:fill="1F497D" w:themeFill="text2"/>
          </w:tcPr>
          <w:p w14:paraId="5EFAD2E4" w14:textId="77777777" w:rsidR="005C3113" w:rsidRPr="004D7700" w:rsidRDefault="005C3113" w:rsidP="005C3113">
            <w:pPr>
              <w:jc w:val="center"/>
              <w:rPr>
                <w:rFonts w:ascii="Arial" w:hAnsi="Arial" w:cs="Arial"/>
                <w:sz w:val="20"/>
                <w:szCs w:val="20"/>
              </w:rPr>
            </w:pPr>
          </w:p>
        </w:tc>
        <w:tc>
          <w:tcPr>
            <w:tcW w:w="0" w:type="auto"/>
            <w:gridSpan w:val="4"/>
          </w:tcPr>
          <w:p w14:paraId="57796226"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January</w:t>
            </w:r>
          </w:p>
        </w:tc>
        <w:tc>
          <w:tcPr>
            <w:tcW w:w="0" w:type="auto"/>
            <w:gridSpan w:val="4"/>
          </w:tcPr>
          <w:p w14:paraId="66B7262B"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February</w:t>
            </w:r>
          </w:p>
        </w:tc>
        <w:tc>
          <w:tcPr>
            <w:tcW w:w="0" w:type="auto"/>
            <w:gridSpan w:val="2"/>
          </w:tcPr>
          <w:p w14:paraId="1B401BB6"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March</w:t>
            </w:r>
          </w:p>
        </w:tc>
      </w:tr>
      <w:tr w:rsidR="005C3113" w:rsidRPr="004D7700" w14:paraId="26C9F3B2" w14:textId="77777777" w:rsidTr="002728D9">
        <w:trPr>
          <w:cnfStyle w:val="100000000000" w:firstRow="1" w:lastRow="0" w:firstColumn="0" w:lastColumn="0" w:oddVBand="0" w:evenVBand="0" w:oddHBand="0" w:evenHBand="0" w:firstRowFirstColumn="0" w:firstRowLastColumn="0" w:lastRowFirstColumn="0" w:lastRowLastColumn="0"/>
          <w:trHeight w:val="307"/>
          <w:tblHeader/>
        </w:trPr>
        <w:tc>
          <w:tcPr>
            <w:cnfStyle w:val="001000000000" w:firstRow="0" w:lastRow="0" w:firstColumn="1" w:lastColumn="0" w:oddVBand="0" w:evenVBand="0" w:oddHBand="0" w:evenHBand="0" w:firstRowFirstColumn="0" w:firstRowLastColumn="0" w:lastRowFirstColumn="0" w:lastRowLastColumn="0"/>
            <w:tcW w:w="4502" w:type="dxa"/>
            <w:vMerge/>
            <w:shd w:val="clear" w:color="auto" w:fill="1F497D" w:themeFill="text2"/>
          </w:tcPr>
          <w:p w14:paraId="473F113E" w14:textId="77777777" w:rsidR="005C3113" w:rsidRPr="004D7700" w:rsidRDefault="005C3113" w:rsidP="005C3113">
            <w:pPr>
              <w:jc w:val="center"/>
              <w:rPr>
                <w:rFonts w:ascii="Arial" w:hAnsi="Arial" w:cs="Arial"/>
                <w:sz w:val="20"/>
                <w:szCs w:val="20"/>
              </w:rPr>
            </w:pPr>
          </w:p>
        </w:tc>
        <w:tc>
          <w:tcPr>
            <w:tcW w:w="0" w:type="auto"/>
            <w:tcBorders>
              <w:bottom w:val="single" w:sz="4" w:space="0" w:color="FFFFFF" w:themeColor="background1"/>
            </w:tcBorders>
          </w:tcPr>
          <w:p w14:paraId="598550FD"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w:t>
            </w:r>
          </w:p>
        </w:tc>
        <w:tc>
          <w:tcPr>
            <w:tcW w:w="0" w:type="auto"/>
            <w:tcBorders>
              <w:bottom w:val="single" w:sz="4" w:space="0" w:color="FFFFFF" w:themeColor="background1"/>
            </w:tcBorders>
          </w:tcPr>
          <w:p w14:paraId="6A80CF1A"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II</w:t>
            </w:r>
          </w:p>
        </w:tc>
        <w:tc>
          <w:tcPr>
            <w:tcW w:w="0" w:type="auto"/>
            <w:tcBorders>
              <w:bottom w:val="single" w:sz="4" w:space="0" w:color="FFFFFF" w:themeColor="background1"/>
            </w:tcBorders>
          </w:tcPr>
          <w:p w14:paraId="6A960670"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III</w:t>
            </w:r>
          </w:p>
        </w:tc>
        <w:tc>
          <w:tcPr>
            <w:tcW w:w="0" w:type="auto"/>
          </w:tcPr>
          <w:p w14:paraId="1881E968"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IV</w:t>
            </w:r>
          </w:p>
        </w:tc>
        <w:tc>
          <w:tcPr>
            <w:tcW w:w="0" w:type="auto"/>
          </w:tcPr>
          <w:p w14:paraId="4AE3F1C7"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w:t>
            </w:r>
          </w:p>
        </w:tc>
        <w:tc>
          <w:tcPr>
            <w:tcW w:w="0" w:type="auto"/>
          </w:tcPr>
          <w:p w14:paraId="25BF4592"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II</w:t>
            </w:r>
          </w:p>
        </w:tc>
        <w:tc>
          <w:tcPr>
            <w:tcW w:w="0" w:type="auto"/>
          </w:tcPr>
          <w:p w14:paraId="35DCC98E"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III</w:t>
            </w:r>
          </w:p>
        </w:tc>
        <w:tc>
          <w:tcPr>
            <w:tcW w:w="0" w:type="auto"/>
          </w:tcPr>
          <w:p w14:paraId="722D2C6B"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IV</w:t>
            </w:r>
          </w:p>
        </w:tc>
        <w:tc>
          <w:tcPr>
            <w:tcW w:w="0" w:type="auto"/>
          </w:tcPr>
          <w:p w14:paraId="4A0DEAEC"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w:t>
            </w:r>
          </w:p>
        </w:tc>
        <w:tc>
          <w:tcPr>
            <w:tcW w:w="0" w:type="auto"/>
          </w:tcPr>
          <w:p w14:paraId="12FA48DD" w14:textId="77777777" w:rsidR="005C3113" w:rsidRPr="004D7700" w:rsidRDefault="005C3113" w:rsidP="005C311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II</w:t>
            </w:r>
          </w:p>
        </w:tc>
      </w:tr>
      <w:tr w:rsidR="005C3113" w:rsidRPr="004D7700" w14:paraId="7B68637F" w14:textId="77777777" w:rsidTr="005C311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4BEF4554"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Draft Inception Report</w:t>
            </w:r>
          </w:p>
          <w:p w14:paraId="2C96A9FD" w14:textId="7960DE29" w:rsidR="0081635D" w:rsidRPr="004D7700" w:rsidRDefault="0081635D" w:rsidP="005C3113">
            <w:pPr>
              <w:jc w:val="center"/>
              <w:rPr>
                <w:rFonts w:ascii="Arial" w:hAnsi="Arial" w:cs="Arial"/>
                <w:b w:val="0"/>
                <w:sz w:val="20"/>
                <w:szCs w:val="20"/>
              </w:rPr>
            </w:pPr>
            <w:r w:rsidRPr="004D7700">
              <w:rPr>
                <w:rFonts w:ascii="Arial" w:hAnsi="Arial" w:cs="Arial"/>
                <w:b w:val="0"/>
                <w:sz w:val="20"/>
                <w:szCs w:val="20"/>
              </w:rPr>
              <w:t>Responsibility: Evaluator with inputs provided by project personnel</w:t>
            </w:r>
          </w:p>
        </w:tc>
        <w:tc>
          <w:tcPr>
            <w:tcW w:w="0" w:type="auto"/>
            <w:shd w:val="clear" w:color="auto" w:fill="95B3D7" w:themeFill="accent1" w:themeFillTint="99"/>
          </w:tcPr>
          <w:p w14:paraId="2B041CD6"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57D313FC"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57B28702"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F2F2F2" w:themeFill="background1" w:themeFillShade="F2"/>
          </w:tcPr>
          <w:p w14:paraId="76F2371B"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F2F2F2" w:themeFill="background1" w:themeFillShade="F2"/>
          </w:tcPr>
          <w:p w14:paraId="45390FC7"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391F20A2"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7A33AA6F"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B1E5E62"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4717AB65"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72171AB4"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C3113" w:rsidRPr="004D7700" w14:paraId="309300E6" w14:textId="77777777" w:rsidTr="005C3113">
        <w:trPr>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1437BCF0"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Finalize Inception Report</w:t>
            </w:r>
          </w:p>
          <w:p w14:paraId="6EBE05EE" w14:textId="39580859" w:rsidR="0081635D" w:rsidRPr="004D7700" w:rsidRDefault="0081635D" w:rsidP="005C3113">
            <w:pPr>
              <w:jc w:val="center"/>
              <w:rPr>
                <w:rFonts w:ascii="Arial" w:hAnsi="Arial" w:cs="Arial"/>
                <w:b w:val="0"/>
                <w:sz w:val="20"/>
                <w:szCs w:val="20"/>
              </w:rPr>
            </w:pPr>
            <w:r w:rsidRPr="004D7700">
              <w:rPr>
                <w:rFonts w:ascii="Arial" w:hAnsi="Arial" w:cs="Arial"/>
                <w:b w:val="0"/>
                <w:sz w:val="20"/>
                <w:szCs w:val="20"/>
              </w:rPr>
              <w:t>Responsibility: Evaluator</w:t>
            </w:r>
          </w:p>
        </w:tc>
        <w:tc>
          <w:tcPr>
            <w:tcW w:w="0" w:type="auto"/>
            <w:tcBorders>
              <w:bottom w:val="single" w:sz="4" w:space="0" w:color="FFFFFF" w:themeColor="background1"/>
            </w:tcBorders>
            <w:shd w:val="clear" w:color="auto" w:fill="F2F2F2" w:themeFill="background1" w:themeFillShade="F2"/>
          </w:tcPr>
          <w:p w14:paraId="0AF672FA"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F2F2F2" w:themeFill="background1" w:themeFillShade="F2"/>
          </w:tcPr>
          <w:p w14:paraId="2BA58982"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F2F2F2" w:themeFill="background1" w:themeFillShade="F2"/>
          </w:tcPr>
          <w:p w14:paraId="08990BE8"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95B3D7" w:themeFill="accent1" w:themeFillTint="99"/>
          </w:tcPr>
          <w:p w14:paraId="726A884A" w14:textId="77777777" w:rsidR="005C3113" w:rsidRPr="004D7700" w:rsidRDefault="005C3113" w:rsidP="005C31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95B3D7"/>
          </w:tcPr>
          <w:p w14:paraId="7BFB63E2"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F2F2F2" w:themeFill="background1" w:themeFillShade="F2"/>
          </w:tcPr>
          <w:p w14:paraId="7633CF9B"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F2F2F2" w:themeFill="background1" w:themeFillShade="F2"/>
          </w:tcPr>
          <w:p w14:paraId="3CB06CE9"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F2F2F2" w:themeFill="background1" w:themeFillShade="F2"/>
          </w:tcPr>
          <w:p w14:paraId="574F0D5F"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0EC0D07A"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160A9F6E"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C3113" w:rsidRPr="004D7700" w14:paraId="41866CED" w14:textId="77777777" w:rsidTr="005C311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01450AEA"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Desk Review</w:t>
            </w:r>
          </w:p>
          <w:p w14:paraId="12964B67" w14:textId="6D553839" w:rsidR="0081635D" w:rsidRPr="004D7700" w:rsidRDefault="0081635D" w:rsidP="005C3113">
            <w:pPr>
              <w:jc w:val="center"/>
              <w:rPr>
                <w:rFonts w:ascii="Arial" w:hAnsi="Arial" w:cs="Arial"/>
                <w:b w:val="0"/>
                <w:sz w:val="20"/>
                <w:szCs w:val="20"/>
              </w:rPr>
            </w:pPr>
            <w:r w:rsidRPr="004D7700">
              <w:rPr>
                <w:rFonts w:ascii="Arial" w:hAnsi="Arial" w:cs="Arial"/>
                <w:b w:val="0"/>
                <w:sz w:val="20"/>
                <w:szCs w:val="20"/>
              </w:rPr>
              <w:t>Responsibility: Evaluator, project personnel</w:t>
            </w:r>
          </w:p>
        </w:tc>
        <w:tc>
          <w:tcPr>
            <w:tcW w:w="0" w:type="auto"/>
            <w:shd w:val="clear" w:color="auto" w:fill="95B3D7"/>
          </w:tcPr>
          <w:p w14:paraId="2AD76BB6"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254BEEEC"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6D19AA59"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0CA917A3"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4DFC9311"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6DA2DE9F"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1C4365BC"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60A2AD65"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5BE2DC33"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9266892"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C3113" w:rsidRPr="004D7700" w14:paraId="5458C467" w14:textId="77777777" w:rsidTr="005C3113">
        <w:trPr>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795AE514"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Preparation of data collection instruments</w:t>
            </w:r>
          </w:p>
          <w:p w14:paraId="5D0D894D" w14:textId="10F24F29" w:rsidR="0081635D" w:rsidRPr="004D7700" w:rsidRDefault="0081635D" w:rsidP="005C3113">
            <w:pPr>
              <w:jc w:val="center"/>
              <w:rPr>
                <w:rFonts w:ascii="Arial" w:hAnsi="Arial" w:cs="Arial"/>
                <w:b w:val="0"/>
                <w:sz w:val="20"/>
                <w:szCs w:val="20"/>
              </w:rPr>
            </w:pPr>
            <w:r w:rsidRPr="004D7700">
              <w:rPr>
                <w:rFonts w:ascii="Arial" w:hAnsi="Arial" w:cs="Arial"/>
                <w:b w:val="0"/>
                <w:sz w:val="20"/>
                <w:szCs w:val="20"/>
              </w:rPr>
              <w:t>Responsibility: Evaluator with discussions and feedback with project personnel to schedule meetings, obtain documents, gather data</w:t>
            </w:r>
          </w:p>
        </w:tc>
        <w:tc>
          <w:tcPr>
            <w:tcW w:w="0" w:type="auto"/>
            <w:shd w:val="clear" w:color="auto" w:fill="F2F2F2" w:themeFill="background1" w:themeFillShade="F2"/>
          </w:tcPr>
          <w:p w14:paraId="6B593A91"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5928C695"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0C57305A"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95B3D7"/>
          </w:tcPr>
          <w:p w14:paraId="07E6A798"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Borders>
              <w:bottom w:val="single" w:sz="4" w:space="0" w:color="FFFFFF" w:themeColor="background1"/>
            </w:tcBorders>
            <w:shd w:val="clear" w:color="auto" w:fill="95B3D7" w:themeFill="accent1" w:themeFillTint="99"/>
          </w:tcPr>
          <w:p w14:paraId="36B81CDB"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5037BE98"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0597C08A"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9C21027"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14F26D7B"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335EBBD6"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C3113" w:rsidRPr="004D7700" w14:paraId="0BE8BEDC" w14:textId="77777777" w:rsidTr="005C311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3AD38261"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Data collection - Field Work</w:t>
            </w:r>
          </w:p>
          <w:p w14:paraId="6C737E14" w14:textId="2C175BFA" w:rsidR="0081635D" w:rsidRPr="004D7700" w:rsidRDefault="0081635D" w:rsidP="005C3113">
            <w:pPr>
              <w:jc w:val="center"/>
              <w:rPr>
                <w:rFonts w:ascii="Arial" w:hAnsi="Arial" w:cs="Arial"/>
                <w:b w:val="0"/>
                <w:sz w:val="20"/>
                <w:szCs w:val="20"/>
              </w:rPr>
            </w:pPr>
            <w:r w:rsidRPr="004D7700">
              <w:rPr>
                <w:rFonts w:ascii="Arial" w:hAnsi="Arial" w:cs="Arial"/>
                <w:b w:val="0"/>
                <w:sz w:val="20"/>
                <w:szCs w:val="20"/>
              </w:rPr>
              <w:t>Responsibility: Evaluator interactions with interviewees and project personnel</w:t>
            </w:r>
          </w:p>
        </w:tc>
        <w:tc>
          <w:tcPr>
            <w:tcW w:w="0" w:type="auto"/>
            <w:shd w:val="clear" w:color="auto" w:fill="F2F2F2" w:themeFill="background1" w:themeFillShade="F2"/>
          </w:tcPr>
          <w:p w14:paraId="25B8BD3A"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3B402C91"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7FA8FFE"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5272CA88"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cPr>
          <w:p w14:paraId="18D09348"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14AEFCC3"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182382E2"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560DADD"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0FB9240F"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4CA909C6"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C3113" w:rsidRPr="004D7700" w14:paraId="6B2702D0" w14:textId="77777777" w:rsidTr="005C3113">
        <w:trPr>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1730632F"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Data analysis</w:t>
            </w:r>
          </w:p>
          <w:p w14:paraId="7AEEADCC" w14:textId="34E7B6C0" w:rsidR="0081635D" w:rsidRPr="004D7700" w:rsidRDefault="0081635D" w:rsidP="005C3113">
            <w:pPr>
              <w:jc w:val="center"/>
              <w:rPr>
                <w:rFonts w:ascii="Arial" w:hAnsi="Arial" w:cs="Arial"/>
                <w:b w:val="0"/>
                <w:sz w:val="20"/>
                <w:szCs w:val="20"/>
              </w:rPr>
            </w:pPr>
            <w:r w:rsidRPr="004D7700">
              <w:rPr>
                <w:rFonts w:ascii="Arial" w:hAnsi="Arial" w:cs="Arial"/>
                <w:b w:val="0"/>
                <w:sz w:val="20"/>
                <w:szCs w:val="20"/>
              </w:rPr>
              <w:t>Responsibility: Evaluator</w:t>
            </w:r>
          </w:p>
        </w:tc>
        <w:tc>
          <w:tcPr>
            <w:tcW w:w="0" w:type="auto"/>
            <w:shd w:val="clear" w:color="auto" w:fill="F2F2F2" w:themeFill="background1" w:themeFillShade="F2"/>
          </w:tcPr>
          <w:p w14:paraId="318E6DEF"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401C495C"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1837189B"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14B79F0B"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635D2D54"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08A0E289"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1F1F4E47"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0F0ACF97"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CCA8682"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7096FAF8"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C3113" w:rsidRPr="004D7700" w14:paraId="1B0B674B" w14:textId="77777777" w:rsidTr="005C311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385AC070"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Draft an evaluation report</w:t>
            </w:r>
          </w:p>
          <w:p w14:paraId="52A3D62E" w14:textId="3F5C84DB" w:rsidR="0081635D" w:rsidRPr="004D7700" w:rsidRDefault="0081635D" w:rsidP="005C3113">
            <w:pPr>
              <w:jc w:val="center"/>
              <w:rPr>
                <w:rFonts w:ascii="Arial" w:hAnsi="Arial" w:cs="Arial"/>
                <w:b w:val="0"/>
                <w:sz w:val="20"/>
                <w:szCs w:val="20"/>
              </w:rPr>
            </w:pPr>
            <w:r w:rsidRPr="004D7700">
              <w:rPr>
                <w:rFonts w:ascii="Arial" w:hAnsi="Arial" w:cs="Arial"/>
                <w:b w:val="0"/>
                <w:sz w:val="20"/>
                <w:szCs w:val="20"/>
              </w:rPr>
              <w:lastRenderedPageBreak/>
              <w:t>Responsibil</w:t>
            </w:r>
            <w:r w:rsidR="002728D9" w:rsidRPr="004D7700">
              <w:rPr>
                <w:rFonts w:ascii="Arial" w:hAnsi="Arial" w:cs="Arial"/>
                <w:b w:val="0"/>
                <w:sz w:val="20"/>
                <w:szCs w:val="20"/>
              </w:rPr>
              <w:t>i</w:t>
            </w:r>
            <w:r w:rsidRPr="004D7700">
              <w:rPr>
                <w:rFonts w:ascii="Arial" w:hAnsi="Arial" w:cs="Arial"/>
                <w:b w:val="0"/>
                <w:sz w:val="20"/>
                <w:szCs w:val="20"/>
              </w:rPr>
              <w:t>ty: Evaluator with</w:t>
            </w:r>
            <w:r w:rsidR="002728D9" w:rsidRPr="004D7700">
              <w:rPr>
                <w:rFonts w:ascii="Arial" w:hAnsi="Arial" w:cs="Arial"/>
                <w:b w:val="0"/>
                <w:sz w:val="20"/>
                <w:szCs w:val="20"/>
              </w:rPr>
              <w:t xml:space="preserve"> feedba</w:t>
            </w:r>
            <w:r w:rsidRPr="004D7700">
              <w:rPr>
                <w:rFonts w:ascii="Arial" w:hAnsi="Arial" w:cs="Arial"/>
                <w:b w:val="0"/>
                <w:sz w:val="20"/>
                <w:szCs w:val="20"/>
              </w:rPr>
              <w:t xml:space="preserve">ck provided by project personnel, UNDP and </w:t>
            </w:r>
            <w:r w:rsidR="002728D9" w:rsidRPr="004D7700">
              <w:rPr>
                <w:rFonts w:ascii="Arial" w:hAnsi="Arial" w:cs="Arial"/>
                <w:b w:val="0"/>
                <w:sz w:val="20"/>
                <w:szCs w:val="20"/>
              </w:rPr>
              <w:t>UK Government</w:t>
            </w:r>
          </w:p>
        </w:tc>
        <w:tc>
          <w:tcPr>
            <w:tcW w:w="0" w:type="auto"/>
            <w:shd w:val="clear" w:color="auto" w:fill="F2F2F2" w:themeFill="background1" w:themeFillShade="F2"/>
          </w:tcPr>
          <w:p w14:paraId="725C7CD9"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612E7E60"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4FB3184B"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4B7D2E9"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3B22EA12"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457A7B92"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06E37160"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5E81217A"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1AEE289A"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3D986946" w14:textId="77777777" w:rsidR="005C3113" w:rsidRPr="004D7700" w:rsidRDefault="005C3113" w:rsidP="005C31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C3113" w:rsidRPr="004D7700" w14:paraId="0EBA2F5C" w14:textId="77777777" w:rsidTr="005C3113">
        <w:trPr>
          <w:trHeight w:val="307"/>
        </w:trPr>
        <w:tc>
          <w:tcPr>
            <w:cnfStyle w:val="001000000000" w:firstRow="0" w:lastRow="0" w:firstColumn="1" w:lastColumn="0" w:oddVBand="0" w:evenVBand="0" w:oddHBand="0" w:evenHBand="0" w:firstRowFirstColumn="0" w:firstRowLastColumn="0" w:lastRowFirstColumn="0" w:lastRowLastColumn="0"/>
            <w:tcW w:w="4502" w:type="dxa"/>
            <w:shd w:val="clear" w:color="auto" w:fill="1F497D" w:themeFill="text2"/>
          </w:tcPr>
          <w:p w14:paraId="5B61A936" w14:textId="77777777" w:rsidR="005C3113" w:rsidRPr="004D7700" w:rsidRDefault="005C3113" w:rsidP="005C3113">
            <w:pPr>
              <w:jc w:val="center"/>
              <w:rPr>
                <w:rFonts w:ascii="Arial" w:hAnsi="Arial" w:cs="Arial"/>
                <w:sz w:val="20"/>
                <w:szCs w:val="20"/>
              </w:rPr>
            </w:pPr>
            <w:r w:rsidRPr="004D7700">
              <w:rPr>
                <w:rFonts w:ascii="Arial" w:hAnsi="Arial" w:cs="Arial"/>
                <w:sz w:val="20"/>
                <w:szCs w:val="20"/>
              </w:rPr>
              <w:t xml:space="preserve">Final evaluation report (March 19) </w:t>
            </w:r>
          </w:p>
          <w:p w14:paraId="1F8658F4" w14:textId="7F3299A6" w:rsidR="002728D9" w:rsidRPr="004D7700" w:rsidRDefault="002728D9" w:rsidP="005C3113">
            <w:pPr>
              <w:jc w:val="center"/>
              <w:rPr>
                <w:rFonts w:ascii="Arial" w:hAnsi="Arial" w:cs="Arial"/>
                <w:b w:val="0"/>
                <w:sz w:val="20"/>
                <w:szCs w:val="20"/>
              </w:rPr>
            </w:pPr>
            <w:r w:rsidRPr="004D7700">
              <w:rPr>
                <w:rFonts w:ascii="Arial" w:hAnsi="Arial" w:cs="Arial"/>
                <w:b w:val="0"/>
                <w:sz w:val="20"/>
                <w:szCs w:val="20"/>
              </w:rPr>
              <w:t>Responsibility: Evaluator</w:t>
            </w:r>
          </w:p>
        </w:tc>
        <w:tc>
          <w:tcPr>
            <w:tcW w:w="0" w:type="auto"/>
            <w:shd w:val="clear" w:color="auto" w:fill="F2F2F2" w:themeFill="background1" w:themeFillShade="F2"/>
          </w:tcPr>
          <w:p w14:paraId="000F3EAB"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63E3D82C"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36E8F6B7"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224D8CB8"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141C3834"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19A4CFB3"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62C0D154"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1A2B726A"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F2F2F2" w:themeFill="background1" w:themeFillShade="F2"/>
          </w:tcPr>
          <w:p w14:paraId="0FD0F965"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shd w:val="clear" w:color="auto" w:fill="95B3D7" w:themeFill="accent1" w:themeFillTint="99"/>
          </w:tcPr>
          <w:p w14:paraId="5EFC4399" w14:textId="77777777" w:rsidR="005C3113" w:rsidRPr="004D7700" w:rsidRDefault="005C3113" w:rsidP="005C31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7700">
              <w:rPr>
                <w:rFonts w:ascii="Arial" w:hAnsi="Arial" w:cs="Arial"/>
                <w:sz w:val="20"/>
                <w:szCs w:val="20"/>
              </w:rPr>
              <w:t>19 March</w:t>
            </w:r>
          </w:p>
        </w:tc>
      </w:tr>
    </w:tbl>
    <w:p w14:paraId="17B789AE" w14:textId="77777777" w:rsidR="005C3113" w:rsidRDefault="005C3113" w:rsidP="005C3113">
      <w:pPr>
        <w:jc w:val="both"/>
        <w:rPr>
          <w:rFonts w:ascii="Arial" w:hAnsi="Arial"/>
          <w:sz w:val="22"/>
          <w:szCs w:val="22"/>
        </w:rPr>
      </w:pPr>
    </w:p>
    <w:p w14:paraId="104ADF16" w14:textId="77777777" w:rsidR="00C90A3B" w:rsidRPr="00957C84" w:rsidRDefault="00C90A3B" w:rsidP="003060EE">
      <w:pPr>
        <w:pStyle w:val="Heading2"/>
        <w:numPr>
          <w:ilvl w:val="0"/>
          <w:numId w:val="2"/>
        </w:numPr>
      </w:pPr>
      <w:bookmarkStart w:id="8" w:name="_Toc442537477"/>
      <w:bookmarkStart w:id="9" w:name="_Toc478138860"/>
      <w:r>
        <w:t>Evaluation Approach and Methodology</w:t>
      </w:r>
      <w:bookmarkEnd w:id="8"/>
      <w:bookmarkEnd w:id="9"/>
    </w:p>
    <w:p w14:paraId="235D0D56" w14:textId="77777777" w:rsidR="00C90A3B" w:rsidRDefault="00C90A3B" w:rsidP="00C90A3B">
      <w:pPr>
        <w:jc w:val="both"/>
        <w:rPr>
          <w:rFonts w:ascii="Arial" w:hAnsi="Arial"/>
          <w:sz w:val="22"/>
          <w:szCs w:val="22"/>
        </w:rPr>
      </w:pPr>
    </w:p>
    <w:p w14:paraId="0D31EEAD" w14:textId="33B225B2" w:rsidR="004A429A" w:rsidRDefault="00C90A3B" w:rsidP="004A429A">
      <w:pPr>
        <w:tabs>
          <w:tab w:val="left" w:pos="2880"/>
        </w:tabs>
        <w:jc w:val="both"/>
        <w:rPr>
          <w:rFonts w:ascii="Arial" w:hAnsi="Arial"/>
          <w:sz w:val="22"/>
          <w:szCs w:val="22"/>
        </w:rPr>
      </w:pPr>
      <w:r>
        <w:rPr>
          <w:rFonts w:ascii="Arial" w:hAnsi="Arial"/>
          <w:sz w:val="22"/>
          <w:szCs w:val="22"/>
        </w:rPr>
        <w:t>The evalu</w:t>
      </w:r>
      <w:r w:rsidR="003F013F">
        <w:rPr>
          <w:rFonts w:ascii="Arial" w:hAnsi="Arial"/>
          <w:sz w:val="22"/>
          <w:szCs w:val="22"/>
        </w:rPr>
        <w:t>ation approach and methodology wa</w:t>
      </w:r>
      <w:r>
        <w:rPr>
          <w:rFonts w:ascii="Arial" w:hAnsi="Arial"/>
          <w:sz w:val="22"/>
          <w:szCs w:val="22"/>
        </w:rPr>
        <w:t>s based on</w:t>
      </w:r>
      <w:r w:rsidR="004A429A">
        <w:rPr>
          <w:rFonts w:ascii="Arial" w:hAnsi="Arial"/>
          <w:sz w:val="22"/>
          <w:szCs w:val="22"/>
        </w:rPr>
        <w:t xml:space="preserve"> </w:t>
      </w:r>
      <w:r w:rsidR="003F013F">
        <w:rPr>
          <w:rFonts w:ascii="Arial" w:hAnsi="Arial"/>
          <w:sz w:val="22"/>
          <w:szCs w:val="22"/>
        </w:rPr>
        <w:t xml:space="preserve">a </w:t>
      </w:r>
      <w:r w:rsidR="004A429A">
        <w:rPr>
          <w:rFonts w:ascii="Arial" w:hAnsi="Arial"/>
          <w:sz w:val="22"/>
          <w:szCs w:val="22"/>
        </w:rPr>
        <w:t>triangulation approach to include</w:t>
      </w:r>
      <w:r>
        <w:rPr>
          <w:rFonts w:ascii="Arial" w:hAnsi="Arial"/>
          <w:sz w:val="22"/>
          <w:szCs w:val="22"/>
        </w:rPr>
        <w:t>: 1) a review of relevant documents and the collection of data regarding</w:t>
      </w:r>
      <w:r w:rsidR="00650F95">
        <w:rPr>
          <w:rFonts w:ascii="Arial" w:hAnsi="Arial"/>
          <w:sz w:val="22"/>
          <w:szCs w:val="22"/>
        </w:rPr>
        <w:t xml:space="preserve"> PAR in Georgia,</w:t>
      </w:r>
      <w:r w:rsidRPr="00D978D9">
        <w:rPr>
          <w:rFonts w:ascii="Arial" w:hAnsi="Arial"/>
          <w:sz w:val="22"/>
          <w:szCs w:val="22"/>
        </w:rPr>
        <w:t xml:space="preserve"> project activities</w:t>
      </w:r>
      <w:r>
        <w:rPr>
          <w:rFonts w:ascii="Arial" w:hAnsi="Arial"/>
          <w:sz w:val="22"/>
          <w:szCs w:val="22"/>
        </w:rPr>
        <w:t xml:space="preserve"> and resulting impacts; 2) interviews of the direct and indirect stakeholders</w:t>
      </w:r>
      <w:r w:rsidR="00FF61D0">
        <w:rPr>
          <w:rFonts w:ascii="Arial" w:hAnsi="Arial"/>
          <w:sz w:val="22"/>
          <w:szCs w:val="22"/>
        </w:rPr>
        <w:t xml:space="preserve"> and project partners</w:t>
      </w:r>
      <w:r>
        <w:rPr>
          <w:rFonts w:ascii="Arial" w:hAnsi="Arial"/>
          <w:sz w:val="22"/>
          <w:szCs w:val="22"/>
        </w:rPr>
        <w:t xml:space="preserve">; and 3) </w:t>
      </w:r>
      <w:r w:rsidR="004A429A">
        <w:rPr>
          <w:rFonts w:ascii="Arial" w:hAnsi="Arial"/>
          <w:sz w:val="22"/>
          <w:szCs w:val="22"/>
        </w:rPr>
        <w:t xml:space="preserve">a performance review </w:t>
      </w:r>
      <w:r>
        <w:rPr>
          <w:rFonts w:ascii="Arial" w:hAnsi="Arial"/>
          <w:sz w:val="22"/>
          <w:szCs w:val="22"/>
        </w:rPr>
        <w:t>analysis of the information gathered</w:t>
      </w:r>
      <w:r w:rsidR="005E5079">
        <w:rPr>
          <w:rFonts w:ascii="Arial" w:hAnsi="Arial"/>
          <w:sz w:val="22"/>
          <w:szCs w:val="22"/>
        </w:rPr>
        <w:t>, particularly the Results and Resource Framework</w:t>
      </w:r>
      <w:r w:rsidR="004A429A">
        <w:rPr>
          <w:rFonts w:ascii="Arial" w:hAnsi="Arial"/>
          <w:sz w:val="22"/>
          <w:szCs w:val="22"/>
        </w:rPr>
        <w:t xml:space="preserve"> </w:t>
      </w:r>
      <w:r w:rsidR="00650F95">
        <w:rPr>
          <w:rFonts w:ascii="Arial" w:hAnsi="Arial"/>
          <w:sz w:val="22"/>
          <w:szCs w:val="22"/>
        </w:rPr>
        <w:t xml:space="preserve">(RRF) </w:t>
      </w:r>
      <w:r w:rsidR="004A429A">
        <w:rPr>
          <w:rFonts w:ascii="Arial" w:hAnsi="Arial"/>
          <w:sz w:val="22"/>
          <w:szCs w:val="22"/>
        </w:rPr>
        <w:t>and other performance-related data. All findings, lessons learned, conclusions and recommendations are a result of at least two if not three or more sources so as to verify the information provided and provide a sound basis</w:t>
      </w:r>
      <w:r w:rsidR="00E30ABF">
        <w:rPr>
          <w:rFonts w:ascii="Arial" w:hAnsi="Arial"/>
          <w:sz w:val="22"/>
          <w:szCs w:val="22"/>
        </w:rPr>
        <w:t xml:space="preserve"> for any related future PAR interventions</w:t>
      </w:r>
      <w:r w:rsidR="004A429A">
        <w:rPr>
          <w:rFonts w:ascii="Arial" w:hAnsi="Arial"/>
          <w:sz w:val="22"/>
          <w:szCs w:val="22"/>
        </w:rPr>
        <w:t>.</w:t>
      </w:r>
    </w:p>
    <w:p w14:paraId="4F67F6A6" w14:textId="77777777" w:rsidR="005E5079" w:rsidRDefault="005E5079" w:rsidP="004A429A">
      <w:pPr>
        <w:tabs>
          <w:tab w:val="left" w:pos="2880"/>
        </w:tabs>
        <w:jc w:val="both"/>
        <w:rPr>
          <w:rFonts w:ascii="Arial" w:hAnsi="Arial"/>
          <w:sz w:val="22"/>
          <w:szCs w:val="22"/>
        </w:rPr>
      </w:pPr>
    </w:p>
    <w:p w14:paraId="737534A7" w14:textId="3FF9C446" w:rsidR="005E5079" w:rsidRDefault="005E5079" w:rsidP="005E5079">
      <w:pPr>
        <w:jc w:val="both"/>
        <w:rPr>
          <w:rFonts w:ascii="Arial" w:hAnsi="Arial"/>
          <w:sz w:val="22"/>
          <w:szCs w:val="22"/>
        </w:rPr>
      </w:pPr>
      <w:r>
        <w:rPr>
          <w:rFonts w:ascii="Arial" w:hAnsi="Arial"/>
          <w:sz w:val="22"/>
          <w:szCs w:val="22"/>
        </w:rPr>
        <w:t>As indicated in the evaluation TOR, the evaluation was focused on the following, according to the criteria established by the O</w:t>
      </w:r>
      <w:r w:rsidR="00E30ABF">
        <w:rPr>
          <w:rFonts w:ascii="Arial" w:hAnsi="Arial"/>
          <w:sz w:val="22"/>
          <w:szCs w:val="22"/>
        </w:rPr>
        <w:t xml:space="preserve">ECD </w:t>
      </w:r>
      <w:r>
        <w:rPr>
          <w:rFonts w:ascii="Arial" w:hAnsi="Arial"/>
          <w:sz w:val="22"/>
          <w:szCs w:val="22"/>
        </w:rPr>
        <w:t>Develo</w:t>
      </w:r>
      <w:r w:rsidR="00B65BB8">
        <w:rPr>
          <w:rFonts w:ascii="Arial" w:hAnsi="Arial"/>
          <w:sz w:val="22"/>
          <w:szCs w:val="22"/>
        </w:rPr>
        <w:t>pment Assistance Committee</w:t>
      </w:r>
      <w:r w:rsidR="00F23F02">
        <w:rPr>
          <w:rFonts w:ascii="Arial" w:hAnsi="Arial"/>
          <w:sz w:val="22"/>
          <w:szCs w:val="22"/>
        </w:rPr>
        <w:t xml:space="preserve"> (DAC)</w:t>
      </w:r>
      <w:r>
        <w:rPr>
          <w:rFonts w:ascii="Arial" w:hAnsi="Arial"/>
          <w:sz w:val="22"/>
          <w:szCs w:val="22"/>
        </w:rPr>
        <w:t xml:space="preserve">: </w:t>
      </w:r>
    </w:p>
    <w:p w14:paraId="7271DC2E" w14:textId="77777777" w:rsidR="005E5079" w:rsidRDefault="005E5079" w:rsidP="005E5079">
      <w:pPr>
        <w:jc w:val="both"/>
        <w:rPr>
          <w:rFonts w:ascii="Arial" w:hAnsi="Arial"/>
          <w:sz w:val="22"/>
          <w:szCs w:val="22"/>
        </w:rPr>
      </w:pPr>
    </w:p>
    <w:p w14:paraId="1518D81C" w14:textId="77777777" w:rsidR="005E5079" w:rsidRDefault="005E5079" w:rsidP="00EB743C">
      <w:pPr>
        <w:pStyle w:val="ListParagraph"/>
        <w:numPr>
          <w:ilvl w:val="2"/>
          <w:numId w:val="10"/>
        </w:numPr>
        <w:ind w:left="720" w:hanging="360"/>
        <w:jc w:val="both"/>
        <w:rPr>
          <w:rFonts w:ascii="Arial" w:hAnsi="Arial"/>
          <w:sz w:val="22"/>
          <w:szCs w:val="22"/>
        </w:rPr>
      </w:pPr>
      <w:r w:rsidRPr="006B328A">
        <w:rPr>
          <w:rFonts w:ascii="Arial" w:hAnsi="Arial"/>
          <w:i/>
          <w:sz w:val="22"/>
          <w:szCs w:val="22"/>
        </w:rPr>
        <w:t>Relevance</w:t>
      </w:r>
      <w:r w:rsidRPr="003927EA">
        <w:rPr>
          <w:rFonts w:ascii="Arial" w:hAnsi="Arial"/>
          <w:sz w:val="22"/>
          <w:szCs w:val="22"/>
        </w:rPr>
        <w:t xml:space="preserve"> (approach, objectives, modalities of implementation, etc.)</w:t>
      </w:r>
      <w:r>
        <w:rPr>
          <w:rFonts w:ascii="Arial" w:hAnsi="Arial"/>
          <w:sz w:val="22"/>
          <w:szCs w:val="22"/>
        </w:rPr>
        <w:t xml:space="preserve"> and to include to what extent the project is responding to the national context.</w:t>
      </w:r>
    </w:p>
    <w:p w14:paraId="038DEBFB" w14:textId="408D8461" w:rsidR="005E5079" w:rsidRPr="003927EA" w:rsidRDefault="005E5079" w:rsidP="00EB743C">
      <w:pPr>
        <w:pStyle w:val="ListParagraph"/>
        <w:numPr>
          <w:ilvl w:val="2"/>
          <w:numId w:val="10"/>
        </w:numPr>
        <w:ind w:left="720" w:hanging="360"/>
        <w:jc w:val="both"/>
        <w:rPr>
          <w:rFonts w:ascii="Arial" w:hAnsi="Arial"/>
          <w:sz w:val="22"/>
          <w:szCs w:val="22"/>
        </w:rPr>
      </w:pPr>
      <w:r w:rsidRPr="006B328A">
        <w:rPr>
          <w:rFonts w:ascii="Arial" w:hAnsi="Arial"/>
          <w:i/>
          <w:sz w:val="22"/>
          <w:szCs w:val="22"/>
        </w:rPr>
        <w:t>Effectiveness</w:t>
      </w:r>
      <w:r w:rsidR="00650F95">
        <w:rPr>
          <w:rFonts w:ascii="Arial" w:hAnsi="Arial"/>
          <w:i/>
          <w:sz w:val="22"/>
          <w:szCs w:val="22"/>
        </w:rPr>
        <w:t xml:space="preserve"> and Results</w:t>
      </w:r>
      <w:r w:rsidRPr="003927EA">
        <w:rPr>
          <w:rFonts w:ascii="Arial" w:hAnsi="Arial"/>
          <w:sz w:val="22"/>
          <w:szCs w:val="22"/>
        </w:rPr>
        <w:t xml:space="preserve"> of the approach used to produce</w:t>
      </w:r>
      <w:r>
        <w:rPr>
          <w:rFonts w:ascii="Arial" w:hAnsi="Arial"/>
          <w:sz w:val="22"/>
          <w:szCs w:val="22"/>
        </w:rPr>
        <w:t xml:space="preserve"> results and to what extent the project is on track to achieving the project outputs and outcomes.</w:t>
      </w:r>
    </w:p>
    <w:p w14:paraId="76A29DAC" w14:textId="77777777" w:rsidR="005E5079" w:rsidRPr="003927EA" w:rsidRDefault="005E5079" w:rsidP="00EB743C">
      <w:pPr>
        <w:pStyle w:val="ListParagraph"/>
        <w:numPr>
          <w:ilvl w:val="2"/>
          <w:numId w:val="10"/>
        </w:numPr>
        <w:ind w:left="720" w:hanging="360"/>
        <w:jc w:val="both"/>
        <w:rPr>
          <w:rFonts w:ascii="Arial" w:hAnsi="Arial"/>
          <w:sz w:val="22"/>
          <w:szCs w:val="22"/>
        </w:rPr>
      </w:pPr>
      <w:r w:rsidRPr="006B328A">
        <w:rPr>
          <w:rFonts w:ascii="Arial" w:hAnsi="Arial"/>
          <w:i/>
          <w:sz w:val="22"/>
          <w:szCs w:val="22"/>
        </w:rPr>
        <w:t>Efficiency</w:t>
      </w:r>
      <w:r w:rsidRPr="003927EA">
        <w:rPr>
          <w:rFonts w:ascii="Arial" w:hAnsi="Arial"/>
          <w:sz w:val="22"/>
          <w:szCs w:val="22"/>
        </w:rPr>
        <w:t xml:space="preserve"> of pro</w:t>
      </w:r>
      <w:r>
        <w:rPr>
          <w:rFonts w:ascii="Arial" w:hAnsi="Arial"/>
          <w:sz w:val="22"/>
          <w:szCs w:val="22"/>
        </w:rPr>
        <w:t>ject and project</w:t>
      </w:r>
      <w:r w:rsidRPr="003927EA">
        <w:rPr>
          <w:rFonts w:ascii="Arial" w:hAnsi="Arial"/>
          <w:sz w:val="22"/>
          <w:szCs w:val="22"/>
        </w:rPr>
        <w:t xml:space="preserve"> management, including the delivery of inputs in terms of quality, </w:t>
      </w:r>
      <w:r>
        <w:rPr>
          <w:rFonts w:ascii="Arial" w:hAnsi="Arial"/>
          <w:sz w:val="22"/>
          <w:szCs w:val="22"/>
        </w:rPr>
        <w:t xml:space="preserve">added value, </w:t>
      </w:r>
      <w:r w:rsidRPr="003927EA">
        <w:rPr>
          <w:rFonts w:ascii="Arial" w:hAnsi="Arial"/>
          <w:sz w:val="22"/>
          <w:szCs w:val="22"/>
        </w:rPr>
        <w:t>quantity and timeli</w:t>
      </w:r>
      <w:r>
        <w:rPr>
          <w:rFonts w:ascii="Arial" w:hAnsi="Arial"/>
          <w:sz w:val="22"/>
          <w:szCs w:val="22"/>
        </w:rPr>
        <w:t>ness,</w:t>
      </w:r>
      <w:r w:rsidRPr="003927EA">
        <w:rPr>
          <w:rFonts w:ascii="Arial" w:hAnsi="Arial"/>
          <w:sz w:val="22"/>
          <w:szCs w:val="22"/>
        </w:rPr>
        <w:t xml:space="preserve"> and the monitoring system,</w:t>
      </w:r>
      <w:r>
        <w:rPr>
          <w:rFonts w:ascii="Arial" w:hAnsi="Arial"/>
          <w:sz w:val="22"/>
          <w:szCs w:val="22"/>
        </w:rPr>
        <w:t xml:space="preserve"> including how economically resources or inputs (such as funds, expertise and time) were converted to results.</w:t>
      </w:r>
    </w:p>
    <w:p w14:paraId="5787D71A" w14:textId="77777777" w:rsidR="005E5079" w:rsidRPr="00640C7A" w:rsidRDefault="005E5079" w:rsidP="00EB743C">
      <w:pPr>
        <w:pStyle w:val="ListParagraph"/>
        <w:numPr>
          <w:ilvl w:val="2"/>
          <w:numId w:val="10"/>
        </w:numPr>
        <w:ind w:left="720" w:hanging="360"/>
        <w:jc w:val="both"/>
        <w:rPr>
          <w:rFonts w:ascii="Arial" w:hAnsi="Arial"/>
          <w:sz w:val="22"/>
          <w:szCs w:val="22"/>
        </w:rPr>
      </w:pPr>
      <w:r w:rsidRPr="006B328A">
        <w:rPr>
          <w:rFonts w:ascii="Arial" w:hAnsi="Arial"/>
          <w:i/>
          <w:sz w:val="22"/>
          <w:szCs w:val="22"/>
        </w:rPr>
        <w:t>Sustainability</w:t>
      </w:r>
      <w:r>
        <w:rPr>
          <w:rFonts w:ascii="Arial" w:hAnsi="Arial"/>
          <w:sz w:val="22"/>
          <w:szCs w:val="22"/>
        </w:rPr>
        <w:t xml:space="preserve"> of the </w:t>
      </w:r>
      <w:r w:rsidRPr="003927EA">
        <w:rPr>
          <w:rFonts w:ascii="Arial" w:hAnsi="Arial"/>
          <w:sz w:val="22"/>
          <w:szCs w:val="22"/>
        </w:rPr>
        <w:t>project to measure to what extent the benefits of</w:t>
      </w:r>
      <w:r>
        <w:rPr>
          <w:rFonts w:ascii="Arial" w:hAnsi="Arial"/>
          <w:sz w:val="22"/>
          <w:szCs w:val="22"/>
        </w:rPr>
        <w:t xml:space="preserve"> the activities will have after </w:t>
      </w:r>
      <w:r w:rsidRPr="003927EA">
        <w:rPr>
          <w:rFonts w:ascii="Arial" w:hAnsi="Arial"/>
          <w:sz w:val="22"/>
          <w:szCs w:val="22"/>
        </w:rPr>
        <w:t>project completion and if the capacity will be maintained</w:t>
      </w:r>
      <w:r>
        <w:rPr>
          <w:rFonts w:ascii="Arial" w:hAnsi="Arial"/>
          <w:sz w:val="22"/>
          <w:szCs w:val="22"/>
        </w:rPr>
        <w:t xml:space="preserve"> or expanded.</w:t>
      </w:r>
    </w:p>
    <w:p w14:paraId="5D5C40FA" w14:textId="77777777" w:rsidR="005E5079" w:rsidRPr="003927EA" w:rsidRDefault="005E5079" w:rsidP="00EB743C">
      <w:pPr>
        <w:pStyle w:val="ListParagraph"/>
        <w:numPr>
          <w:ilvl w:val="2"/>
          <w:numId w:val="10"/>
        </w:numPr>
        <w:ind w:left="720" w:hanging="360"/>
        <w:jc w:val="both"/>
        <w:rPr>
          <w:rFonts w:ascii="Arial" w:hAnsi="Arial"/>
          <w:sz w:val="22"/>
          <w:szCs w:val="22"/>
        </w:rPr>
      </w:pPr>
      <w:r>
        <w:rPr>
          <w:rFonts w:ascii="Arial" w:hAnsi="Arial"/>
          <w:i/>
          <w:sz w:val="22"/>
          <w:szCs w:val="22"/>
        </w:rPr>
        <w:t xml:space="preserve">Impact </w:t>
      </w:r>
      <w:r w:rsidRPr="00856368">
        <w:rPr>
          <w:rFonts w:ascii="Arial" w:hAnsi="Arial"/>
          <w:sz w:val="22"/>
          <w:szCs w:val="22"/>
        </w:rPr>
        <w:t>on PAR reform, overall, and for each outcome.</w:t>
      </w:r>
    </w:p>
    <w:p w14:paraId="3735A1E5" w14:textId="2B705E7D" w:rsidR="005E5079" w:rsidRPr="00452D15" w:rsidRDefault="005E5079" w:rsidP="00EB743C">
      <w:pPr>
        <w:pStyle w:val="ListParagraph"/>
        <w:numPr>
          <w:ilvl w:val="2"/>
          <w:numId w:val="10"/>
        </w:numPr>
        <w:ind w:left="720" w:hanging="360"/>
        <w:jc w:val="both"/>
        <w:rPr>
          <w:rFonts w:ascii="Arial" w:hAnsi="Arial"/>
          <w:sz w:val="22"/>
          <w:szCs w:val="22"/>
        </w:rPr>
      </w:pPr>
      <w:r>
        <w:rPr>
          <w:rFonts w:ascii="Arial" w:hAnsi="Arial"/>
          <w:i/>
          <w:sz w:val="22"/>
          <w:szCs w:val="22"/>
        </w:rPr>
        <w:t xml:space="preserve">Coordination </w:t>
      </w:r>
      <w:r>
        <w:rPr>
          <w:rFonts w:ascii="Arial" w:hAnsi="Arial"/>
          <w:sz w:val="22"/>
          <w:szCs w:val="22"/>
        </w:rPr>
        <w:t>with development partners, UNDP a</w:t>
      </w:r>
      <w:r w:rsidR="00650F95">
        <w:rPr>
          <w:rFonts w:ascii="Arial" w:hAnsi="Arial"/>
          <w:sz w:val="22"/>
          <w:szCs w:val="22"/>
        </w:rPr>
        <w:t>nd UN agencies, and other development partners</w:t>
      </w:r>
      <w:r>
        <w:rPr>
          <w:rFonts w:ascii="Arial" w:hAnsi="Arial"/>
          <w:sz w:val="22"/>
          <w:szCs w:val="22"/>
        </w:rPr>
        <w:t xml:space="preserve">, CSOs, NGOs and academic institutions. </w:t>
      </w:r>
    </w:p>
    <w:p w14:paraId="1F909753" w14:textId="5DF9C992" w:rsidR="005E5079" w:rsidRPr="00155A52" w:rsidRDefault="005E5079" w:rsidP="00EB743C">
      <w:pPr>
        <w:pStyle w:val="ListParagraph"/>
        <w:numPr>
          <w:ilvl w:val="2"/>
          <w:numId w:val="10"/>
        </w:numPr>
        <w:ind w:left="720" w:hanging="360"/>
        <w:jc w:val="both"/>
        <w:rPr>
          <w:rFonts w:ascii="Arial" w:hAnsi="Arial"/>
          <w:sz w:val="22"/>
          <w:szCs w:val="22"/>
        </w:rPr>
      </w:pPr>
      <w:r w:rsidRPr="006B328A">
        <w:rPr>
          <w:rFonts w:ascii="Arial" w:hAnsi="Arial"/>
          <w:i/>
          <w:sz w:val="22"/>
          <w:szCs w:val="22"/>
        </w:rPr>
        <w:t>Gender</w:t>
      </w:r>
      <w:r>
        <w:rPr>
          <w:rFonts w:ascii="Arial" w:hAnsi="Arial"/>
          <w:i/>
          <w:sz w:val="22"/>
          <w:szCs w:val="22"/>
        </w:rPr>
        <w:t xml:space="preserve"> and inclusion</w:t>
      </w:r>
      <w:r>
        <w:rPr>
          <w:rFonts w:ascii="Arial" w:hAnsi="Arial"/>
          <w:sz w:val="22"/>
          <w:szCs w:val="22"/>
        </w:rPr>
        <w:t xml:space="preserve"> in regard to the extent the project has contributed to gender equality and the empowerment of women and the extent the p</w:t>
      </w:r>
      <w:r w:rsidR="00E30ABF">
        <w:rPr>
          <w:rFonts w:ascii="Arial" w:hAnsi="Arial"/>
          <w:sz w:val="22"/>
          <w:szCs w:val="22"/>
        </w:rPr>
        <w:t>roject promoted positive change</w:t>
      </w:r>
      <w:r>
        <w:rPr>
          <w:rFonts w:ascii="Arial" w:hAnsi="Arial"/>
          <w:sz w:val="22"/>
          <w:szCs w:val="22"/>
        </w:rPr>
        <w:t xml:space="preserve"> in gender equality, empowerment of women and social inclusion. </w:t>
      </w:r>
    </w:p>
    <w:p w14:paraId="090A096C" w14:textId="77777777" w:rsidR="005E5079" w:rsidRDefault="005E5079" w:rsidP="005E5079">
      <w:pPr>
        <w:jc w:val="both"/>
        <w:rPr>
          <w:rFonts w:ascii="Arial" w:hAnsi="Arial"/>
          <w:sz w:val="22"/>
          <w:szCs w:val="22"/>
        </w:rPr>
      </w:pPr>
    </w:p>
    <w:p w14:paraId="2A9CE5E1" w14:textId="7DC3206C" w:rsidR="008E3312" w:rsidRDefault="005E5079" w:rsidP="006175A4">
      <w:pPr>
        <w:jc w:val="both"/>
        <w:rPr>
          <w:rFonts w:ascii="Arial" w:hAnsi="Arial"/>
          <w:sz w:val="22"/>
          <w:szCs w:val="22"/>
        </w:rPr>
      </w:pPr>
      <w:r>
        <w:rPr>
          <w:rFonts w:ascii="Arial" w:hAnsi="Arial"/>
          <w:sz w:val="22"/>
          <w:szCs w:val="22"/>
        </w:rPr>
        <w:t>An analysis of each of the evaluation criteria is included in the following section to show how the project has responded to each criterion. The TOR contained a list of questions to respond to each criterion. The questions related to each criterion were responded to</w:t>
      </w:r>
      <w:r w:rsidR="008E3312">
        <w:rPr>
          <w:rFonts w:ascii="Arial" w:hAnsi="Arial"/>
          <w:sz w:val="22"/>
          <w:szCs w:val="22"/>
        </w:rPr>
        <w:t xml:space="preserve"> based on the document review, interviews, data review and the resulting analysis of these elements. The </w:t>
      </w:r>
      <w:r w:rsidR="001E1B20">
        <w:rPr>
          <w:rFonts w:ascii="Arial" w:hAnsi="Arial"/>
          <w:sz w:val="22"/>
          <w:szCs w:val="22"/>
        </w:rPr>
        <w:t>analysis directly</w:t>
      </w:r>
      <w:r w:rsidR="008E3312">
        <w:rPr>
          <w:rFonts w:ascii="Arial" w:hAnsi="Arial"/>
          <w:sz w:val="22"/>
          <w:szCs w:val="22"/>
        </w:rPr>
        <w:t xml:space="preserve"> contributed to the findings, conclusions, lessons learned and recommendations</w:t>
      </w:r>
      <w:r w:rsidR="001E1B20">
        <w:rPr>
          <w:rFonts w:ascii="Arial" w:hAnsi="Arial"/>
          <w:sz w:val="22"/>
          <w:szCs w:val="22"/>
        </w:rPr>
        <w:t xml:space="preserve"> in the proceeding parts of the report after Section I</w:t>
      </w:r>
      <w:r w:rsidR="00E36339">
        <w:rPr>
          <w:rFonts w:ascii="Arial" w:hAnsi="Arial"/>
          <w:sz w:val="22"/>
          <w:szCs w:val="22"/>
        </w:rPr>
        <w:t>I</w:t>
      </w:r>
      <w:r w:rsidR="001E1B20">
        <w:rPr>
          <w:rFonts w:ascii="Arial" w:hAnsi="Arial"/>
          <w:sz w:val="22"/>
          <w:szCs w:val="22"/>
        </w:rPr>
        <w:t>I.A</w:t>
      </w:r>
      <w:r w:rsidR="008E3312">
        <w:rPr>
          <w:rFonts w:ascii="Arial" w:hAnsi="Arial"/>
          <w:sz w:val="22"/>
          <w:szCs w:val="22"/>
        </w:rPr>
        <w:t xml:space="preserve">. </w:t>
      </w:r>
      <w:r w:rsidR="001E1B20">
        <w:rPr>
          <w:rFonts w:ascii="Arial" w:hAnsi="Arial"/>
          <w:sz w:val="22"/>
          <w:szCs w:val="22"/>
        </w:rPr>
        <w:t>It should be noted that not all TOR questions for each criterion are answered directly in Section I</w:t>
      </w:r>
      <w:r w:rsidR="00E36339">
        <w:rPr>
          <w:rFonts w:ascii="Arial" w:hAnsi="Arial"/>
          <w:sz w:val="22"/>
          <w:szCs w:val="22"/>
        </w:rPr>
        <w:t>I</w:t>
      </w:r>
      <w:r w:rsidR="001E1B20">
        <w:rPr>
          <w:rFonts w:ascii="Arial" w:hAnsi="Arial"/>
          <w:sz w:val="22"/>
          <w:szCs w:val="22"/>
        </w:rPr>
        <w:t xml:space="preserve">I.A but provide a summary for </w:t>
      </w:r>
      <w:r w:rsidR="001E1B20">
        <w:rPr>
          <w:rFonts w:ascii="Arial" w:hAnsi="Arial"/>
          <w:sz w:val="22"/>
          <w:szCs w:val="22"/>
        </w:rPr>
        <w:lastRenderedPageBreak/>
        <w:t>each criterion. Each question was considered for each criterion and, where possible, answers were amalgamated or priority information, issues and/or conclusions presented.</w:t>
      </w:r>
    </w:p>
    <w:p w14:paraId="068D1F34" w14:textId="55D2A47B" w:rsidR="008E3312" w:rsidRDefault="008E3312" w:rsidP="006175A4">
      <w:pPr>
        <w:jc w:val="both"/>
        <w:rPr>
          <w:rFonts w:ascii="Arial" w:hAnsi="Arial"/>
          <w:sz w:val="22"/>
          <w:szCs w:val="22"/>
        </w:rPr>
      </w:pPr>
    </w:p>
    <w:p w14:paraId="42766568" w14:textId="4827A613" w:rsidR="006175A4" w:rsidRPr="008E3312" w:rsidRDefault="008E3312" w:rsidP="006175A4">
      <w:pPr>
        <w:jc w:val="both"/>
        <w:rPr>
          <w:rFonts w:ascii="Arial" w:hAnsi="Arial" w:cs="Arial"/>
          <w:sz w:val="22"/>
          <w:szCs w:val="22"/>
          <w:lang w:val="en-GB"/>
        </w:rPr>
      </w:pPr>
      <w:r w:rsidRPr="008E3312">
        <w:rPr>
          <w:rFonts w:ascii="Arial" w:hAnsi="Arial" w:cs="Arial"/>
          <w:sz w:val="22"/>
          <w:szCs w:val="22"/>
        </w:rPr>
        <w:t xml:space="preserve">The </w:t>
      </w:r>
      <w:r>
        <w:rPr>
          <w:rFonts w:ascii="Arial" w:hAnsi="Arial" w:cs="Arial"/>
          <w:sz w:val="22"/>
          <w:szCs w:val="22"/>
        </w:rPr>
        <w:t xml:space="preserve">findings and </w:t>
      </w:r>
      <w:r w:rsidRPr="008E3312">
        <w:rPr>
          <w:rFonts w:ascii="Arial" w:hAnsi="Arial" w:cs="Arial"/>
          <w:sz w:val="22"/>
          <w:szCs w:val="22"/>
        </w:rPr>
        <w:t xml:space="preserve">conclusions </w:t>
      </w:r>
      <w:r>
        <w:rPr>
          <w:rFonts w:ascii="Arial" w:hAnsi="Arial" w:cs="Arial"/>
          <w:sz w:val="22"/>
          <w:szCs w:val="22"/>
        </w:rPr>
        <w:t>section is</w:t>
      </w:r>
      <w:r w:rsidRPr="008E3312">
        <w:rPr>
          <w:rFonts w:ascii="Arial" w:hAnsi="Arial" w:cs="Arial"/>
          <w:sz w:val="22"/>
          <w:szCs w:val="22"/>
        </w:rPr>
        <w:t xml:space="preserve"> based on </w:t>
      </w:r>
      <w:r>
        <w:rPr>
          <w:rFonts w:ascii="Arial" w:hAnsi="Arial" w:cs="Arial"/>
          <w:sz w:val="22"/>
          <w:szCs w:val="22"/>
          <w:lang w:val="en-GB"/>
        </w:rPr>
        <w:t>e</w:t>
      </w:r>
      <w:r w:rsidRPr="008E3312">
        <w:rPr>
          <w:rFonts w:ascii="Arial" w:hAnsi="Arial" w:cs="Arial"/>
          <w:sz w:val="22"/>
          <w:szCs w:val="22"/>
          <w:lang w:val="en-GB"/>
        </w:rPr>
        <w:t>valuability analysis.</w:t>
      </w:r>
      <w:r w:rsidR="00D92555">
        <w:rPr>
          <w:rStyle w:val="FootnoteReference"/>
          <w:rFonts w:ascii="Arial" w:hAnsi="Arial" w:cs="Arial"/>
          <w:sz w:val="22"/>
          <w:szCs w:val="22"/>
          <w:lang w:val="en-GB"/>
        </w:rPr>
        <w:footnoteReference w:id="21"/>
      </w:r>
      <w:r w:rsidRPr="008E3312">
        <w:rPr>
          <w:rFonts w:ascii="Arial" w:hAnsi="Arial" w:cs="Arial"/>
          <w:sz w:val="22"/>
          <w:szCs w:val="22"/>
          <w:lang w:val="en-GB"/>
        </w:rPr>
        <w:t xml:space="preserve"> </w:t>
      </w:r>
      <w:r>
        <w:rPr>
          <w:rFonts w:ascii="Arial" w:hAnsi="Arial" w:cs="Arial"/>
          <w:sz w:val="22"/>
          <w:szCs w:val="22"/>
          <w:lang w:val="en-GB"/>
        </w:rPr>
        <w:t>The aim is to provide information on outputs and indicators compared to baseline d</w:t>
      </w:r>
      <w:r w:rsidR="00650F95">
        <w:rPr>
          <w:rFonts w:ascii="Arial" w:hAnsi="Arial" w:cs="Arial"/>
          <w:sz w:val="22"/>
          <w:szCs w:val="22"/>
          <w:lang w:val="en-GB"/>
        </w:rPr>
        <w:t>ata mainly through the RRF</w:t>
      </w:r>
      <w:r>
        <w:rPr>
          <w:rFonts w:ascii="Arial" w:hAnsi="Arial" w:cs="Arial"/>
          <w:sz w:val="22"/>
          <w:szCs w:val="22"/>
          <w:lang w:val="en-GB"/>
        </w:rPr>
        <w:t xml:space="preserve">. </w:t>
      </w:r>
      <w:r w:rsidR="00650F95">
        <w:rPr>
          <w:rFonts w:ascii="Arial" w:hAnsi="Arial" w:cs="Arial"/>
          <w:sz w:val="22"/>
          <w:szCs w:val="22"/>
          <w:lang w:val="en-GB"/>
        </w:rPr>
        <w:t>There was also a review of the project activities and outputs as identified in the other attachments to this report</w:t>
      </w:r>
      <w:r w:rsidR="00A50DAB">
        <w:rPr>
          <w:rFonts w:ascii="Arial" w:hAnsi="Arial" w:cs="Arial"/>
          <w:sz w:val="22"/>
          <w:szCs w:val="22"/>
          <w:lang w:val="en-GB"/>
        </w:rPr>
        <w:t xml:space="preserve"> (Annexes D to M, described below)</w:t>
      </w:r>
      <w:r w:rsidR="00650F95">
        <w:rPr>
          <w:rFonts w:ascii="Arial" w:hAnsi="Arial" w:cs="Arial"/>
          <w:sz w:val="22"/>
          <w:szCs w:val="22"/>
          <w:lang w:val="en-GB"/>
        </w:rPr>
        <w:t>. There was</w:t>
      </w:r>
      <w:r>
        <w:rPr>
          <w:rFonts w:ascii="Arial" w:hAnsi="Arial" w:cs="Arial"/>
          <w:sz w:val="22"/>
          <w:szCs w:val="22"/>
          <w:lang w:val="en-GB"/>
        </w:rPr>
        <w:t xml:space="preserve"> the identification of issues confronted and how they were addressed. The analysis also looks at how </w:t>
      </w:r>
      <w:r w:rsidR="006175A4">
        <w:rPr>
          <w:rFonts w:ascii="Arial" w:hAnsi="Arial" w:cs="Arial"/>
          <w:sz w:val="22"/>
          <w:szCs w:val="22"/>
          <w:lang w:val="en-GB"/>
        </w:rPr>
        <w:t xml:space="preserve">the </w:t>
      </w:r>
      <w:r>
        <w:rPr>
          <w:rFonts w:ascii="Arial" w:hAnsi="Arial" w:cs="Arial"/>
          <w:sz w:val="22"/>
          <w:szCs w:val="22"/>
          <w:lang w:val="en-GB"/>
        </w:rPr>
        <w:t xml:space="preserve">project’s methodology was applied and </w:t>
      </w:r>
      <w:r w:rsidR="006175A4">
        <w:rPr>
          <w:rFonts w:ascii="Arial" w:hAnsi="Arial" w:cs="Arial"/>
          <w:sz w:val="22"/>
          <w:szCs w:val="22"/>
          <w:lang w:val="en-GB"/>
        </w:rPr>
        <w:t>if any issues or best practices</w:t>
      </w:r>
      <w:r w:rsidR="00FC5B50">
        <w:rPr>
          <w:rFonts w:ascii="Arial" w:hAnsi="Arial" w:cs="Arial"/>
          <w:sz w:val="22"/>
          <w:szCs w:val="22"/>
          <w:lang w:val="en-GB"/>
        </w:rPr>
        <w:t xml:space="preserve"> were evident</w:t>
      </w:r>
      <w:r w:rsidR="006175A4">
        <w:rPr>
          <w:rFonts w:ascii="Arial" w:hAnsi="Arial" w:cs="Arial"/>
          <w:sz w:val="22"/>
          <w:szCs w:val="22"/>
          <w:lang w:val="en-GB"/>
        </w:rPr>
        <w:t xml:space="preserve">. The information analysis leads to the identification of conclusions, lessons learned and recommendations.  </w:t>
      </w:r>
    </w:p>
    <w:p w14:paraId="7664E689" w14:textId="77777777" w:rsidR="005E5079" w:rsidRPr="001441FF" w:rsidRDefault="005E5079" w:rsidP="005E5079">
      <w:pPr>
        <w:pStyle w:val="ListParagraph"/>
        <w:ind w:left="2700"/>
        <w:jc w:val="both"/>
        <w:rPr>
          <w:rFonts w:ascii="Arial" w:hAnsi="Arial"/>
          <w:sz w:val="22"/>
          <w:szCs w:val="22"/>
        </w:rPr>
      </w:pPr>
    </w:p>
    <w:p w14:paraId="17ED19F2" w14:textId="77777777" w:rsidR="005E5079" w:rsidRDefault="005E5079" w:rsidP="005E5079">
      <w:pPr>
        <w:jc w:val="both"/>
        <w:rPr>
          <w:rFonts w:ascii="Arial" w:hAnsi="Arial"/>
          <w:sz w:val="22"/>
          <w:szCs w:val="22"/>
        </w:rPr>
      </w:pPr>
      <w:r>
        <w:rPr>
          <w:rFonts w:ascii="Arial" w:hAnsi="Arial"/>
          <w:sz w:val="22"/>
          <w:szCs w:val="22"/>
        </w:rPr>
        <w:t>The target audiences for the evaluation are:</w:t>
      </w:r>
    </w:p>
    <w:p w14:paraId="7E091C45" w14:textId="77777777" w:rsidR="005E5079" w:rsidRDefault="005E5079" w:rsidP="005E5079">
      <w:pPr>
        <w:jc w:val="both"/>
        <w:rPr>
          <w:rFonts w:ascii="Arial" w:hAnsi="Arial"/>
          <w:sz w:val="22"/>
          <w:szCs w:val="22"/>
        </w:rPr>
      </w:pPr>
    </w:p>
    <w:p w14:paraId="3E8E8E95" w14:textId="77777777" w:rsidR="005E5079" w:rsidRDefault="005E5079" w:rsidP="00EB743C">
      <w:pPr>
        <w:pStyle w:val="ListParagraph"/>
        <w:numPr>
          <w:ilvl w:val="0"/>
          <w:numId w:val="12"/>
        </w:numPr>
        <w:jc w:val="both"/>
        <w:rPr>
          <w:rFonts w:ascii="Arial" w:hAnsi="Arial"/>
          <w:sz w:val="22"/>
          <w:szCs w:val="22"/>
        </w:rPr>
      </w:pPr>
      <w:r w:rsidRPr="004E4423">
        <w:rPr>
          <w:rFonts w:ascii="Arial" w:hAnsi="Arial"/>
          <w:sz w:val="22"/>
          <w:szCs w:val="22"/>
        </w:rPr>
        <w:t>Main partners to deliver the</w:t>
      </w:r>
      <w:r>
        <w:rPr>
          <w:rFonts w:ascii="Arial" w:hAnsi="Arial"/>
          <w:sz w:val="22"/>
          <w:szCs w:val="22"/>
        </w:rPr>
        <w:t xml:space="preserve"> project</w:t>
      </w:r>
      <w:r w:rsidRPr="004E4423">
        <w:rPr>
          <w:rFonts w:ascii="Arial" w:hAnsi="Arial"/>
          <w:sz w:val="22"/>
          <w:szCs w:val="22"/>
        </w:rPr>
        <w:t xml:space="preserve"> services:</w:t>
      </w:r>
      <w:r>
        <w:rPr>
          <w:rFonts w:ascii="Arial" w:hAnsi="Arial"/>
          <w:sz w:val="22"/>
          <w:szCs w:val="22"/>
        </w:rPr>
        <w:t xml:space="preserve"> UNDP, Government of the United Kingdom</w:t>
      </w:r>
    </w:p>
    <w:p w14:paraId="7E00CC5B" w14:textId="4930BDCC" w:rsidR="005E5079" w:rsidRDefault="005E5079" w:rsidP="00EB743C">
      <w:pPr>
        <w:pStyle w:val="ListParagraph"/>
        <w:numPr>
          <w:ilvl w:val="0"/>
          <w:numId w:val="12"/>
        </w:numPr>
        <w:jc w:val="both"/>
        <w:rPr>
          <w:rFonts w:ascii="Arial" w:hAnsi="Arial"/>
          <w:sz w:val="22"/>
          <w:szCs w:val="22"/>
        </w:rPr>
      </w:pPr>
      <w:r>
        <w:rPr>
          <w:rFonts w:ascii="Arial" w:hAnsi="Arial"/>
          <w:sz w:val="22"/>
          <w:szCs w:val="22"/>
        </w:rPr>
        <w:t>D</w:t>
      </w:r>
      <w:r w:rsidRPr="004E4423">
        <w:rPr>
          <w:rFonts w:ascii="Arial" w:hAnsi="Arial"/>
          <w:sz w:val="22"/>
          <w:szCs w:val="22"/>
        </w:rPr>
        <w:t>irect stakehold</w:t>
      </w:r>
      <w:r w:rsidR="00E30ABF">
        <w:rPr>
          <w:rFonts w:ascii="Arial" w:hAnsi="Arial"/>
          <w:sz w:val="22"/>
          <w:szCs w:val="22"/>
        </w:rPr>
        <w:t xml:space="preserve">er: </w:t>
      </w:r>
      <w:proofErr w:type="spellStart"/>
      <w:r w:rsidR="00E30ABF">
        <w:rPr>
          <w:rFonts w:ascii="Arial" w:hAnsi="Arial"/>
          <w:sz w:val="22"/>
          <w:szCs w:val="22"/>
        </w:rPr>
        <w:t>AoG</w:t>
      </w:r>
      <w:proofErr w:type="spellEnd"/>
      <w:r w:rsidR="00E30ABF">
        <w:rPr>
          <w:rFonts w:ascii="Arial" w:hAnsi="Arial"/>
          <w:sz w:val="22"/>
          <w:szCs w:val="22"/>
        </w:rPr>
        <w:t>, CSB, DGA, PSDA; other development partners</w:t>
      </w:r>
    </w:p>
    <w:p w14:paraId="7FACC447" w14:textId="44A0BAF9" w:rsidR="005E5079" w:rsidRPr="00B640CE" w:rsidRDefault="005E5079" w:rsidP="00EB743C">
      <w:pPr>
        <w:pStyle w:val="ListParagraph"/>
        <w:numPr>
          <w:ilvl w:val="0"/>
          <w:numId w:val="12"/>
        </w:numPr>
        <w:jc w:val="both"/>
        <w:rPr>
          <w:rFonts w:ascii="Arial" w:hAnsi="Arial"/>
          <w:sz w:val="22"/>
          <w:szCs w:val="22"/>
        </w:rPr>
      </w:pPr>
      <w:r>
        <w:rPr>
          <w:rFonts w:ascii="Arial" w:hAnsi="Arial"/>
          <w:sz w:val="22"/>
          <w:szCs w:val="22"/>
        </w:rPr>
        <w:t xml:space="preserve">Indirect </w:t>
      </w:r>
      <w:r w:rsidRPr="004E4423">
        <w:rPr>
          <w:rFonts w:ascii="Arial" w:hAnsi="Arial"/>
          <w:sz w:val="22"/>
          <w:szCs w:val="22"/>
        </w:rPr>
        <w:t>stakehold</w:t>
      </w:r>
      <w:r>
        <w:rPr>
          <w:rFonts w:ascii="Arial" w:hAnsi="Arial"/>
          <w:sz w:val="22"/>
          <w:szCs w:val="22"/>
        </w:rPr>
        <w:t>ers: End-users such as government ministry planning and human resource management offices, LEPLs and other government service delivery organiza</w:t>
      </w:r>
      <w:r w:rsidR="004D7700">
        <w:rPr>
          <w:rFonts w:ascii="Arial" w:hAnsi="Arial"/>
          <w:sz w:val="22"/>
          <w:szCs w:val="22"/>
        </w:rPr>
        <w:t>tions, CSOs active in PAR</w:t>
      </w:r>
      <w:r>
        <w:rPr>
          <w:rFonts w:ascii="Arial" w:hAnsi="Arial"/>
          <w:sz w:val="22"/>
          <w:szCs w:val="22"/>
        </w:rPr>
        <w:t>, academic institutions, and private consulting firms engaged</w:t>
      </w:r>
      <w:r w:rsidR="004D7700">
        <w:rPr>
          <w:rFonts w:ascii="Arial" w:hAnsi="Arial"/>
          <w:sz w:val="22"/>
          <w:szCs w:val="22"/>
        </w:rPr>
        <w:t xml:space="preserve"> in PAR</w:t>
      </w:r>
    </w:p>
    <w:p w14:paraId="55AC348D" w14:textId="77777777" w:rsidR="004A429A" w:rsidRDefault="004A429A" w:rsidP="004A429A">
      <w:pPr>
        <w:tabs>
          <w:tab w:val="left" w:pos="2880"/>
        </w:tabs>
        <w:jc w:val="both"/>
        <w:rPr>
          <w:rFonts w:ascii="Arial" w:hAnsi="Arial"/>
          <w:sz w:val="22"/>
          <w:szCs w:val="22"/>
        </w:rPr>
      </w:pPr>
    </w:p>
    <w:p w14:paraId="4A68E522" w14:textId="483D65F6" w:rsidR="004A429A" w:rsidRDefault="004A429A" w:rsidP="004A429A">
      <w:pPr>
        <w:tabs>
          <w:tab w:val="left" w:pos="2880"/>
        </w:tabs>
        <w:jc w:val="both"/>
        <w:rPr>
          <w:rFonts w:ascii="Arial" w:hAnsi="Arial"/>
          <w:sz w:val="22"/>
          <w:szCs w:val="22"/>
        </w:rPr>
      </w:pPr>
      <w:r>
        <w:rPr>
          <w:rFonts w:ascii="Arial" w:hAnsi="Arial"/>
          <w:sz w:val="22"/>
          <w:szCs w:val="22"/>
        </w:rPr>
        <w:t>All findings, lessons learned, conclusions and recommendations are th</w:t>
      </w:r>
      <w:r w:rsidR="00B640CE">
        <w:rPr>
          <w:rFonts w:ascii="Arial" w:hAnsi="Arial"/>
          <w:sz w:val="22"/>
          <w:szCs w:val="22"/>
        </w:rPr>
        <w:t>ose of the independent evaluator</w:t>
      </w:r>
      <w:r>
        <w:rPr>
          <w:rFonts w:ascii="Arial" w:hAnsi="Arial"/>
          <w:sz w:val="22"/>
          <w:szCs w:val="22"/>
        </w:rPr>
        <w:t xml:space="preserve">. </w:t>
      </w:r>
    </w:p>
    <w:p w14:paraId="6A180F3D" w14:textId="77777777" w:rsidR="00C90A3B" w:rsidRDefault="00C90A3B" w:rsidP="00C90A3B">
      <w:pPr>
        <w:jc w:val="both"/>
        <w:rPr>
          <w:rFonts w:ascii="Arial" w:hAnsi="Arial"/>
          <w:sz w:val="22"/>
          <w:szCs w:val="22"/>
        </w:rPr>
      </w:pPr>
    </w:p>
    <w:p w14:paraId="380D7559" w14:textId="5FE08017" w:rsidR="00C90A3B" w:rsidRDefault="00682E76" w:rsidP="00C90A3B">
      <w:pPr>
        <w:jc w:val="both"/>
        <w:rPr>
          <w:rFonts w:ascii="Arial" w:hAnsi="Arial"/>
          <w:sz w:val="22"/>
          <w:szCs w:val="22"/>
        </w:rPr>
      </w:pPr>
      <w:r>
        <w:rPr>
          <w:rFonts w:ascii="Arial" w:hAnsi="Arial"/>
          <w:sz w:val="22"/>
          <w:szCs w:val="22"/>
        </w:rPr>
        <w:t>The documents</w:t>
      </w:r>
      <w:r w:rsidR="00C90A3B">
        <w:rPr>
          <w:rFonts w:ascii="Arial" w:hAnsi="Arial"/>
          <w:sz w:val="22"/>
          <w:szCs w:val="22"/>
        </w:rPr>
        <w:t xml:space="preserve"> reviewed include</w:t>
      </w:r>
      <w:r>
        <w:rPr>
          <w:rFonts w:ascii="Arial" w:hAnsi="Arial"/>
          <w:sz w:val="22"/>
          <w:szCs w:val="22"/>
        </w:rPr>
        <w:t>, but were not limited to</w:t>
      </w:r>
      <w:r w:rsidR="00EB6ADD">
        <w:rPr>
          <w:rFonts w:ascii="Arial" w:hAnsi="Arial"/>
          <w:sz w:val="22"/>
          <w:szCs w:val="22"/>
        </w:rPr>
        <w:t>,</w:t>
      </w:r>
      <w:r>
        <w:rPr>
          <w:rFonts w:ascii="Arial" w:hAnsi="Arial"/>
          <w:sz w:val="22"/>
          <w:szCs w:val="22"/>
        </w:rPr>
        <w:t xml:space="preserve"> the following</w:t>
      </w:r>
      <w:r w:rsidR="001F694C">
        <w:rPr>
          <w:rFonts w:ascii="Arial" w:hAnsi="Arial"/>
          <w:sz w:val="22"/>
          <w:szCs w:val="22"/>
        </w:rPr>
        <w:t xml:space="preserve"> documents</w:t>
      </w:r>
      <w:r>
        <w:rPr>
          <w:rFonts w:ascii="Arial" w:hAnsi="Arial"/>
          <w:sz w:val="22"/>
          <w:szCs w:val="22"/>
        </w:rPr>
        <w:t xml:space="preserve">. A complete list of documents </w:t>
      </w:r>
      <w:r w:rsidR="001F694C">
        <w:rPr>
          <w:rFonts w:ascii="Arial" w:hAnsi="Arial"/>
          <w:sz w:val="22"/>
          <w:szCs w:val="22"/>
        </w:rPr>
        <w:t>reviewed is provided as Annex B.</w:t>
      </w:r>
    </w:p>
    <w:p w14:paraId="775B972B" w14:textId="77777777" w:rsidR="00C90A3B" w:rsidRDefault="00C90A3B" w:rsidP="00C90A3B">
      <w:pPr>
        <w:jc w:val="both"/>
        <w:rPr>
          <w:rFonts w:ascii="Arial" w:hAnsi="Arial"/>
          <w:sz w:val="22"/>
          <w:szCs w:val="22"/>
        </w:rPr>
      </w:pPr>
    </w:p>
    <w:p w14:paraId="20C42D79" w14:textId="45D73F20" w:rsidR="00B640CE" w:rsidRDefault="00B640CE" w:rsidP="003060EE">
      <w:pPr>
        <w:pStyle w:val="ListParagraph"/>
        <w:numPr>
          <w:ilvl w:val="0"/>
          <w:numId w:val="4"/>
        </w:numPr>
        <w:jc w:val="both"/>
        <w:rPr>
          <w:rFonts w:ascii="Arial" w:hAnsi="Arial"/>
          <w:sz w:val="22"/>
          <w:szCs w:val="22"/>
        </w:rPr>
      </w:pPr>
      <w:r>
        <w:rPr>
          <w:rFonts w:ascii="Arial" w:hAnsi="Arial"/>
          <w:sz w:val="22"/>
          <w:szCs w:val="22"/>
        </w:rPr>
        <w:t>Project document to include at</w:t>
      </w:r>
      <w:r w:rsidR="00650F95">
        <w:rPr>
          <w:rFonts w:ascii="Arial" w:hAnsi="Arial"/>
          <w:sz w:val="22"/>
          <w:szCs w:val="22"/>
        </w:rPr>
        <w:t>tachments (RRF</w:t>
      </w:r>
      <w:r>
        <w:rPr>
          <w:rFonts w:ascii="Arial" w:hAnsi="Arial"/>
          <w:sz w:val="22"/>
          <w:szCs w:val="22"/>
        </w:rPr>
        <w:t xml:space="preserve"> tables, indicator pe</w:t>
      </w:r>
      <w:r w:rsidR="00650F95">
        <w:rPr>
          <w:rFonts w:ascii="Arial" w:hAnsi="Arial"/>
          <w:sz w:val="22"/>
          <w:szCs w:val="22"/>
        </w:rPr>
        <w:t>rformance tables, budget, etc.)</w:t>
      </w:r>
    </w:p>
    <w:p w14:paraId="21114BF5" w14:textId="6D9D834B" w:rsidR="00B640CE" w:rsidRDefault="00B640CE" w:rsidP="003060EE">
      <w:pPr>
        <w:pStyle w:val="ListParagraph"/>
        <w:numPr>
          <w:ilvl w:val="0"/>
          <w:numId w:val="4"/>
        </w:numPr>
        <w:jc w:val="both"/>
        <w:rPr>
          <w:rFonts w:ascii="Arial" w:hAnsi="Arial"/>
          <w:sz w:val="22"/>
          <w:szCs w:val="22"/>
        </w:rPr>
      </w:pPr>
      <w:r>
        <w:rPr>
          <w:rFonts w:ascii="Arial" w:hAnsi="Arial"/>
          <w:sz w:val="22"/>
          <w:szCs w:val="22"/>
        </w:rPr>
        <w:t>P</w:t>
      </w:r>
      <w:r w:rsidRPr="002E012E">
        <w:rPr>
          <w:rFonts w:ascii="Arial" w:hAnsi="Arial"/>
          <w:sz w:val="22"/>
          <w:szCs w:val="22"/>
        </w:rPr>
        <w:t xml:space="preserve">roject </w:t>
      </w:r>
      <w:r>
        <w:rPr>
          <w:rFonts w:ascii="Arial" w:hAnsi="Arial"/>
          <w:sz w:val="22"/>
          <w:szCs w:val="22"/>
        </w:rPr>
        <w:t>6-month</w:t>
      </w:r>
      <w:r w:rsidRPr="002E012E">
        <w:rPr>
          <w:rFonts w:ascii="Arial" w:hAnsi="Arial"/>
          <w:sz w:val="22"/>
          <w:szCs w:val="22"/>
        </w:rPr>
        <w:t xml:space="preserve"> and annual reports</w:t>
      </w:r>
      <w:r>
        <w:rPr>
          <w:rFonts w:ascii="Arial" w:hAnsi="Arial"/>
          <w:sz w:val="22"/>
          <w:szCs w:val="22"/>
        </w:rPr>
        <w:t xml:space="preserve"> including budget performance, work plans, situation analysis documents, risk analysis, etc.</w:t>
      </w:r>
    </w:p>
    <w:p w14:paraId="4BE2690D" w14:textId="47E4EAE5" w:rsidR="00844874" w:rsidRDefault="00844874" w:rsidP="003060EE">
      <w:pPr>
        <w:pStyle w:val="ListParagraph"/>
        <w:numPr>
          <w:ilvl w:val="0"/>
          <w:numId w:val="4"/>
        </w:numPr>
        <w:jc w:val="both"/>
        <w:rPr>
          <w:rFonts w:ascii="Arial" w:hAnsi="Arial"/>
          <w:sz w:val="22"/>
          <w:szCs w:val="22"/>
        </w:rPr>
      </w:pPr>
      <w:r>
        <w:rPr>
          <w:rFonts w:ascii="Arial" w:hAnsi="Arial"/>
          <w:sz w:val="22"/>
          <w:szCs w:val="22"/>
        </w:rPr>
        <w:t>Medium term evaluation report</w:t>
      </w:r>
    </w:p>
    <w:p w14:paraId="3D65EA1C" w14:textId="4E86915E" w:rsidR="00C83BDF" w:rsidRPr="002E012E" w:rsidRDefault="00C83BDF" w:rsidP="003060EE">
      <w:pPr>
        <w:pStyle w:val="ListParagraph"/>
        <w:numPr>
          <w:ilvl w:val="0"/>
          <w:numId w:val="4"/>
        </w:numPr>
        <w:jc w:val="both"/>
        <w:rPr>
          <w:rFonts w:ascii="Arial" w:hAnsi="Arial"/>
          <w:sz w:val="22"/>
          <w:szCs w:val="22"/>
        </w:rPr>
      </w:pPr>
      <w:r>
        <w:rPr>
          <w:rFonts w:ascii="Arial" w:hAnsi="Arial"/>
          <w:sz w:val="22"/>
          <w:szCs w:val="22"/>
        </w:rPr>
        <w:t xml:space="preserve">Survey data especially data from the baseline </w:t>
      </w:r>
      <w:r w:rsidR="00ED60C8">
        <w:rPr>
          <w:rFonts w:ascii="Arial" w:hAnsi="Arial"/>
          <w:sz w:val="22"/>
          <w:szCs w:val="22"/>
        </w:rPr>
        <w:t xml:space="preserve">2016 </w:t>
      </w:r>
      <w:r>
        <w:rPr>
          <w:rFonts w:ascii="Arial" w:hAnsi="Arial"/>
          <w:sz w:val="22"/>
          <w:szCs w:val="22"/>
        </w:rPr>
        <w:t xml:space="preserve">and 2019-20 civil servant and public </w:t>
      </w:r>
      <w:r w:rsidR="00ED60C8">
        <w:rPr>
          <w:rFonts w:ascii="Arial" w:hAnsi="Arial"/>
          <w:sz w:val="22"/>
          <w:szCs w:val="22"/>
        </w:rPr>
        <w:t xml:space="preserve">perception </w:t>
      </w:r>
      <w:r w:rsidR="00650F95">
        <w:rPr>
          <w:rFonts w:ascii="Arial" w:hAnsi="Arial"/>
          <w:sz w:val="22"/>
          <w:szCs w:val="22"/>
        </w:rPr>
        <w:t>surveys</w:t>
      </w:r>
      <w:r w:rsidR="00844874">
        <w:rPr>
          <w:rStyle w:val="FootnoteReference"/>
          <w:rFonts w:ascii="Arial" w:hAnsi="Arial"/>
          <w:sz w:val="22"/>
          <w:szCs w:val="22"/>
        </w:rPr>
        <w:footnoteReference w:id="22"/>
      </w:r>
    </w:p>
    <w:p w14:paraId="2F9BB70B" w14:textId="37641FCE" w:rsidR="00B640CE" w:rsidRDefault="00B640CE" w:rsidP="003060EE">
      <w:pPr>
        <w:pStyle w:val="ListParagraph"/>
        <w:numPr>
          <w:ilvl w:val="0"/>
          <w:numId w:val="4"/>
        </w:numPr>
        <w:jc w:val="both"/>
        <w:rPr>
          <w:rFonts w:ascii="Arial" w:hAnsi="Arial"/>
          <w:sz w:val="22"/>
          <w:szCs w:val="22"/>
        </w:rPr>
      </w:pPr>
      <w:r>
        <w:rPr>
          <w:rFonts w:ascii="Arial" w:hAnsi="Arial"/>
          <w:sz w:val="22"/>
          <w:szCs w:val="22"/>
        </w:rPr>
        <w:t>Planned and actual budgets</w:t>
      </w:r>
    </w:p>
    <w:p w14:paraId="03C9EDF4" w14:textId="0008F6D6" w:rsidR="00B640CE" w:rsidRPr="00957271" w:rsidRDefault="00B640CE" w:rsidP="003060EE">
      <w:pPr>
        <w:pStyle w:val="ListParagraph"/>
        <w:numPr>
          <w:ilvl w:val="0"/>
          <w:numId w:val="4"/>
        </w:numPr>
        <w:jc w:val="both"/>
        <w:rPr>
          <w:rFonts w:ascii="Arial" w:hAnsi="Arial"/>
          <w:sz w:val="22"/>
          <w:szCs w:val="22"/>
        </w:rPr>
      </w:pPr>
      <w:r>
        <w:rPr>
          <w:rFonts w:ascii="Arial" w:hAnsi="Arial"/>
          <w:sz w:val="22"/>
          <w:szCs w:val="22"/>
        </w:rPr>
        <w:t>Project outputs such as plans, strategies, laws, decrees, orders, training programs, etc. that</w:t>
      </w:r>
      <w:r w:rsidR="00650F95">
        <w:rPr>
          <w:rFonts w:ascii="Arial" w:hAnsi="Arial"/>
          <w:sz w:val="22"/>
          <w:szCs w:val="22"/>
        </w:rPr>
        <w:t xml:space="preserve"> resulted from project activity</w:t>
      </w:r>
    </w:p>
    <w:p w14:paraId="74BA4BA8" w14:textId="72F21893" w:rsidR="00B640CE" w:rsidRDefault="00B640CE" w:rsidP="003060EE">
      <w:pPr>
        <w:pStyle w:val="ListParagraph"/>
        <w:numPr>
          <w:ilvl w:val="0"/>
          <w:numId w:val="4"/>
        </w:numPr>
        <w:jc w:val="both"/>
        <w:rPr>
          <w:rFonts w:ascii="Arial" w:hAnsi="Arial"/>
          <w:sz w:val="22"/>
          <w:szCs w:val="22"/>
        </w:rPr>
      </w:pPr>
      <w:r>
        <w:rPr>
          <w:rFonts w:ascii="Arial" w:hAnsi="Arial"/>
          <w:sz w:val="22"/>
          <w:szCs w:val="22"/>
        </w:rPr>
        <w:t>Other documents as necessary and relevant</w:t>
      </w:r>
    </w:p>
    <w:p w14:paraId="211A5730" w14:textId="77777777" w:rsidR="00C90A3B" w:rsidRPr="00D06D41" w:rsidRDefault="00C90A3B" w:rsidP="00C90A3B">
      <w:pPr>
        <w:ind w:left="360"/>
        <w:jc w:val="both"/>
        <w:rPr>
          <w:rFonts w:ascii="Arial" w:hAnsi="Arial"/>
          <w:sz w:val="22"/>
          <w:szCs w:val="22"/>
        </w:rPr>
      </w:pPr>
    </w:p>
    <w:p w14:paraId="4618C088" w14:textId="30D83936" w:rsidR="00682E76" w:rsidRDefault="00B640CE" w:rsidP="00682E76">
      <w:pPr>
        <w:tabs>
          <w:tab w:val="left" w:pos="2880"/>
        </w:tabs>
        <w:jc w:val="both"/>
        <w:rPr>
          <w:rFonts w:ascii="Arial" w:hAnsi="Arial"/>
          <w:sz w:val="22"/>
          <w:szCs w:val="22"/>
        </w:rPr>
      </w:pPr>
      <w:r>
        <w:rPr>
          <w:rFonts w:ascii="Arial" w:hAnsi="Arial"/>
          <w:sz w:val="22"/>
          <w:szCs w:val="22"/>
        </w:rPr>
        <w:t>The stakeholder interviews were organized to discuss the performance</w:t>
      </w:r>
      <w:r w:rsidR="00ED60C8">
        <w:rPr>
          <w:rFonts w:ascii="Arial" w:hAnsi="Arial"/>
          <w:sz w:val="22"/>
          <w:szCs w:val="22"/>
        </w:rPr>
        <w:t xml:space="preserve"> of the</w:t>
      </w:r>
      <w:r>
        <w:rPr>
          <w:rFonts w:ascii="Arial" w:hAnsi="Arial"/>
          <w:sz w:val="22"/>
          <w:szCs w:val="22"/>
        </w:rPr>
        <w:t xml:space="preserve"> </w:t>
      </w:r>
      <w:r w:rsidR="004D7700">
        <w:rPr>
          <w:rFonts w:ascii="Arial" w:hAnsi="Arial"/>
          <w:sz w:val="22"/>
          <w:szCs w:val="22"/>
        </w:rPr>
        <w:t>outcomes and outputs</w:t>
      </w:r>
      <w:r w:rsidR="00ED60C8">
        <w:rPr>
          <w:rFonts w:ascii="Arial" w:hAnsi="Arial"/>
          <w:sz w:val="22"/>
          <w:szCs w:val="22"/>
        </w:rPr>
        <w:t xml:space="preserve">, </w:t>
      </w:r>
      <w:r>
        <w:rPr>
          <w:rFonts w:ascii="Arial" w:hAnsi="Arial"/>
          <w:sz w:val="22"/>
          <w:szCs w:val="22"/>
        </w:rPr>
        <w:t>performance and relationships with the project team, t</w:t>
      </w:r>
      <w:r w:rsidR="00ED60C8">
        <w:rPr>
          <w:rFonts w:ascii="Arial" w:hAnsi="Arial"/>
          <w:sz w:val="22"/>
          <w:szCs w:val="22"/>
        </w:rPr>
        <w:t xml:space="preserve">he structure of the project, </w:t>
      </w:r>
      <w:r>
        <w:rPr>
          <w:rFonts w:ascii="Arial" w:hAnsi="Arial"/>
          <w:sz w:val="22"/>
          <w:szCs w:val="22"/>
        </w:rPr>
        <w:t>and possible future areas that need attention</w:t>
      </w:r>
      <w:r w:rsidR="00682E76">
        <w:rPr>
          <w:rFonts w:ascii="Arial" w:hAnsi="Arial"/>
          <w:sz w:val="22"/>
          <w:szCs w:val="22"/>
        </w:rPr>
        <w:t xml:space="preserve">. </w:t>
      </w:r>
      <w:r w:rsidR="003D1E11">
        <w:rPr>
          <w:rFonts w:ascii="Arial" w:hAnsi="Arial"/>
          <w:sz w:val="22"/>
          <w:szCs w:val="22"/>
        </w:rPr>
        <w:t xml:space="preserve">The interviewees were selected to include direct and indirect stakeholders. All main stakeholders </w:t>
      </w:r>
      <w:r w:rsidR="004D7700">
        <w:rPr>
          <w:rFonts w:ascii="Arial" w:hAnsi="Arial"/>
          <w:sz w:val="22"/>
          <w:szCs w:val="22"/>
        </w:rPr>
        <w:t xml:space="preserve">and development partners </w:t>
      </w:r>
      <w:r w:rsidR="003D1E11">
        <w:rPr>
          <w:rFonts w:ascii="Arial" w:hAnsi="Arial"/>
          <w:sz w:val="22"/>
          <w:szCs w:val="22"/>
        </w:rPr>
        <w:t xml:space="preserve">were interviewed. Also, a cross section of “users”, trainers and consultants were also interviewed. </w:t>
      </w:r>
      <w:r w:rsidR="00B8255B">
        <w:rPr>
          <w:rFonts w:ascii="Arial" w:hAnsi="Arial"/>
          <w:sz w:val="22"/>
          <w:szCs w:val="22"/>
        </w:rPr>
        <w:t>Besides interviewing project management and staff and the donor entities, a cross section of individuals were selected to represent each outcome area. The selection of those interviewed was suggested by projec</w:t>
      </w:r>
      <w:r w:rsidR="00D92555">
        <w:rPr>
          <w:rFonts w:ascii="Arial" w:hAnsi="Arial"/>
          <w:sz w:val="22"/>
          <w:szCs w:val="22"/>
        </w:rPr>
        <w:t>t management and staff, UNDP,</w:t>
      </w:r>
      <w:r w:rsidR="00B8255B">
        <w:rPr>
          <w:rFonts w:ascii="Arial" w:hAnsi="Arial"/>
          <w:sz w:val="22"/>
          <w:szCs w:val="22"/>
        </w:rPr>
        <w:t xml:space="preserve"> the evaluator</w:t>
      </w:r>
      <w:r w:rsidR="00D92555">
        <w:rPr>
          <w:rFonts w:ascii="Arial" w:hAnsi="Arial"/>
          <w:sz w:val="22"/>
          <w:szCs w:val="22"/>
        </w:rPr>
        <w:t xml:space="preserve"> or suggested by stakeholders dur</w:t>
      </w:r>
      <w:r w:rsidR="00B51D6D">
        <w:rPr>
          <w:rFonts w:ascii="Arial" w:hAnsi="Arial"/>
          <w:sz w:val="22"/>
          <w:szCs w:val="22"/>
        </w:rPr>
        <w:t>ing th</w:t>
      </w:r>
      <w:r w:rsidR="00D92555">
        <w:rPr>
          <w:rFonts w:ascii="Arial" w:hAnsi="Arial"/>
          <w:sz w:val="22"/>
          <w:szCs w:val="22"/>
        </w:rPr>
        <w:t>e interview process</w:t>
      </w:r>
      <w:r w:rsidR="00B8255B">
        <w:rPr>
          <w:rFonts w:ascii="Arial" w:hAnsi="Arial"/>
          <w:sz w:val="22"/>
          <w:szCs w:val="22"/>
        </w:rPr>
        <w:t xml:space="preserve">. </w:t>
      </w:r>
      <w:r w:rsidR="003D1E11">
        <w:rPr>
          <w:rFonts w:ascii="Arial" w:hAnsi="Arial"/>
          <w:sz w:val="22"/>
          <w:szCs w:val="22"/>
        </w:rPr>
        <w:t xml:space="preserve">The objective was to obtain a variety of viewpoints from a variety of angles. The interviews were also helpful to add information or verify information that was obtained during the document review phase. There was also open discussion of lessons learned and/or conclusions and next PAR steps relevant to the three outcome areas. This discussion took place to ensure that whatever was concluded, observed or recommended was practical and in line with the current and medium term context for any further interventions. </w:t>
      </w:r>
      <w:r w:rsidR="00682E76">
        <w:rPr>
          <w:rFonts w:ascii="Arial" w:hAnsi="Arial"/>
          <w:sz w:val="22"/>
          <w:szCs w:val="22"/>
        </w:rPr>
        <w:t>A complete list of those inte</w:t>
      </w:r>
      <w:r w:rsidR="001F694C">
        <w:rPr>
          <w:rFonts w:ascii="Arial" w:hAnsi="Arial"/>
          <w:sz w:val="22"/>
          <w:szCs w:val="22"/>
        </w:rPr>
        <w:t>rviewed is provided as Annex C</w:t>
      </w:r>
      <w:r w:rsidR="00682E76">
        <w:rPr>
          <w:rFonts w:ascii="Arial" w:hAnsi="Arial"/>
          <w:sz w:val="22"/>
          <w:szCs w:val="22"/>
        </w:rPr>
        <w:t>.</w:t>
      </w:r>
    </w:p>
    <w:p w14:paraId="7EF5EFF8" w14:textId="77777777" w:rsidR="00C83BDF" w:rsidRDefault="00C83BDF" w:rsidP="00C83BDF">
      <w:pPr>
        <w:widowControl w:val="0"/>
        <w:autoSpaceDE w:val="0"/>
        <w:autoSpaceDN w:val="0"/>
        <w:adjustRightInd w:val="0"/>
        <w:jc w:val="both"/>
        <w:rPr>
          <w:rFonts w:ascii="Arial" w:hAnsi="Arial"/>
          <w:sz w:val="22"/>
          <w:szCs w:val="22"/>
        </w:rPr>
      </w:pPr>
    </w:p>
    <w:p w14:paraId="5053FF42" w14:textId="2374EBC1" w:rsidR="00C83BDF" w:rsidRDefault="006175A4" w:rsidP="00C83BDF">
      <w:pPr>
        <w:widowControl w:val="0"/>
        <w:autoSpaceDE w:val="0"/>
        <w:autoSpaceDN w:val="0"/>
        <w:adjustRightInd w:val="0"/>
        <w:jc w:val="both"/>
        <w:rPr>
          <w:rFonts w:ascii="Arial" w:hAnsi="Arial"/>
          <w:sz w:val="22"/>
          <w:szCs w:val="22"/>
        </w:rPr>
      </w:pPr>
      <w:r>
        <w:rPr>
          <w:rFonts w:ascii="Arial" w:hAnsi="Arial"/>
          <w:sz w:val="22"/>
          <w:szCs w:val="22"/>
        </w:rPr>
        <w:t xml:space="preserve">In summary, the interviews </w:t>
      </w:r>
      <w:r w:rsidR="00C83BDF">
        <w:rPr>
          <w:rFonts w:ascii="Arial" w:hAnsi="Arial"/>
          <w:sz w:val="22"/>
          <w:szCs w:val="22"/>
        </w:rPr>
        <w:t>include</w:t>
      </w:r>
      <w:r>
        <w:rPr>
          <w:rFonts w:ascii="Arial" w:hAnsi="Arial"/>
          <w:sz w:val="22"/>
          <w:szCs w:val="22"/>
        </w:rPr>
        <w:t>d</w:t>
      </w:r>
      <w:r w:rsidR="00C83BDF">
        <w:rPr>
          <w:rFonts w:ascii="Arial" w:hAnsi="Arial"/>
          <w:sz w:val="22"/>
          <w:szCs w:val="22"/>
        </w:rPr>
        <w:t>:</w:t>
      </w:r>
    </w:p>
    <w:p w14:paraId="4174719A" w14:textId="77777777" w:rsidR="00C83BDF" w:rsidRDefault="00C83BDF" w:rsidP="00C83BDF">
      <w:pPr>
        <w:widowControl w:val="0"/>
        <w:autoSpaceDE w:val="0"/>
        <w:autoSpaceDN w:val="0"/>
        <w:adjustRightInd w:val="0"/>
        <w:jc w:val="both"/>
        <w:rPr>
          <w:rFonts w:ascii="Arial" w:hAnsi="Arial"/>
          <w:sz w:val="22"/>
          <w:szCs w:val="22"/>
        </w:rPr>
      </w:pPr>
    </w:p>
    <w:p w14:paraId="2B36E6A1" w14:textId="77777777" w:rsidR="00C83BDF" w:rsidRDefault="00C83BDF" w:rsidP="00EB743C">
      <w:pPr>
        <w:pStyle w:val="ListParagraph"/>
        <w:widowControl w:val="0"/>
        <w:numPr>
          <w:ilvl w:val="0"/>
          <w:numId w:val="14"/>
        </w:numPr>
        <w:autoSpaceDE w:val="0"/>
        <w:autoSpaceDN w:val="0"/>
        <w:adjustRightInd w:val="0"/>
        <w:jc w:val="both"/>
        <w:rPr>
          <w:rFonts w:ascii="Arial" w:hAnsi="Arial"/>
          <w:sz w:val="22"/>
          <w:szCs w:val="22"/>
        </w:rPr>
      </w:pPr>
      <w:r>
        <w:rPr>
          <w:rFonts w:ascii="Arial" w:hAnsi="Arial"/>
          <w:sz w:val="22"/>
          <w:szCs w:val="22"/>
        </w:rPr>
        <w:t xml:space="preserve">Project management and staff, </w:t>
      </w:r>
    </w:p>
    <w:p w14:paraId="743A857A" w14:textId="14670F6E" w:rsidR="00C83BDF" w:rsidRDefault="00C83BDF" w:rsidP="00EB743C">
      <w:pPr>
        <w:pStyle w:val="ListParagraph"/>
        <w:widowControl w:val="0"/>
        <w:numPr>
          <w:ilvl w:val="0"/>
          <w:numId w:val="14"/>
        </w:numPr>
        <w:autoSpaceDE w:val="0"/>
        <w:autoSpaceDN w:val="0"/>
        <w:adjustRightInd w:val="0"/>
        <w:jc w:val="both"/>
        <w:rPr>
          <w:rFonts w:ascii="Arial" w:hAnsi="Arial"/>
          <w:sz w:val="22"/>
          <w:szCs w:val="22"/>
        </w:rPr>
      </w:pPr>
      <w:r>
        <w:rPr>
          <w:rFonts w:ascii="Arial" w:hAnsi="Arial"/>
          <w:sz w:val="22"/>
          <w:szCs w:val="22"/>
        </w:rPr>
        <w:t>Development Partner representatives to include UND</w:t>
      </w:r>
      <w:r w:rsidR="006175A4">
        <w:rPr>
          <w:rFonts w:ascii="Arial" w:hAnsi="Arial"/>
          <w:sz w:val="22"/>
          <w:szCs w:val="22"/>
        </w:rPr>
        <w:t>P, UK Government,</w:t>
      </w:r>
      <w:r>
        <w:rPr>
          <w:rFonts w:ascii="Arial" w:hAnsi="Arial"/>
          <w:sz w:val="22"/>
          <w:szCs w:val="22"/>
        </w:rPr>
        <w:t xml:space="preserve"> EU Delegation to Georgia and USAID</w:t>
      </w:r>
    </w:p>
    <w:p w14:paraId="041F951B" w14:textId="77777777" w:rsidR="00C83BDF" w:rsidRDefault="00C83BDF" w:rsidP="00EB743C">
      <w:pPr>
        <w:pStyle w:val="ListParagraph"/>
        <w:widowControl w:val="0"/>
        <w:numPr>
          <w:ilvl w:val="0"/>
          <w:numId w:val="14"/>
        </w:numPr>
        <w:autoSpaceDE w:val="0"/>
        <w:autoSpaceDN w:val="0"/>
        <w:adjustRightInd w:val="0"/>
        <w:jc w:val="both"/>
        <w:rPr>
          <w:rFonts w:ascii="Arial" w:hAnsi="Arial"/>
          <w:sz w:val="22"/>
          <w:szCs w:val="22"/>
        </w:rPr>
      </w:pPr>
      <w:r>
        <w:rPr>
          <w:rFonts w:ascii="Arial" w:hAnsi="Arial"/>
          <w:sz w:val="22"/>
          <w:szCs w:val="22"/>
        </w:rPr>
        <w:t>Direct and Indirect Stakeholders:</w:t>
      </w:r>
    </w:p>
    <w:p w14:paraId="4AA7E2FB" w14:textId="77777777" w:rsidR="00C83BDF" w:rsidRDefault="00C83BDF" w:rsidP="00EB743C">
      <w:pPr>
        <w:pStyle w:val="ListParagraph"/>
        <w:widowControl w:val="0"/>
        <w:numPr>
          <w:ilvl w:val="1"/>
          <w:numId w:val="14"/>
        </w:numPr>
        <w:autoSpaceDE w:val="0"/>
        <w:autoSpaceDN w:val="0"/>
        <w:adjustRightInd w:val="0"/>
        <w:jc w:val="both"/>
        <w:rPr>
          <w:rFonts w:ascii="Arial" w:hAnsi="Arial"/>
          <w:sz w:val="22"/>
          <w:szCs w:val="22"/>
        </w:rPr>
      </w:pPr>
      <w:proofErr w:type="spellStart"/>
      <w:r>
        <w:rPr>
          <w:rFonts w:ascii="Arial" w:hAnsi="Arial"/>
          <w:sz w:val="22"/>
          <w:szCs w:val="22"/>
        </w:rPr>
        <w:t>AoG</w:t>
      </w:r>
      <w:proofErr w:type="spellEnd"/>
      <w:r>
        <w:rPr>
          <w:rFonts w:ascii="Arial" w:hAnsi="Arial"/>
          <w:sz w:val="22"/>
          <w:szCs w:val="22"/>
        </w:rPr>
        <w:t xml:space="preserve"> to include Policy Planning and Coordination Department, Public Administration Unit, Policy Planning Unit,</w:t>
      </w:r>
    </w:p>
    <w:p w14:paraId="25BB9D8A" w14:textId="77777777" w:rsidR="00C83BDF" w:rsidRDefault="00C83BDF" w:rsidP="00EB743C">
      <w:pPr>
        <w:pStyle w:val="ListParagraph"/>
        <w:widowControl w:val="0"/>
        <w:numPr>
          <w:ilvl w:val="1"/>
          <w:numId w:val="14"/>
        </w:numPr>
        <w:autoSpaceDE w:val="0"/>
        <w:autoSpaceDN w:val="0"/>
        <w:adjustRightInd w:val="0"/>
        <w:jc w:val="both"/>
        <w:rPr>
          <w:rFonts w:ascii="Arial" w:hAnsi="Arial"/>
          <w:sz w:val="22"/>
          <w:szCs w:val="22"/>
        </w:rPr>
      </w:pPr>
      <w:r>
        <w:rPr>
          <w:rFonts w:ascii="Arial" w:hAnsi="Arial"/>
          <w:sz w:val="22"/>
          <w:szCs w:val="22"/>
        </w:rPr>
        <w:t>CSB,</w:t>
      </w:r>
    </w:p>
    <w:p w14:paraId="29976F41" w14:textId="77777777" w:rsidR="00C83BDF" w:rsidRDefault="00C83BDF" w:rsidP="00EB743C">
      <w:pPr>
        <w:pStyle w:val="ListParagraph"/>
        <w:widowControl w:val="0"/>
        <w:numPr>
          <w:ilvl w:val="1"/>
          <w:numId w:val="14"/>
        </w:numPr>
        <w:autoSpaceDE w:val="0"/>
        <w:autoSpaceDN w:val="0"/>
        <w:adjustRightInd w:val="0"/>
        <w:jc w:val="both"/>
        <w:rPr>
          <w:rFonts w:ascii="Arial" w:hAnsi="Arial"/>
          <w:sz w:val="22"/>
          <w:szCs w:val="22"/>
        </w:rPr>
      </w:pPr>
      <w:r>
        <w:rPr>
          <w:rFonts w:ascii="Arial" w:hAnsi="Arial"/>
          <w:sz w:val="22"/>
          <w:szCs w:val="22"/>
        </w:rPr>
        <w:t>PSDA,</w:t>
      </w:r>
    </w:p>
    <w:p w14:paraId="3193EC54" w14:textId="61A3F241" w:rsidR="00C83BDF" w:rsidRDefault="00ED60C8" w:rsidP="00EB743C">
      <w:pPr>
        <w:pStyle w:val="ListParagraph"/>
        <w:widowControl w:val="0"/>
        <w:numPr>
          <w:ilvl w:val="1"/>
          <w:numId w:val="14"/>
        </w:numPr>
        <w:autoSpaceDE w:val="0"/>
        <w:autoSpaceDN w:val="0"/>
        <w:adjustRightInd w:val="0"/>
        <w:jc w:val="both"/>
        <w:rPr>
          <w:rFonts w:ascii="Arial" w:hAnsi="Arial"/>
          <w:sz w:val="22"/>
          <w:szCs w:val="22"/>
        </w:rPr>
      </w:pPr>
      <w:r>
        <w:rPr>
          <w:rFonts w:ascii="Arial" w:hAnsi="Arial"/>
          <w:sz w:val="22"/>
          <w:szCs w:val="22"/>
        </w:rPr>
        <w:t>DGA,</w:t>
      </w:r>
    </w:p>
    <w:p w14:paraId="12DE1295" w14:textId="69917F6D" w:rsidR="00C83BDF" w:rsidRDefault="00C83BDF" w:rsidP="00EB743C">
      <w:pPr>
        <w:pStyle w:val="ListParagraph"/>
        <w:widowControl w:val="0"/>
        <w:numPr>
          <w:ilvl w:val="1"/>
          <w:numId w:val="14"/>
        </w:numPr>
        <w:autoSpaceDE w:val="0"/>
        <w:autoSpaceDN w:val="0"/>
        <w:adjustRightInd w:val="0"/>
        <w:jc w:val="both"/>
        <w:rPr>
          <w:rFonts w:ascii="Arial" w:hAnsi="Arial"/>
          <w:sz w:val="22"/>
          <w:szCs w:val="22"/>
        </w:rPr>
      </w:pPr>
      <w:r>
        <w:rPr>
          <w:rFonts w:ascii="Arial" w:hAnsi="Arial"/>
          <w:sz w:val="22"/>
          <w:szCs w:val="22"/>
        </w:rPr>
        <w:t>Public Service Hall and Patrol Police Unified Service Center</w:t>
      </w:r>
      <w:r w:rsidR="00ED60C8">
        <w:rPr>
          <w:rFonts w:ascii="Arial" w:hAnsi="Arial"/>
          <w:sz w:val="22"/>
          <w:szCs w:val="22"/>
        </w:rPr>
        <w:t>, and</w:t>
      </w:r>
    </w:p>
    <w:p w14:paraId="71A24D2D" w14:textId="59DEDA9A" w:rsidR="00215484" w:rsidRDefault="00A50DAB" w:rsidP="00EB743C">
      <w:pPr>
        <w:pStyle w:val="ListParagraph"/>
        <w:widowControl w:val="0"/>
        <w:numPr>
          <w:ilvl w:val="1"/>
          <w:numId w:val="14"/>
        </w:numPr>
        <w:autoSpaceDE w:val="0"/>
        <w:autoSpaceDN w:val="0"/>
        <w:adjustRightInd w:val="0"/>
        <w:jc w:val="both"/>
        <w:rPr>
          <w:rFonts w:ascii="Arial" w:hAnsi="Arial"/>
          <w:sz w:val="22"/>
          <w:szCs w:val="22"/>
        </w:rPr>
      </w:pPr>
      <w:r>
        <w:rPr>
          <w:rFonts w:ascii="Arial" w:hAnsi="Arial"/>
          <w:sz w:val="22"/>
          <w:szCs w:val="22"/>
        </w:rPr>
        <w:t>CSOs</w:t>
      </w:r>
      <w:r w:rsidR="003D1E11">
        <w:rPr>
          <w:rFonts w:ascii="Arial" w:hAnsi="Arial"/>
          <w:sz w:val="22"/>
          <w:szCs w:val="22"/>
        </w:rPr>
        <w:t>, consultants</w:t>
      </w:r>
      <w:r>
        <w:rPr>
          <w:rFonts w:ascii="Arial" w:hAnsi="Arial"/>
          <w:sz w:val="22"/>
          <w:szCs w:val="22"/>
        </w:rPr>
        <w:t xml:space="preserve"> and a</w:t>
      </w:r>
      <w:r w:rsidR="00215484">
        <w:rPr>
          <w:rFonts w:ascii="Arial" w:hAnsi="Arial"/>
          <w:sz w:val="22"/>
          <w:szCs w:val="22"/>
        </w:rPr>
        <w:t>cademia</w:t>
      </w:r>
    </w:p>
    <w:p w14:paraId="14279634" w14:textId="77777777" w:rsidR="00C83BDF" w:rsidRDefault="00C83BDF" w:rsidP="00C83BDF">
      <w:pPr>
        <w:widowControl w:val="0"/>
        <w:autoSpaceDE w:val="0"/>
        <w:autoSpaceDN w:val="0"/>
        <w:adjustRightInd w:val="0"/>
        <w:jc w:val="both"/>
        <w:rPr>
          <w:rFonts w:ascii="Arial" w:hAnsi="Arial"/>
          <w:sz w:val="22"/>
          <w:szCs w:val="22"/>
        </w:rPr>
      </w:pPr>
    </w:p>
    <w:p w14:paraId="3947177F" w14:textId="5395C530" w:rsidR="00C05A7B" w:rsidRDefault="00C05A7B" w:rsidP="00C83BDF">
      <w:pPr>
        <w:widowControl w:val="0"/>
        <w:autoSpaceDE w:val="0"/>
        <w:autoSpaceDN w:val="0"/>
        <w:adjustRightInd w:val="0"/>
        <w:jc w:val="both"/>
        <w:rPr>
          <w:rFonts w:ascii="Arial" w:hAnsi="Arial"/>
          <w:sz w:val="22"/>
          <w:szCs w:val="22"/>
        </w:rPr>
      </w:pPr>
      <w:r>
        <w:rPr>
          <w:rFonts w:ascii="Arial" w:hAnsi="Arial"/>
          <w:sz w:val="22"/>
          <w:szCs w:val="22"/>
        </w:rPr>
        <w:t>The interviewees included: 1) project management, implementation and oversight; 2) implementation as a counterpart, stakeholder or provider of services involved in one or more of the outcome areas; and 3) an end-user or individual or entity that were impacted by the project. There was an attempt to get a cross section for each of the three outcome areas.</w:t>
      </w:r>
    </w:p>
    <w:p w14:paraId="4E454C87" w14:textId="77777777" w:rsidR="00C05A7B" w:rsidRDefault="00C05A7B" w:rsidP="00C83BDF">
      <w:pPr>
        <w:widowControl w:val="0"/>
        <w:autoSpaceDE w:val="0"/>
        <w:autoSpaceDN w:val="0"/>
        <w:adjustRightInd w:val="0"/>
        <w:jc w:val="both"/>
        <w:rPr>
          <w:rFonts w:ascii="Arial" w:hAnsi="Arial"/>
          <w:sz w:val="22"/>
          <w:szCs w:val="22"/>
        </w:rPr>
      </w:pPr>
    </w:p>
    <w:p w14:paraId="07E55C5E" w14:textId="51F731AA" w:rsidR="00AD505A" w:rsidRDefault="00C83BDF" w:rsidP="00C83BDF">
      <w:pPr>
        <w:jc w:val="both"/>
        <w:rPr>
          <w:rFonts w:ascii="Arial" w:hAnsi="Arial"/>
          <w:sz w:val="22"/>
          <w:szCs w:val="22"/>
        </w:rPr>
      </w:pPr>
      <w:r w:rsidRPr="00CE124C">
        <w:rPr>
          <w:rFonts w:ascii="Arial" w:hAnsi="Arial"/>
          <w:sz w:val="22"/>
          <w:szCs w:val="22"/>
        </w:rPr>
        <w:t xml:space="preserve">Given the </w:t>
      </w:r>
      <w:r w:rsidR="004D7700">
        <w:rPr>
          <w:rFonts w:ascii="Arial" w:hAnsi="Arial"/>
          <w:sz w:val="22"/>
          <w:szCs w:val="22"/>
        </w:rPr>
        <w:t xml:space="preserve">project’s </w:t>
      </w:r>
      <w:r w:rsidRPr="00CE124C">
        <w:rPr>
          <w:rFonts w:ascii="Arial" w:hAnsi="Arial"/>
          <w:sz w:val="22"/>
          <w:szCs w:val="22"/>
        </w:rPr>
        <w:t>complexity</w:t>
      </w:r>
      <w:r>
        <w:rPr>
          <w:rFonts w:ascii="Arial" w:hAnsi="Arial"/>
          <w:sz w:val="22"/>
          <w:szCs w:val="22"/>
        </w:rPr>
        <w:t>, a set of tables is pr</w:t>
      </w:r>
      <w:r w:rsidR="00B65BB8">
        <w:rPr>
          <w:rFonts w:ascii="Arial" w:hAnsi="Arial"/>
          <w:sz w:val="22"/>
          <w:szCs w:val="22"/>
        </w:rPr>
        <w:t>ov</w:t>
      </w:r>
      <w:r w:rsidR="00D01269">
        <w:rPr>
          <w:rFonts w:ascii="Arial" w:hAnsi="Arial"/>
          <w:sz w:val="22"/>
          <w:szCs w:val="22"/>
        </w:rPr>
        <w:t>ided as attachments (Annexes D-N</w:t>
      </w:r>
      <w:r w:rsidR="00B65BB8">
        <w:rPr>
          <w:rFonts w:ascii="Arial" w:hAnsi="Arial"/>
          <w:sz w:val="22"/>
          <w:szCs w:val="22"/>
        </w:rPr>
        <w:t>)</w:t>
      </w:r>
      <w:r w:rsidR="004D7700">
        <w:rPr>
          <w:rFonts w:ascii="Arial" w:hAnsi="Arial"/>
          <w:sz w:val="22"/>
          <w:szCs w:val="22"/>
        </w:rPr>
        <w:t xml:space="preserve"> to present project information</w:t>
      </w:r>
      <w:r>
        <w:rPr>
          <w:rFonts w:ascii="Arial" w:hAnsi="Arial"/>
          <w:sz w:val="22"/>
          <w:szCs w:val="22"/>
        </w:rPr>
        <w:t xml:space="preserve"> </w:t>
      </w:r>
      <w:r w:rsidR="004D7700">
        <w:rPr>
          <w:rFonts w:ascii="Arial" w:hAnsi="Arial"/>
          <w:sz w:val="22"/>
          <w:szCs w:val="22"/>
        </w:rPr>
        <w:t xml:space="preserve">in an </w:t>
      </w:r>
      <w:r>
        <w:rPr>
          <w:rFonts w:ascii="Arial" w:hAnsi="Arial"/>
          <w:sz w:val="22"/>
          <w:szCs w:val="22"/>
        </w:rPr>
        <w:t>organized an</w:t>
      </w:r>
      <w:r w:rsidR="00A50DAB">
        <w:rPr>
          <w:rFonts w:ascii="Arial" w:hAnsi="Arial"/>
          <w:sz w:val="22"/>
          <w:szCs w:val="22"/>
        </w:rPr>
        <w:t>alytical framew</w:t>
      </w:r>
      <w:r w:rsidR="004D7700">
        <w:rPr>
          <w:rFonts w:ascii="Arial" w:hAnsi="Arial"/>
          <w:sz w:val="22"/>
          <w:szCs w:val="22"/>
        </w:rPr>
        <w:t>ork</w:t>
      </w:r>
      <w:r>
        <w:rPr>
          <w:rFonts w:ascii="Arial" w:hAnsi="Arial"/>
          <w:sz w:val="22"/>
          <w:szCs w:val="22"/>
        </w:rPr>
        <w:t xml:space="preserve">. </w:t>
      </w:r>
      <w:r w:rsidR="005B52B6">
        <w:rPr>
          <w:rFonts w:ascii="Arial" w:hAnsi="Arial"/>
          <w:sz w:val="22"/>
          <w:szCs w:val="22"/>
        </w:rPr>
        <w:t xml:space="preserve">The tables also provide more quantitative and some qualitative data on which to provide background and inputs to provide a base for conclusions, lessons learned and recommendations. The tables are also a summary of all project activity. </w:t>
      </w:r>
      <w:r>
        <w:rPr>
          <w:rFonts w:ascii="Arial" w:hAnsi="Arial"/>
          <w:sz w:val="22"/>
          <w:szCs w:val="22"/>
        </w:rPr>
        <w:t xml:space="preserve">This information was especially important to help measure the progress of the project to date according to what was originally planned in the project document. The project team </w:t>
      </w:r>
      <w:r w:rsidR="00AD505A">
        <w:rPr>
          <w:rFonts w:ascii="Arial" w:hAnsi="Arial"/>
          <w:sz w:val="22"/>
          <w:szCs w:val="22"/>
        </w:rPr>
        <w:t>completed the tables</w:t>
      </w:r>
      <w:r>
        <w:rPr>
          <w:rFonts w:ascii="Arial" w:hAnsi="Arial"/>
          <w:sz w:val="22"/>
          <w:szCs w:val="22"/>
        </w:rPr>
        <w:t xml:space="preserve"> to provide the most up-to-date and accurate information in an efficient and timely manner. </w:t>
      </w:r>
      <w:r w:rsidR="005B52B6">
        <w:rPr>
          <w:rFonts w:ascii="Arial" w:hAnsi="Arial"/>
          <w:sz w:val="22"/>
          <w:szCs w:val="22"/>
        </w:rPr>
        <w:t>They worked with project stakeholders to collect the information so the information can be presented in an organized and presentable manner. The collected information can be used for purposes other than this evaluation by the project team, development partners and the government stakeholders.</w:t>
      </w:r>
    </w:p>
    <w:p w14:paraId="19D6AB60" w14:textId="77777777" w:rsidR="00AD505A" w:rsidRDefault="00AD505A" w:rsidP="00C83BDF">
      <w:pPr>
        <w:jc w:val="both"/>
        <w:rPr>
          <w:rFonts w:ascii="Arial" w:hAnsi="Arial"/>
          <w:sz w:val="22"/>
          <w:szCs w:val="22"/>
        </w:rPr>
      </w:pPr>
    </w:p>
    <w:p w14:paraId="203B84D4" w14:textId="58A3B9F4" w:rsidR="00C83BDF" w:rsidRDefault="00AD505A" w:rsidP="00C83BDF">
      <w:pPr>
        <w:jc w:val="both"/>
        <w:rPr>
          <w:rFonts w:ascii="Arial" w:hAnsi="Arial"/>
          <w:sz w:val="22"/>
          <w:szCs w:val="22"/>
        </w:rPr>
      </w:pPr>
      <w:r>
        <w:rPr>
          <w:rFonts w:ascii="Arial" w:hAnsi="Arial"/>
          <w:sz w:val="22"/>
          <w:szCs w:val="22"/>
        </w:rPr>
        <w:t>The tables</w:t>
      </w:r>
      <w:r w:rsidR="00C83BDF">
        <w:rPr>
          <w:rFonts w:ascii="Arial" w:hAnsi="Arial"/>
          <w:sz w:val="22"/>
          <w:szCs w:val="22"/>
        </w:rPr>
        <w:t xml:space="preserve"> are:</w:t>
      </w:r>
    </w:p>
    <w:p w14:paraId="26637B2E" w14:textId="77777777" w:rsidR="00C83BDF" w:rsidRDefault="00C83BDF" w:rsidP="00C83BDF">
      <w:pPr>
        <w:jc w:val="both"/>
        <w:rPr>
          <w:rFonts w:ascii="Arial" w:hAnsi="Arial"/>
          <w:sz w:val="22"/>
          <w:szCs w:val="22"/>
        </w:rPr>
      </w:pPr>
    </w:p>
    <w:p w14:paraId="6820D2A4" w14:textId="7E3982B7" w:rsidR="00B65BB8" w:rsidRDefault="00B65BB8" w:rsidP="00C83BDF">
      <w:pPr>
        <w:jc w:val="both"/>
        <w:rPr>
          <w:rFonts w:ascii="Arial" w:hAnsi="Arial"/>
          <w:sz w:val="22"/>
          <w:szCs w:val="22"/>
        </w:rPr>
      </w:pPr>
      <w:r>
        <w:rPr>
          <w:rFonts w:ascii="Arial" w:hAnsi="Arial"/>
          <w:sz w:val="22"/>
          <w:szCs w:val="22"/>
        </w:rPr>
        <w:tab/>
        <w:t>Annex D:</w:t>
      </w:r>
      <w:r>
        <w:rPr>
          <w:rFonts w:ascii="Arial" w:hAnsi="Arial"/>
          <w:sz w:val="22"/>
          <w:szCs w:val="22"/>
        </w:rPr>
        <w:tab/>
        <w:t>List of Project Personnel and Main Contractors</w:t>
      </w:r>
    </w:p>
    <w:p w14:paraId="51795619" w14:textId="1179436F" w:rsidR="00C83BDF" w:rsidRDefault="00B65BB8" w:rsidP="00B65BB8">
      <w:pPr>
        <w:ind w:left="720" w:hanging="720"/>
        <w:jc w:val="both"/>
        <w:rPr>
          <w:rFonts w:ascii="Arial" w:hAnsi="Arial"/>
          <w:sz w:val="22"/>
          <w:szCs w:val="22"/>
        </w:rPr>
      </w:pPr>
      <w:r>
        <w:rPr>
          <w:rFonts w:ascii="Arial" w:hAnsi="Arial"/>
          <w:sz w:val="22"/>
          <w:szCs w:val="22"/>
        </w:rPr>
        <w:tab/>
        <w:t>Annex E:</w:t>
      </w:r>
      <w:r>
        <w:rPr>
          <w:rFonts w:ascii="Arial" w:hAnsi="Arial"/>
          <w:sz w:val="22"/>
          <w:szCs w:val="22"/>
        </w:rPr>
        <w:tab/>
      </w:r>
      <w:r w:rsidR="00C83BDF">
        <w:rPr>
          <w:rFonts w:ascii="Arial" w:hAnsi="Arial"/>
          <w:sz w:val="22"/>
          <w:szCs w:val="22"/>
        </w:rPr>
        <w:t>Progress Toward Project Goal, O</w:t>
      </w:r>
      <w:r>
        <w:rPr>
          <w:rFonts w:ascii="Arial" w:hAnsi="Arial"/>
          <w:sz w:val="22"/>
          <w:szCs w:val="22"/>
        </w:rPr>
        <w:t xml:space="preserve">utcomes, Outputs and Associated </w:t>
      </w:r>
      <w:r>
        <w:rPr>
          <w:rFonts w:ascii="Arial" w:hAnsi="Arial"/>
          <w:sz w:val="22"/>
          <w:szCs w:val="22"/>
        </w:rPr>
        <w:tab/>
      </w:r>
      <w:r>
        <w:rPr>
          <w:rFonts w:ascii="Arial" w:hAnsi="Arial"/>
          <w:sz w:val="22"/>
          <w:szCs w:val="22"/>
        </w:rPr>
        <w:tab/>
      </w:r>
      <w:r>
        <w:rPr>
          <w:rFonts w:ascii="Arial" w:hAnsi="Arial"/>
          <w:sz w:val="22"/>
          <w:szCs w:val="22"/>
        </w:rPr>
        <w:tab/>
      </w:r>
      <w:r w:rsidR="00C83BDF">
        <w:rPr>
          <w:rFonts w:ascii="Arial" w:hAnsi="Arial"/>
          <w:sz w:val="22"/>
          <w:szCs w:val="22"/>
        </w:rPr>
        <w:t>Indicators</w:t>
      </w:r>
    </w:p>
    <w:p w14:paraId="7B780637" w14:textId="072AF652" w:rsidR="00B65BB8" w:rsidRDefault="00B65BB8" w:rsidP="00C83BDF">
      <w:pPr>
        <w:jc w:val="both"/>
        <w:rPr>
          <w:rFonts w:ascii="Arial" w:hAnsi="Arial"/>
          <w:sz w:val="22"/>
          <w:szCs w:val="22"/>
        </w:rPr>
      </w:pPr>
      <w:r>
        <w:rPr>
          <w:rFonts w:ascii="Arial" w:hAnsi="Arial"/>
          <w:sz w:val="22"/>
          <w:szCs w:val="22"/>
        </w:rPr>
        <w:tab/>
        <w:t>Annex F:</w:t>
      </w:r>
      <w:r>
        <w:rPr>
          <w:rFonts w:ascii="Arial" w:hAnsi="Arial"/>
          <w:sz w:val="22"/>
          <w:szCs w:val="22"/>
        </w:rPr>
        <w:tab/>
        <w:t>Main PAR Laws, Policies, Decrees, By-Laws and Strategies Prepared</w:t>
      </w:r>
    </w:p>
    <w:p w14:paraId="2181AF33" w14:textId="0C4E4327" w:rsidR="00B65BB8" w:rsidRDefault="00B65BB8" w:rsidP="00C83BDF">
      <w:pPr>
        <w:jc w:val="both"/>
        <w:rPr>
          <w:rFonts w:ascii="Arial" w:hAnsi="Arial"/>
          <w:sz w:val="22"/>
          <w:szCs w:val="22"/>
        </w:rPr>
      </w:pPr>
      <w:r>
        <w:rPr>
          <w:rFonts w:ascii="Arial" w:hAnsi="Arial"/>
          <w:sz w:val="22"/>
          <w:szCs w:val="22"/>
        </w:rPr>
        <w:tab/>
        <w:t>Annex G:</w:t>
      </w:r>
      <w:r>
        <w:rPr>
          <w:rFonts w:ascii="Arial" w:hAnsi="Arial"/>
          <w:sz w:val="22"/>
          <w:szCs w:val="22"/>
        </w:rPr>
        <w:tab/>
        <w:t>Project Developed QEC Training</w:t>
      </w:r>
    </w:p>
    <w:p w14:paraId="16386383" w14:textId="206A9A3C" w:rsidR="00B65BB8" w:rsidRDefault="00B65BB8" w:rsidP="00C83BDF">
      <w:pPr>
        <w:jc w:val="both"/>
        <w:rPr>
          <w:rFonts w:ascii="Arial" w:hAnsi="Arial"/>
          <w:sz w:val="22"/>
          <w:szCs w:val="22"/>
        </w:rPr>
      </w:pPr>
      <w:r>
        <w:rPr>
          <w:rFonts w:ascii="Arial" w:hAnsi="Arial"/>
          <w:sz w:val="22"/>
          <w:szCs w:val="22"/>
        </w:rPr>
        <w:tab/>
        <w:t>Annex H:</w:t>
      </w:r>
      <w:r>
        <w:rPr>
          <w:rFonts w:ascii="Arial" w:hAnsi="Arial"/>
          <w:sz w:val="22"/>
          <w:szCs w:val="22"/>
        </w:rPr>
        <w:tab/>
        <w:t>Key Training Events</w:t>
      </w:r>
    </w:p>
    <w:p w14:paraId="3172E93D" w14:textId="250BB87E" w:rsidR="00B65BB8" w:rsidRDefault="00B65BB8" w:rsidP="00C83BDF">
      <w:pPr>
        <w:jc w:val="both"/>
        <w:rPr>
          <w:rFonts w:ascii="Arial" w:hAnsi="Arial"/>
          <w:sz w:val="22"/>
          <w:szCs w:val="22"/>
        </w:rPr>
      </w:pPr>
      <w:r>
        <w:rPr>
          <w:rFonts w:ascii="Arial" w:hAnsi="Arial"/>
          <w:sz w:val="22"/>
          <w:szCs w:val="22"/>
        </w:rPr>
        <w:tab/>
        <w:t>Annex I</w:t>
      </w:r>
      <w:r w:rsidR="001B0C01">
        <w:rPr>
          <w:rFonts w:ascii="Arial" w:hAnsi="Arial"/>
          <w:sz w:val="22"/>
          <w:szCs w:val="22"/>
        </w:rPr>
        <w:t>:</w:t>
      </w:r>
      <w:r>
        <w:rPr>
          <w:rFonts w:ascii="Arial" w:hAnsi="Arial"/>
          <w:sz w:val="22"/>
          <w:szCs w:val="22"/>
        </w:rPr>
        <w:tab/>
        <w:t>Emerging Needs – PAR-Sponsored Sub Projects</w:t>
      </w:r>
    </w:p>
    <w:p w14:paraId="630C47F3" w14:textId="4DB1800E" w:rsidR="00B65BB8" w:rsidRDefault="00B65BB8" w:rsidP="00C83BDF">
      <w:pPr>
        <w:jc w:val="both"/>
        <w:rPr>
          <w:rFonts w:ascii="Arial" w:hAnsi="Arial"/>
          <w:sz w:val="22"/>
          <w:szCs w:val="22"/>
        </w:rPr>
      </w:pPr>
      <w:r>
        <w:rPr>
          <w:rFonts w:ascii="Arial" w:hAnsi="Arial"/>
          <w:sz w:val="22"/>
          <w:szCs w:val="22"/>
        </w:rPr>
        <w:tab/>
        <w:t>Annex J</w:t>
      </w:r>
      <w:r w:rsidR="001B0C01">
        <w:rPr>
          <w:rFonts w:ascii="Arial" w:hAnsi="Arial"/>
          <w:sz w:val="22"/>
          <w:szCs w:val="22"/>
        </w:rPr>
        <w:t>:</w:t>
      </w:r>
      <w:r>
        <w:rPr>
          <w:rFonts w:ascii="Arial" w:hAnsi="Arial"/>
          <w:sz w:val="22"/>
          <w:szCs w:val="22"/>
        </w:rPr>
        <w:tab/>
        <w:t>Project-Sponsored Conferences and Public Events</w:t>
      </w:r>
    </w:p>
    <w:p w14:paraId="3EA1781E" w14:textId="21097A36" w:rsidR="00B65BB8" w:rsidRDefault="00B65BB8" w:rsidP="00A50DAB">
      <w:pPr>
        <w:ind w:left="2160" w:hanging="1440"/>
        <w:jc w:val="both"/>
        <w:rPr>
          <w:rFonts w:ascii="Arial" w:hAnsi="Arial"/>
          <w:sz w:val="22"/>
          <w:szCs w:val="22"/>
        </w:rPr>
      </w:pPr>
      <w:r>
        <w:rPr>
          <w:rFonts w:ascii="Arial" w:hAnsi="Arial"/>
          <w:sz w:val="22"/>
          <w:szCs w:val="22"/>
        </w:rPr>
        <w:t>Annex K</w:t>
      </w:r>
      <w:r w:rsidR="001B0C01">
        <w:rPr>
          <w:rFonts w:ascii="Arial" w:hAnsi="Arial"/>
          <w:sz w:val="22"/>
          <w:szCs w:val="22"/>
        </w:rPr>
        <w:t>:</w:t>
      </w:r>
      <w:r>
        <w:rPr>
          <w:rFonts w:ascii="Arial" w:hAnsi="Arial"/>
          <w:sz w:val="22"/>
          <w:szCs w:val="22"/>
        </w:rPr>
        <w:tab/>
        <w:t>PAR-Spons</w:t>
      </w:r>
      <w:r w:rsidR="00A50DAB">
        <w:rPr>
          <w:rFonts w:ascii="Arial" w:hAnsi="Arial"/>
          <w:sz w:val="22"/>
          <w:szCs w:val="22"/>
        </w:rPr>
        <w:t>ored Policy Research Studies,</w:t>
      </w:r>
      <w:r>
        <w:rPr>
          <w:rFonts w:ascii="Arial" w:hAnsi="Arial"/>
          <w:sz w:val="22"/>
          <w:szCs w:val="22"/>
        </w:rPr>
        <w:t xml:space="preserve"> Civil Society Grants</w:t>
      </w:r>
      <w:r w:rsidR="00A50DAB">
        <w:rPr>
          <w:rFonts w:ascii="Arial" w:hAnsi="Arial"/>
          <w:sz w:val="22"/>
          <w:szCs w:val="22"/>
        </w:rPr>
        <w:t>, Other Research, Guides, Publications and Videos</w:t>
      </w:r>
    </w:p>
    <w:p w14:paraId="6F04C766" w14:textId="18C4E4C6" w:rsidR="00B65BB8" w:rsidRDefault="00B65BB8" w:rsidP="00C83BDF">
      <w:pPr>
        <w:jc w:val="both"/>
        <w:rPr>
          <w:rFonts w:ascii="Arial" w:hAnsi="Arial"/>
          <w:sz w:val="22"/>
          <w:szCs w:val="22"/>
        </w:rPr>
      </w:pPr>
      <w:r>
        <w:rPr>
          <w:rFonts w:ascii="Arial" w:hAnsi="Arial"/>
          <w:sz w:val="22"/>
          <w:szCs w:val="22"/>
        </w:rPr>
        <w:tab/>
        <w:t>Annex L:</w:t>
      </w:r>
      <w:r>
        <w:rPr>
          <w:rFonts w:ascii="Arial" w:hAnsi="Arial"/>
          <w:sz w:val="22"/>
          <w:szCs w:val="22"/>
        </w:rPr>
        <w:tab/>
        <w:t>Project-Supported e-Services</w:t>
      </w:r>
    </w:p>
    <w:p w14:paraId="4D88EBA5" w14:textId="2D7D7A5A" w:rsidR="00B65BB8" w:rsidRDefault="00B65BB8" w:rsidP="00C83BDF">
      <w:pPr>
        <w:jc w:val="both"/>
        <w:rPr>
          <w:rFonts w:ascii="Arial" w:hAnsi="Arial"/>
          <w:sz w:val="22"/>
          <w:szCs w:val="22"/>
        </w:rPr>
      </w:pPr>
      <w:r>
        <w:rPr>
          <w:rFonts w:ascii="Arial" w:hAnsi="Arial"/>
          <w:sz w:val="22"/>
          <w:szCs w:val="22"/>
        </w:rPr>
        <w:tab/>
        <w:t>Annex M:</w:t>
      </w:r>
      <w:r>
        <w:rPr>
          <w:rFonts w:ascii="Arial" w:hAnsi="Arial"/>
          <w:sz w:val="22"/>
          <w:szCs w:val="22"/>
        </w:rPr>
        <w:tab/>
        <w:t>Budget Performance by Outcome, by Year, and Totals</w:t>
      </w:r>
    </w:p>
    <w:p w14:paraId="5ABE468A" w14:textId="09B9A76C" w:rsidR="00B97F10" w:rsidRDefault="00C66909" w:rsidP="00C83BDF">
      <w:pPr>
        <w:jc w:val="both"/>
        <w:rPr>
          <w:rFonts w:ascii="Arial" w:hAnsi="Arial"/>
          <w:sz w:val="22"/>
          <w:szCs w:val="22"/>
        </w:rPr>
      </w:pPr>
      <w:r>
        <w:rPr>
          <w:rFonts w:ascii="Arial" w:hAnsi="Arial"/>
          <w:sz w:val="22"/>
          <w:szCs w:val="22"/>
        </w:rPr>
        <w:tab/>
        <w:t>Annex N</w:t>
      </w:r>
      <w:r w:rsidR="00B97F10">
        <w:rPr>
          <w:rFonts w:ascii="Arial" w:hAnsi="Arial"/>
          <w:sz w:val="22"/>
          <w:szCs w:val="22"/>
        </w:rPr>
        <w:t>:</w:t>
      </w:r>
      <w:r w:rsidR="00B97F10">
        <w:rPr>
          <w:rFonts w:ascii="Arial" w:hAnsi="Arial"/>
          <w:sz w:val="22"/>
          <w:szCs w:val="22"/>
        </w:rPr>
        <w:tab/>
        <w:t>Theory of Change</w:t>
      </w:r>
    </w:p>
    <w:p w14:paraId="01768360" w14:textId="77777777" w:rsidR="00C83BDF" w:rsidRDefault="00C83BDF" w:rsidP="00C83BDF">
      <w:pPr>
        <w:widowControl w:val="0"/>
        <w:autoSpaceDE w:val="0"/>
        <w:autoSpaceDN w:val="0"/>
        <w:adjustRightInd w:val="0"/>
        <w:jc w:val="both"/>
        <w:rPr>
          <w:rFonts w:ascii="Arial" w:hAnsi="Arial"/>
          <w:sz w:val="22"/>
          <w:szCs w:val="22"/>
        </w:rPr>
      </w:pPr>
    </w:p>
    <w:p w14:paraId="59A5F6A1" w14:textId="686837FF" w:rsidR="00C83BDF" w:rsidRDefault="00314E6C" w:rsidP="00C83BDF">
      <w:pPr>
        <w:widowControl w:val="0"/>
        <w:autoSpaceDE w:val="0"/>
        <w:autoSpaceDN w:val="0"/>
        <w:adjustRightInd w:val="0"/>
        <w:jc w:val="both"/>
        <w:rPr>
          <w:rFonts w:ascii="Arial" w:hAnsi="Arial"/>
          <w:sz w:val="22"/>
          <w:szCs w:val="22"/>
        </w:rPr>
      </w:pPr>
      <w:r>
        <w:rPr>
          <w:rFonts w:ascii="Arial" w:hAnsi="Arial"/>
          <w:sz w:val="22"/>
          <w:szCs w:val="22"/>
        </w:rPr>
        <w:t>Attempts were made</w:t>
      </w:r>
      <w:r w:rsidR="00215484">
        <w:rPr>
          <w:rFonts w:ascii="Arial" w:hAnsi="Arial"/>
          <w:sz w:val="22"/>
          <w:szCs w:val="22"/>
        </w:rPr>
        <w:t xml:space="preserve"> </w:t>
      </w:r>
      <w:r w:rsidR="001B0C01">
        <w:rPr>
          <w:rFonts w:ascii="Arial" w:hAnsi="Arial"/>
          <w:sz w:val="22"/>
          <w:szCs w:val="22"/>
        </w:rPr>
        <w:t>to analyze</w:t>
      </w:r>
      <w:r w:rsidR="00C83BDF">
        <w:rPr>
          <w:rFonts w:ascii="Arial" w:hAnsi="Arial"/>
          <w:sz w:val="22"/>
          <w:szCs w:val="22"/>
        </w:rPr>
        <w:t xml:space="preserve"> gender and inclusion in terms of how gender was integrated in the project, the activities that had taken place to address gender and inclusion, and any impacts on gender and inclusion issues. Thi</w:t>
      </w:r>
      <w:r w:rsidR="00215484">
        <w:rPr>
          <w:rFonts w:ascii="Arial" w:hAnsi="Arial"/>
          <w:sz w:val="22"/>
          <w:szCs w:val="22"/>
        </w:rPr>
        <w:t>s analysis</w:t>
      </w:r>
      <w:r w:rsidR="00C83BDF">
        <w:rPr>
          <w:rFonts w:ascii="Arial" w:hAnsi="Arial"/>
          <w:sz w:val="22"/>
          <w:szCs w:val="22"/>
        </w:rPr>
        <w:t xml:space="preserve"> include</w:t>
      </w:r>
      <w:r w:rsidR="00215484">
        <w:rPr>
          <w:rFonts w:ascii="Arial" w:hAnsi="Arial"/>
          <w:sz w:val="22"/>
          <w:szCs w:val="22"/>
        </w:rPr>
        <w:t>d</w:t>
      </w:r>
      <w:r w:rsidR="00C83BDF">
        <w:rPr>
          <w:rFonts w:ascii="Arial" w:hAnsi="Arial"/>
          <w:sz w:val="22"/>
          <w:szCs w:val="22"/>
        </w:rPr>
        <w:t xml:space="preserve"> reviewing gender data of training, number and types of research to address gender issues in the civil service, any gender and vulnerable group screening mechanisms in policy and strategic document preparation and/or review, and improved access to e-services and such services</w:t>
      </w:r>
      <w:r w:rsidR="001B0C01">
        <w:rPr>
          <w:rFonts w:ascii="Arial" w:hAnsi="Arial"/>
          <w:sz w:val="22"/>
          <w:szCs w:val="22"/>
        </w:rPr>
        <w:t xml:space="preserve"> targeted to vulnerable groups.</w:t>
      </w:r>
    </w:p>
    <w:p w14:paraId="7016FE91" w14:textId="77777777" w:rsidR="00B4374E" w:rsidRDefault="00B4374E" w:rsidP="00215484">
      <w:pPr>
        <w:widowControl w:val="0"/>
        <w:autoSpaceDE w:val="0"/>
        <w:autoSpaceDN w:val="0"/>
        <w:adjustRightInd w:val="0"/>
        <w:jc w:val="both"/>
        <w:rPr>
          <w:rFonts w:ascii="Arial" w:hAnsi="Arial"/>
          <w:sz w:val="22"/>
          <w:szCs w:val="22"/>
        </w:rPr>
      </w:pPr>
    </w:p>
    <w:p w14:paraId="49D7AF04" w14:textId="786905F8" w:rsidR="00C83BDF" w:rsidRDefault="00215484" w:rsidP="00215484">
      <w:pPr>
        <w:widowControl w:val="0"/>
        <w:autoSpaceDE w:val="0"/>
        <w:autoSpaceDN w:val="0"/>
        <w:adjustRightInd w:val="0"/>
        <w:jc w:val="both"/>
        <w:rPr>
          <w:rFonts w:ascii="Arial" w:hAnsi="Arial"/>
          <w:sz w:val="22"/>
          <w:szCs w:val="22"/>
        </w:rPr>
      </w:pPr>
      <w:r>
        <w:rPr>
          <w:rFonts w:ascii="Arial" w:hAnsi="Arial"/>
          <w:sz w:val="22"/>
          <w:szCs w:val="22"/>
        </w:rPr>
        <w:t>Value for money was also</w:t>
      </w:r>
      <w:r w:rsidR="00C83BDF">
        <w:rPr>
          <w:rFonts w:ascii="Arial" w:hAnsi="Arial"/>
          <w:sz w:val="22"/>
          <w:szCs w:val="22"/>
        </w:rPr>
        <w:t xml:space="preserve"> addressed by reviewing efficiency, effectiveness, results and impact based on the criteria review noted above. The analysis </w:t>
      </w:r>
      <w:r>
        <w:rPr>
          <w:rFonts w:ascii="Arial" w:hAnsi="Arial"/>
          <w:sz w:val="22"/>
          <w:szCs w:val="22"/>
        </w:rPr>
        <w:t>included reviewing</w:t>
      </w:r>
      <w:r w:rsidR="00C83BDF">
        <w:rPr>
          <w:rFonts w:ascii="Arial" w:hAnsi="Arial"/>
          <w:sz w:val="22"/>
          <w:szCs w:val="22"/>
        </w:rPr>
        <w:t xml:space="preserve"> budget expenditure, by component, compared to actual progress on outputs </w:t>
      </w:r>
      <w:r>
        <w:rPr>
          <w:rFonts w:ascii="Arial" w:hAnsi="Arial"/>
          <w:sz w:val="22"/>
          <w:szCs w:val="22"/>
        </w:rPr>
        <w:t>and the achievement of results.</w:t>
      </w:r>
    </w:p>
    <w:p w14:paraId="72620D68" w14:textId="77777777" w:rsidR="00C83BDF" w:rsidRDefault="00C83BDF" w:rsidP="00C83BDF">
      <w:pPr>
        <w:jc w:val="both"/>
        <w:rPr>
          <w:rFonts w:ascii="Arial" w:hAnsi="Arial"/>
          <w:sz w:val="22"/>
          <w:szCs w:val="22"/>
        </w:rPr>
      </w:pPr>
    </w:p>
    <w:p w14:paraId="5D4B44EF" w14:textId="5FCB83E5" w:rsidR="00C83BDF" w:rsidRPr="00E8321B" w:rsidRDefault="00C83BDF" w:rsidP="00C83BDF">
      <w:pPr>
        <w:jc w:val="both"/>
        <w:rPr>
          <w:rFonts w:ascii="Arial" w:hAnsi="Arial"/>
          <w:sz w:val="22"/>
          <w:szCs w:val="22"/>
        </w:rPr>
      </w:pPr>
      <w:r>
        <w:rPr>
          <w:rFonts w:ascii="Arial" w:hAnsi="Arial"/>
          <w:sz w:val="22"/>
          <w:szCs w:val="22"/>
        </w:rPr>
        <w:t xml:space="preserve">The final phase of information </w:t>
      </w:r>
      <w:r w:rsidRPr="00E8321B">
        <w:rPr>
          <w:rFonts w:ascii="Arial" w:hAnsi="Arial"/>
          <w:sz w:val="22"/>
          <w:szCs w:val="22"/>
        </w:rPr>
        <w:t>ana</w:t>
      </w:r>
      <w:r w:rsidR="00624256" w:rsidRPr="00E8321B">
        <w:rPr>
          <w:rFonts w:ascii="Arial" w:hAnsi="Arial"/>
          <w:sz w:val="22"/>
          <w:szCs w:val="22"/>
        </w:rPr>
        <w:t>lysis and report writing was conducted during and</w:t>
      </w:r>
      <w:r w:rsidRPr="00E8321B">
        <w:rPr>
          <w:rFonts w:ascii="Arial" w:hAnsi="Arial"/>
          <w:sz w:val="22"/>
          <w:szCs w:val="22"/>
        </w:rPr>
        <w:t xml:space="preserve"> following th</w:t>
      </w:r>
      <w:r w:rsidR="00624256" w:rsidRPr="00E8321B">
        <w:rPr>
          <w:rFonts w:ascii="Arial" w:hAnsi="Arial"/>
          <w:sz w:val="22"/>
          <w:szCs w:val="22"/>
        </w:rPr>
        <w:t xml:space="preserve">e interviews. The analysis </w:t>
      </w:r>
      <w:r w:rsidRPr="00E8321B">
        <w:rPr>
          <w:rFonts w:ascii="Arial" w:hAnsi="Arial"/>
          <w:sz w:val="22"/>
          <w:szCs w:val="22"/>
        </w:rPr>
        <w:t>include</w:t>
      </w:r>
      <w:r w:rsidR="00624256" w:rsidRPr="00E8321B">
        <w:rPr>
          <w:rFonts w:ascii="Arial" w:hAnsi="Arial"/>
          <w:sz w:val="22"/>
          <w:szCs w:val="22"/>
        </w:rPr>
        <w:t>d</w:t>
      </w:r>
      <w:r w:rsidRPr="00E8321B">
        <w:rPr>
          <w:rFonts w:ascii="Arial" w:hAnsi="Arial"/>
          <w:sz w:val="22"/>
          <w:szCs w:val="22"/>
        </w:rPr>
        <w:t>:</w:t>
      </w:r>
    </w:p>
    <w:p w14:paraId="2BA06BB4" w14:textId="77777777" w:rsidR="00C83BDF" w:rsidRPr="00E8321B" w:rsidRDefault="00C83BDF" w:rsidP="00C83BDF">
      <w:pPr>
        <w:jc w:val="both"/>
        <w:rPr>
          <w:rFonts w:ascii="Arial" w:hAnsi="Arial"/>
          <w:sz w:val="22"/>
          <w:szCs w:val="22"/>
        </w:rPr>
      </w:pPr>
    </w:p>
    <w:p w14:paraId="44509AED" w14:textId="04457A14" w:rsidR="00C83BDF" w:rsidRPr="00E8321B" w:rsidRDefault="00A50DAB" w:rsidP="00EB743C">
      <w:pPr>
        <w:pStyle w:val="ListParagraph"/>
        <w:numPr>
          <w:ilvl w:val="0"/>
          <w:numId w:val="13"/>
        </w:numPr>
        <w:jc w:val="both"/>
        <w:rPr>
          <w:rFonts w:ascii="Arial" w:hAnsi="Arial"/>
          <w:sz w:val="22"/>
        </w:rPr>
      </w:pPr>
      <w:r w:rsidRPr="00E8321B">
        <w:rPr>
          <w:rFonts w:ascii="Arial" w:hAnsi="Arial"/>
          <w:sz w:val="22"/>
        </w:rPr>
        <w:t>Intended outcomes, outputs and output t</w:t>
      </w:r>
      <w:r w:rsidR="00C83BDF" w:rsidRPr="00E8321B">
        <w:rPr>
          <w:rFonts w:ascii="Arial" w:hAnsi="Arial"/>
          <w:sz w:val="22"/>
        </w:rPr>
        <w:t>argets per the project documents (baseline and actual result</w:t>
      </w:r>
      <w:r w:rsidR="00C83BDF" w:rsidRPr="00E8321B">
        <w:rPr>
          <w:rFonts w:ascii="Arial" w:hAnsi="Arial"/>
          <w:sz w:val="22"/>
          <w:szCs w:val="22"/>
        </w:rPr>
        <w:t>)</w:t>
      </w:r>
      <w:r w:rsidR="00844874" w:rsidRPr="00E8321B">
        <w:rPr>
          <w:rFonts w:ascii="Arial" w:hAnsi="Arial"/>
          <w:sz w:val="22"/>
          <w:szCs w:val="22"/>
        </w:rPr>
        <w:t xml:space="preserve"> including the RRF</w:t>
      </w:r>
      <w:r w:rsidR="00C83BDF" w:rsidRPr="00E8321B">
        <w:rPr>
          <w:rFonts w:ascii="Arial" w:hAnsi="Arial"/>
          <w:sz w:val="22"/>
          <w:szCs w:val="22"/>
        </w:rPr>
        <w:t>.</w:t>
      </w:r>
    </w:p>
    <w:p w14:paraId="63545B53" w14:textId="0442E1C8" w:rsidR="00C83BDF" w:rsidRPr="00E8321B" w:rsidRDefault="00A50DAB" w:rsidP="00EB743C">
      <w:pPr>
        <w:pStyle w:val="ListParagraph"/>
        <w:numPr>
          <w:ilvl w:val="0"/>
          <w:numId w:val="13"/>
        </w:numPr>
        <w:jc w:val="both"/>
        <w:rPr>
          <w:rFonts w:ascii="Arial" w:hAnsi="Arial"/>
          <w:sz w:val="22"/>
          <w:szCs w:val="22"/>
        </w:rPr>
      </w:pPr>
      <w:r w:rsidRPr="00E8321B">
        <w:rPr>
          <w:rFonts w:ascii="Arial" w:hAnsi="Arial"/>
          <w:sz w:val="22"/>
          <w:szCs w:val="22"/>
        </w:rPr>
        <w:t>Progress on each outcome’s outputs and i</w:t>
      </w:r>
      <w:r w:rsidR="00C83BDF" w:rsidRPr="00E8321B">
        <w:rPr>
          <w:rFonts w:ascii="Arial" w:hAnsi="Arial"/>
          <w:sz w:val="22"/>
          <w:szCs w:val="22"/>
        </w:rPr>
        <w:t>nd</w:t>
      </w:r>
      <w:r w:rsidRPr="00E8321B">
        <w:rPr>
          <w:rFonts w:ascii="Arial" w:hAnsi="Arial"/>
          <w:sz w:val="22"/>
          <w:szCs w:val="22"/>
        </w:rPr>
        <w:t>icators identifying indicative output result and issues (if any), by o</w:t>
      </w:r>
      <w:r w:rsidR="00C83BDF" w:rsidRPr="00E8321B">
        <w:rPr>
          <w:rFonts w:ascii="Arial" w:hAnsi="Arial"/>
          <w:sz w:val="22"/>
          <w:szCs w:val="22"/>
        </w:rPr>
        <w:t>utcome.</w:t>
      </w:r>
    </w:p>
    <w:p w14:paraId="429EE9DE" w14:textId="0ABC2F21" w:rsidR="00EB6ADD" w:rsidRDefault="00A50DAB" w:rsidP="00EB743C">
      <w:pPr>
        <w:pStyle w:val="ListParagraph"/>
        <w:numPr>
          <w:ilvl w:val="0"/>
          <w:numId w:val="13"/>
        </w:numPr>
        <w:jc w:val="both"/>
        <w:rPr>
          <w:rFonts w:ascii="Arial" w:hAnsi="Arial"/>
          <w:sz w:val="22"/>
          <w:szCs w:val="22"/>
        </w:rPr>
      </w:pPr>
      <w:r w:rsidRPr="00E8321B">
        <w:rPr>
          <w:rFonts w:ascii="Arial" w:hAnsi="Arial"/>
          <w:sz w:val="22"/>
          <w:szCs w:val="22"/>
        </w:rPr>
        <w:t>Budget p</w:t>
      </w:r>
      <w:r w:rsidR="006175A4" w:rsidRPr="00E8321B">
        <w:rPr>
          <w:rFonts w:ascii="Arial" w:hAnsi="Arial"/>
          <w:sz w:val="22"/>
          <w:szCs w:val="22"/>
        </w:rPr>
        <w:t>erformance</w:t>
      </w:r>
      <w:r w:rsidRPr="00E8321B">
        <w:rPr>
          <w:rFonts w:ascii="Arial" w:hAnsi="Arial"/>
          <w:sz w:val="22"/>
          <w:szCs w:val="22"/>
        </w:rPr>
        <w:t>, by o</w:t>
      </w:r>
      <w:r w:rsidR="00C83BDF" w:rsidRPr="00E8321B">
        <w:rPr>
          <w:rFonts w:ascii="Arial" w:hAnsi="Arial"/>
          <w:sz w:val="22"/>
          <w:szCs w:val="22"/>
        </w:rPr>
        <w:t>utcome, by year and overall</w:t>
      </w:r>
      <w:r w:rsidR="00C83BDF" w:rsidRPr="00624256">
        <w:rPr>
          <w:rFonts w:ascii="Arial" w:hAnsi="Arial"/>
          <w:sz w:val="22"/>
          <w:szCs w:val="22"/>
        </w:rPr>
        <w:t xml:space="preserve"> with delivery rates.</w:t>
      </w:r>
    </w:p>
    <w:p w14:paraId="52A8EA8D" w14:textId="77777777" w:rsidR="00624256" w:rsidRDefault="00624256" w:rsidP="00624256">
      <w:pPr>
        <w:jc w:val="both"/>
        <w:rPr>
          <w:rFonts w:ascii="Arial" w:hAnsi="Arial"/>
          <w:sz w:val="22"/>
          <w:szCs w:val="22"/>
        </w:rPr>
      </w:pPr>
    </w:p>
    <w:p w14:paraId="2270B9AE" w14:textId="49629041" w:rsidR="00624256" w:rsidRPr="00624256" w:rsidRDefault="00624256" w:rsidP="00624256">
      <w:pPr>
        <w:jc w:val="both"/>
        <w:rPr>
          <w:rFonts w:ascii="Arial" w:hAnsi="Arial"/>
          <w:sz w:val="22"/>
          <w:szCs w:val="22"/>
        </w:rPr>
      </w:pPr>
      <w:r>
        <w:rPr>
          <w:rFonts w:ascii="Arial" w:hAnsi="Arial"/>
          <w:sz w:val="22"/>
          <w:szCs w:val="22"/>
        </w:rPr>
        <w:t>By reviewing the documents, interview information, indicators (targets and actuals) and activity performance, findings and conclusions were identified by component and for the overall project. A set of lessons learned is also provided to improve upon any future PAR effort</w:t>
      </w:r>
      <w:r w:rsidR="008F0A41">
        <w:rPr>
          <w:rFonts w:ascii="Arial" w:hAnsi="Arial"/>
          <w:sz w:val="22"/>
          <w:szCs w:val="22"/>
        </w:rPr>
        <w:t>s. A set of recommendations was</w:t>
      </w:r>
      <w:r>
        <w:rPr>
          <w:rFonts w:ascii="Arial" w:hAnsi="Arial"/>
          <w:sz w:val="22"/>
          <w:szCs w:val="22"/>
        </w:rPr>
        <w:t xml:space="preserve"> formulated to: 1) contribute to the effective completion of the existing project; and 2) provide guidance for the planning of any future PAR interventions that may be relat</w:t>
      </w:r>
      <w:r w:rsidR="00677DC0">
        <w:rPr>
          <w:rFonts w:ascii="Arial" w:hAnsi="Arial"/>
          <w:sz w:val="22"/>
          <w:szCs w:val="22"/>
        </w:rPr>
        <w:t>ed to the project.</w:t>
      </w:r>
    </w:p>
    <w:p w14:paraId="58FFD008" w14:textId="77777777" w:rsidR="00C55893" w:rsidRDefault="00C55893" w:rsidP="00EB6ADD">
      <w:pPr>
        <w:jc w:val="both"/>
        <w:rPr>
          <w:rFonts w:ascii="Arial" w:hAnsi="Arial"/>
          <w:sz w:val="22"/>
          <w:szCs w:val="22"/>
        </w:rPr>
      </w:pPr>
    </w:p>
    <w:p w14:paraId="665FC560" w14:textId="16008A23" w:rsidR="00624256" w:rsidRDefault="00EB6ADD" w:rsidP="00EB6ADD">
      <w:pPr>
        <w:jc w:val="both"/>
        <w:rPr>
          <w:rFonts w:ascii="Arial" w:hAnsi="Arial"/>
          <w:sz w:val="22"/>
          <w:szCs w:val="22"/>
        </w:rPr>
      </w:pPr>
      <w:r>
        <w:rPr>
          <w:rFonts w:ascii="Arial" w:hAnsi="Arial"/>
          <w:sz w:val="22"/>
          <w:szCs w:val="22"/>
        </w:rPr>
        <w:t xml:space="preserve">The </w:t>
      </w:r>
      <w:r w:rsidR="007959BF">
        <w:rPr>
          <w:rFonts w:ascii="Arial" w:hAnsi="Arial"/>
          <w:sz w:val="22"/>
          <w:szCs w:val="22"/>
        </w:rPr>
        <w:t xml:space="preserve">evaluation did have limitations. </w:t>
      </w:r>
      <w:r w:rsidR="00624256">
        <w:rPr>
          <w:rFonts w:ascii="Arial" w:hAnsi="Arial"/>
          <w:sz w:val="22"/>
          <w:szCs w:val="22"/>
        </w:rPr>
        <w:t>As previously mentioned, the COVID-19 travel restrictions prevented an in-country visit. Howev</w:t>
      </w:r>
      <w:r w:rsidR="006175A4">
        <w:rPr>
          <w:rFonts w:ascii="Arial" w:hAnsi="Arial"/>
          <w:sz w:val="22"/>
          <w:szCs w:val="22"/>
        </w:rPr>
        <w:t>er, the limitation was mitigated</w:t>
      </w:r>
      <w:r w:rsidR="00624256">
        <w:rPr>
          <w:rFonts w:ascii="Arial" w:hAnsi="Arial"/>
          <w:sz w:val="22"/>
          <w:szCs w:val="22"/>
        </w:rPr>
        <w:t xml:space="preserve"> by the conduct of videoconferences. All necessary information was obtained from the interviews. The project team was </w:t>
      </w:r>
      <w:r w:rsidR="00677DC0">
        <w:rPr>
          <w:rFonts w:ascii="Arial" w:hAnsi="Arial"/>
          <w:sz w:val="22"/>
          <w:szCs w:val="22"/>
        </w:rPr>
        <w:t xml:space="preserve">proactive and </w:t>
      </w:r>
      <w:r w:rsidR="00624256">
        <w:rPr>
          <w:rFonts w:ascii="Arial" w:hAnsi="Arial"/>
          <w:sz w:val="22"/>
          <w:szCs w:val="22"/>
        </w:rPr>
        <w:t>responsive in co</w:t>
      </w:r>
      <w:r w:rsidR="00677DC0">
        <w:rPr>
          <w:rFonts w:ascii="Arial" w:hAnsi="Arial"/>
          <w:sz w:val="22"/>
          <w:szCs w:val="22"/>
        </w:rPr>
        <w:t>ordinating the meetings.</w:t>
      </w:r>
    </w:p>
    <w:p w14:paraId="14B95C0E" w14:textId="77777777" w:rsidR="00624256" w:rsidRDefault="00624256" w:rsidP="00EB6ADD">
      <w:pPr>
        <w:jc w:val="both"/>
        <w:rPr>
          <w:rFonts w:ascii="Arial" w:hAnsi="Arial"/>
          <w:sz w:val="22"/>
          <w:szCs w:val="22"/>
        </w:rPr>
      </w:pPr>
    </w:p>
    <w:p w14:paraId="721903F3" w14:textId="72936F5A" w:rsidR="00624256" w:rsidRDefault="0038751C" w:rsidP="00EB6ADD">
      <w:pPr>
        <w:jc w:val="both"/>
        <w:rPr>
          <w:rFonts w:ascii="Arial" w:hAnsi="Arial"/>
          <w:sz w:val="22"/>
          <w:szCs w:val="22"/>
        </w:rPr>
      </w:pPr>
      <w:r>
        <w:rPr>
          <w:rFonts w:ascii="Arial" w:hAnsi="Arial"/>
          <w:sz w:val="22"/>
          <w:szCs w:val="22"/>
        </w:rPr>
        <w:t>A</w:t>
      </w:r>
      <w:r w:rsidR="00624256">
        <w:rPr>
          <w:rFonts w:ascii="Arial" w:hAnsi="Arial"/>
          <w:sz w:val="22"/>
          <w:szCs w:val="22"/>
        </w:rPr>
        <w:t xml:space="preserve"> second limitation was that many activities were delayed given the COVID-19 </w:t>
      </w:r>
      <w:r>
        <w:rPr>
          <w:rFonts w:ascii="Arial" w:hAnsi="Arial"/>
          <w:sz w:val="22"/>
          <w:szCs w:val="22"/>
        </w:rPr>
        <w:t xml:space="preserve">slowdown during the project’s last year. It appears that time was made up with the extension. But many of the </w:t>
      </w:r>
      <w:r>
        <w:rPr>
          <w:rFonts w:ascii="Arial" w:hAnsi="Arial"/>
          <w:sz w:val="22"/>
          <w:szCs w:val="22"/>
        </w:rPr>
        <w:lastRenderedPageBreak/>
        <w:t xml:space="preserve">outcomes were to be completed in </w:t>
      </w:r>
      <w:r w:rsidR="001B0C01">
        <w:rPr>
          <w:rFonts w:ascii="Arial" w:hAnsi="Arial"/>
          <w:sz w:val="22"/>
          <w:szCs w:val="22"/>
        </w:rPr>
        <w:t xml:space="preserve">the </w:t>
      </w:r>
      <w:r>
        <w:rPr>
          <w:rFonts w:ascii="Arial" w:hAnsi="Arial"/>
          <w:sz w:val="22"/>
          <w:szCs w:val="22"/>
        </w:rPr>
        <w:t xml:space="preserve">February/March period that left time for only more “spot” like observations to determine where such activities stood at the time of the evaluation. </w:t>
      </w:r>
      <w:r w:rsidR="006175A4">
        <w:rPr>
          <w:rFonts w:ascii="Arial" w:hAnsi="Arial"/>
          <w:sz w:val="22"/>
          <w:szCs w:val="22"/>
        </w:rPr>
        <w:t>The evaluation is based on information received to date. The project’s ma</w:t>
      </w:r>
      <w:r w:rsidR="0081635D">
        <w:rPr>
          <w:rFonts w:ascii="Arial" w:hAnsi="Arial"/>
          <w:sz w:val="22"/>
          <w:szCs w:val="22"/>
        </w:rPr>
        <w:t>nagement and staff were coopera</w:t>
      </w:r>
      <w:r w:rsidR="006175A4">
        <w:rPr>
          <w:rFonts w:ascii="Arial" w:hAnsi="Arial"/>
          <w:sz w:val="22"/>
          <w:szCs w:val="22"/>
        </w:rPr>
        <w:t>tive in provid</w:t>
      </w:r>
      <w:r w:rsidR="0081635D">
        <w:rPr>
          <w:rFonts w:ascii="Arial" w:hAnsi="Arial"/>
          <w:sz w:val="22"/>
          <w:szCs w:val="22"/>
        </w:rPr>
        <w:t>ing informat</w:t>
      </w:r>
      <w:r w:rsidR="006175A4">
        <w:rPr>
          <w:rFonts w:ascii="Arial" w:hAnsi="Arial"/>
          <w:sz w:val="22"/>
          <w:szCs w:val="22"/>
        </w:rPr>
        <w:t>i</w:t>
      </w:r>
      <w:r w:rsidR="0081635D">
        <w:rPr>
          <w:rFonts w:ascii="Arial" w:hAnsi="Arial"/>
          <w:sz w:val="22"/>
          <w:szCs w:val="22"/>
        </w:rPr>
        <w:t>o</w:t>
      </w:r>
      <w:r w:rsidR="006175A4">
        <w:rPr>
          <w:rFonts w:ascii="Arial" w:hAnsi="Arial"/>
          <w:sz w:val="22"/>
          <w:szCs w:val="22"/>
        </w:rPr>
        <w:t>n as it was being produce</w:t>
      </w:r>
      <w:r w:rsidR="0081635D">
        <w:rPr>
          <w:rFonts w:ascii="Arial" w:hAnsi="Arial"/>
          <w:sz w:val="22"/>
          <w:szCs w:val="22"/>
        </w:rPr>
        <w:t>d, some unique for the evaluation</w:t>
      </w:r>
      <w:r w:rsidR="006175A4">
        <w:rPr>
          <w:rFonts w:ascii="Arial" w:hAnsi="Arial"/>
          <w:sz w:val="22"/>
          <w:szCs w:val="22"/>
        </w:rPr>
        <w:t>, as we</w:t>
      </w:r>
      <w:r w:rsidR="0081635D">
        <w:rPr>
          <w:rFonts w:ascii="Arial" w:hAnsi="Arial"/>
          <w:sz w:val="22"/>
          <w:szCs w:val="22"/>
        </w:rPr>
        <w:t>ll a project produc</w:t>
      </w:r>
      <w:r w:rsidR="006175A4">
        <w:rPr>
          <w:rFonts w:ascii="Arial" w:hAnsi="Arial"/>
          <w:sz w:val="22"/>
          <w:szCs w:val="22"/>
        </w:rPr>
        <w:t xml:space="preserve">ts </w:t>
      </w:r>
      <w:r w:rsidR="0081635D">
        <w:rPr>
          <w:rFonts w:ascii="Arial" w:hAnsi="Arial"/>
          <w:sz w:val="22"/>
          <w:szCs w:val="22"/>
        </w:rPr>
        <w:t>that were planned before projec</w:t>
      </w:r>
      <w:r w:rsidR="006175A4">
        <w:rPr>
          <w:rFonts w:ascii="Arial" w:hAnsi="Arial"/>
          <w:sz w:val="22"/>
          <w:szCs w:val="22"/>
        </w:rPr>
        <w:t>t end.</w:t>
      </w:r>
    </w:p>
    <w:p w14:paraId="35A33E57" w14:textId="77777777" w:rsidR="004469D4" w:rsidRDefault="004469D4" w:rsidP="00EB6ADD">
      <w:pPr>
        <w:jc w:val="both"/>
        <w:rPr>
          <w:rFonts w:ascii="Arial" w:hAnsi="Arial"/>
          <w:sz w:val="22"/>
          <w:szCs w:val="22"/>
        </w:rPr>
      </w:pPr>
    </w:p>
    <w:p w14:paraId="529B6AB8" w14:textId="159C480D" w:rsidR="004469D4" w:rsidRDefault="004469D4" w:rsidP="00EB6ADD">
      <w:pPr>
        <w:jc w:val="both"/>
        <w:rPr>
          <w:rFonts w:ascii="Arial" w:hAnsi="Arial"/>
          <w:sz w:val="22"/>
          <w:szCs w:val="22"/>
        </w:rPr>
      </w:pPr>
      <w:r>
        <w:rPr>
          <w:rFonts w:ascii="Arial" w:hAnsi="Arial"/>
          <w:sz w:val="22"/>
          <w:szCs w:val="22"/>
        </w:rPr>
        <w:t>A third limitation was the availability of some data. The project would have benefited from having a more detailed monitoring and evaluation framework at project start, especially given its</w:t>
      </w:r>
      <w:r w:rsidR="00B97F10">
        <w:rPr>
          <w:rFonts w:ascii="Arial" w:hAnsi="Arial"/>
          <w:sz w:val="22"/>
          <w:szCs w:val="22"/>
        </w:rPr>
        <w:t xml:space="preserve"> size and wide scope. It is</w:t>
      </w:r>
      <w:r>
        <w:rPr>
          <w:rFonts w:ascii="Arial" w:hAnsi="Arial"/>
          <w:sz w:val="22"/>
          <w:szCs w:val="22"/>
        </w:rPr>
        <w:t xml:space="preserve"> understandable that such a framework was not established at the very beginning since some of the outputs </w:t>
      </w:r>
      <w:r w:rsidR="005B52B6">
        <w:rPr>
          <w:rFonts w:ascii="Arial" w:hAnsi="Arial"/>
          <w:sz w:val="22"/>
          <w:szCs w:val="22"/>
        </w:rPr>
        <w:t>were adjusted just after projec</w:t>
      </w:r>
      <w:r>
        <w:rPr>
          <w:rFonts w:ascii="Arial" w:hAnsi="Arial"/>
          <w:sz w:val="22"/>
          <w:szCs w:val="22"/>
        </w:rPr>
        <w:t>t initiation and the project context had changed from when the project document was formulated. Even the Theory of Change was adjusted in the first year. However, the data limitation was not severe or negatively impactful regarding project performance and this evaluation. The information collected and presented by the project team, the mid term evaluation, various output evaluations, and the civil service and public surveys do combine to provide a good base for project performance as well as PAR performance. It would have been helpful or could be helpful since the last civil service/public survey is now being prepared, if the survey data was more comparable from survey to survey, especially after the last survey (reportedly to be completed in March)</w:t>
      </w:r>
      <w:r w:rsidR="00B97F10">
        <w:rPr>
          <w:rFonts w:ascii="Arial" w:hAnsi="Arial"/>
          <w:sz w:val="22"/>
          <w:szCs w:val="22"/>
        </w:rPr>
        <w:t>, comparable data</w:t>
      </w:r>
      <w:r w:rsidR="005B52B6">
        <w:rPr>
          <w:rFonts w:ascii="Arial" w:hAnsi="Arial"/>
          <w:sz w:val="22"/>
          <w:szCs w:val="22"/>
        </w:rPr>
        <w:t xml:space="preserve"> would make a contribution to review PAR reform in terms of what has/has not developed over the last 5 years and what gaps or wea</w:t>
      </w:r>
      <w:r w:rsidR="00B97F10">
        <w:rPr>
          <w:rFonts w:ascii="Arial" w:hAnsi="Arial"/>
          <w:sz w:val="22"/>
          <w:szCs w:val="22"/>
        </w:rPr>
        <w:t>knesses need further attention</w:t>
      </w:r>
      <w:r>
        <w:rPr>
          <w:rFonts w:ascii="Arial" w:hAnsi="Arial"/>
          <w:sz w:val="22"/>
          <w:szCs w:val="22"/>
        </w:rPr>
        <w:t>.</w:t>
      </w:r>
    </w:p>
    <w:p w14:paraId="648AC9B2" w14:textId="77777777" w:rsidR="00B72957" w:rsidRDefault="00B72957" w:rsidP="00EB6ADD">
      <w:pPr>
        <w:jc w:val="both"/>
        <w:rPr>
          <w:rFonts w:ascii="Arial" w:hAnsi="Arial"/>
          <w:sz w:val="22"/>
          <w:szCs w:val="22"/>
        </w:rPr>
      </w:pPr>
    </w:p>
    <w:p w14:paraId="7E3F7C26" w14:textId="77EC23B7" w:rsidR="00B72957" w:rsidRDefault="00B72957" w:rsidP="00EB6ADD">
      <w:pPr>
        <w:jc w:val="both"/>
        <w:rPr>
          <w:rFonts w:ascii="Arial" w:hAnsi="Arial"/>
          <w:sz w:val="22"/>
          <w:szCs w:val="22"/>
        </w:rPr>
      </w:pPr>
      <w:r>
        <w:rPr>
          <w:rFonts w:ascii="Arial" w:hAnsi="Arial"/>
          <w:sz w:val="22"/>
          <w:szCs w:val="22"/>
        </w:rPr>
        <w:t xml:space="preserve">A fourth limitation is that the assessment of efficiency relied on comparing activities and performance with financing and other resources. It also relied on comparing actual results to </w:t>
      </w:r>
      <w:r w:rsidR="004E4D8F">
        <w:rPr>
          <w:rFonts w:ascii="Arial" w:hAnsi="Arial"/>
          <w:sz w:val="22"/>
          <w:szCs w:val="22"/>
        </w:rPr>
        <w:t>baselines, when known, and targets</w:t>
      </w:r>
      <w:r>
        <w:rPr>
          <w:rFonts w:ascii="Arial" w:hAnsi="Arial"/>
          <w:sz w:val="22"/>
          <w:szCs w:val="22"/>
        </w:rPr>
        <w:t>.</w:t>
      </w:r>
      <w:r w:rsidR="00D92555">
        <w:rPr>
          <w:rFonts w:ascii="Arial" w:hAnsi="Arial"/>
          <w:sz w:val="22"/>
          <w:szCs w:val="22"/>
        </w:rPr>
        <w:t xml:space="preserve"> There are limited other efficiency review options given the type and scope of project activities to other similar projects and activities. The ability of project management and staff to execute project activities was reviewed.</w:t>
      </w:r>
    </w:p>
    <w:p w14:paraId="67EC1BD7" w14:textId="6F8BF18B" w:rsidR="005347F6" w:rsidRPr="005347F6" w:rsidRDefault="0038751C" w:rsidP="00E36339">
      <w:pPr>
        <w:pStyle w:val="Heading1"/>
        <w:numPr>
          <w:ilvl w:val="0"/>
          <w:numId w:val="1"/>
        </w:numPr>
      </w:pPr>
      <w:bookmarkStart w:id="10" w:name="_Toc478138861"/>
      <w:r>
        <w:t>Findings and Conclusions</w:t>
      </w:r>
      <w:bookmarkEnd w:id="10"/>
    </w:p>
    <w:p w14:paraId="67F4F3E6" w14:textId="3292DD0D" w:rsidR="002B3C48" w:rsidRDefault="003953BC" w:rsidP="003060EE">
      <w:pPr>
        <w:pStyle w:val="Heading2"/>
        <w:numPr>
          <w:ilvl w:val="0"/>
          <w:numId w:val="3"/>
        </w:numPr>
      </w:pPr>
      <w:bookmarkStart w:id="11" w:name="_Toc478138862"/>
      <w:r>
        <w:t>Overview and Criteria Assessment</w:t>
      </w:r>
      <w:bookmarkEnd w:id="11"/>
    </w:p>
    <w:p w14:paraId="3B3DB4DE" w14:textId="77777777" w:rsidR="006E7F92" w:rsidRDefault="006E7F92" w:rsidP="006E7F92">
      <w:pPr>
        <w:jc w:val="both"/>
        <w:rPr>
          <w:rFonts w:ascii="Arial" w:hAnsi="Arial"/>
          <w:b/>
          <w:sz w:val="22"/>
          <w:szCs w:val="22"/>
        </w:rPr>
      </w:pPr>
    </w:p>
    <w:p w14:paraId="49507B38" w14:textId="4EB82C2E" w:rsidR="006E7F92" w:rsidRDefault="00F23F02" w:rsidP="006E7F92">
      <w:pPr>
        <w:jc w:val="both"/>
        <w:rPr>
          <w:rFonts w:ascii="Arial" w:hAnsi="Arial"/>
          <w:sz w:val="22"/>
          <w:szCs w:val="22"/>
        </w:rPr>
      </w:pPr>
      <w:r>
        <w:rPr>
          <w:rFonts w:ascii="Arial" w:hAnsi="Arial"/>
          <w:sz w:val="22"/>
          <w:szCs w:val="22"/>
        </w:rPr>
        <w:t>The section includes</w:t>
      </w:r>
      <w:r w:rsidR="002274CE">
        <w:rPr>
          <w:rFonts w:ascii="Arial" w:hAnsi="Arial"/>
          <w:sz w:val="22"/>
          <w:szCs w:val="22"/>
        </w:rPr>
        <w:t xml:space="preserve"> a project performance</w:t>
      </w:r>
      <w:r w:rsidR="00EC2911">
        <w:rPr>
          <w:rFonts w:ascii="Arial" w:hAnsi="Arial"/>
          <w:sz w:val="22"/>
          <w:szCs w:val="22"/>
        </w:rPr>
        <w:t xml:space="preserve"> summary based on a set of evaluation factors</w:t>
      </w:r>
      <w:r w:rsidR="002274CE">
        <w:rPr>
          <w:rFonts w:ascii="Arial" w:hAnsi="Arial"/>
          <w:sz w:val="22"/>
          <w:szCs w:val="22"/>
        </w:rPr>
        <w:t xml:space="preserve"> and associated questions</w:t>
      </w:r>
      <w:r>
        <w:rPr>
          <w:rFonts w:ascii="Arial" w:hAnsi="Arial"/>
          <w:sz w:val="22"/>
          <w:szCs w:val="22"/>
        </w:rPr>
        <w:t>;</w:t>
      </w:r>
      <w:r w:rsidR="00EC2911">
        <w:rPr>
          <w:rFonts w:ascii="Arial" w:hAnsi="Arial"/>
          <w:sz w:val="22"/>
          <w:szCs w:val="22"/>
        </w:rPr>
        <w:t xml:space="preserve"> an assessment of responsiveness to the proje</w:t>
      </w:r>
      <w:r w:rsidR="00FC5B50">
        <w:rPr>
          <w:rFonts w:ascii="Arial" w:hAnsi="Arial"/>
          <w:sz w:val="22"/>
          <w:szCs w:val="22"/>
        </w:rPr>
        <w:t>ct goal, project management,</w:t>
      </w:r>
      <w:r w:rsidR="00EC2911">
        <w:rPr>
          <w:rFonts w:ascii="Arial" w:hAnsi="Arial"/>
          <w:sz w:val="22"/>
          <w:szCs w:val="22"/>
        </w:rPr>
        <w:t xml:space="preserve"> project implementation</w:t>
      </w:r>
      <w:r w:rsidR="00FC5B50">
        <w:rPr>
          <w:rFonts w:ascii="Arial" w:hAnsi="Arial"/>
          <w:sz w:val="22"/>
          <w:szCs w:val="22"/>
        </w:rPr>
        <w:t xml:space="preserve"> and SDGs</w:t>
      </w:r>
      <w:r>
        <w:rPr>
          <w:rFonts w:ascii="Arial" w:hAnsi="Arial"/>
          <w:sz w:val="22"/>
          <w:szCs w:val="22"/>
        </w:rPr>
        <w:t>; and</w:t>
      </w:r>
      <w:r w:rsidR="00EC2911">
        <w:rPr>
          <w:rFonts w:ascii="Arial" w:hAnsi="Arial"/>
          <w:sz w:val="22"/>
          <w:szCs w:val="22"/>
        </w:rPr>
        <w:t xml:space="preserve"> the background, major results, and conclusions of each of the three outcome areas. The section ends with a set of lessons learned. </w:t>
      </w:r>
      <w:r w:rsidR="00B051E2">
        <w:rPr>
          <w:rFonts w:ascii="Arial" w:hAnsi="Arial"/>
          <w:sz w:val="22"/>
          <w:szCs w:val="22"/>
        </w:rPr>
        <w:t xml:space="preserve">This section prepares the groundwork for the </w:t>
      </w:r>
      <w:r w:rsidR="00841ED3">
        <w:rPr>
          <w:rFonts w:ascii="Arial" w:hAnsi="Arial"/>
          <w:sz w:val="22"/>
          <w:szCs w:val="22"/>
        </w:rPr>
        <w:t>recommendations in Secti</w:t>
      </w:r>
      <w:r w:rsidR="00E14686">
        <w:rPr>
          <w:rFonts w:ascii="Arial" w:hAnsi="Arial"/>
          <w:sz w:val="22"/>
          <w:szCs w:val="22"/>
        </w:rPr>
        <w:t>o</w:t>
      </w:r>
      <w:r w:rsidR="00E36339">
        <w:rPr>
          <w:rFonts w:ascii="Arial" w:hAnsi="Arial"/>
          <w:sz w:val="22"/>
          <w:szCs w:val="22"/>
        </w:rPr>
        <w:t>n IV</w:t>
      </w:r>
    </w:p>
    <w:p w14:paraId="2F93F3A1" w14:textId="77777777" w:rsidR="00592E1B" w:rsidRDefault="00592E1B" w:rsidP="006E7F92">
      <w:pPr>
        <w:jc w:val="both"/>
        <w:rPr>
          <w:rFonts w:ascii="Arial" w:hAnsi="Arial"/>
          <w:sz w:val="22"/>
          <w:szCs w:val="22"/>
        </w:rPr>
      </w:pPr>
    </w:p>
    <w:p w14:paraId="59F62A9F" w14:textId="580C85BB" w:rsidR="003E7EE7" w:rsidRDefault="00EC2911" w:rsidP="003E7EE7">
      <w:pPr>
        <w:jc w:val="both"/>
        <w:rPr>
          <w:rFonts w:ascii="Arial" w:hAnsi="Arial"/>
          <w:sz w:val="22"/>
          <w:szCs w:val="22"/>
        </w:rPr>
      </w:pPr>
      <w:r>
        <w:rPr>
          <w:rFonts w:ascii="Arial" w:hAnsi="Arial"/>
          <w:sz w:val="22"/>
          <w:szCs w:val="22"/>
        </w:rPr>
        <w:t>The ev</w:t>
      </w:r>
      <w:r w:rsidR="00FC5B50">
        <w:rPr>
          <w:rFonts w:ascii="Arial" w:hAnsi="Arial"/>
          <w:sz w:val="22"/>
          <w:szCs w:val="22"/>
        </w:rPr>
        <w:t>aluation factors are</w:t>
      </w:r>
      <w:r w:rsidR="00B97F10">
        <w:rPr>
          <w:rFonts w:ascii="Arial" w:hAnsi="Arial"/>
          <w:sz w:val="22"/>
          <w:szCs w:val="22"/>
        </w:rPr>
        <w:t xml:space="preserve"> criteria </w:t>
      </w:r>
      <w:r>
        <w:rPr>
          <w:rFonts w:ascii="Arial" w:hAnsi="Arial"/>
          <w:sz w:val="22"/>
          <w:szCs w:val="22"/>
        </w:rPr>
        <w:t xml:space="preserve">to report on and measure project performance. They are based on the OECD DAC evaluation criteria. </w:t>
      </w:r>
      <w:r w:rsidR="002274CE">
        <w:rPr>
          <w:rFonts w:ascii="Arial" w:hAnsi="Arial"/>
          <w:sz w:val="22"/>
          <w:szCs w:val="22"/>
        </w:rPr>
        <w:t xml:space="preserve">Each </w:t>
      </w:r>
      <w:r w:rsidR="00656721">
        <w:rPr>
          <w:rFonts w:ascii="Arial" w:hAnsi="Arial"/>
          <w:sz w:val="22"/>
          <w:szCs w:val="22"/>
        </w:rPr>
        <w:t xml:space="preserve">factor has an associated set of questions as identified in the TOR. The questions are responded to below to the extent possible. </w:t>
      </w:r>
      <w:r w:rsidR="00FC5B50">
        <w:rPr>
          <w:rFonts w:ascii="Arial" w:hAnsi="Arial"/>
          <w:sz w:val="22"/>
          <w:szCs w:val="22"/>
        </w:rPr>
        <w:t xml:space="preserve">Where possible, descriptions are summarized and the main </w:t>
      </w:r>
      <w:r w:rsidR="00B97F10">
        <w:rPr>
          <w:rFonts w:ascii="Arial" w:hAnsi="Arial"/>
          <w:sz w:val="22"/>
          <w:szCs w:val="22"/>
        </w:rPr>
        <w:t>issues or conclusions are indicated</w:t>
      </w:r>
      <w:r w:rsidR="00FC5B50">
        <w:rPr>
          <w:rFonts w:ascii="Arial" w:hAnsi="Arial"/>
          <w:sz w:val="22"/>
          <w:szCs w:val="22"/>
        </w:rPr>
        <w:t xml:space="preserve">. </w:t>
      </w:r>
      <w:r w:rsidR="00656721">
        <w:rPr>
          <w:rFonts w:ascii="Arial" w:hAnsi="Arial"/>
          <w:sz w:val="22"/>
          <w:szCs w:val="22"/>
        </w:rPr>
        <w:t>Please not</w:t>
      </w:r>
      <w:r w:rsidR="00F23F02">
        <w:rPr>
          <w:rFonts w:ascii="Arial" w:hAnsi="Arial"/>
          <w:sz w:val="22"/>
          <w:szCs w:val="22"/>
        </w:rPr>
        <w:t>e</w:t>
      </w:r>
      <w:r w:rsidR="00656721">
        <w:rPr>
          <w:rFonts w:ascii="Arial" w:hAnsi="Arial"/>
          <w:sz w:val="22"/>
          <w:szCs w:val="22"/>
        </w:rPr>
        <w:t xml:space="preserve"> that give the breadth of the project’s activities, the assessment presented below is a summary of each factor with sufficient detail to support findings. More detailed performance information is provided in the following sections, overall and by outcome area. </w:t>
      </w:r>
    </w:p>
    <w:p w14:paraId="7515B207" w14:textId="77777777" w:rsidR="00C47270" w:rsidRPr="003E7EE7" w:rsidRDefault="00C47270" w:rsidP="003E7EE7">
      <w:pPr>
        <w:jc w:val="both"/>
        <w:rPr>
          <w:rFonts w:ascii="Arial" w:hAnsi="Arial"/>
          <w:sz w:val="22"/>
          <w:szCs w:val="22"/>
        </w:rPr>
      </w:pPr>
    </w:p>
    <w:p w14:paraId="53CE0C5F" w14:textId="04FC2BEB" w:rsidR="003E7EE7" w:rsidRPr="009F3CB2" w:rsidRDefault="00C23D33" w:rsidP="003E7EE7">
      <w:pPr>
        <w:pStyle w:val="ListParagraph"/>
        <w:ind w:left="0"/>
        <w:jc w:val="center"/>
        <w:rPr>
          <w:rFonts w:ascii="Arial" w:hAnsi="Arial"/>
          <w:b/>
          <w:sz w:val="22"/>
          <w:szCs w:val="22"/>
        </w:rPr>
      </w:pPr>
      <w:r>
        <w:rPr>
          <w:rFonts w:ascii="Arial" w:hAnsi="Arial"/>
          <w:b/>
          <w:sz w:val="22"/>
          <w:szCs w:val="22"/>
        </w:rPr>
        <w:t>Table 3</w:t>
      </w:r>
      <w:r w:rsidR="003E7EE7">
        <w:rPr>
          <w:rFonts w:ascii="Arial" w:hAnsi="Arial"/>
          <w:b/>
          <w:sz w:val="22"/>
          <w:szCs w:val="22"/>
        </w:rPr>
        <w:t xml:space="preserve">: </w:t>
      </w:r>
      <w:r w:rsidR="003E7EE7" w:rsidRPr="009F3CB2">
        <w:rPr>
          <w:rFonts w:ascii="Arial" w:hAnsi="Arial"/>
          <w:b/>
          <w:sz w:val="22"/>
          <w:szCs w:val="22"/>
        </w:rPr>
        <w:t>Project Achievement Measurement Summary</w:t>
      </w:r>
    </w:p>
    <w:p w14:paraId="22BD86F5" w14:textId="77777777" w:rsidR="003E7EE7" w:rsidRDefault="003E7EE7" w:rsidP="003E7EE7">
      <w:pPr>
        <w:pStyle w:val="ListParagraph"/>
        <w:ind w:left="0"/>
        <w:jc w:val="both"/>
        <w:rPr>
          <w:rFonts w:ascii="Arial" w:hAnsi="Arial"/>
          <w:sz w:val="22"/>
          <w:szCs w:val="22"/>
        </w:rPr>
      </w:pPr>
    </w:p>
    <w:tbl>
      <w:tblPr>
        <w:tblStyle w:val="LightGrid-Accent1"/>
        <w:tblW w:w="0" w:type="auto"/>
        <w:tblLook w:val="04A0" w:firstRow="1" w:lastRow="0" w:firstColumn="1" w:lastColumn="0" w:noHBand="0" w:noVBand="1"/>
      </w:tblPr>
      <w:tblGrid>
        <w:gridCol w:w="1647"/>
        <w:gridCol w:w="7929"/>
      </w:tblGrid>
      <w:tr w:rsidR="003E7EE7" w14:paraId="085EEF1F" w14:textId="77777777" w:rsidTr="00B97F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7" w:type="dxa"/>
          </w:tcPr>
          <w:p w14:paraId="5BEF34CD" w14:textId="77777777" w:rsidR="003E7EE7" w:rsidRPr="009630FB" w:rsidRDefault="003E7EE7" w:rsidP="00B501B1">
            <w:pPr>
              <w:pStyle w:val="ListParagraph"/>
              <w:ind w:left="0"/>
              <w:jc w:val="center"/>
              <w:rPr>
                <w:rFonts w:ascii="Arial" w:hAnsi="Arial"/>
                <w:sz w:val="22"/>
                <w:szCs w:val="22"/>
              </w:rPr>
            </w:pPr>
            <w:r w:rsidRPr="009630FB">
              <w:rPr>
                <w:rFonts w:ascii="Arial" w:hAnsi="Arial"/>
                <w:sz w:val="22"/>
                <w:szCs w:val="22"/>
              </w:rPr>
              <w:lastRenderedPageBreak/>
              <w:t>Evaluation Factors</w:t>
            </w:r>
          </w:p>
        </w:tc>
        <w:tc>
          <w:tcPr>
            <w:tcW w:w="7929" w:type="dxa"/>
          </w:tcPr>
          <w:p w14:paraId="02C98779" w14:textId="77777777" w:rsidR="003E7EE7" w:rsidRPr="009630FB" w:rsidRDefault="009C09A8" w:rsidP="00B501B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9630FB">
              <w:rPr>
                <w:rFonts w:ascii="Arial" w:hAnsi="Arial"/>
                <w:sz w:val="22"/>
                <w:szCs w:val="22"/>
              </w:rPr>
              <w:t>Result</w:t>
            </w:r>
          </w:p>
        </w:tc>
      </w:tr>
      <w:tr w:rsidR="003E7EE7" w14:paraId="58BAD9CB" w14:textId="77777777" w:rsidTr="00B9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3D083AA7" w14:textId="77777777" w:rsidR="003E7EE7" w:rsidRDefault="003E7EE7" w:rsidP="003E7EE7">
            <w:pPr>
              <w:pStyle w:val="ListParagraph"/>
              <w:ind w:left="0"/>
              <w:jc w:val="both"/>
              <w:rPr>
                <w:rFonts w:ascii="Arial" w:hAnsi="Arial"/>
                <w:sz w:val="22"/>
                <w:szCs w:val="22"/>
              </w:rPr>
            </w:pPr>
            <w:r>
              <w:rPr>
                <w:rFonts w:ascii="Arial" w:hAnsi="Arial"/>
                <w:sz w:val="22"/>
                <w:szCs w:val="22"/>
              </w:rPr>
              <w:t>Relevance</w:t>
            </w:r>
          </w:p>
        </w:tc>
        <w:tc>
          <w:tcPr>
            <w:tcW w:w="7929" w:type="dxa"/>
          </w:tcPr>
          <w:p w14:paraId="27CD3977" w14:textId="5BC1C568" w:rsidR="006C0C7F" w:rsidRDefault="00596AA9"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 xml:space="preserve">The project is extremely relevant to </w:t>
            </w:r>
            <w:proofErr w:type="spellStart"/>
            <w:r>
              <w:rPr>
                <w:rFonts w:ascii="Arial" w:hAnsi="Arial"/>
                <w:sz w:val="22"/>
                <w:szCs w:val="22"/>
              </w:rPr>
              <w:t>GoG</w:t>
            </w:r>
            <w:proofErr w:type="spellEnd"/>
            <w:r>
              <w:rPr>
                <w:rFonts w:ascii="Arial" w:hAnsi="Arial"/>
                <w:sz w:val="22"/>
                <w:szCs w:val="22"/>
              </w:rPr>
              <w:t xml:space="preserve"> priorities and needs. The </w:t>
            </w:r>
            <w:proofErr w:type="spellStart"/>
            <w:r>
              <w:rPr>
                <w:rFonts w:ascii="Arial" w:hAnsi="Arial"/>
                <w:sz w:val="22"/>
                <w:szCs w:val="22"/>
              </w:rPr>
              <w:t>GoG</w:t>
            </w:r>
            <w:proofErr w:type="spellEnd"/>
            <w:r>
              <w:rPr>
                <w:rFonts w:ascii="Arial" w:hAnsi="Arial"/>
                <w:sz w:val="22"/>
                <w:szCs w:val="22"/>
              </w:rPr>
              <w:t xml:space="preserve"> had prioritized PAR in the past but plac</w:t>
            </w:r>
            <w:r w:rsidR="00F23F02">
              <w:rPr>
                <w:rFonts w:ascii="Arial" w:hAnsi="Arial"/>
                <w:sz w:val="22"/>
                <w:szCs w:val="22"/>
              </w:rPr>
              <w:t>ed more of a priority in 2014-16</w:t>
            </w:r>
            <w:r>
              <w:rPr>
                <w:rFonts w:ascii="Arial" w:hAnsi="Arial"/>
                <w:sz w:val="22"/>
                <w:szCs w:val="22"/>
              </w:rPr>
              <w:t xml:space="preserve"> when the project was being defined and eventually implemented in 2016. An emphasis was on having reforms in all three outcome areas of the project with an initial emphasis on the policy planning</w:t>
            </w:r>
            <w:r w:rsidR="00F23F02">
              <w:rPr>
                <w:rFonts w:ascii="Arial" w:hAnsi="Arial"/>
                <w:sz w:val="22"/>
                <w:szCs w:val="22"/>
              </w:rPr>
              <w:t xml:space="preserve"> and coordination</w:t>
            </w:r>
            <w:r>
              <w:rPr>
                <w:rFonts w:ascii="Arial" w:hAnsi="Arial"/>
                <w:sz w:val="22"/>
                <w:szCs w:val="22"/>
              </w:rPr>
              <w:t xml:space="preserve">, civil service reform and human resource development, and public service delivery legal/regulatory framework that was worked on as a result of the PAR </w:t>
            </w:r>
            <w:r w:rsidR="006C0C7F">
              <w:rPr>
                <w:rFonts w:ascii="Arial" w:hAnsi="Arial"/>
                <w:sz w:val="22"/>
                <w:szCs w:val="22"/>
              </w:rPr>
              <w:t>Roadmap 2016-20</w:t>
            </w:r>
            <w:r w:rsidR="005D4C1E">
              <w:rPr>
                <w:rFonts w:ascii="Arial" w:hAnsi="Arial"/>
                <w:sz w:val="22"/>
                <w:szCs w:val="22"/>
              </w:rPr>
              <w:t xml:space="preserve"> that identified these areas</w:t>
            </w:r>
            <w:r w:rsidR="006C0C7F">
              <w:rPr>
                <w:rFonts w:ascii="Arial" w:hAnsi="Arial"/>
                <w:sz w:val="22"/>
                <w:szCs w:val="22"/>
              </w:rPr>
              <w:t>. The project was</w:t>
            </w:r>
            <w:r>
              <w:rPr>
                <w:rFonts w:ascii="Arial" w:hAnsi="Arial"/>
                <w:sz w:val="22"/>
                <w:szCs w:val="22"/>
              </w:rPr>
              <w:t xml:space="preserve"> directly responsive to the Roadmap and had government and stakeholder buy-in at the very beginning as evidenced by initial review and agreement on project document intervention areas</w:t>
            </w:r>
            <w:r w:rsidR="005D4C1E">
              <w:rPr>
                <w:rFonts w:ascii="Arial" w:hAnsi="Arial"/>
                <w:sz w:val="22"/>
                <w:szCs w:val="22"/>
              </w:rPr>
              <w:t>, with some initial adjustments made</w:t>
            </w:r>
            <w:r>
              <w:rPr>
                <w:rFonts w:ascii="Arial" w:hAnsi="Arial"/>
                <w:sz w:val="22"/>
                <w:szCs w:val="22"/>
              </w:rPr>
              <w:t>. While political will waivered at times given various election-induced changes and some personnel changes, the project adjusted accordingly, maintained close contact with key stakeholders and continued to advance. Even when there were delays in the approval of some documents (policy planning, monitori</w:t>
            </w:r>
            <w:r w:rsidR="005E4750">
              <w:rPr>
                <w:rFonts w:ascii="Arial" w:hAnsi="Arial"/>
                <w:sz w:val="22"/>
                <w:szCs w:val="22"/>
              </w:rPr>
              <w:t>ng and evaluation process handbook</w:t>
            </w:r>
            <w:r w:rsidR="005D4C1E">
              <w:rPr>
                <w:rFonts w:ascii="Arial" w:hAnsi="Arial"/>
                <w:sz w:val="22"/>
                <w:szCs w:val="22"/>
              </w:rPr>
              <w:t xml:space="preserve">; civil service reform by-laws, </w:t>
            </w:r>
            <w:r w:rsidR="004075CC">
              <w:rPr>
                <w:rFonts w:ascii="Arial" w:hAnsi="Arial"/>
                <w:sz w:val="22"/>
                <w:szCs w:val="22"/>
              </w:rPr>
              <w:t>Unified Public Service Design and Delivery S</w:t>
            </w:r>
            <w:r w:rsidR="00AC09C0">
              <w:rPr>
                <w:rFonts w:ascii="Arial" w:hAnsi="Arial"/>
                <w:sz w:val="22"/>
                <w:szCs w:val="22"/>
              </w:rPr>
              <w:t>tandard</w:t>
            </w:r>
            <w:r w:rsidR="004075CC">
              <w:rPr>
                <w:rFonts w:ascii="Arial" w:hAnsi="Arial"/>
                <w:sz w:val="22"/>
                <w:szCs w:val="22"/>
              </w:rPr>
              <w:t xml:space="preserve"> (UPSDD)</w:t>
            </w:r>
            <w:r w:rsidR="00AC09C0">
              <w:rPr>
                <w:rFonts w:ascii="Arial" w:hAnsi="Arial"/>
                <w:sz w:val="22"/>
                <w:szCs w:val="22"/>
              </w:rPr>
              <w:t>, as examples</w:t>
            </w:r>
            <w:r>
              <w:rPr>
                <w:rFonts w:ascii="Arial" w:hAnsi="Arial"/>
                <w:sz w:val="22"/>
                <w:szCs w:val="22"/>
              </w:rPr>
              <w:t>), the project continued to work with stakeholders</w:t>
            </w:r>
            <w:r w:rsidR="005028E9">
              <w:rPr>
                <w:rFonts w:ascii="Arial" w:hAnsi="Arial"/>
                <w:sz w:val="22"/>
                <w:szCs w:val="22"/>
              </w:rPr>
              <w:t xml:space="preserve"> to advance project activities.</w:t>
            </w:r>
          </w:p>
          <w:p w14:paraId="7E76C4A6" w14:textId="77777777" w:rsidR="005028E9" w:rsidRDefault="005028E9"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4830D106" w14:textId="18BD9794" w:rsidR="00596AA9" w:rsidRDefault="006C0C7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 xml:space="preserve">Within each outcome area, stakeholder needs were continually assessed and project interventions designed accordingly with input. As necessary, civil society input was sought and through the research and “emerging needs” mechanism, was broadened so as to bring such participation and feedback into the policy and program development, civil service </w:t>
            </w:r>
            <w:r w:rsidR="005E4750">
              <w:rPr>
                <w:rFonts w:ascii="Arial" w:hAnsi="Arial"/>
                <w:sz w:val="22"/>
                <w:szCs w:val="22"/>
              </w:rPr>
              <w:t xml:space="preserve">reform </w:t>
            </w:r>
            <w:r>
              <w:rPr>
                <w:rFonts w:ascii="Arial" w:hAnsi="Arial"/>
                <w:sz w:val="22"/>
                <w:szCs w:val="22"/>
              </w:rPr>
              <w:t>implementation, and service delivery processes.</w:t>
            </w:r>
          </w:p>
          <w:p w14:paraId="4D5B8DDE" w14:textId="77777777" w:rsidR="005028E9" w:rsidRDefault="005028E9"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632BD813" w14:textId="6E625B0D" w:rsidR="006C0C7F" w:rsidRDefault="006C0C7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The key stakeholders (</w:t>
            </w:r>
            <w:proofErr w:type="spellStart"/>
            <w:r>
              <w:rPr>
                <w:rFonts w:ascii="Arial" w:hAnsi="Arial"/>
                <w:sz w:val="22"/>
                <w:szCs w:val="22"/>
              </w:rPr>
              <w:t>AoG</w:t>
            </w:r>
            <w:proofErr w:type="spellEnd"/>
            <w:r>
              <w:rPr>
                <w:rFonts w:ascii="Arial" w:hAnsi="Arial"/>
                <w:sz w:val="22"/>
                <w:szCs w:val="22"/>
              </w:rPr>
              <w:t xml:space="preserve">, CSB, PSDA, DGA) as well as various ministries used the project as needed and found a responsive partner in stakeholder initiated activities as well as the implementation of project activities. </w:t>
            </w:r>
          </w:p>
          <w:p w14:paraId="4C5E6E31" w14:textId="77777777" w:rsidR="005028E9" w:rsidRDefault="005028E9"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0A148228" w14:textId="3D8FC981" w:rsidR="006C0C7F" w:rsidRDefault="006C0C7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The project directly responded to the needs at the appropriate time. This is evidenced by contributions to establishing the legal/regulatory framework for the various outcome areas as well as their implementation</w:t>
            </w:r>
            <w:r w:rsidR="005E4750">
              <w:rPr>
                <w:rFonts w:ascii="Arial" w:hAnsi="Arial"/>
                <w:sz w:val="22"/>
                <w:szCs w:val="22"/>
              </w:rPr>
              <w:t>.</w:t>
            </w:r>
            <w:r w:rsidR="00AC09C0">
              <w:rPr>
                <w:rStyle w:val="FootnoteReference"/>
                <w:rFonts w:ascii="Arial" w:hAnsi="Arial"/>
                <w:sz w:val="22"/>
                <w:szCs w:val="22"/>
              </w:rPr>
              <w:footnoteReference w:id="23"/>
            </w:r>
            <w:r w:rsidR="00AC09C0">
              <w:rPr>
                <w:rFonts w:ascii="Arial" w:hAnsi="Arial"/>
                <w:sz w:val="22"/>
                <w:szCs w:val="22"/>
              </w:rPr>
              <w:t xml:space="preserve"> An organized effort was implemented to develop human resources </w:t>
            </w:r>
            <w:r>
              <w:rPr>
                <w:rFonts w:ascii="Arial" w:hAnsi="Arial"/>
                <w:sz w:val="22"/>
                <w:szCs w:val="22"/>
              </w:rPr>
              <w:t>for implementation</w:t>
            </w:r>
            <w:r w:rsidR="004B559B">
              <w:rPr>
                <w:rFonts w:ascii="Arial" w:hAnsi="Arial"/>
                <w:sz w:val="22"/>
                <w:szCs w:val="22"/>
              </w:rPr>
              <w:t xml:space="preserve"> and structures to provide for human resource training and development (course accreditation process, topic-specific training on vario</w:t>
            </w:r>
            <w:r w:rsidR="00BE4222">
              <w:rPr>
                <w:rFonts w:ascii="Arial" w:hAnsi="Arial"/>
                <w:sz w:val="22"/>
                <w:szCs w:val="22"/>
              </w:rPr>
              <w:t>us project-related PAR subjects,</w:t>
            </w:r>
            <w:r w:rsidR="004B559B">
              <w:rPr>
                <w:rFonts w:ascii="Arial" w:hAnsi="Arial"/>
                <w:sz w:val="22"/>
                <w:szCs w:val="22"/>
              </w:rPr>
              <w:t xml:space="preserve"> research)</w:t>
            </w:r>
            <w:r>
              <w:rPr>
                <w:rFonts w:ascii="Arial" w:hAnsi="Arial"/>
                <w:sz w:val="22"/>
                <w:szCs w:val="22"/>
              </w:rPr>
              <w:t>.</w:t>
            </w:r>
            <w:r w:rsidR="00AC09C0">
              <w:rPr>
                <w:rStyle w:val="FootnoteReference"/>
                <w:rFonts w:ascii="Arial" w:hAnsi="Arial"/>
                <w:sz w:val="22"/>
                <w:szCs w:val="22"/>
              </w:rPr>
              <w:footnoteReference w:id="24"/>
            </w:r>
            <w:r>
              <w:rPr>
                <w:rFonts w:ascii="Arial" w:hAnsi="Arial"/>
                <w:sz w:val="22"/>
                <w:szCs w:val="22"/>
              </w:rPr>
              <w:t xml:space="preserve"> Also, the project contributed to the public awareness of the PAR activities by conducting 2 national surveys to measure public and civil servant perceptions of the various elements of PAR (2016 and 2020).</w:t>
            </w:r>
            <w:r w:rsidR="00AC09C0">
              <w:rPr>
                <w:rFonts w:ascii="Arial" w:hAnsi="Arial"/>
                <w:sz w:val="22"/>
                <w:szCs w:val="22"/>
              </w:rPr>
              <w:t xml:space="preserve"> A </w:t>
            </w:r>
            <w:r w:rsidR="005E4750">
              <w:rPr>
                <w:rFonts w:ascii="Arial" w:hAnsi="Arial"/>
                <w:sz w:val="22"/>
                <w:szCs w:val="22"/>
              </w:rPr>
              <w:t xml:space="preserve">third </w:t>
            </w:r>
            <w:r w:rsidR="005E4750">
              <w:rPr>
                <w:rFonts w:ascii="Arial" w:hAnsi="Arial"/>
                <w:sz w:val="22"/>
                <w:szCs w:val="22"/>
              </w:rPr>
              <w:lastRenderedPageBreak/>
              <w:t>survey is scheduled for completion</w:t>
            </w:r>
            <w:r w:rsidR="00AC09C0">
              <w:rPr>
                <w:rFonts w:ascii="Arial" w:hAnsi="Arial"/>
                <w:sz w:val="22"/>
                <w:szCs w:val="22"/>
              </w:rPr>
              <w:t xml:space="preserve"> by </w:t>
            </w:r>
            <w:r w:rsidR="005E4750">
              <w:rPr>
                <w:rFonts w:ascii="Arial" w:hAnsi="Arial"/>
                <w:sz w:val="22"/>
                <w:szCs w:val="22"/>
              </w:rPr>
              <w:t>March 2021</w:t>
            </w:r>
            <w:r w:rsidR="00AC09C0">
              <w:rPr>
                <w:rFonts w:ascii="Arial" w:hAnsi="Arial"/>
                <w:sz w:val="22"/>
                <w:szCs w:val="22"/>
              </w:rPr>
              <w:t>.</w:t>
            </w:r>
            <w:r w:rsidR="00BE4222">
              <w:rPr>
                <w:rFonts w:ascii="Arial" w:hAnsi="Arial"/>
                <w:sz w:val="22"/>
                <w:szCs w:val="22"/>
              </w:rPr>
              <w:t xml:space="preserve"> Other public awareness raising efforts are provided in Annex J and K.</w:t>
            </w:r>
          </w:p>
          <w:p w14:paraId="7FBEE096" w14:textId="0CC203B2" w:rsidR="006C0C7F" w:rsidRDefault="006C0C7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A215AD" w14:paraId="6C173888" w14:textId="77777777" w:rsidTr="00B97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134231F7" w14:textId="2D63164F" w:rsidR="00A215AD" w:rsidRDefault="00A215AD" w:rsidP="006C0C7F">
            <w:pPr>
              <w:pStyle w:val="ListParagraph"/>
              <w:ind w:left="0"/>
              <w:rPr>
                <w:rFonts w:ascii="Arial" w:hAnsi="Arial"/>
                <w:sz w:val="22"/>
                <w:szCs w:val="22"/>
              </w:rPr>
            </w:pPr>
            <w:r>
              <w:rPr>
                <w:rFonts w:ascii="Arial" w:hAnsi="Arial"/>
                <w:sz w:val="22"/>
                <w:szCs w:val="22"/>
              </w:rPr>
              <w:lastRenderedPageBreak/>
              <w:t>Effectiveness</w:t>
            </w:r>
            <w:r w:rsidR="006C0C7F">
              <w:rPr>
                <w:rFonts w:ascii="Arial" w:hAnsi="Arial"/>
                <w:sz w:val="22"/>
                <w:szCs w:val="22"/>
              </w:rPr>
              <w:t xml:space="preserve"> and Results</w:t>
            </w:r>
          </w:p>
        </w:tc>
        <w:tc>
          <w:tcPr>
            <w:tcW w:w="7929" w:type="dxa"/>
          </w:tcPr>
          <w:p w14:paraId="14558C90" w14:textId="3A4957CE" w:rsidR="00A215AD" w:rsidRDefault="004B559B"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The project outcomes and most outputs were achieved.</w:t>
            </w:r>
            <w:r w:rsidR="00B4743B">
              <w:rPr>
                <w:rFonts w:ascii="Arial" w:hAnsi="Arial"/>
                <w:sz w:val="22"/>
                <w:szCs w:val="22"/>
              </w:rPr>
              <w:t xml:space="preserve"> Some outputs require attention for full completion.</w:t>
            </w:r>
            <w:r>
              <w:rPr>
                <w:rFonts w:ascii="Arial" w:hAnsi="Arial"/>
                <w:sz w:val="22"/>
                <w:szCs w:val="22"/>
              </w:rPr>
              <w:t xml:space="preserve"> However, the measurement of achievement is ongoing and will continue to be ongoing since the subject areas addressed will take time to embed and progress as cycles of activity occur over the medium</w:t>
            </w:r>
            <w:r w:rsidR="005028E9">
              <w:rPr>
                <w:rFonts w:ascii="Arial" w:hAnsi="Arial"/>
                <w:sz w:val="22"/>
                <w:szCs w:val="22"/>
              </w:rPr>
              <w:t xml:space="preserve"> term. For instance, the policy </w:t>
            </w:r>
            <w:r w:rsidR="005E4750">
              <w:rPr>
                <w:rFonts w:ascii="Arial" w:hAnsi="Arial"/>
                <w:sz w:val="22"/>
                <w:szCs w:val="22"/>
              </w:rPr>
              <w:t>planning handbook</w:t>
            </w:r>
            <w:r>
              <w:rPr>
                <w:rFonts w:ascii="Arial" w:hAnsi="Arial"/>
                <w:sz w:val="22"/>
                <w:szCs w:val="22"/>
              </w:rPr>
              <w:t xml:space="preserve"> is in place and is now being piloted with 3 nationa</w:t>
            </w:r>
            <w:r w:rsidR="005E4750">
              <w:rPr>
                <w:rFonts w:ascii="Arial" w:hAnsi="Arial"/>
                <w:sz w:val="22"/>
                <w:szCs w:val="22"/>
              </w:rPr>
              <w:t>l strategies applying the handbook’s</w:t>
            </w:r>
            <w:r>
              <w:rPr>
                <w:rFonts w:ascii="Arial" w:hAnsi="Arial"/>
                <w:sz w:val="22"/>
                <w:szCs w:val="22"/>
              </w:rPr>
              <w:t xml:space="preserve"> methodology</w:t>
            </w:r>
            <w:r w:rsidR="005E4750">
              <w:rPr>
                <w:rFonts w:ascii="Arial" w:hAnsi="Arial"/>
                <w:sz w:val="22"/>
                <w:szCs w:val="22"/>
              </w:rPr>
              <w:t xml:space="preserve"> during</w:t>
            </w:r>
            <w:r w:rsidR="00604A51">
              <w:rPr>
                <w:rFonts w:ascii="Arial" w:hAnsi="Arial"/>
                <w:sz w:val="22"/>
                <w:szCs w:val="22"/>
              </w:rPr>
              <w:t xml:space="preserve"> the design stage. 15 policy documents were scheduled for approval that had applied the new policy standards a</w:t>
            </w:r>
            <w:r w:rsidR="005E4750">
              <w:rPr>
                <w:rFonts w:ascii="Arial" w:hAnsi="Arial"/>
                <w:sz w:val="22"/>
                <w:szCs w:val="22"/>
              </w:rPr>
              <w:t>n</w:t>
            </w:r>
            <w:r w:rsidR="00604A51">
              <w:rPr>
                <w:rFonts w:ascii="Arial" w:hAnsi="Arial"/>
                <w:sz w:val="22"/>
                <w:szCs w:val="22"/>
              </w:rPr>
              <w:t>d to date 8 were approved. The e-monitoring and evaluation system that will be the policy planning backbone remains in the design phase and is sche</w:t>
            </w:r>
            <w:r w:rsidR="005E4750">
              <w:rPr>
                <w:rFonts w:ascii="Arial" w:hAnsi="Arial"/>
                <w:sz w:val="22"/>
                <w:szCs w:val="22"/>
              </w:rPr>
              <w:t xml:space="preserve">duled for implementation in the third quarter </w:t>
            </w:r>
            <w:r w:rsidR="00604A51">
              <w:rPr>
                <w:rFonts w:ascii="Arial" w:hAnsi="Arial"/>
                <w:sz w:val="22"/>
                <w:szCs w:val="22"/>
              </w:rPr>
              <w:t xml:space="preserve">2021. The COVID-19 impact had slowed both activities. </w:t>
            </w:r>
            <w:r>
              <w:rPr>
                <w:rFonts w:ascii="Arial" w:hAnsi="Arial"/>
                <w:sz w:val="22"/>
                <w:szCs w:val="22"/>
              </w:rPr>
              <w:t xml:space="preserve">Similarly, with certain elements of civil service reform, such as applying performance appraisal, progress has been made and methods should improve as long as the requirement continues and there is a stronger link with human resource development that was also strengthened through a more organized </w:t>
            </w:r>
            <w:r w:rsidR="00655B76">
              <w:rPr>
                <w:rFonts w:ascii="Arial" w:hAnsi="Arial"/>
                <w:sz w:val="22"/>
                <w:szCs w:val="22"/>
              </w:rPr>
              <w:t xml:space="preserve">and targeted </w:t>
            </w:r>
            <w:r>
              <w:rPr>
                <w:rFonts w:ascii="Arial" w:hAnsi="Arial"/>
                <w:sz w:val="22"/>
                <w:szCs w:val="22"/>
              </w:rPr>
              <w:t xml:space="preserve">education and training approach. For service delivery, national standards have been </w:t>
            </w:r>
            <w:r w:rsidR="00604A51">
              <w:rPr>
                <w:rFonts w:ascii="Arial" w:hAnsi="Arial"/>
                <w:sz w:val="22"/>
                <w:szCs w:val="22"/>
              </w:rPr>
              <w:t>developed and are being applied, though the standards were not approved as of this time.</w:t>
            </w:r>
            <w:r>
              <w:rPr>
                <w:rFonts w:ascii="Arial" w:hAnsi="Arial"/>
                <w:sz w:val="22"/>
                <w:szCs w:val="22"/>
              </w:rPr>
              <w:t xml:space="preserve"> The challenge is the depth and breadth of applying these processes, systems, standards, and approaches government-wide so there is a whole-of-government approach and results. This will require further interventions and further cycles of activities as what has been developed ov</w:t>
            </w:r>
            <w:r w:rsidR="005028E9">
              <w:rPr>
                <w:rFonts w:ascii="Arial" w:hAnsi="Arial"/>
                <w:sz w:val="22"/>
                <w:szCs w:val="22"/>
              </w:rPr>
              <w:t>er the last 4 years is applied.</w:t>
            </w:r>
          </w:p>
          <w:p w14:paraId="2D0BEF8E" w14:textId="77777777" w:rsidR="005028E9" w:rsidRDefault="005028E9"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08FB783B" w14:textId="29645C97" w:rsidR="004B559B" w:rsidRDefault="004B559B"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 xml:space="preserve">The PAR </w:t>
            </w:r>
            <w:r w:rsidR="0089067D">
              <w:rPr>
                <w:rFonts w:ascii="Arial" w:hAnsi="Arial"/>
                <w:sz w:val="22"/>
                <w:szCs w:val="22"/>
              </w:rPr>
              <w:t>project partner</w:t>
            </w:r>
            <w:r>
              <w:rPr>
                <w:rFonts w:ascii="Arial" w:hAnsi="Arial"/>
                <w:sz w:val="22"/>
                <w:szCs w:val="22"/>
              </w:rPr>
              <w:t>ship strategy was tested during the COVID-19</w:t>
            </w:r>
            <w:r w:rsidR="0089067D">
              <w:rPr>
                <w:rFonts w:ascii="Arial" w:hAnsi="Arial"/>
                <w:sz w:val="22"/>
                <w:szCs w:val="22"/>
              </w:rPr>
              <w:t xml:space="preserve"> pandemic. While certain elements of the project slowed, the project adjusted to respond accordingly in cooperation with stakeholders. </w:t>
            </w:r>
            <w:r w:rsidR="00655B76">
              <w:rPr>
                <w:rFonts w:ascii="Arial" w:hAnsi="Arial"/>
                <w:sz w:val="22"/>
                <w:szCs w:val="22"/>
              </w:rPr>
              <w:t>The project has emphasized a participatory and cooperative work relationship throughout its timespan. During COVID, f</w:t>
            </w:r>
            <w:r w:rsidR="0089067D">
              <w:rPr>
                <w:rFonts w:ascii="Arial" w:hAnsi="Arial"/>
                <w:sz w:val="22"/>
                <w:szCs w:val="22"/>
              </w:rPr>
              <w:t xml:space="preserve">or example, the policy planning reforms continued and </w:t>
            </w:r>
            <w:r w:rsidR="00BE570A">
              <w:rPr>
                <w:rFonts w:ascii="Arial" w:hAnsi="Arial"/>
                <w:sz w:val="22"/>
                <w:szCs w:val="22"/>
              </w:rPr>
              <w:t>the policy handbook</w:t>
            </w:r>
            <w:r w:rsidR="00655B76">
              <w:rPr>
                <w:rFonts w:ascii="Arial" w:hAnsi="Arial"/>
                <w:sz w:val="22"/>
                <w:szCs w:val="22"/>
              </w:rPr>
              <w:t xml:space="preserve"> was</w:t>
            </w:r>
            <w:r w:rsidR="00604A51">
              <w:rPr>
                <w:rFonts w:ascii="Arial" w:hAnsi="Arial"/>
                <w:sz w:val="22"/>
                <w:szCs w:val="22"/>
              </w:rPr>
              <w:t xml:space="preserve"> approved and implemented as well as work on the accompanying e-system.</w:t>
            </w:r>
            <w:r w:rsidR="0089067D">
              <w:rPr>
                <w:rFonts w:ascii="Arial" w:hAnsi="Arial"/>
                <w:sz w:val="22"/>
                <w:szCs w:val="22"/>
              </w:rPr>
              <w:t xml:space="preserve"> </w:t>
            </w:r>
            <w:r w:rsidR="00604A51">
              <w:rPr>
                <w:rFonts w:ascii="Arial" w:hAnsi="Arial"/>
                <w:sz w:val="22"/>
                <w:szCs w:val="22"/>
              </w:rPr>
              <w:t>Public service delivery demand and</w:t>
            </w:r>
            <w:r w:rsidR="0089067D">
              <w:rPr>
                <w:rFonts w:ascii="Arial" w:hAnsi="Arial"/>
                <w:sz w:val="22"/>
                <w:szCs w:val="22"/>
              </w:rPr>
              <w:t xml:space="preserve"> interest </w:t>
            </w:r>
            <w:r w:rsidR="00604A51">
              <w:rPr>
                <w:rFonts w:ascii="Arial" w:hAnsi="Arial"/>
                <w:sz w:val="22"/>
                <w:szCs w:val="22"/>
              </w:rPr>
              <w:t>increased, raising its</w:t>
            </w:r>
            <w:r w:rsidR="0089067D">
              <w:rPr>
                <w:rFonts w:ascii="Arial" w:hAnsi="Arial"/>
                <w:sz w:val="22"/>
                <w:szCs w:val="22"/>
              </w:rPr>
              <w:t xml:space="preserve"> prioritization</w:t>
            </w:r>
            <w:r w:rsidR="00604A51">
              <w:rPr>
                <w:rFonts w:ascii="Arial" w:hAnsi="Arial"/>
                <w:sz w:val="22"/>
                <w:szCs w:val="22"/>
              </w:rPr>
              <w:t xml:space="preserve"> within the </w:t>
            </w:r>
            <w:proofErr w:type="spellStart"/>
            <w:r w:rsidR="00604A51">
              <w:rPr>
                <w:rFonts w:ascii="Arial" w:hAnsi="Arial"/>
                <w:sz w:val="22"/>
                <w:szCs w:val="22"/>
              </w:rPr>
              <w:t>GoG</w:t>
            </w:r>
            <w:proofErr w:type="spellEnd"/>
            <w:r w:rsidR="00604A51">
              <w:rPr>
                <w:rFonts w:ascii="Arial" w:hAnsi="Arial"/>
                <w:sz w:val="22"/>
                <w:szCs w:val="22"/>
              </w:rPr>
              <w:t xml:space="preserve"> and with the project. M</w:t>
            </w:r>
            <w:r w:rsidR="0089067D">
              <w:rPr>
                <w:rFonts w:ascii="Arial" w:hAnsi="Arial"/>
                <w:sz w:val="22"/>
                <w:szCs w:val="22"/>
              </w:rPr>
              <w:t>ore government services were placed on-line through my.gov.ge, many with project support.</w:t>
            </w:r>
            <w:r w:rsidR="00604A51">
              <w:rPr>
                <w:rStyle w:val="FootnoteReference"/>
                <w:rFonts w:ascii="Arial" w:hAnsi="Arial"/>
                <w:sz w:val="22"/>
                <w:szCs w:val="22"/>
              </w:rPr>
              <w:footnoteReference w:id="25"/>
            </w:r>
          </w:p>
          <w:p w14:paraId="059F9242" w14:textId="77777777" w:rsidR="005028E9" w:rsidRDefault="005028E9"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66A3AE0A" w14:textId="72B77C2F" w:rsidR="0089067D" w:rsidRDefault="0089067D"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While the project has acco</w:t>
            </w:r>
            <w:r w:rsidR="00655B76">
              <w:rPr>
                <w:rFonts w:ascii="Arial" w:hAnsi="Arial"/>
                <w:sz w:val="22"/>
                <w:szCs w:val="22"/>
              </w:rPr>
              <w:t>m</w:t>
            </w:r>
            <w:r>
              <w:rPr>
                <w:rFonts w:ascii="Arial" w:hAnsi="Arial"/>
                <w:sz w:val="22"/>
                <w:szCs w:val="22"/>
              </w:rPr>
              <w:t xml:space="preserve">plished most of its outputs, the main contributors to its </w:t>
            </w:r>
            <w:r w:rsidR="00655B76">
              <w:rPr>
                <w:rFonts w:ascii="Arial" w:hAnsi="Arial"/>
                <w:sz w:val="22"/>
                <w:szCs w:val="22"/>
              </w:rPr>
              <w:t xml:space="preserve">positive </w:t>
            </w:r>
            <w:r>
              <w:rPr>
                <w:rFonts w:ascii="Arial" w:hAnsi="Arial"/>
                <w:sz w:val="22"/>
                <w:szCs w:val="22"/>
              </w:rPr>
              <w:t>performance are its flexibility and ability to work closely with stakeholders</w:t>
            </w:r>
            <w:r w:rsidR="007A63F3">
              <w:rPr>
                <w:rFonts w:ascii="Arial" w:hAnsi="Arial"/>
                <w:sz w:val="22"/>
                <w:szCs w:val="22"/>
              </w:rPr>
              <w:t xml:space="preserve"> in partn</w:t>
            </w:r>
            <w:r w:rsidR="00655B76">
              <w:rPr>
                <w:rFonts w:ascii="Arial" w:hAnsi="Arial"/>
                <w:sz w:val="22"/>
                <w:szCs w:val="22"/>
              </w:rPr>
              <w:t>ership</w:t>
            </w:r>
            <w:r w:rsidR="00200892">
              <w:rPr>
                <w:rFonts w:ascii="Arial" w:hAnsi="Arial"/>
                <w:sz w:val="22"/>
                <w:szCs w:val="22"/>
              </w:rPr>
              <w:t>; t</w:t>
            </w:r>
            <w:r w:rsidR="00B97F10">
              <w:rPr>
                <w:rFonts w:ascii="Arial" w:hAnsi="Arial"/>
                <w:sz w:val="22"/>
                <w:szCs w:val="22"/>
              </w:rPr>
              <w:t>he relationships that were built</w:t>
            </w:r>
            <w:r>
              <w:rPr>
                <w:rFonts w:ascii="Arial" w:hAnsi="Arial"/>
                <w:sz w:val="22"/>
                <w:szCs w:val="22"/>
              </w:rPr>
              <w:t xml:space="preserve"> with stakeholders, </w:t>
            </w:r>
            <w:r>
              <w:rPr>
                <w:rFonts w:ascii="Arial" w:hAnsi="Arial"/>
                <w:sz w:val="22"/>
                <w:szCs w:val="22"/>
              </w:rPr>
              <w:lastRenderedPageBreak/>
              <w:t>civil society,</w:t>
            </w:r>
            <w:r w:rsidR="00200892">
              <w:rPr>
                <w:rFonts w:ascii="Arial" w:hAnsi="Arial"/>
                <w:sz w:val="22"/>
                <w:szCs w:val="22"/>
              </w:rPr>
              <w:t xml:space="preserve"> and other development partners;</w:t>
            </w:r>
            <w:r>
              <w:rPr>
                <w:rFonts w:ascii="Arial" w:hAnsi="Arial"/>
                <w:sz w:val="22"/>
                <w:szCs w:val="22"/>
              </w:rPr>
              <w:t xml:space="preserve"> and the ability to measure results occasionally with reporting and monitoring and evaluation instruments. Through the project re</w:t>
            </w:r>
            <w:r w:rsidR="00655B76">
              <w:rPr>
                <w:rFonts w:ascii="Arial" w:hAnsi="Arial"/>
                <w:sz w:val="22"/>
                <w:szCs w:val="22"/>
              </w:rPr>
              <w:t>p</w:t>
            </w:r>
            <w:r>
              <w:rPr>
                <w:rFonts w:ascii="Arial" w:hAnsi="Arial"/>
                <w:sz w:val="22"/>
                <w:szCs w:val="22"/>
              </w:rPr>
              <w:t>orting, major constraints and risks were clearly identified with realistic approaches to resolve or respond to such risks. With those risks out of the control of the project, the ‘flexibility’ factor ki</w:t>
            </w:r>
            <w:r w:rsidR="00655B76">
              <w:rPr>
                <w:rFonts w:ascii="Arial" w:hAnsi="Arial"/>
                <w:sz w:val="22"/>
                <w:szCs w:val="22"/>
              </w:rPr>
              <w:t>c</w:t>
            </w:r>
            <w:r>
              <w:rPr>
                <w:rFonts w:ascii="Arial" w:hAnsi="Arial"/>
                <w:sz w:val="22"/>
                <w:szCs w:val="22"/>
              </w:rPr>
              <w:t xml:space="preserve">ked in so progress continued to be made. </w:t>
            </w:r>
          </w:p>
          <w:p w14:paraId="226748C3" w14:textId="77777777" w:rsidR="005028E9" w:rsidRDefault="005028E9"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0E395BD2" w14:textId="4E51F673" w:rsidR="0089067D" w:rsidRDefault="0089067D"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While the basis for PAR are established, adjustments will likely need to be made as time goes on. Future interventions will have to consider how to continue the reform process and implementation in an efficient manner. For instance, about 300 people from ministry and agency po</w:t>
            </w:r>
            <w:r w:rsidR="00545244">
              <w:rPr>
                <w:rFonts w:ascii="Arial" w:hAnsi="Arial"/>
                <w:sz w:val="22"/>
                <w:szCs w:val="22"/>
              </w:rPr>
              <w:t>licy planning units were trained</w:t>
            </w:r>
            <w:r>
              <w:rPr>
                <w:rFonts w:ascii="Arial" w:hAnsi="Arial"/>
                <w:sz w:val="22"/>
                <w:szCs w:val="22"/>
              </w:rPr>
              <w:t xml:space="preserve"> o</w:t>
            </w:r>
            <w:r w:rsidR="00545244">
              <w:rPr>
                <w:rFonts w:ascii="Arial" w:hAnsi="Arial"/>
                <w:sz w:val="22"/>
                <w:szCs w:val="22"/>
              </w:rPr>
              <w:t>n</w:t>
            </w:r>
            <w:r>
              <w:rPr>
                <w:rFonts w:ascii="Arial" w:hAnsi="Arial"/>
                <w:sz w:val="22"/>
                <w:szCs w:val="22"/>
              </w:rPr>
              <w:t xml:space="preserve"> </w:t>
            </w:r>
            <w:r w:rsidR="005028E9">
              <w:rPr>
                <w:rFonts w:ascii="Arial" w:hAnsi="Arial"/>
                <w:sz w:val="22"/>
                <w:szCs w:val="22"/>
              </w:rPr>
              <w:t>the policy planning handbook</w:t>
            </w:r>
            <w:r w:rsidR="00545244">
              <w:rPr>
                <w:rFonts w:ascii="Arial" w:hAnsi="Arial"/>
                <w:sz w:val="22"/>
                <w:szCs w:val="22"/>
              </w:rPr>
              <w:t>. Suc</w:t>
            </w:r>
            <w:r w:rsidR="00BE570A">
              <w:rPr>
                <w:rFonts w:ascii="Arial" w:hAnsi="Arial"/>
                <w:sz w:val="22"/>
                <w:szCs w:val="22"/>
              </w:rPr>
              <w:t>h training will need</w:t>
            </w:r>
            <w:r>
              <w:rPr>
                <w:rFonts w:ascii="Arial" w:hAnsi="Arial"/>
                <w:sz w:val="22"/>
                <w:szCs w:val="22"/>
              </w:rPr>
              <w:t xml:space="preserve"> to </w:t>
            </w:r>
            <w:r w:rsidR="00BE570A">
              <w:rPr>
                <w:rFonts w:ascii="Arial" w:hAnsi="Arial"/>
                <w:sz w:val="22"/>
                <w:szCs w:val="22"/>
              </w:rPr>
              <w:t xml:space="preserve">be </w:t>
            </w:r>
            <w:r>
              <w:rPr>
                <w:rFonts w:ascii="Arial" w:hAnsi="Arial"/>
                <w:sz w:val="22"/>
                <w:szCs w:val="22"/>
              </w:rPr>
              <w:t>continue</w:t>
            </w:r>
            <w:r w:rsidR="00BE570A">
              <w:rPr>
                <w:rFonts w:ascii="Arial" w:hAnsi="Arial"/>
                <w:sz w:val="22"/>
                <w:szCs w:val="22"/>
              </w:rPr>
              <w:t>d</w:t>
            </w:r>
            <w:r>
              <w:rPr>
                <w:rFonts w:ascii="Arial" w:hAnsi="Arial"/>
                <w:sz w:val="22"/>
                <w:szCs w:val="22"/>
              </w:rPr>
              <w:t xml:space="preserve"> as people change in the line ministries over time and </w:t>
            </w:r>
            <w:r w:rsidR="00BE4222">
              <w:rPr>
                <w:rFonts w:ascii="Arial" w:hAnsi="Arial"/>
                <w:sz w:val="22"/>
                <w:szCs w:val="22"/>
              </w:rPr>
              <w:t xml:space="preserve">as the planning handbook is applied </w:t>
            </w:r>
            <w:r w:rsidR="00655B76">
              <w:rPr>
                <w:rFonts w:ascii="Arial" w:hAnsi="Arial"/>
                <w:sz w:val="22"/>
                <w:szCs w:val="22"/>
              </w:rPr>
              <w:t xml:space="preserve">and there are more users. </w:t>
            </w:r>
            <w:r w:rsidR="00200892">
              <w:rPr>
                <w:rFonts w:ascii="Arial" w:hAnsi="Arial"/>
                <w:sz w:val="22"/>
                <w:szCs w:val="22"/>
              </w:rPr>
              <w:t>The e-monitoring and evaluation system will help</w:t>
            </w:r>
            <w:r w:rsidR="00B97F10">
              <w:rPr>
                <w:rFonts w:ascii="Arial" w:hAnsi="Arial"/>
                <w:sz w:val="22"/>
                <w:szCs w:val="22"/>
              </w:rPr>
              <w:t xml:space="preserve"> as will</w:t>
            </w:r>
            <w:r w:rsidR="00BE570A">
              <w:rPr>
                <w:rFonts w:ascii="Arial" w:hAnsi="Arial"/>
                <w:sz w:val="22"/>
                <w:szCs w:val="22"/>
              </w:rPr>
              <w:t xml:space="preserve"> policy planning staff training and the current designing of an on-line training course</w:t>
            </w:r>
            <w:r w:rsidR="00200892">
              <w:rPr>
                <w:rFonts w:ascii="Arial" w:hAnsi="Arial"/>
                <w:sz w:val="22"/>
                <w:szCs w:val="22"/>
              </w:rPr>
              <w:t xml:space="preserve">. </w:t>
            </w:r>
            <w:r w:rsidR="00BE4222">
              <w:rPr>
                <w:rFonts w:ascii="Arial" w:hAnsi="Arial"/>
                <w:sz w:val="22"/>
                <w:szCs w:val="22"/>
              </w:rPr>
              <w:t>For civil service training, t</w:t>
            </w:r>
            <w:r w:rsidR="00200892">
              <w:rPr>
                <w:rFonts w:ascii="Arial" w:hAnsi="Arial"/>
                <w:sz w:val="22"/>
                <w:szCs w:val="22"/>
              </w:rPr>
              <w:t>he accredited training programs design</w:t>
            </w:r>
            <w:r w:rsidR="00815960">
              <w:rPr>
                <w:rFonts w:ascii="Arial" w:hAnsi="Arial"/>
                <w:sz w:val="22"/>
                <w:szCs w:val="22"/>
              </w:rPr>
              <w:t xml:space="preserve">ed with project support </w:t>
            </w:r>
            <w:r w:rsidR="00815960" w:rsidRPr="008F0A41">
              <w:rPr>
                <w:rFonts w:ascii="Arial" w:hAnsi="Arial"/>
                <w:sz w:val="22"/>
                <w:szCs w:val="22"/>
              </w:rPr>
              <w:t>(</w:t>
            </w:r>
            <w:r w:rsidR="005D0536" w:rsidRPr="008F0A41">
              <w:rPr>
                <w:rFonts w:ascii="Arial" w:hAnsi="Arial"/>
                <w:sz w:val="22"/>
                <w:szCs w:val="22"/>
              </w:rPr>
              <w:t xml:space="preserve">5 training centers with </w:t>
            </w:r>
            <w:r w:rsidR="00815960" w:rsidRPr="008F0A41">
              <w:rPr>
                <w:rFonts w:ascii="Arial" w:hAnsi="Arial"/>
                <w:sz w:val="22"/>
                <w:szCs w:val="22"/>
              </w:rPr>
              <w:t>11</w:t>
            </w:r>
            <w:r w:rsidR="00200892" w:rsidRPr="008F0A41">
              <w:rPr>
                <w:rFonts w:ascii="Arial" w:hAnsi="Arial"/>
                <w:sz w:val="22"/>
                <w:szCs w:val="22"/>
              </w:rPr>
              <w:t xml:space="preserve"> courses accredited)</w:t>
            </w:r>
            <w:r w:rsidR="00200892">
              <w:rPr>
                <w:rFonts w:ascii="Arial" w:hAnsi="Arial"/>
                <w:sz w:val="22"/>
                <w:szCs w:val="22"/>
              </w:rPr>
              <w:t xml:space="preserve"> will meet at least medium term training needs for certain subject areas. New areas will</w:t>
            </w:r>
            <w:r w:rsidR="004075CC">
              <w:rPr>
                <w:rFonts w:ascii="Arial" w:hAnsi="Arial"/>
                <w:sz w:val="22"/>
                <w:szCs w:val="22"/>
              </w:rPr>
              <w:t xml:space="preserve"> need to be identified as training needs assessment</w:t>
            </w:r>
            <w:r w:rsidR="00200892">
              <w:rPr>
                <w:rFonts w:ascii="Arial" w:hAnsi="Arial"/>
                <w:sz w:val="22"/>
                <w:szCs w:val="22"/>
              </w:rPr>
              <w:t>s progre</w:t>
            </w:r>
            <w:r w:rsidR="004075CC">
              <w:rPr>
                <w:rFonts w:ascii="Arial" w:hAnsi="Arial"/>
                <w:sz w:val="22"/>
                <w:szCs w:val="22"/>
              </w:rPr>
              <w:t>ss to facilitat</w:t>
            </w:r>
            <w:r w:rsidR="00200892">
              <w:rPr>
                <w:rFonts w:ascii="Arial" w:hAnsi="Arial"/>
                <w:sz w:val="22"/>
                <w:szCs w:val="22"/>
              </w:rPr>
              <w:t>e the application</w:t>
            </w:r>
            <w:r w:rsidR="004075CC">
              <w:rPr>
                <w:rFonts w:ascii="Arial" w:hAnsi="Arial"/>
                <w:sz w:val="22"/>
                <w:szCs w:val="22"/>
              </w:rPr>
              <w:t xml:space="preserve"> of the civil service by-l</w:t>
            </w:r>
            <w:r w:rsidR="00200892">
              <w:rPr>
                <w:rFonts w:ascii="Arial" w:hAnsi="Arial"/>
                <w:sz w:val="22"/>
                <w:szCs w:val="22"/>
              </w:rPr>
              <w:t xml:space="preserve">aws and </w:t>
            </w:r>
            <w:r w:rsidR="004075CC">
              <w:rPr>
                <w:rFonts w:ascii="Arial" w:hAnsi="Arial"/>
                <w:sz w:val="22"/>
                <w:szCs w:val="22"/>
              </w:rPr>
              <w:t>professional</w:t>
            </w:r>
            <w:r w:rsidR="00087C7D">
              <w:rPr>
                <w:rFonts w:ascii="Arial" w:hAnsi="Arial"/>
                <w:sz w:val="22"/>
                <w:szCs w:val="22"/>
              </w:rPr>
              <w:t xml:space="preserve"> development</w:t>
            </w:r>
            <w:r w:rsidR="004075CC">
              <w:rPr>
                <w:rFonts w:ascii="Arial" w:hAnsi="Arial"/>
                <w:sz w:val="22"/>
                <w:szCs w:val="22"/>
              </w:rPr>
              <w:t xml:space="preserve"> training needs become more evident.</w:t>
            </w:r>
          </w:p>
          <w:p w14:paraId="5DAECD64" w14:textId="77777777" w:rsidR="005028E9" w:rsidRDefault="005028E9"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377A15EF" w14:textId="574A123F" w:rsidR="00655B76" w:rsidRDefault="00655B76"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Stakeholder capabilities have been built to the extent possible within each of the out</w:t>
            </w:r>
            <w:r w:rsidR="00545244">
              <w:rPr>
                <w:rFonts w:ascii="Arial" w:hAnsi="Arial"/>
                <w:sz w:val="22"/>
                <w:szCs w:val="22"/>
              </w:rPr>
              <w:t>come</w:t>
            </w:r>
            <w:r>
              <w:rPr>
                <w:rFonts w:ascii="Arial" w:hAnsi="Arial"/>
                <w:sz w:val="22"/>
                <w:szCs w:val="22"/>
              </w:rPr>
              <w:t xml:space="preserve"> areas. The issue is that management and staff change, which has been experienced throughout the project’s timespan, in the key stakeholders</w:t>
            </w:r>
            <w:r w:rsidR="00BE570A">
              <w:rPr>
                <w:rFonts w:ascii="Arial" w:hAnsi="Arial"/>
                <w:sz w:val="22"/>
                <w:szCs w:val="22"/>
              </w:rPr>
              <w:t>,</w:t>
            </w:r>
            <w:r>
              <w:rPr>
                <w:rFonts w:ascii="Arial" w:hAnsi="Arial"/>
                <w:sz w:val="22"/>
                <w:szCs w:val="22"/>
              </w:rPr>
              <w:t xml:space="preserve"> and ministries and agencies. While the continued training and implementation will help, there will also need to be the political will and support to allow the reforms to become routine in government with the interest to apply change management for continuous improvement</w:t>
            </w:r>
            <w:r w:rsidR="00A92474">
              <w:rPr>
                <w:rFonts w:ascii="Arial" w:hAnsi="Arial"/>
                <w:sz w:val="22"/>
                <w:szCs w:val="22"/>
              </w:rPr>
              <w:t>.</w:t>
            </w:r>
          </w:p>
          <w:p w14:paraId="6D8395D0" w14:textId="2E380DE7" w:rsidR="00A92474" w:rsidRDefault="00A92474" w:rsidP="0063134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tc>
      </w:tr>
      <w:tr w:rsidR="00A215AD" w14:paraId="0FF38E72" w14:textId="77777777" w:rsidTr="00B9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51E0AFDE" w14:textId="3DF1F061" w:rsidR="00A215AD" w:rsidRDefault="00A215AD" w:rsidP="003E7EE7">
            <w:pPr>
              <w:pStyle w:val="ListParagraph"/>
              <w:ind w:left="0"/>
              <w:jc w:val="both"/>
              <w:rPr>
                <w:rFonts w:ascii="Arial" w:hAnsi="Arial"/>
                <w:sz w:val="22"/>
                <w:szCs w:val="22"/>
              </w:rPr>
            </w:pPr>
            <w:r>
              <w:rPr>
                <w:rFonts w:ascii="Arial" w:hAnsi="Arial"/>
                <w:sz w:val="22"/>
                <w:szCs w:val="22"/>
              </w:rPr>
              <w:lastRenderedPageBreak/>
              <w:t>Efficiency</w:t>
            </w:r>
          </w:p>
        </w:tc>
        <w:tc>
          <w:tcPr>
            <w:tcW w:w="7929" w:type="dxa"/>
          </w:tcPr>
          <w:p w14:paraId="681094C2" w14:textId="39AE6335" w:rsidR="00A215AD" w:rsidRDefault="00545244" w:rsidP="00F80D0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Project expenditure appears to have aligned with project activity in each of the output areas. There are some variations in the early years at project start-up with more emphasis or faster start on policy planning than pub</w:t>
            </w:r>
            <w:r w:rsidR="00B97F10">
              <w:rPr>
                <w:rFonts w:ascii="Arial" w:hAnsi="Arial"/>
                <w:sz w:val="22"/>
                <w:szCs w:val="22"/>
              </w:rPr>
              <w:t>lic service delivery. T</w:t>
            </w:r>
            <w:r>
              <w:rPr>
                <w:rFonts w:ascii="Arial" w:hAnsi="Arial"/>
                <w:sz w:val="22"/>
                <w:szCs w:val="22"/>
              </w:rPr>
              <w:t>he activity and expendi</w:t>
            </w:r>
            <w:r w:rsidR="00B97F10">
              <w:rPr>
                <w:rFonts w:ascii="Arial" w:hAnsi="Arial"/>
                <w:sz w:val="22"/>
                <w:szCs w:val="22"/>
              </w:rPr>
              <w:t xml:space="preserve">ture evens out over time so the </w:t>
            </w:r>
            <w:r>
              <w:rPr>
                <w:rFonts w:ascii="Arial" w:hAnsi="Arial"/>
                <w:sz w:val="22"/>
                <w:szCs w:val="22"/>
              </w:rPr>
              <w:t>project was operat</w:t>
            </w:r>
            <w:r w:rsidR="00506E72">
              <w:rPr>
                <w:rFonts w:ascii="Arial" w:hAnsi="Arial"/>
                <w:sz w:val="22"/>
                <w:szCs w:val="22"/>
              </w:rPr>
              <w:t>ing more efficiently in all out</w:t>
            </w:r>
            <w:r>
              <w:rPr>
                <w:rFonts w:ascii="Arial" w:hAnsi="Arial"/>
                <w:sz w:val="22"/>
                <w:szCs w:val="22"/>
              </w:rPr>
              <w:t>come areas. Tha</w:t>
            </w:r>
            <w:r w:rsidR="00506E72">
              <w:rPr>
                <w:rFonts w:ascii="Arial" w:hAnsi="Arial"/>
                <w:sz w:val="22"/>
                <w:szCs w:val="22"/>
              </w:rPr>
              <w:t>t said, the expenditure for pol</w:t>
            </w:r>
            <w:r>
              <w:rPr>
                <w:rFonts w:ascii="Arial" w:hAnsi="Arial"/>
                <w:sz w:val="22"/>
                <w:szCs w:val="22"/>
              </w:rPr>
              <w:t>ic</w:t>
            </w:r>
            <w:r w:rsidR="00506E72">
              <w:rPr>
                <w:rFonts w:ascii="Arial" w:hAnsi="Arial"/>
                <w:sz w:val="22"/>
                <w:szCs w:val="22"/>
              </w:rPr>
              <w:t>y</w:t>
            </w:r>
            <w:r>
              <w:rPr>
                <w:rFonts w:ascii="Arial" w:hAnsi="Arial"/>
                <w:sz w:val="22"/>
                <w:szCs w:val="22"/>
              </w:rPr>
              <w:t xml:space="preserve"> planning </w:t>
            </w:r>
            <w:r w:rsidR="005028E9">
              <w:rPr>
                <w:rFonts w:ascii="Arial" w:hAnsi="Arial"/>
                <w:sz w:val="22"/>
                <w:szCs w:val="22"/>
              </w:rPr>
              <w:t xml:space="preserve">and coordination </w:t>
            </w:r>
            <w:r>
              <w:rPr>
                <w:rFonts w:ascii="Arial" w:hAnsi="Arial"/>
                <w:sz w:val="22"/>
                <w:szCs w:val="22"/>
              </w:rPr>
              <w:t>outcome was about 13% over</w:t>
            </w:r>
            <w:r w:rsidR="00506E72">
              <w:rPr>
                <w:rFonts w:ascii="Arial" w:hAnsi="Arial"/>
                <w:sz w:val="22"/>
                <w:szCs w:val="22"/>
              </w:rPr>
              <w:t xml:space="preserve"> </w:t>
            </w:r>
            <w:r w:rsidR="00AA66DD">
              <w:rPr>
                <w:rFonts w:ascii="Arial" w:hAnsi="Arial"/>
                <w:sz w:val="22"/>
                <w:szCs w:val="22"/>
              </w:rPr>
              <w:t xml:space="preserve">planned expenditure </w:t>
            </w:r>
            <w:r>
              <w:rPr>
                <w:rFonts w:ascii="Arial" w:hAnsi="Arial"/>
                <w:sz w:val="22"/>
                <w:szCs w:val="22"/>
              </w:rPr>
              <w:t>and s</w:t>
            </w:r>
            <w:r w:rsidR="00AA66DD">
              <w:rPr>
                <w:rFonts w:ascii="Arial" w:hAnsi="Arial"/>
                <w:sz w:val="22"/>
                <w:szCs w:val="22"/>
              </w:rPr>
              <w:t>ervice delivery 21% under planned expenditure</w:t>
            </w:r>
            <w:r>
              <w:rPr>
                <w:rFonts w:ascii="Arial" w:hAnsi="Arial"/>
                <w:sz w:val="22"/>
                <w:szCs w:val="22"/>
              </w:rPr>
              <w:t xml:space="preserve"> as of </w:t>
            </w:r>
            <w:r w:rsidR="00AA66DD">
              <w:rPr>
                <w:rFonts w:ascii="Arial" w:hAnsi="Arial"/>
                <w:sz w:val="22"/>
                <w:szCs w:val="22"/>
              </w:rPr>
              <w:t>December 2020</w:t>
            </w:r>
            <w:r w:rsidR="00506E72">
              <w:rPr>
                <w:rFonts w:ascii="Arial" w:hAnsi="Arial"/>
                <w:sz w:val="22"/>
                <w:szCs w:val="22"/>
              </w:rPr>
              <w:t xml:space="preserve">. The policy planning </w:t>
            </w:r>
            <w:r w:rsidR="005028E9">
              <w:rPr>
                <w:rFonts w:ascii="Arial" w:hAnsi="Arial"/>
                <w:sz w:val="22"/>
                <w:szCs w:val="22"/>
              </w:rPr>
              <w:t>and coordination outcome</w:t>
            </w:r>
            <w:r w:rsidR="00506E72">
              <w:rPr>
                <w:rFonts w:ascii="Arial" w:hAnsi="Arial"/>
                <w:sz w:val="22"/>
                <w:szCs w:val="22"/>
              </w:rPr>
              <w:t xml:space="preserve"> was a smaller size component of the project with 14% of expenditure with service delivery at 22%. The civil service</w:t>
            </w:r>
            <w:r w:rsidR="004075CC">
              <w:rPr>
                <w:rFonts w:ascii="Arial" w:hAnsi="Arial"/>
                <w:sz w:val="22"/>
                <w:szCs w:val="22"/>
              </w:rPr>
              <w:t xml:space="preserve"> reform component was only 2% over</w:t>
            </w:r>
            <w:r w:rsidR="00506E72">
              <w:rPr>
                <w:rFonts w:ascii="Arial" w:hAnsi="Arial"/>
                <w:sz w:val="22"/>
                <w:szCs w:val="22"/>
              </w:rPr>
              <w:t xml:space="preserve"> planned expenditure.</w:t>
            </w:r>
            <w:r w:rsidR="004075CC">
              <w:rPr>
                <w:rFonts w:ascii="Arial" w:hAnsi="Arial"/>
                <w:sz w:val="22"/>
                <w:szCs w:val="22"/>
              </w:rPr>
              <w:t xml:space="preserve"> Allocations between </w:t>
            </w:r>
            <w:r w:rsidR="00761886">
              <w:rPr>
                <w:rFonts w:ascii="Arial" w:hAnsi="Arial"/>
                <w:sz w:val="22"/>
                <w:szCs w:val="22"/>
              </w:rPr>
              <w:t>policy</w:t>
            </w:r>
            <w:r w:rsidR="004075CC">
              <w:rPr>
                <w:rFonts w:ascii="Arial" w:hAnsi="Arial"/>
                <w:sz w:val="22"/>
                <w:szCs w:val="22"/>
              </w:rPr>
              <w:t xml:space="preserve"> planning</w:t>
            </w:r>
            <w:r w:rsidR="00761886">
              <w:rPr>
                <w:rFonts w:ascii="Arial" w:hAnsi="Arial"/>
                <w:sz w:val="22"/>
                <w:szCs w:val="22"/>
              </w:rPr>
              <w:t xml:space="preserve"> and service </w:t>
            </w:r>
            <w:r w:rsidR="004075CC">
              <w:rPr>
                <w:rFonts w:ascii="Arial" w:hAnsi="Arial"/>
                <w:sz w:val="22"/>
                <w:szCs w:val="22"/>
              </w:rPr>
              <w:t xml:space="preserve">delivery </w:t>
            </w:r>
            <w:r w:rsidR="00761886">
              <w:rPr>
                <w:rFonts w:ascii="Arial" w:hAnsi="Arial"/>
                <w:sz w:val="22"/>
                <w:szCs w:val="22"/>
              </w:rPr>
              <w:t>could have been adjusted over the years. However, given plans and expectations in the two outcome areas such reprogramming may have been inappropriate</w:t>
            </w:r>
            <w:r w:rsidR="00AA66DD">
              <w:rPr>
                <w:rFonts w:ascii="Arial" w:hAnsi="Arial"/>
                <w:sz w:val="22"/>
                <w:szCs w:val="22"/>
              </w:rPr>
              <w:t xml:space="preserve"> and there was no budget shortfall</w:t>
            </w:r>
            <w:r w:rsidR="00761886">
              <w:rPr>
                <w:rFonts w:ascii="Arial" w:hAnsi="Arial"/>
                <w:sz w:val="22"/>
                <w:szCs w:val="22"/>
              </w:rPr>
              <w:t xml:space="preserve">. Some activities did not occur according to time plan based on </w:t>
            </w:r>
            <w:r w:rsidR="004075CC">
              <w:rPr>
                <w:rFonts w:ascii="Arial" w:hAnsi="Arial"/>
                <w:sz w:val="22"/>
                <w:szCs w:val="22"/>
              </w:rPr>
              <w:t xml:space="preserve">required </w:t>
            </w:r>
            <w:r w:rsidR="00761886">
              <w:rPr>
                <w:rFonts w:ascii="Arial" w:hAnsi="Arial"/>
                <w:sz w:val="22"/>
                <w:szCs w:val="22"/>
              </w:rPr>
              <w:t>approval or stakeholder r</w:t>
            </w:r>
            <w:r w:rsidR="004075CC">
              <w:rPr>
                <w:rFonts w:ascii="Arial" w:hAnsi="Arial"/>
                <w:sz w:val="22"/>
                <w:szCs w:val="22"/>
              </w:rPr>
              <w:t>eadiness. For instance, the UPSDD</w:t>
            </w:r>
            <w:r w:rsidR="00B97F10">
              <w:rPr>
                <w:rFonts w:ascii="Arial" w:hAnsi="Arial"/>
                <w:sz w:val="22"/>
                <w:szCs w:val="22"/>
              </w:rPr>
              <w:t xml:space="preserve"> has</w:t>
            </w:r>
            <w:r w:rsidR="00761886">
              <w:rPr>
                <w:rFonts w:ascii="Arial" w:hAnsi="Arial"/>
                <w:sz w:val="22"/>
                <w:szCs w:val="22"/>
              </w:rPr>
              <w:t xml:space="preserve"> not yet been approved though the standards are being applied in </w:t>
            </w:r>
            <w:r w:rsidR="00761886">
              <w:rPr>
                <w:rFonts w:ascii="Arial" w:hAnsi="Arial"/>
                <w:sz w:val="22"/>
                <w:szCs w:val="22"/>
              </w:rPr>
              <w:lastRenderedPageBreak/>
              <w:t>at least two entities with project support.</w:t>
            </w:r>
            <w:r w:rsidR="0094304C">
              <w:rPr>
                <w:rFonts w:ascii="Arial" w:hAnsi="Arial"/>
                <w:sz w:val="22"/>
                <w:szCs w:val="22"/>
              </w:rPr>
              <w:t xml:space="preserve"> Strategic decisions were made to allocate funding where activity was needed or present and the proper stakeholder support was evident. When there was lack of support, mainly caused by lack of political will (such as delays in appr</w:t>
            </w:r>
            <w:r w:rsidR="00BE570A">
              <w:rPr>
                <w:rFonts w:ascii="Arial" w:hAnsi="Arial"/>
                <w:sz w:val="22"/>
                <w:szCs w:val="22"/>
              </w:rPr>
              <w:t>oving the policy planning handbook</w:t>
            </w:r>
            <w:r w:rsidR="0094304C">
              <w:rPr>
                <w:rFonts w:ascii="Arial" w:hAnsi="Arial"/>
                <w:sz w:val="22"/>
                <w:szCs w:val="22"/>
              </w:rPr>
              <w:t>) activities were adjusted accordingly. The civil service component seemed to be implemented methodically with budget and resources</w:t>
            </w:r>
            <w:r w:rsidR="004075CC">
              <w:rPr>
                <w:rFonts w:ascii="Arial" w:hAnsi="Arial"/>
                <w:sz w:val="22"/>
                <w:szCs w:val="22"/>
              </w:rPr>
              <w:t xml:space="preserve"> al</w:t>
            </w:r>
            <w:r w:rsidR="0032114C">
              <w:rPr>
                <w:rFonts w:ascii="Arial" w:hAnsi="Arial"/>
                <w:sz w:val="22"/>
                <w:szCs w:val="22"/>
              </w:rPr>
              <w:t>igned with the project activity</w:t>
            </w:r>
            <w:r w:rsidR="0094304C">
              <w:rPr>
                <w:rFonts w:ascii="Arial" w:hAnsi="Arial"/>
                <w:sz w:val="22"/>
                <w:szCs w:val="22"/>
              </w:rPr>
              <w:t xml:space="preserve"> and the support of the CSB. </w:t>
            </w:r>
          </w:p>
          <w:p w14:paraId="160A4C19" w14:textId="77777777" w:rsidR="005028E9" w:rsidRDefault="005028E9" w:rsidP="00F80D0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2E76D41D" w14:textId="66AF21C3" w:rsidR="005B55B7" w:rsidRDefault="00545244" w:rsidP="00F80D0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The project management structure was appropriate for the size of the project and its scope o</w:t>
            </w:r>
            <w:r w:rsidR="00506E72">
              <w:rPr>
                <w:rFonts w:ascii="Arial" w:hAnsi="Arial"/>
                <w:sz w:val="22"/>
                <w:szCs w:val="22"/>
              </w:rPr>
              <w:t xml:space="preserve">f work. </w:t>
            </w:r>
            <w:r w:rsidR="0032114C">
              <w:rPr>
                <w:rFonts w:ascii="Arial" w:hAnsi="Arial"/>
                <w:sz w:val="22"/>
                <w:szCs w:val="22"/>
              </w:rPr>
              <w:t xml:space="preserve">The project structure was adjusted at the inception phase when it was split from the GRF. The change seems to have been a benefit given the scope and breadth of the project. There was no staff turnover and human resources were allocated to areas where needed that included adding a full time monitoring and evaluation specialist and administration/finance associate. </w:t>
            </w:r>
            <w:r w:rsidR="00506E72">
              <w:rPr>
                <w:rFonts w:ascii="Arial" w:hAnsi="Arial"/>
                <w:sz w:val="22"/>
                <w:szCs w:val="22"/>
              </w:rPr>
              <w:t>It appears that there w</w:t>
            </w:r>
            <w:r>
              <w:rPr>
                <w:rFonts w:ascii="Arial" w:hAnsi="Arial"/>
                <w:sz w:val="22"/>
                <w:szCs w:val="22"/>
              </w:rPr>
              <w:t>a</w:t>
            </w:r>
            <w:r w:rsidR="00506E72">
              <w:rPr>
                <w:rFonts w:ascii="Arial" w:hAnsi="Arial"/>
                <w:sz w:val="22"/>
                <w:szCs w:val="22"/>
              </w:rPr>
              <w:t>s</w:t>
            </w:r>
            <w:r w:rsidR="0032114C">
              <w:rPr>
                <w:rFonts w:ascii="Arial" w:hAnsi="Arial"/>
                <w:sz w:val="22"/>
                <w:szCs w:val="22"/>
              </w:rPr>
              <w:t xml:space="preserve"> no</w:t>
            </w:r>
            <w:r w:rsidR="00506E72">
              <w:rPr>
                <w:rFonts w:ascii="Arial" w:hAnsi="Arial"/>
                <w:sz w:val="22"/>
                <w:szCs w:val="22"/>
              </w:rPr>
              <w:t xml:space="preserve"> staff turnover. There was use of local and international consultants and contractual-service companies; use of grants through the research and civil society grant schemes</w:t>
            </w:r>
            <w:r w:rsidR="00BE570A">
              <w:rPr>
                <w:rFonts w:ascii="Arial" w:hAnsi="Arial"/>
                <w:sz w:val="22"/>
                <w:szCs w:val="22"/>
              </w:rPr>
              <w:t xml:space="preserve"> (</w:t>
            </w:r>
            <w:r w:rsidR="007F05BD">
              <w:rPr>
                <w:rFonts w:ascii="Arial" w:hAnsi="Arial"/>
                <w:sz w:val="22"/>
                <w:szCs w:val="22"/>
              </w:rPr>
              <w:t xml:space="preserve">25 </w:t>
            </w:r>
            <w:r w:rsidR="00BE570A">
              <w:rPr>
                <w:rFonts w:ascii="Arial" w:hAnsi="Arial"/>
                <w:sz w:val="22"/>
                <w:szCs w:val="22"/>
              </w:rPr>
              <w:t>total)</w:t>
            </w:r>
            <w:r w:rsidR="00506E72">
              <w:rPr>
                <w:rFonts w:ascii="Arial" w:hAnsi="Arial"/>
                <w:sz w:val="22"/>
                <w:szCs w:val="22"/>
              </w:rPr>
              <w:t>,</w:t>
            </w:r>
            <w:r w:rsidR="004075CC">
              <w:rPr>
                <w:rFonts w:ascii="Arial" w:hAnsi="Arial"/>
                <w:sz w:val="22"/>
                <w:szCs w:val="22"/>
              </w:rPr>
              <w:t xml:space="preserve"> fundi</w:t>
            </w:r>
            <w:r w:rsidR="00BE570A">
              <w:rPr>
                <w:rFonts w:ascii="Arial" w:hAnsi="Arial"/>
                <w:sz w:val="22"/>
                <w:szCs w:val="22"/>
              </w:rPr>
              <w:t>ng of “emerging needs’ subprojects</w:t>
            </w:r>
            <w:r w:rsidR="004075CC">
              <w:rPr>
                <w:rFonts w:ascii="Arial" w:hAnsi="Arial"/>
                <w:sz w:val="22"/>
                <w:szCs w:val="22"/>
              </w:rPr>
              <w:t xml:space="preserve"> subjects (</w:t>
            </w:r>
            <w:r w:rsidR="00087C7D">
              <w:rPr>
                <w:rFonts w:ascii="Arial" w:hAnsi="Arial"/>
                <w:sz w:val="22"/>
                <w:szCs w:val="22"/>
              </w:rPr>
              <w:t>7</w:t>
            </w:r>
            <w:r w:rsidR="004075CC">
              <w:rPr>
                <w:rFonts w:ascii="Arial" w:hAnsi="Arial"/>
                <w:sz w:val="22"/>
                <w:szCs w:val="22"/>
              </w:rPr>
              <w:t xml:space="preserve"> total),</w:t>
            </w:r>
            <w:r w:rsidR="00506E72">
              <w:rPr>
                <w:rFonts w:ascii="Arial" w:hAnsi="Arial"/>
                <w:sz w:val="22"/>
                <w:szCs w:val="22"/>
              </w:rPr>
              <w:t xml:space="preserve"> and the support of conferences and trainings events. Management of such contracting-out posed no m</w:t>
            </w:r>
            <w:r w:rsidR="004075CC">
              <w:rPr>
                <w:rFonts w:ascii="Arial" w:hAnsi="Arial"/>
                <w:sz w:val="22"/>
                <w:szCs w:val="22"/>
              </w:rPr>
              <w:t>anagement issues. There were no</w:t>
            </w:r>
            <w:r w:rsidR="00506E72">
              <w:rPr>
                <w:rFonts w:ascii="Arial" w:hAnsi="Arial"/>
                <w:sz w:val="22"/>
                <w:szCs w:val="22"/>
              </w:rPr>
              <w:t xml:space="preserve"> negative findings. UNDP procurement processes were applied. Performance was measured </w:t>
            </w:r>
            <w:r w:rsidR="00BE570A">
              <w:rPr>
                <w:rFonts w:ascii="Arial" w:hAnsi="Arial"/>
                <w:sz w:val="22"/>
                <w:szCs w:val="22"/>
              </w:rPr>
              <w:t xml:space="preserve">and evaluated. </w:t>
            </w:r>
            <w:r w:rsidR="005B55B7">
              <w:rPr>
                <w:rFonts w:ascii="Arial" w:hAnsi="Arial"/>
                <w:sz w:val="22"/>
                <w:szCs w:val="22"/>
              </w:rPr>
              <w:t xml:space="preserve">Those contractors interviewed reported a positive relationship with the project in terms of execution, support and payment. </w:t>
            </w:r>
          </w:p>
          <w:p w14:paraId="24161B99" w14:textId="77777777" w:rsidR="005028E9" w:rsidRDefault="005028E9" w:rsidP="00F80D0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7906FCFA" w14:textId="6B2B2790" w:rsidR="00545244" w:rsidRDefault="005B55B7" w:rsidP="00F80D0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 xml:space="preserve">UNDP monitoring and evaluation systems were applied. The project conducted a detailed mid-term evaluation. There were also </w:t>
            </w:r>
            <w:r w:rsidR="00087C7D">
              <w:rPr>
                <w:rFonts w:ascii="Arial" w:hAnsi="Arial"/>
                <w:sz w:val="22"/>
                <w:szCs w:val="22"/>
              </w:rPr>
              <w:t xml:space="preserve">project-conducted </w:t>
            </w:r>
            <w:r>
              <w:rPr>
                <w:rFonts w:ascii="Arial" w:hAnsi="Arial"/>
                <w:sz w:val="22"/>
                <w:szCs w:val="22"/>
              </w:rPr>
              <w:t xml:space="preserve">evaluations of the </w:t>
            </w:r>
            <w:r w:rsidR="00087C7D">
              <w:rPr>
                <w:rFonts w:ascii="Arial" w:hAnsi="Arial"/>
                <w:sz w:val="22"/>
                <w:szCs w:val="22"/>
              </w:rPr>
              <w:t>CSO</w:t>
            </w:r>
            <w:r w:rsidR="004075CC">
              <w:rPr>
                <w:rFonts w:ascii="Arial" w:hAnsi="Arial"/>
                <w:sz w:val="22"/>
                <w:szCs w:val="22"/>
              </w:rPr>
              <w:t xml:space="preserve"> and research </w:t>
            </w:r>
            <w:r>
              <w:rPr>
                <w:rFonts w:ascii="Arial" w:hAnsi="Arial"/>
                <w:sz w:val="22"/>
                <w:szCs w:val="22"/>
              </w:rPr>
              <w:t>grants schemes (two evaluations</w:t>
            </w:r>
            <w:r w:rsidR="004075CC">
              <w:rPr>
                <w:rFonts w:ascii="Arial" w:hAnsi="Arial"/>
                <w:sz w:val="22"/>
                <w:szCs w:val="22"/>
              </w:rPr>
              <w:t xml:space="preserve"> with a third to be completed in March</w:t>
            </w:r>
            <w:r w:rsidR="00BE570A">
              <w:rPr>
                <w:rFonts w:ascii="Arial" w:hAnsi="Arial"/>
                <w:sz w:val="22"/>
                <w:szCs w:val="22"/>
              </w:rPr>
              <w:t xml:space="preserve"> 2021</w:t>
            </w:r>
            <w:r>
              <w:rPr>
                <w:rFonts w:ascii="Arial" w:hAnsi="Arial"/>
                <w:sz w:val="22"/>
                <w:szCs w:val="22"/>
              </w:rPr>
              <w:t>). Project reporting was detailed with reports biannually and annually for each year. The reports indicated activities, described the context of the activities and PAR in general, next steps, monitoring and evaluation steps taken, public and outreach events, risk matrix, budget status, and a performance table per the</w:t>
            </w:r>
            <w:r w:rsidR="00CC359F">
              <w:rPr>
                <w:rFonts w:ascii="Arial" w:hAnsi="Arial"/>
                <w:sz w:val="22"/>
                <w:szCs w:val="22"/>
              </w:rPr>
              <w:t xml:space="preserve"> RRF</w:t>
            </w:r>
            <w:r>
              <w:rPr>
                <w:rFonts w:ascii="Arial" w:hAnsi="Arial"/>
                <w:sz w:val="22"/>
                <w:szCs w:val="22"/>
              </w:rPr>
              <w:t xml:space="preserve">. The project also produced detailed implementation context analysis based on </w:t>
            </w:r>
            <w:r w:rsidR="00087C7D">
              <w:rPr>
                <w:rFonts w:ascii="Arial" w:hAnsi="Arial"/>
                <w:sz w:val="22"/>
                <w:szCs w:val="22"/>
              </w:rPr>
              <w:t>UNDP standards in 2016, 2017,</w:t>
            </w:r>
            <w:r>
              <w:rPr>
                <w:rFonts w:ascii="Arial" w:hAnsi="Arial"/>
                <w:sz w:val="22"/>
                <w:szCs w:val="22"/>
              </w:rPr>
              <w:t xml:space="preserve"> 2018</w:t>
            </w:r>
            <w:r w:rsidR="00087C7D">
              <w:rPr>
                <w:rFonts w:ascii="Arial" w:hAnsi="Arial"/>
                <w:sz w:val="22"/>
                <w:szCs w:val="22"/>
              </w:rPr>
              <w:t>, 2019 and 2020</w:t>
            </w:r>
            <w:r>
              <w:rPr>
                <w:rFonts w:ascii="Arial" w:hAnsi="Arial"/>
                <w:sz w:val="22"/>
                <w:szCs w:val="22"/>
              </w:rPr>
              <w:t>.</w:t>
            </w:r>
            <w:r w:rsidR="00087C7D">
              <w:rPr>
                <w:rStyle w:val="FootnoteReference"/>
                <w:rFonts w:ascii="Arial" w:hAnsi="Arial"/>
                <w:sz w:val="22"/>
                <w:szCs w:val="22"/>
              </w:rPr>
              <w:footnoteReference w:id="26"/>
            </w:r>
            <w:r>
              <w:rPr>
                <w:rFonts w:ascii="Arial" w:hAnsi="Arial"/>
                <w:sz w:val="22"/>
                <w:szCs w:val="22"/>
              </w:rPr>
              <w:t xml:space="preserve"> </w:t>
            </w:r>
            <w:r w:rsidR="00506E72">
              <w:rPr>
                <w:rFonts w:ascii="Arial" w:hAnsi="Arial"/>
                <w:sz w:val="22"/>
                <w:szCs w:val="22"/>
              </w:rPr>
              <w:t xml:space="preserve"> </w:t>
            </w:r>
            <w:r w:rsidR="00761886">
              <w:rPr>
                <w:rFonts w:ascii="Arial" w:hAnsi="Arial"/>
                <w:sz w:val="22"/>
                <w:szCs w:val="22"/>
              </w:rPr>
              <w:t>The</w:t>
            </w:r>
            <w:r w:rsidR="008C1269">
              <w:rPr>
                <w:rFonts w:ascii="Arial" w:hAnsi="Arial"/>
                <w:sz w:val="22"/>
                <w:szCs w:val="22"/>
              </w:rPr>
              <w:t xml:space="preserve"> results of the evaluations </w:t>
            </w:r>
            <w:r w:rsidR="00761886">
              <w:rPr>
                <w:rFonts w:ascii="Arial" w:hAnsi="Arial"/>
                <w:sz w:val="22"/>
                <w:szCs w:val="22"/>
              </w:rPr>
              <w:t>were followed up as illustrated in the reporting and appeared to help in refining activities. Ongoing discussions with stakeholders also helped to either keep activities on track or agree to adjustments.</w:t>
            </w:r>
          </w:p>
          <w:p w14:paraId="33C7B83B" w14:textId="5D4227BE" w:rsidR="00A92474" w:rsidRDefault="00A92474" w:rsidP="00F80D0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A215AD" w14:paraId="397137F5" w14:textId="77777777" w:rsidTr="00B97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0DAC6B2E" w14:textId="1FB42658" w:rsidR="00A215AD" w:rsidRDefault="00A215AD" w:rsidP="003E7EE7">
            <w:pPr>
              <w:pStyle w:val="ListParagraph"/>
              <w:ind w:left="0"/>
              <w:jc w:val="both"/>
              <w:rPr>
                <w:rFonts w:ascii="Arial" w:hAnsi="Arial"/>
                <w:sz w:val="22"/>
                <w:szCs w:val="22"/>
              </w:rPr>
            </w:pPr>
            <w:r>
              <w:rPr>
                <w:rFonts w:ascii="Arial" w:hAnsi="Arial"/>
                <w:sz w:val="22"/>
                <w:szCs w:val="22"/>
              </w:rPr>
              <w:lastRenderedPageBreak/>
              <w:t>Impact</w:t>
            </w:r>
          </w:p>
        </w:tc>
        <w:tc>
          <w:tcPr>
            <w:tcW w:w="7929" w:type="dxa"/>
          </w:tcPr>
          <w:p w14:paraId="1FB74AEA" w14:textId="0A4554E4" w:rsidR="008C1269" w:rsidRPr="00E8321B" w:rsidRDefault="00B97F10" w:rsidP="00A5243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rPr>
            </w:pPr>
            <w:r w:rsidRPr="00E8321B">
              <w:rPr>
                <w:rFonts w:ascii="Arial" w:hAnsi="Arial"/>
                <w:sz w:val="22"/>
              </w:rPr>
              <w:t xml:space="preserve">The project </w:t>
            </w:r>
            <w:r w:rsidR="0094304C" w:rsidRPr="00E8321B">
              <w:rPr>
                <w:rFonts w:ascii="Arial" w:hAnsi="Arial"/>
                <w:sz w:val="22"/>
              </w:rPr>
              <w:t>significant</w:t>
            </w:r>
            <w:r w:rsidRPr="00E8321B">
              <w:rPr>
                <w:rFonts w:ascii="Arial" w:hAnsi="Arial"/>
                <w:sz w:val="22"/>
              </w:rPr>
              <w:t>ly</w:t>
            </w:r>
            <w:r w:rsidR="0094304C" w:rsidRPr="00E8321B">
              <w:rPr>
                <w:rFonts w:ascii="Arial" w:hAnsi="Arial"/>
                <w:sz w:val="22"/>
              </w:rPr>
              <w:t xml:space="preserve"> impact</w:t>
            </w:r>
            <w:r w:rsidRPr="00E8321B">
              <w:rPr>
                <w:rFonts w:ascii="Arial" w:hAnsi="Arial"/>
                <w:sz w:val="22"/>
              </w:rPr>
              <w:t>ed</w:t>
            </w:r>
            <w:r w:rsidR="0094304C" w:rsidRPr="00E8321B">
              <w:rPr>
                <w:rFonts w:ascii="Arial" w:hAnsi="Arial"/>
                <w:sz w:val="22"/>
              </w:rPr>
              <w:t xml:space="preserve"> PAR</w:t>
            </w:r>
            <w:r w:rsidR="00CC359F" w:rsidRPr="00E8321B">
              <w:rPr>
                <w:rFonts w:ascii="Arial" w:hAnsi="Arial"/>
                <w:sz w:val="22"/>
              </w:rPr>
              <w:t xml:space="preserve"> implementation and</w:t>
            </w:r>
            <w:r w:rsidR="008C1269" w:rsidRPr="00E8321B">
              <w:rPr>
                <w:rFonts w:ascii="Arial" w:hAnsi="Arial"/>
                <w:sz w:val="22"/>
              </w:rPr>
              <w:t xml:space="preserve"> its activities will continue to positively impact PAR</w:t>
            </w:r>
            <w:r w:rsidRPr="00E8321B">
              <w:rPr>
                <w:rFonts w:ascii="Arial" w:hAnsi="Arial"/>
                <w:sz w:val="22"/>
              </w:rPr>
              <w:t xml:space="preserve"> if</w:t>
            </w:r>
            <w:r w:rsidR="008C1269" w:rsidRPr="00E8321B">
              <w:rPr>
                <w:rFonts w:ascii="Arial" w:hAnsi="Arial"/>
                <w:sz w:val="22"/>
              </w:rPr>
              <w:t xml:space="preserve"> t</w:t>
            </w:r>
            <w:r w:rsidR="00AF0CC8" w:rsidRPr="00E8321B">
              <w:rPr>
                <w:rFonts w:ascii="Arial" w:hAnsi="Arial"/>
                <w:sz w:val="22"/>
              </w:rPr>
              <w:t>he government adheres to PAR as</w:t>
            </w:r>
            <w:r w:rsidR="008C1269" w:rsidRPr="00E8321B">
              <w:rPr>
                <w:rFonts w:ascii="Arial" w:hAnsi="Arial"/>
                <w:sz w:val="22"/>
              </w:rPr>
              <w:t xml:space="preserve"> envisioned in the 2016-20 Roadmap. It is reported that the 2021-24 Roadmap will address the same priority areas. </w:t>
            </w:r>
            <w:r w:rsidR="00D50C87" w:rsidRPr="00E8321B">
              <w:rPr>
                <w:rFonts w:ascii="Arial" w:hAnsi="Arial"/>
                <w:sz w:val="22"/>
                <w:szCs w:val="22"/>
              </w:rPr>
              <w:t xml:space="preserve">The gains made to date will most likely </w:t>
            </w:r>
            <w:r w:rsidR="00D50C87" w:rsidRPr="00E8321B">
              <w:rPr>
                <w:rFonts w:ascii="Arial" w:hAnsi="Arial"/>
                <w:sz w:val="22"/>
                <w:szCs w:val="22"/>
              </w:rPr>
              <w:lastRenderedPageBreak/>
              <w:t xml:space="preserve">remain given that law or policy, human resource development, and process implementation support them. </w:t>
            </w:r>
            <w:r w:rsidR="008C1269" w:rsidRPr="00E8321B">
              <w:rPr>
                <w:rFonts w:ascii="Arial" w:hAnsi="Arial"/>
                <w:sz w:val="22"/>
              </w:rPr>
              <w:t>The project has provided input into the Roadmap</w:t>
            </w:r>
            <w:r w:rsidR="00CC359F" w:rsidRPr="00E8321B">
              <w:rPr>
                <w:rFonts w:ascii="Arial" w:hAnsi="Arial"/>
                <w:sz w:val="22"/>
              </w:rPr>
              <w:t xml:space="preserve"> being prepared</w:t>
            </w:r>
            <w:r w:rsidR="008C1269" w:rsidRPr="00E8321B">
              <w:rPr>
                <w:rFonts w:ascii="Arial" w:hAnsi="Arial"/>
                <w:sz w:val="22"/>
              </w:rPr>
              <w:t xml:space="preserve"> and has helped its development. The delay in its finaliz</w:t>
            </w:r>
            <w:r w:rsidR="007E2D17" w:rsidRPr="00E8321B">
              <w:rPr>
                <w:rFonts w:ascii="Arial" w:hAnsi="Arial"/>
                <w:sz w:val="22"/>
              </w:rPr>
              <w:t xml:space="preserve">ation could be attributed to </w:t>
            </w:r>
            <w:r w:rsidR="007E2D17" w:rsidRPr="00E8321B">
              <w:rPr>
                <w:rFonts w:ascii="Arial" w:hAnsi="Arial"/>
                <w:sz w:val="22"/>
                <w:szCs w:val="22"/>
              </w:rPr>
              <w:t>three</w:t>
            </w:r>
            <w:r w:rsidR="008C1269" w:rsidRPr="00E8321B">
              <w:rPr>
                <w:rFonts w:ascii="Arial" w:hAnsi="Arial"/>
                <w:sz w:val="22"/>
              </w:rPr>
              <w:t xml:space="preserve"> factors: 1) the impact of the </w:t>
            </w:r>
            <w:proofErr w:type="spellStart"/>
            <w:r w:rsidR="008C1269" w:rsidRPr="00E8321B">
              <w:rPr>
                <w:rFonts w:ascii="Arial" w:hAnsi="Arial"/>
                <w:sz w:val="22"/>
              </w:rPr>
              <w:t>GoG’s</w:t>
            </w:r>
            <w:proofErr w:type="spellEnd"/>
            <w:r w:rsidR="008C1269" w:rsidRPr="00E8321B">
              <w:rPr>
                <w:rFonts w:ascii="Arial" w:hAnsi="Arial"/>
                <w:sz w:val="22"/>
              </w:rPr>
              <w:t xml:space="preserve"> responding to COVI</w:t>
            </w:r>
            <w:r w:rsidR="00CC359F" w:rsidRPr="00E8321B">
              <w:rPr>
                <w:rFonts w:ascii="Arial" w:hAnsi="Arial"/>
                <w:sz w:val="22"/>
              </w:rPr>
              <w:t>D</w:t>
            </w:r>
            <w:r w:rsidR="00B041DC" w:rsidRPr="00E8321B">
              <w:rPr>
                <w:rFonts w:ascii="Arial" w:hAnsi="Arial"/>
                <w:sz w:val="22"/>
              </w:rPr>
              <w:t>-19;</w:t>
            </w:r>
            <w:r w:rsidR="008C1269" w:rsidRPr="00E8321B">
              <w:rPr>
                <w:rFonts w:ascii="Arial" w:hAnsi="Arial"/>
                <w:sz w:val="22"/>
              </w:rPr>
              <w:t xml:space="preserve"> 2) the </w:t>
            </w:r>
            <w:proofErr w:type="spellStart"/>
            <w:r w:rsidR="008C1269" w:rsidRPr="00E8321B">
              <w:rPr>
                <w:rFonts w:ascii="Arial" w:hAnsi="Arial"/>
                <w:sz w:val="22"/>
              </w:rPr>
              <w:t>AoG</w:t>
            </w:r>
            <w:proofErr w:type="spellEnd"/>
            <w:r w:rsidR="008C1269" w:rsidRPr="00E8321B">
              <w:rPr>
                <w:rFonts w:ascii="Arial" w:hAnsi="Arial"/>
                <w:sz w:val="22"/>
              </w:rPr>
              <w:t xml:space="preserve"> app</w:t>
            </w:r>
            <w:r w:rsidR="00CC359F" w:rsidRPr="00E8321B">
              <w:rPr>
                <w:rFonts w:ascii="Arial" w:hAnsi="Arial"/>
                <w:sz w:val="22"/>
              </w:rPr>
              <w:t>lying the policy planning handbook process to the Roadmap</w:t>
            </w:r>
            <w:r w:rsidR="007E2D17" w:rsidRPr="00E8321B">
              <w:rPr>
                <w:rFonts w:ascii="Arial" w:hAnsi="Arial"/>
                <w:sz w:val="22"/>
                <w:szCs w:val="22"/>
              </w:rPr>
              <w:t>;</w:t>
            </w:r>
            <w:r w:rsidR="007E2D17" w:rsidRPr="00E8321B">
              <w:rPr>
                <w:rFonts w:ascii="Arial" w:hAnsi="Arial"/>
                <w:sz w:val="22"/>
              </w:rPr>
              <w:t xml:space="preserve"> and 3) given </w:t>
            </w:r>
            <w:r w:rsidR="00087C7D" w:rsidRPr="00E8321B">
              <w:rPr>
                <w:rFonts w:ascii="Arial" w:hAnsi="Arial"/>
                <w:sz w:val="22"/>
              </w:rPr>
              <w:t xml:space="preserve">a change in </w:t>
            </w:r>
            <w:r w:rsidR="00B041DC" w:rsidRPr="00E8321B">
              <w:rPr>
                <w:rFonts w:ascii="Arial" w:hAnsi="Arial"/>
                <w:sz w:val="22"/>
              </w:rPr>
              <w:t>the Prime Minister</w:t>
            </w:r>
            <w:r w:rsidRPr="00E8321B">
              <w:rPr>
                <w:rFonts w:ascii="Arial" w:hAnsi="Arial"/>
                <w:sz w:val="22"/>
              </w:rPr>
              <w:t xml:space="preserve">, the </w:t>
            </w:r>
            <w:r w:rsidR="00087C7D" w:rsidRPr="00E8321B">
              <w:rPr>
                <w:rFonts w:ascii="Arial" w:hAnsi="Arial"/>
                <w:sz w:val="22"/>
              </w:rPr>
              <w:t xml:space="preserve">Head of </w:t>
            </w:r>
            <w:proofErr w:type="spellStart"/>
            <w:r w:rsidR="00087C7D" w:rsidRPr="00E8321B">
              <w:rPr>
                <w:rFonts w:ascii="Arial" w:hAnsi="Arial"/>
                <w:sz w:val="22"/>
              </w:rPr>
              <w:t>AoG</w:t>
            </w:r>
            <w:proofErr w:type="spellEnd"/>
            <w:r w:rsidR="00087C7D" w:rsidRPr="00E8321B">
              <w:rPr>
                <w:rFonts w:ascii="Arial" w:hAnsi="Arial"/>
                <w:sz w:val="22"/>
              </w:rPr>
              <w:t xml:space="preserve"> and deputy positions were vacant until 10 March 2021</w:t>
            </w:r>
            <w:r w:rsidR="00B041DC" w:rsidRPr="00E8321B">
              <w:rPr>
                <w:rFonts w:ascii="Arial" w:hAnsi="Arial"/>
                <w:sz w:val="22"/>
              </w:rPr>
              <w:t>. The appointment delay also delayed</w:t>
            </w:r>
            <w:r w:rsidR="00087C7D" w:rsidRPr="00E8321B">
              <w:rPr>
                <w:rFonts w:ascii="Arial" w:hAnsi="Arial"/>
                <w:sz w:val="22"/>
              </w:rPr>
              <w:t xml:space="preserve"> the </w:t>
            </w:r>
            <w:r w:rsidR="00B041DC" w:rsidRPr="00E8321B">
              <w:rPr>
                <w:rFonts w:ascii="Arial" w:hAnsi="Arial"/>
                <w:sz w:val="22"/>
              </w:rPr>
              <w:t>convening of a PAR Council meeting.</w:t>
            </w:r>
          </w:p>
          <w:p w14:paraId="7F2D7F1D" w14:textId="77777777" w:rsidR="005028E9" w:rsidRPr="00E8321B" w:rsidRDefault="005028E9" w:rsidP="00A5243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rPr>
            </w:pPr>
          </w:p>
          <w:p w14:paraId="5F4351F9" w14:textId="28C2247E" w:rsidR="00A215AD" w:rsidRPr="00E8321B" w:rsidRDefault="008C1269" w:rsidP="00A5243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rPr>
            </w:pPr>
            <w:r w:rsidRPr="00E8321B">
              <w:rPr>
                <w:rFonts w:ascii="Arial" w:hAnsi="Arial"/>
                <w:sz w:val="22"/>
              </w:rPr>
              <w:t xml:space="preserve">The project </w:t>
            </w:r>
            <w:r w:rsidR="0094304C" w:rsidRPr="00E8321B">
              <w:rPr>
                <w:rFonts w:ascii="Arial" w:hAnsi="Arial"/>
                <w:sz w:val="22"/>
              </w:rPr>
              <w:t xml:space="preserve">was catalytic </w:t>
            </w:r>
            <w:r w:rsidR="00B041DC" w:rsidRPr="00E8321B">
              <w:rPr>
                <w:rFonts w:ascii="Arial" w:hAnsi="Arial"/>
                <w:sz w:val="22"/>
              </w:rPr>
              <w:t>for PAR</w:t>
            </w:r>
            <w:r w:rsidR="0094304C" w:rsidRPr="00E8321B">
              <w:rPr>
                <w:rFonts w:ascii="Arial" w:hAnsi="Arial"/>
                <w:sz w:val="22"/>
              </w:rPr>
              <w:t xml:space="preserve"> given its timeliness and direct tie to the PAR Roadmap. Relationships with stakeholders helped to refine and adjust activities along the way, as needed. Also, there was coo</w:t>
            </w:r>
            <w:r w:rsidR="003E0A06" w:rsidRPr="00E8321B">
              <w:rPr>
                <w:rFonts w:ascii="Arial" w:hAnsi="Arial"/>
                <w:sz w:val="22"/>
              </w:rPr>
              <w:t>rdination in what is</w:t>
            </w:r>
            <w:r w:rsidR="0094304C" w:rsidRPr="00E8321B">
              <w:rPr>
                <w:rFonts w:ascii="Arial" w:hAnsi="Arial"/>
                <w:sz w:val="22"/>
              </w:rPr>
              <w:t xml:space="preserve"> a “crowded” space with various development partners active in PAR. All this w</w:t>
            </w:r>
            <w:r w:rsidR="003E0A06" w:rsidRPr="00E8321B">
              <w:rPr>
                <w:rFonts w:ascii="Arial" w:hAnsi="Arial"/>
                <w:sz w:val="22"/>
              </w:rPr>
              <w:t>as</w:t>
            </w:r>
            <w:r w:rsidR="0094304C" w:rsidRPr="00E8321B">
              <w:rPr>
                <w:rFonts w:ascii="Arial" w:hAnsi="Arial"/>
                <w:sz w:val="22"/>
              </w:rPr>
              <w:t xml:space="preserve"> happening in an overall political environment that raised questions from time-to-time about commitment and prioritization but which also showed constant </w:t>
            </w:r>
            <w:r w:rsidR="003E0A06" w:rsidRPr="00E8321B">
              <w:rPr>
                <w:rFonts w:ascii="Arial" w:hAnsi="Arial"/>
                <w:sz w:val="22"/>
              </w:rPr>
              <w:t>movement to advance the PAR Roadmap. The impact, while real and positive, may not be as deep and broad as needed since not all systems, approaches and processes developed with project support are being applied government-wide</w:t>
            </w:r>
            <w:r w:rsidR="00B041DC" w:rsidRPr="00E8321B">
              <w:rPr>
                <w:rFonts w:ascii="Arial" w:hAnsi="Arial"/>
                <w:sz w:val="22"/>
              </w:rPr>
              <w:t>. And,</w:t>
            </w:r>
            <w:r w:rsidR="003E0A06" w:rsidRPr="00E8321B">
              <w:rPr>
                <w:rFonts w:ascii="Arial" w:hAnsi="Arial"/>
                <w:sz w:val="22"/>
              </w:rPr>
              <w:t xml:space="preserve"> government ministries and agencies cannot access some of the modalities (such as </w:t>
            </w:r>
            <w:r w:rsidR="00CC359F" w:rsidRPr="00E8321B">
              <w:rPr>
                <w:rFonts w:ascii="Arial" w:hAnsi="Arial"/>
                <w:sz w:val="22"/>
              </w:rPr>
              <w:t xml:space="preserve">the </w:t>
            </w:r>
            <w:r w:rsidR="003E0A06" w:rsidRPr="00E8321B">
              <w:rPr>
                <w:rFonts w:ascii="Arial" w:hAnsi="Arial"/>
                <w:sz w:val="22"/>
              </w:rPr>
              <w:t>civil service training programs)</w:t>
            </w:r>
            <w:r w:rsidR="00B041DC" w:rsidRPr="00E8321B">
              <w:rPr>
                <w:rFonts w:ascii="Arial" w:hAnsi="Arial"/>
                <w:sz w:val="22"/>
              </w:rPr>
              <w:t xml:space="preserve"> because of lack of financing or other access issues</w:t>
            </w:r>
            <w:r w:rsidR="003E0A06" w:rsidRPr="00E8321B">
              <w:rPr>
                <w:rFonts w:ascii="Arial" w:hAnsi="Arial"/>
                <w:sz w:val="22"/>
              </w:rPr>
              <w:t>. PAR is a wide subject and for the activities to “stick” will require constant attention and application over the medium term. The project has implemented what was set out and sometimes exceeded expectations (certain training, support to e-government services</w:t>
            </w:r>
            <w:r w:rsidRPr="00E8321B">
              <w:rPr>
                <w:rFonts w:ascii="Arial" w:hAnsi="Arial"/>
                <w:sz w:val="22"/>
              </w:rPr>
              <w:t>, etc.</w:t>
            </w:r>
            <w:r w:rsidR="003E0A06" w:rsidRPr="00E8321B">
              <w:rPr>
                <w:rFonts w:ascii="Arial" w:hAnsi="Arial"/>
                <w:sz w:val="22"/>
              </w:rPr>
              <w:t>).</w:t>
            </w:r>
          </w:p>
          <w:p w14:paraId="5808BFFF" w14:textId="77777777" w:rsidR="005028E9" w:rsidRPr="00E8321B" w:rsidRDefault="005028E9" w:rsidP="00A5243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rPr>
            </w:pPr>
          </w:p>
          <w:p w14:paraId="4A6C8604" w14:textId="6FBFFCC0" w:rsidR="003E0A06" w:rsidRPr="00E8321B" w:rsidRDefault="003E0A06" w:rsidP="00A5243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rPr>
            </w:pPr>
            <w:r w:rsidRPr="00E8321B">
              <w:rPr>
                <w:rFonts w:ascii="Arial" w:hAnsi="Arial"/>
                <w:sz w:val="22"/>
              </w:rPr>
              <w:t>For the impact on each outcome area, please see the descriptions in the subsections below</w:t>
            </w:r>
            <w:r w:rsidR="00AF0CC8" w:rsidRPr="00E8321B">
              <w:rPr>
                <w:rFonts w:ascii="Arial" w:hAnsi="Arial"/>
                <w:sz w:val="22"/>
              </w:rPr>
              <w:t xml:space="preserve"> (III.C and D)</w:t>
            </w:r>
            <w:r w:rsidRPr="00E8321B">
              <w:rPr>
                <w:rFonts w:ascii="Arial" w:hAnsi="Arial"/>
                <w:sz w:val="22"/>
              </w:rPr>
              <w:t>.</w:t>
            </w:r>
          </w:p>
          <w:p w14:paraId="62BA71FA" w14:textId="77777777" w:rsidR="005028E9" w:rsidRPr="00E8321B" w:rsidRDefault="005028E9" w:rsidP="00A5243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rPr>
            </w:pPr>
          </w:p>
          <w:p w14:paraId="2A988D4B" w14:textId="56A23FE5" w:rsidR="00E21C80" w:rsidRPr="00E8321B" w:rsidRDefault="003E0A06" w:rsidP="00A5243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rPr>
            </w:pPr>
            <w:r w:rsidRPr="00E8321B">
              <w:rPr>
                <w:rFonts w:ascii="Arial" w:hAnsi="Arial"/>
                <w:sz w:val="22"/>
              </w:rPr>
              <w:t>CSO’s engagement in PAR has been advance</w:t>
            </w:r>
            <w:r w:rsidR="00897329" w:rsidRPr="00E8321B">
              <w:rPr>
                <w:rFonts w:ascii="Arial" w:hAnsi="Arial"/>
                <w:sz w:val="22"/>
              </w:rPr>
              <w:t>d</w:t>
            </w:r>
            <w:r w:rsidRPr="00E8321B">
              <w:rPr>
                <w:rFonts w:ascii="Arial" w:hAnsi="Arial"/>
                <w:sz w:val="22"/>
              </w:rPr>
              <w:t xml:space="preserve"> by the project. The engagement has been by </w:t>
            </w:r>
            <w:r w:rsidR="00897329" w:rsidRPr="00E8321B">
              <w:rPr>
                <w:rFonts w:ascii="Arial" w:hAnsi="Arial"/>
                <w:sz w:val="22"/>
              </w:rPr>
              <w:t>the small grants scheme and involvement in project activity, such as being brought into the policy planning process especially for national strategic and sector studies</w:t>
            </w:r>
            <w:r w:rsidR="00CC359F" w:rsidRPr="00E8321B">
              <w:rPr>
                <w:rFonts w:ascii="Arial" w:hAnsi="Arial"/>
                <w:sz w:val="22"/>
              </w:rPr>
              <w:t>,</w:t>
            </w:r>
            <w:r w:rsidR="00897329" w:rsidRPr="00E8321B">
              <w:rPr>
                <w:rFonts w:ascii="Arial" w:hAnsi="Arial"/>
                <w:sz w:val="22"/>
              </w:rPr>
              <w:t xml:space="preserve"> and improving service delivery. For the s</w:t>
            </w:r>
            <w:r w:rsidR="00CC359F" w:rsidRPr="00E8321B">
              <w:rPr>
                <w:rFonts w:ascii="Arial" w:hAnsi="Arial"/>
                <w:sz w:val="22"/>
              </w:rPr>
              <w:t xml:space="preserve">mall grant scheme, a total of </w:t>
            </w:r>
            <w:r w:rsidR="007F05BD" w:rsidRPr="00E8321B">
              <w:rPr>
                <w:rFonts w:ascii="Arial" w:hAnsi="Arial"/>
                <w:sz w:val="22"/>
              </w:rPr>
              <w:t xml:space="preserve">25 </w:t>
            </w:r>
            <w:r w:rsidR="00897329" w:rsidRPr="00E8321B">
              <w:rPr>
                <w:rFonts w:ascii="Arial" w:hAnsi="Arial"/>
                <w:sz w:val="22"/>
              </w:rPr>
              <w:t xml:space="preserve">research and civil society grants were awarded. The grants helped to build capacity to make the organizations, </w:t>
            </w:r>
            <w:r w:rsidR="008C1269" w:rsidRPr="00E8321B">
              <w:rPr>
                <w:rFonts w:ascii="Arial" w:hAnsi="Arial"/>
                <w:sz w:val="22"/>
              </w:rPr>
              <w:t>be they academic institutions,</w:t>
            </w:r>
            <w:r w:rsidR="00897329" w:rsidRPr="00E8321B">
              <w:rPr>
                <w:rFonts w:ascii="Arial" w:hAnsi="Arial"/>
                <w:sz w:val="22"/>
              </w:rPr>
              <w:t xml:space="preserve"> </w:t>
            </w:r>
            <w:r w:rsidR="008C1269" w:rsidRPr="00E8321B">
              <w:rPr>
                <w:rFonts w:ascii="Arial" w:hAnsi="Arial"/>
                <w:sz w:val="22"/>
              </w:rPr>
              <w:t xml:space="preserve">national or </w:t>
            </w:r>
            <w:r w:rsidR="00B041DC" w:rsidRPr="00E8321B">
              <w:rPr>
                <w:rFonts w:ascii="Arial" w:hAnsi="Arial"/>
                <w:sz w:val="22"/>
              </w:rPr>
              <w:t>local community CSOs</w:t>
            </w:r>
            <w:r w:rsidR="00897329" w:rsidRPr="00E8321B">
              <w:rPr>
                <w:rFonts w:ascii="Arial" w:hAnsi="Arial"/>
                <w:sz w:val="22"/>
              </w:rPr>
              <w:t xml:space="preserve">, to be involved in PAR. </w:t>
            </w:r>
            <w:r w:rsidR="00E21C80" w:rsidRPr="00E8321B">
              <w:rPr>
                <w:rFonts w:ascii="Arial" w:hAnsi="Arial"/>
                <w:sz w:val="22"/>
              </w:rPr>
              <w:t>16 of t</w:t>
            </w:r>
            <w:r w:rsidR="00897329" w:rsidRPr="00E8321B">
              <w:rPr>
                <w:rFonts w:ascii="Arial" w:hAnsi="Arial"/>
                <w:sz w:val="22"/>
              </w:rPr>
              <w:t>he grant projects were evaluated</w:t>
            </w:r>
            <w:r w:rsidR="00CC359F" w:rsidRPr="00E8321B">
              <w:rPr>
                <w:rFonts w:ascii="Arial" w:hAnsi="Arial"/>
                <w:sz w:val="22"/>
              </w:rPr>
              <w:t xml:space="preserve"> with 8</w:t>
            </w:r>
            <w:r w:rsidR="00E21C80" w:rsidRPr="00E8321B">
              <w:rPr>
                <w:rFonts w:ascii="Arial" w:hAnsi="Arial"/>
                <w:sz w:val="22"/>
              </w:rPr>
              <w:t xml:space="preserve"> to be evaluated by mid-March 2021. The grant scheme was adjusted in 2020 to </w:t>
            </w:r>
            <w:r w:rsidR="008C1269" w:rsidRPr="00E8321B">
              <w:rPr>
                <w:rFonts w:ascii="Arial" w:hAnsi="Arial"/>
                <w:sz w:val="22"/>
              </w:rPr>
              <w:t>be more responsive to subject areas</w:t>
            </w:r>
            <w:r w:rsidR="00E21C80" w:rsidRPr="00E8321B">
              <w:rPr>
                <w:rFonts w:ascii="Arial" w:hAnsi="Arial"/>
                <w:sz w:val="22"/>
              </w:rPr>
              <w:t xml:space="preserve"> w</w:t>
            </w:r>
            <w:r w:rsidR="008C1269" w:rsidRPr="00E8321B">
              <w:rPr>
                <w:rFonts w:ascii="Arial" w:hAnsi="Arial"/>
                <w:sz w:val="22"/>
              </w:rPr>
              <w:t>ithin the project outcome areas</w:t>
            </w:r>
            <w:r w:rsidR="00E21C80" w:rsidRPr="00E8321B">
              <w:rPr>
                <w:rFonts w:ascii="Arial" w:hAnsi="Arial"/>
                <w:sz w:val="22"/>
              </w:rPr>
              <w:t xml:space="preserve"> that were more relevant to the COVID-19 pandemic situation. This included digital learning, provision of services to women victims of domestic violence during the pandemic, compliance with public participation in the policy planning process, support to develop and deploy risk communication strategic guidelines for public health emergencies, and provision of professional home care services to elderly and vulnerable persons and a home </w:t>
            </w:r>
            <w:r w:rsidR="00AA66DD" w:rsidRPr="00E8321B">
              <w:rPr>
                <w:rFonts w:ascii="Arial" w:hAnsi="Arial"/>
                <w:sz w:val="22"/>
              </w:rPr>
              <w:t>care on-line learning platform.</w:t>
            </w:r>
            <w:r w:rsidR="00E21C80" w:rsidRPr="00E8321B">
              <w:rPr>
                <w:rFonts w:ascii="Arial" w:hAnsi="Arial"/>
                <w:sz w:val="22"/>
              </w:rPr>
              <w:t xml:space="preserve"> Th</w:t>
            </w:r>
            <w:r w:rsidR="00CB747E" w:rsidRPr="00E8321B">
              <w:rPr>
                <w:rFonts w:ascii="Arial" w:hAnsi="Arial"/>
                <w:sz w:val="22"/>
              </w:rPr>
              <w:t>e adjustment shows the flexibili</w:t>
            </w:r>
            <w:r w:rsidR="00E21C80" w:rsidRPr="00E8321B">
              <w:rPr>
                <w:rFonts w:ascii="Arial" w:hAnsi="Arial"/>
                <w:sz w:val="22"/>
              </w:rPr>
              <w:t xml:space="preserve">ty of the project to respond to needs and at the same time draw attention to </w:t>
            </w:r>
            <w:r w:rsidR="00CC359F" w:rsidRPr="00E8321B">
              <w:rPr>
                <w:rFonts w:ascii="Arial" w:hAnsi="Arial"/>
                <w:sz w:val="22"/>
              </w:rPr>
              <w:t xml:space="preserve">key </w:t>
            </w:r>
            <w:r w:rsidR="00E21C80" w:rsidRPr="00E8321B">
              <w:rPr>
                <w:rFonts w:ascii="Arial" w:hAnsi="Arial"/>
                <w:sz w:val="22"/>
              </w:rPr>
              <w:t xml:space="preserve">issue areas. As shown by the evaluation, most (not all) of the research that was done was evidence-based. However, it is difficult to </w:t>
            </w:r>
            <w:r w:rsidR="00E21C80" w:rsidRPr="00E8321B">
              <w:rPr>
                <w:rFonts w:ascii="Arial" w:hAnsi="Arial"/>
                <w:sz w:val="22"/>
              </w:rPr>
              <w:lastRenderedPageBreak/>
              <w:t xml:space="preserve">show if the research had </w:t>
            </w:r>
            <w:r w:rsidR="003409A9" w:rsidRPr="00E8321B">
              <w:rPr>
                <w:rFonts w:ascii="Arial" w:hAnsi="Arial"/>
                <w:sz w:val="22"/>
                <w:szCs w:val="22"/>
              </w:rPr>
              <w:t xml:space="preserve">a </w:t>
            </w:r>
            <w:r w:rsidR="00E21C80" w:rsidRPr="00E8321B">
              <w:rPr>
                <w:rFonts w:ascii="Arial" w:hAnsi="Arial"/>
                <w:sz w:val="22"/>
              </w:rPr>
              <w:t>significant impact on public policy</w:t>
            </w:r>
            <w:r w:rsidR="00CC359F" w:rsidRPr="00E8321B">
              <w:rPr>
                <w:rFonts w:ascii="Arial" w:hAnsi="Arial"/>
                <w:sz w:val="22"/>
              </w:rPr>
              <w:t>. T</w:t>
            </w:r>
            <w:r w:rsidR="00E21C80" w:rsidRPr="00E8321B">
              <w:rPr>
                <w:rFonts w:ascii="Arial" w:hAnsi="Arial"/>
                <w:sz w:val="22"/>
              </w:rPr>
              <w:t xml:space="preserve">here is evidence of drawing attention to issues </w:t>
            </w:r>
            <w:r w:rsidR="00CC359F" w:rsidRPr="00E8321B">
              <w:rPr>
                <w:rFonts w:ascii="Arial" w:hAnsi="Arial"/>
                <w:sz w:val="22"/>
              </w:rPr>
              <w:t xml:space="preserve">that need to be </w:t>
            </w:r>
            <w:r w:rsidR="00E21C80" w:rsidRPr="00E8321B">
              <w:rPr>
                <w:rFonts w:ascii="Arial" w:hAnsi="Arial"/>
                <w:sz w:val="22"/>
              </w:rPr>
              <w:t>addressed by senior government, civil servants and the public. In various cases, the research efforts bridged a gap between government and civil society participants at a national level and, in a few instances, at a local level.</w:t>
            </w:r>
          </w:p>
        </w:tc>
      </w:tr>
      <w:tr w:rsidR="00A215AD" w14:paraId="601A1ABD" w14:textId="77777777" w:rsidTr="00B9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477C974F" w14:textId="55C1A49C" w:rsidR="00A215AD" w:rsidRDefault="00A215AD" w:rsidP="003E7EE7">
            <w:pPr>
              <w:pStyle w:val="ListParagraph"/>
              <w:ind w:left="0"/>
              <w:jc w:val="both"/>
              <w:rPr>
                <w:rFonts w:ascii="Arial" w:hAnsi="Arial"/>
                <w:sz w:val="22"/>
                <w:szCs w:val="22"/>
              </w:rPr>
            </w:pPr>
            <w:r>
              <w:rPr>
                <w:rFonts w:ascii="Arial" w:hAnsi="Arial"/>
                <w:sz w:val="22"/>
                <w:szCs w:val="22"/>
              </w:rPr>
              <w:lastRenderedPageBreak/>
              <w:t>Sustainability</w:t>
            </w:r>
          </w:p>
        </w:tc>
        <w:tc>
          <w:tcPr>
            <w:tcW w:w="7929" w:type="dxa"/>
          </w:tcPr>
          <w:p w14:paraId="73E1B7BA" w14:textId="0BEC3F0E" w:rsidR="00A215AD" w:rsidRPr="00E8321B" w:rsidRDefault="00CB747E"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E8321B">
              <w:rPr>
                <w:rFonts w:ascii="Arial" w:hAnsi="Arial"/>
                <w:sz w:val="22"/>
                <w:szCs w:val="22"/>
              </w:rPr>
              <w:t xml:space="preserve">Sustainability of PAR is </w:t>
            </w:r>
            <w:r w:rsidR="00815960" w:rsidRPr="00E8321B">
              <w:rPr>
                <w:rFonts w:ascii="Arial" w:hAnsi="Arial"/>
                <w:sz w:val="22"/>
                <w:szCs w:val="22"/>
              </w:rPr>
              <w:t>evident. The PAR Roadmap 2016-20</w:t>
            </w:r>
            <w:r w:rsidRPr="00E8321B">
              <w:rPr>
                <w:rFonts w:ascii="Arial" w:hAnsi="Arial"/>
                <w:sz w:val="22"/>
                <w:szCs w:val="22"/>
              </w:rPr>
              <w:t xml:space="preserve"> is being followed up wi</w:t>
            </w:r>
            <w:r w:rsidR="00815960" w:rsidRPr="00E8321B">
              <w:rPr>
                <w:rFonts w:ascii="Arial" w:hAnsi="Arial"/>
                <w:sz w:val="22"/>
                <w:szCs w:val="22"/>
              </w:rPr>
              <w:t>th a new Roadmap for the next 4</w:t>
            </w:r>
            <w:r w:rsidR="00CC359F" w:rsidRPr="00E8321B">
              <w:rPr>
                <w:rFonts w:ascii="Arial" w:hAnsi="Arial"/>
                <w:sz w:val="22"/>
                <w:szCs w:val="22"/>
              </w:rPr>
              <w:t>-5</w:t>
            </w:r>
            <w:r w:rsidRPr="00E8321B">
              <w:rPr>
                <w:rFonts w:ascii="Arial" w:hAnsi="Arial"/>
                <w:sz w:val="22"/>
                <w:szCs w:val="22"/>
              </w:rPr>
              <w:t xml:space="preserve"> years.</w:t>
            </w:r>
            <w:r w:rsidRPr="00E8321B">
              <w:rPr>
                <w:rStyle w:val="FootnoteReference"/>
                <w:rFonts w:ascii="Arial" w:hAnsi="Arial"/>
                <w:sz w:val="22"/>
                <w:szCs w:val="22"/>
              </w:rPr>
              <w:footnoteReference w:id="27"/>
            </w:r>
            <w:r w:rsidR="00C3066C" w:rsidRPr="00E8321B">
              <w:rPr>
                <w:rFonts w:ascii="Arial" w:hAnsi="Arial"/>
                <w:sz w:val="22"/>
                <w:szCs w:val="22"/>
              </w:rPr>
              <w:t xml:space="preserve"> The Civil Service Law is implemented along with its by-l</w:t>
            </w:r>
            <w:r w:rsidR="00815960" w:rsidRPr="00E8321B">
              <w:rPr>
                <w:rFonts w:ascii="Arial" w:hAnsi="Arial"/>
                <w:sz w:val="22"/>
                <w:szCs w:val="22"/>
              </w:rPr>
              <w:t>aws. The UPSDD</w:t>
            </w:r>
            <w:r w:rsidR="00C3066C" w:rsidRPr="00E8321B">
              <w:rPr>
                <w:rFonts w:ascii="Arial" w:hAnsi="Arial"/>
                <w:sz w:val="22"/>
                <w:szCs w:val="22"/>
              </w:rPr>
              <w:t xml:space="preserve"> ar</w:t>
            </w:r>
            <w:r w:rsidR="00CC359F" w:rsidRPr="00E8321B">
              <w:rPr>
                <w:rFonts w:ascii="Arial" w:hAnsi="Arial"/>
                <w:sz w:val="22"/>
                <w:szCs w:val="22"/>
              </w:rPr>
              <w:t>e drafted, not yet approved, with the Common Assessment Framework (CAF)</w:t>
            </w:r>
            <w:r w:rsidR="001C39E0" w:rsidRPr="00E8321B">
              <w:rPr>
                <w:rFonts w:ascii="Arial" w:hAnsi="Arial"/>
                <w:sz w:val="22"/>
                <w:szCs w:val="22"/>
              </w:rPr>
              <w:t xml:space="preserve"> and standards</w:t>
            </w:r>
            <w:r w:rsidR="00C3066C" w:rsidRPr="00E8321B">
              <w:rPr>
                <w:rFonts w:ascii="Arial" w:hAnsi="Arial"/>
                <w:sz w:val="22"/>
                <w:szCs w:val="22"/>
              </w:rPr>
              <w:t xml:space="preserve"> being applied at least on a pilot basis. CSO participation has been generated with avenues to provide input to PAR</w:t>
            </w:r>
            <w:r w:rsidR="003114DC" w:rsidRPr="00E8321B">
              <w:rPr>
                <w:rFonts w:ascii="Arial" w:hAnsi="Arial"/>
                <w:sz w:val="22"/>
                <w:szCs w:val="22"/>
              </w:rPr>
              <w:t xml:space="preserve"> and policy planning</w:t>
            </w:r>
            <w:r w:rsidR="00C3066C" w:rsidRPr="00E8321B">
              <w:rPr>
                <w:rFonts w:ascii="Arial" w:hAnsi="Arial"/>
                <w:sz w:val="22"/>
                <w:szCs w:val="22"/>
              </w:rPr>
              <w:t xml:space="preserve"> as well as conduct necessary research. To keep this all going further attention is needed consisting of political will and acceptance of reform, civil servant buy-in which appears to be happening</w:t>
            </w:r>
            <w:r w:rsidR="001C39E0" w:rsidRPr="00E8321B">
              <w:rPr>
                <w:rFonts w:ascii="Arial" w:hAnsi="Arial"/>
                <w:sz w:val="22"/>
                <w:szCs w:val="22"/>
              </w:rPr>
              <w:t>,</w:t>
            </w:r>
            <w:r w:rsidR="00C3066C" w:rsidRPr="00E8321B">
              <w:rPr>
                <w:rFonts w:ascii="Arial" w:hAnsi="Arial"/>
                <w:sz w:val="22"/>
                <w:szCs w:val="22"/>
              </w:rPr>
              <w:t xml:space="preserve"> and civil society engagement</w:t>
            </w:r>
            <w:r w:rsidR="001C39E0" w:rsidRPr="00E8321B">
              <w:rPr>
                <w:rFonts w:ascii="Arial" w:hAnsi="Arial"/>
                <w:sz w:val="22"/>
                <w:szCs w:val="22"/>
              </w:rPr>
              <w:t xml:space="preserve"> which is also happening. Development partner</w:t>
            </w:r>
            <w:r w:rsidR="00B041DC" w:rsidRPr="00E8321B">
              <w:rPr>
                <w:rFonts w:ascii="Arial" w:hAnsi="Arial"/>
                <w:sz w:val="22"/>
                <w:szCs w:val="22"/>
              </w:rPr>
              <w:t xml:space="preserve"> support will need to continue</w:t>
            </w:r>
            <w:r w:rsidR="00C3066C" w:rsidRPr="00E8321B">
              <w:rPr>
                <w:rFonts w:ascii="Arial" w:hAnsi="Arial"/>
                <w:sz w:val="22"/>
                <w:szCs w:val="22"/>
              </w:rPr>
              <w:t xml:space="preserve"> to en</w:t>
            </w:r>
            <w:r w:rsidR="00AF0CC8" w:rsidRPr="00E8321B">
              <w:rPr>
                <w:rFonts w:ascii="Arial" w:hAnsi="Arial"/>
                <w:sz w:val="22"/>
                <w:szCs w:val="22"/>
              </w:rPr>
              <w:t>sure standards are compliant</w:t>
            </w:r>
            <w:r w:rsidR="00C3066C" w:rsidRPr="00E8321B">
              <w:rPr>
                <w:rFonts w:ascii="Arial" w:hAnsi="Arial"/>
                <w:sz w:val="22"/>
                <w:szCs w:val="22"/>
              </w:rPr>
              <w:t xml:space="preserve"> with EU and international standards. There is common interest and commitment to achieve these standards</w:t>
            </w:r>
            <w:r w:rsidR="00066252" w:rsidRPr="00E8321B">
              <w:rPr>
                <w:rFonts w:ascii="Arial" w:hAnsi="Arial"/>
                <w:sz w:val="22"/>
                <w:szCs w:val="22"/>
              </w:rPr>
              <w:t xml:space="preserve"> by stakeholders and those involved in the reforms</w:t>
            </w:r>
            <w:r w:rsidR="00C3066C" w:rsidRPr="00E8321B">
              <w:rPr>
                <w:rFonts w:ascii="Arial" w:hAnsi="Arial"/>
                <w:sz w:val="22"/>
                <w:szCs w:val="22"/>
              </w:rPr>
              <w:t xml:space="preserve">. There have not been deviations though some of the activities have developed slowly. The project has helped to mitigate some of the risks by appropriately identifying problem areas and addressing </w:t>
            </w:r>
            <w:r w:rsidR="00815960" w:rsidRPr="00E8321B">
              <w:rPr>
                <w:rFonts w:ascii="Arial" w:hAnsi="Arial"/>
                <w:sz w:val="22"/>
                <w:szCs w:val="22"/>
              </w:rPr>
              <w:t xml:space="preserve">issues </w:t>
            </w:r>
            <w:r w:rsidR="00C3066C" w:rsidRPr="00E8321B">
              <w:rPr>
                <w:rFonts w:ascii="Arial" w:hAnsi="Arial"/>
                <w:sz w:val="22"/>
                <w:szCs w:val="22"/>
              </w:rPr>
              <w:t>using a combination of tools to include building positive relationships with stakeholders, using UNDP and UK government senior officials to help push progress or draw attention to issues</w:t>
            </w:r>
            <w:r w:rsidR="00815960" w:rsidRPr="00E8321B">
              <w:rPr>
                <w:rFonts w:ascii="Arial" w:hAnsi="Arial"/>
                <w:sz w:val="22"/>
                <w:szCs w:val="22"/>
              </w:rPr>
              <w:t xml:space="preserve"> when needed</w:t>
            </w:r>
            <w:r w:rsidR="00C3066C" w:rsidRPr="00E8321B">
              <w:rPr>
                <w:rFonts w:ascii="Arial" w:hAnsi="Arial"/>
                <w:sz w:val="22"/>
                <w:szCs w:val="22"/>
              </w:rPr>
              <w:t>, and coordination with other development partners so that common goals and objectives are achieved. It has been a challenging environment in the past but with the development of the legal/regulatory framework, the building of capacities, more active and prep</w:t>
            </w:r>
            <w:r w:rsidR="00AF0CC8" w:rsidRPr="00E8321B">
              <w:rPr>
                <w:rFonts w:ascii="Arial" w:hAnsi="Arial"/>
                <w:sz w:val="22"/>
                <w:szCs w:val="22"/>
              </w:rPr>
              <w:t>ared CSOs</w:t>
            </w:r>
            <w:r w:rsidR="00C3066C" w:rsidRPr="00E8321B">
              <w:rPr>
                <w:rFonts w:ascii="Arial" w:hAnsi="Arial"/>
                <w:sz w:val="22"/>
                <w:szCs w:val="22"/>
              </w:rPr>
              <w:t xml:space="preserve"> (with ave</w:t>
            </w:r>
            <w:r w:rsidR="001C39E0" w:rsidRPr="00E8321B">
              <w:rPr>
                <w:rFonts w:ascii="Arial" w:hAnsi="Arial"/>
                <w:sz w:val="22"/>
                <w:szCs w:val="22"/>
              </w:rPr>
              <w:t>nues for input), continued development partner</w:t>
            </w:r>
            <w:r w:rsidR="00C3066C" w:rsidRPr="00E8321B">
              <w:rPr>
                <w:rFonts w:ascii="Arial" w:hAnsi="Arial"/>
                <w:sz w:val="22"/>
                <w:szCs w:val="22"/>
              </w:rPr>
              <w:t xml:space="preserve"> support, and a government plan in preparation to continue reform, sustainability is more apparent.</w:t>
            </w:r>
          </w:p>
          <w:p w14:paraId="11A088EE" w14:textId="77777777" w:rsidR="00B36DFF" w:rsidRPr="00E8321B" w:rsidRDefault="00B36DF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39825DB2" w14:textId="6D493031" w:rsidR="00C3066C" w:rsidRPr="00E8321B" w:rsidRDefault="005851F1"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E8321B">
              <w:rPr>
                <w:rFonts w:ascii="Arial" w:hAnsi="Arial"/>
                <w:sz w:val="22"/>
                <w:szCs w:val="22"/>
              </w:rPr>
              <w:t xml:space="preserve">Some key strategies developed with the support or </w:t>
            </w:r>
            <w:r w:rsidR="00D17F68" w:rsidRPr="00E8321B">
              <w:rPr>
                <w:rFonts w:ascii="Arial" w:hAnsi="Arial"/>
                <w:sz w:val="22"/>
                <w:szCs w:val="22"/>
              </w:rPr>
              <w:t>input of the project continues</w:t>
            </w:r>
            <w:r w:rsidRPr="00E8321B">
              <w:rPr>
                <w:rFonts w:ascii="Arial" w:hAnsi="Arial"/>
                <w:sz w:val="22"/>
                <w:szCs w:val="22"/>
              </w:rPr>
              <w:t xml:space="preserve"> to be used</w:t>
            </w:r>
            <w:r w:rsidR="00D17F68" w:rsidRPr="00E8321B">
              <w:rPr>
                <w:rFonts w:ascii="Arial" w:hAnsi="Arial"/>
                <w:sz w:val="22"/>
                <w:szCs w:val="22"/>
              </w:rPr>
              <w:t xml:space="preserve">. The following are examples. As </w:t>
            </w:r>
            <w:r w:rsidRPr="00E8321B">
              <w:rPr>
                <w:rFonts w:ascii="Arial" w:hAnsi="Arial"/>
                <w:sz w:val="22"/>
                <w:szCs w:val="22"/>
              </w:rPr>
              <w:t>mentioned, the policy planning handbook is being used for 3 national strategies</w:t>
            </w:r>
            <w:r w:rsidR="00D17F68" w:rsidRPr="00E8321B">
              <w:rPr>
                <w:rFonts w:ascii="Arial" w:hAnsi="Arial"/>
                <w:sz w:val="22"/>
                <w:szCs w:val="22"/>
              </w:rPr>
              <w:t xml:space="preserve"> (supported by the project)</w:t>
            </w:r>
            <w:r w:rsidRPr="00E8321B">
              <w:rPr>
                <w:rFonts w:ascii="Arial" w:hAnsi="Arial"/>
                <w:sz w:val="22"/>
                <w:szCs w:val="22"/>
              </w:rPr>
              <w:t xml:space="preserve"> and is required to be used for </w:t>
            </w:r>
            <w:r w:rsidR="00D17F68" w:rsidRPr="00E8321B">
              <w:rPr>
                <w:rFonts w:ascii="Arial" w:hAnsi="Arial"/>
                <w:sz w:val="22"/>
                <w:szCs w:val="22"/>
              </w:rPr>
              <w:t xml:space="preserve">all other </w:t>
            </w:r>
            <w:r w:rsidRPr="00E8321B">
              <w:rPr>
                <w:rFonts w:ascii="Arial" w:hAnsi="Arial"/>
                <w:sz w:val="22"/>
                <w:szCs w:val="22"/>
              </w:rPr>
              <w:t>national, sector and inst</w:t>
            </w:r>
            <w:r w:rsidR="00D17F68" w:rsidRPr="00E8321B">
              <w:rPr>
                <w:rFonts w:ascii="Arial" w:hAnsi="Arial"/>
                <w:sz w:val="22"/>
                <w:szCs w:val="22"/>
              </w:rPr>
              <w:t>itutional strategies. T</w:t>
            </w:r>
            <w:r w:rsidR="00815960" w:rsidRPr="00E8321B">
              <w:rPr>
                <w:rFonts w:ascii="Arial" w:hAnsi="Arial"/>
                <w:sz w:val="22"/>
                <w:szCs w:val="22"/>
              </w:rPr>
              <w:t xml:space="preserve">he e-monitoring and evaluation system will help </w:t>
            </w:r>
            <w:r w:rsidR="00D17F68" w:rsidRPr="00E8321B">
              <w:rPr>
                <w:rFonts w:ascii="Arial" w:hAnsi="Arial"/>
                <w:sz w:val="22"/>
                <w:szCs w:val="22"/>
              </w:rPr>
              <w:t>to broaden and solidify its use. T</w:t>
            </w:r>
            <w:r w:rsidR="00815960" w:rsidRPr="00E8321B">
              <w:rPr>
                <w:rFonts w:ascii="Arial" w:hAnsi="Arial"/>
                <w:sz w:val="22"/>
                <w:szCs w:val="22"/>
              </w:rPr>
              <w:t>he unified e-learning platfo</w:t>
            </w:r>
            <w:r w:rsidR="008C2AE9" w:rsidRPr="00E8321B">
              <w:rPr>
                <w:rFonts w:ascii="Arial" w:hAnsi="Arial"/>
                <w:sz w:val="22"/>
                <w:szCs w:val="22"/>
              </w:rPr>
              <w:t>rm is planned for</w:t>
            </w:r>
            <w:r w:rsidR="00815960" w:rsidRPr="00E8321B">
              <w:rPr>
                <w:rFonts w:ascii="Arial" w:hAnsi="Arial"/>
                <w:sz w:val="22"/>
                <w:szCs w:val="22"/>
              </w:rPr>
              <w:t xml:space="preserve"> </w:t>
            </w:r>
            <w:r w:rsidR="008C2AE9" w:rsidRPr="00E8321B">
              <w:rPr>
                <w:rFonts w:ascii="Arial" w:hAnsi="Arial"/>
                <w:sz w:val="22"/>
                <w:szCs w:val="22"/>
              </w:rPr>
              <w:t>completion in April 2021. The pla</w:t>
            </w:r>
            <w:r w:rsidR="00815960" w:rsidRPr="00E8321B">
              <w:rPr>
                <w:rFonts w:ascii="Arial" w:hAnsi="Arial"/>
                <w:sz w:val="22"/>
                <w:szCs w:val="22"/>
              </w:rPr>
              <w:t xml:space="preserve">tform will help in the delivery of the civil service </w:t>
            </w:r>
            <w:r w:rsidR="001C39E0" w:rsidRPr="00E8321B">
              <w:rPr>
                <w:rFonts w:ascii="Arial" w:hAnsi="Arial"/>
                <w:sz w:val="22"/>
                <w:szCs w:val="22"/>
              </w:rPr>
              <w:t xml:space="preserve">training </w:t>
            </w:r>
            <w:r w:rsidR="00815960" w:rsidRPr="00E8321B">
              <w:rPr>
                <w:rFonts w:ascii="Arial" w:hAnsi="Arial"/>
                <w:sz w:val="22"/>
                <w:szCs w:val="22"/>
              </w:rPr>
              <w:t>and make it more wide</w:t>
            </w:r>
            <w:r w:rsidR="001C39E0" w:rsidRPr="00E8321B">
              <w:rPr>
                <w:rFonts w:ascii="Arial" w:hAnsi="Arial"/>
                <w:sz w:val="22"/>
                <w:szCs w:val="22"/>
              </w:rPr>
              <w:t>ly available. The Civil Servant</w:t>
            </w:r>
            <w:r w:rsidR="00815960" w:rsidRPr="00E8321B">
              <w:rPr>
                <w:rFonts w:ascii="Arial" w:hAnsi="Arial"/>
                <w:sz w:val="22"/>
                <w:szCs w:val="22"/>
              </w:rPr>
              <w:t>s</w:t>
            </w:r>
            <w:r w:rsidR="001C39E0" w:rsidRPr="00E8321B">
              <w:rPr>
                <w:rFonts w:ascii="Arial" w:hAnsi="Arial"/>
                <w:sz w:val="22"/>
                <w:szCs w:val="22"/>
              </w:rPr>
              <w:t>’</w:t>
            </w:r>
            <w:r w:rsidR="00815960" w:rsidRPr="00E8321B">
              <w:rPr>
                <w:rFonts w:ascii="Arial" w:hAnsi="Arial"/>
                <w:sz w:val="22"/>
                <w:szCs w:val="22"/>
              </w:rPr>
              <w:t xml:space="preserve"> Forum</w:t>
            </w:r>
            <w:r w:rsidR="001C39E0" w:rsidRPr="00E8321B">
              <w:rPr>
                <w:rFonts w:ascii="Arial" w:hAnsi="Arial"/>
                <w:sz w:val="22"/>
                <w:szCs w:val="22"/>
              </w:rPr>
              <w:t>, with CSB backing, has</w:t>
            </w:r>
            <w:r w:rsidR="00815960" w:rsidRPr="00E8321B">
              <w:rPr>
                <w:rFonts w:ascii="Arial" w:hAnsi="Arial"/>
                <w:sz w:val="22"/>
                <w:szCs w:val="22"/>
              </w:rPr>
              <w:t xml:space="preserve"> been a useful meeting place for civil servants and is expected to continue to advance civil service reform and address issues. </w:t>
            </w:r>
            <w:r w:rsidRPr="00E8321B">
              <w:rPr>
                <w:rFonts w:ascii="Arial" w:hAnsi="Arial"/>
                <w:sz w:val="22"/>
                <w:szCs w:val="22"/>
              </w:rPr>
              <w:t xml:space="preserve">Performance appraisal, which the project has helped to advance, is being applied. It is not yet </w:t>
            </w:r>
            <w:r w:rsidR="003114DC" w:rsidRPr="00E8321B">
              <w:rPr>
                <w:rFonts w:ascii="Arial" w:hAnsi="Arial"/>
                <w:sz w:val="22"/>
                <w:szCs w:val="22"/>
              </w:rPr>
              <w:t xml:space="preserve">a </w:t>
            </w:r>
            <w:r w:rsidRPr="00E8321B">
              <w:rPr>
                <w:rFonts w:ascii="Arial" w:hAnsi="Arial"/>
                <w:sz w:val="22"/>
                <w:szCs w:val="22"/>
              </w:rPr>
              <w:t xml:space="preserve">perfect system but has shown signs of improvement given a very low expectation </w:t>
            </w:r>
            <w:r w:rsidRPr="00E8321B">
              <w:rPr>
                <w:rFonts w:ascii="Arial" w:hAnsi="Arial"/>
                <w:sz w:val="22"/>
                <w:szCs w:val="22"/>
              </w:rPr>
              <w:lastRenderedPageBreak/>
              <w:t xml:space="preserve">base. </w:t>
            </w:r>
            <w:r w:rsidR="001C39E0" w:rsidRPr="00E8321B">
              <w:rPr>
                <w:rFonts w:ascii="Arial" w:hAnsi="Arial"/>
                <w:sz w:val="22"/>
                <w:szCs w:val="22"/>
              </w:rPr>
              <w:t>And</w:t>
            </w:r>
            <w:r w:rsidR="00D17F68" w:rsidRPr="00E8321B">
              <w:rPr>
                <w:rFonts w:ascii="Arial" w:hAnsi="Arial"/>
                <w:sz w:val="22"/>
                <w:szCs w:val="22"/>
              </w:rPr>
              <w:t>,</w:t>
            </w:r>
            <w:r w:rsidR="001C39E0" w:rsidRPr="00E8321B">
              <w:rPr>
                <w:rFonts w:ascii="Arial" w:hAnsi="Arial"/>
                <w:sz w:val="22"/>
                <w:szCs w:val="22"/>
              </w:rPr>
              <w:t xml:space="preserve"> pilots are now be</w:t>
            </w:r>
            <w:r w:rsidR="00F53274" w:rsidRPr="00E8321B">
              <w:rPr>
                <w:rFonts w:ascii="Arial" w:hAnsi="Arial"/>
                <w:sz w:val="22"/>
                <w:szCs w:val="22"/>
              </w:rPr>
              <w:t>ing</w:t>
            </w:r>
            <w:r w:rsidR="001C39E0" w:rsidRPr="00E8321B">
              <w:rPr>
                <w:rFonts w:ascii="Arial" w:hAnsi="Arial"/>
                <w:sz w:val="22"/>
                <w:szCs w:val="22"/>
              </w:rPr>
              <w:t xml:space="preserve"> undertaken to link appraisals with human resource development plans (in 3 ministries). </w:t>
            </w:r>
            <w:r w:rsidR="003114DC" w:rsidRPr="00E8321B">
              <w:rPr>
                <w:rFonts w:ascii="Arial" w:hAnsi="Arial"/>
                <w:sz w:val="22"/>
                <w:szCs w:val="22"/>
              </w:rPr>
              <w:t>The e-Human Resources Manag</w:t>
            </w:r>
            <w:r w:rsidR="00AF0CC8" w:rsidRPr="00E8321B">
              <w:rPr>
                <w:rFonts w:ascii="Arial" w:hAnsi="Arial"/>
                <w:sz w:val="22"/>
                <w:szCs w:val="22"/>
              </w:rPr>
              <w:t xml:space="preserve">ement System (e-HRMS) is part of this infrastructure and will eventually be linked to the e-learning platform. </w:t>
            </w:r>
            <w:r w:rsidR="003114DC" w:rsidRPr="00E8321B">
              <w:rPr>
                <w:rFonts w:ascii="Arial" w:hAnsi="Arial"/>
                <w:sz w:val="22"/>
                <w:szCs w:val="22"/>
              </w:rPr>
              <w:t xml:space="preserve">There </w:t>
            </w:r>
            <w:r w:rsidRPr="00E8321B">
              <w:rPr>
                <w:rFonts w:ascii="Arial" w:hAnsi="Arial"/>
                <w:sz w:val="22"/>
                <w:szCs w:val="22"/>
              </w:rPr>
              <w:t>is a question of affordability of training by some ministries and agencies and, thus, access</w:t>
            </w:r>
            <w:r w:rsidR="008C2AE9" w:rsidRPr="00E8321B">
              <w:rPr>
                <w:rFonts w:ascii="Arial" w:hAnsi="Arial"/>
                <w:sz w:val="22"/>
                <w:szCs w:val="22"/>
              </w:rPr>
              <w:t xml:space="preserve"> but the e-learning platform may help to address the affordability and access questions. Service delivery will</w:t>
            </w:r>
            <w:r w:rsidRPr="00E8321B">
              <w:rPr>
                <w:rFonts w:ascii="Arial" w:hAnsi="Arial"/>
                <w:sz w:val="22"/>
                <w:szCs w:val="22"/>
              </w:rPr>
              <w:t xml:space="preserve"> be enhanced by app</w:t>
            </w:r>
            <w:r w:rsidR="008C2AE9" w:rsidRPr="00E8321B">
              <w:rPr>
                <w:rFonts w:ascii="Arial" w:hAnsi="Arial"/>
                <w:sz w:val="22"/>
                <w:szCs w:val="22"/>
              </w:rPr>
              <w:t>roval of the UPSDD and the application beyond the two current pilot entities</w:t>
            </w:r>
            <w:r w:rsidRPr="00E8321B">
              <w:rPr>
                <w:rFonts w:ascii="Arial" w:hAnsi="Arial"/>
                <w:sz w:val="22"/>
                <w:szCs w:val="22"/>
              </w:rPr>
              <w:t>. The standards are being applied to entities that see the benefit of using such standards</w:t>
            </w:r>
            <w:r w:rsidR="008C2AE9" w:rsidRPr="00E8321B">
              <w:rPr>
                <w:rFonts w:ascii="Arial" w:hAnsi="Arial"/>
                <w:sz w:val="22"/>
                <w:szCs w:val="22"/>
              </w:rPr>
              <w:t xml:space="preserve"> and seem to have been applied in a committed and enthusiastic manner</w:t>
            </w:r>
            <w:r w:rsidRPr="00E8321B">
              <w:rPr>
                <w:rFonts w:ascii="Arial" w:hAnsi="Arial"/>
                <w:sz w:val="22"/>
                <w:szCs w:val="22"/>
              </w:rPr>
              <w:t xml:space="preserve">. E-government services have been expanded with project support as well as providing support for critical issue areas to include cyber security. The challenge is broadening the use of these interventions so they are done without donor support. There are signs this is happening but not thorough enough. </w:t>
            </w:r>
          </w:p>
          <w:p w14:paraId="56B1D7EB" w14:textId="77777777" w:rsidR="00B36DFF" w:rsidRPr="00E8321B" w:rsidRDefault="00B36DF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26BE8C75" w14:textId="2A78DB88" w:rsidR="008C2AE9" w:rsidRPr="00E8321B" w:rsidRDefault="00066252"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E8321B">
              <w:rPr>
                <w:rFonts w:ascii="Arial" w:hAnsi="Arial"/>
                <w:sz w:val="22"/>
                <w:szCs w:val="22"/>
              </w:rPr>
              <w:t xml:space="preserve">Capacity has been transferred to stakeholders. The transfer has occurred by training for the most part. </w:t>
            </w:r>
            <w:r w:rsidR="001C39E0" w:rsidRPr="00E8321B">
              <w:rPr>
                <w:rFonts w:ascii="Arial" w:hAnsi="Arial"/>
                <w:sz w:val="22"/>
                <w:szCs w:val="22"/>
              </w:rPr>
              <w:t>In some cases,</w:t>
            </w:r>
            <w:r w:rsidR="008C2AE9" w:rsidRPr="00E8321B">
              <w:rPr>
                <w:rFonts w:ascii="Arial" w:hAnsi="Arial"/>
                <w:sz w:val="22"/>
                <w:szCs w:val="22"/>
              </w:rPr>
              <w:t xml:space="preserve"> training of trainers</w:t>
            </w:r>
            <w:r w:rsidR="001C39E0" w:rsidRPr="00E8321B">
              <w:rPr>
                <w:rFonts w:ascii="Arial" w:hAnsi="Arial"/>
                <w:sz w:val="22"/>
                <w:szCs w:val="22"/>
              </w:rPr>
              <w:t xml:space="preserve"> has taken place</w:t>
            </w:r>
            <w:r w:rsidR="008C2AE9" w:rsidRPr="00E8321B">
              <w:rPr>
                <w:rFonts w:ascii="Arial" w:hAnsi="Arial"/>
                <w:sz w:val="22"/>
                <w:szCs w:val="22"/>
              </w:rPr>
              <w:t xml:space="preserve">, such as for the policy planning-related training </w:t>
            </w:r>
            <w:r w:rsidR="00D17F68" w:rsidRPr="00E8321B">
              <w:rPr>
                <w:rFonts w:ascii="Arial" w:hAnsi="Arial"/>
                <w:sz w:val="22"/>
                <w:szCs w:val="22"/>
              </w:rPr>
              <w:t xml:space="preserve">and public service delivery to include training packages in service design, delivery, quality assurance and public service costing. </w:t>
            </w:r>
            <w:r w:rsidR="001C39E0" w:rsidRPr="00E8321B">
              <w:rPr>
                <w:rFonts w:ascii="Arial" w:hAnsi="Arial"/>
                <w:sz w:val="22"/>
                <w:szCs w:val="22"/>
              </w:rPr>
              <w:t xml:space="preserve">E-learning systems are being developed to </w:t>
            </w:r>
            <w:r w:rsidR="00B36DFF" w:rsidRPr="00E8321B">
              <w:rPr>
                <w:rFonts w:ascii="Arial" w:hAnsi="Arial"/>
                <w:sz w:val="22"/>
                <w:szCs w:val="22"/>
              </w:rPr>
              <w:t>facilitate</w:t>
            </w:r>
            <w:r w:rsidR="001C39E0" w:rsidRPr="00E8321B">
              <w:rPr>
                <w:rFonts w:ascii="Arial" w:hAnsi="Arial"/>
                <w:sz w:val="22"/>
                <w:szCs w:val="22"/>
              </w:rPr>
              <w:t xml:space="preserve"> training but such use and quality of training need to be observed, especially at the beginning of their implementation.</w:t>
            </w:r>
            <w:r w:rsidR="008C2AE9" w:rsidRPr="00E8321B">
              <w:rPr>
                <w:rFonts w:ascii="Arial" w:hAnsi="Arial"/>
                <w:sz w:val="22"/>
                <w:szCs w:val="22"/>
              </w:rPr>
              <w:t xml:space="preserve"> </w:t>
            </w:r>
          </w:p>
          <w:p w14:paraId="7FB53AD1" w14:textId="77777777" w:rsidR="00B36DFF" w:rsidRPr="00E8321B" w:rsidRDefault="00B36DF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5748DCF5" w14:textId="5B45308D" w:rsidR="00066252" w:rsidRPr="00E8321B" w:rsidRDefault="00066252"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E8321B">
              <w:rPr>
                <w:rFonts w:ascii="Arial" w:hAnsi="Arial"/>
                <w:sz w:val="22"/>
                <w:szCs w:val="22"/>
              </w:rPr>
              <w:t xml:space="preserve">There is an issue of keeping management and staff at certain entities, such as </w:t>
            </w:r>
            <w:proofErr w:type="spellStart"/>
            <w:r w:rsidRPr="00E8321B">
              <w:rPr>
                <w:rFonts w:ascii="Arial" w:hAnsi="Arial"/>
                <w:sz w:val="22"/>
                <w:szCs w:val="22"/>
              </w:rPr>
              <w:t>AoG</w:t>
            </w:r>
            <w:proofErr w:type="spellEnd"/>
            <w:r w:rsidRPr="00E8321B">
              <w:rPr>
                <w:rFonts w:ascii="Arial" w:hAnsi="Arial"/>
                <w:sz w:val="22"/>
                <w:szCs w:val="22"/>
              </w:rPr>
              <w:t>, PSDA and DGA. One of the solution</w:t>
            </w:r>
            <w:r w:rsidR="008C2AE9" w:rsidRPr="00E8321B">
              <w:rPr>
                <w:rFonts w:ascii="Arial" w:hAnsi="Arial"/>
                <w:sz w:val="22"/>
                <w:szCs w:val="22"/>
              </w:rPr>
              <w:t>s</w:t>
            </w:r>
            <w:r w:rsidRPr="00E8321B">
              <w:rPr>
                <w:rFonts w:ascii="Arial" w:hAnsi="Arial"/>
                <w:sz w:val="22"/>
                <w:szCs w:val="22"/>
              </w:rPr>
              <w:t xml:space="preserve"> is to adopt processes, procedures, manuals and s</w:t>
            </w:r>
            <w:r w:rsidR="008C2AE9" w:rsidRPr="00E8321B">
              <w:rPr>
                <w:rFonts w:ascii="Arial" w:hAnsi="Arial"/>
                <w:sz w:val="22"/>
                <w:szCs w:val="22"/>
              </w:rPr>
              <w:t>tandards so if new people enter</w:t>
            </w:r>
            <w:r w:rsidRPr="00E8321B">
              <w:rPr>
                <w:rFonts w:ascii="Arial" w:hAnsi="Arial"/>
                <w:sz w:val="22"/>
                <w:szCs w:val="22"/>
              </w:rPr>
              <w:t xml:space="preserve"> they have something to follow. Since some of the instruments are mandated or according to law, it makes sustainability more possible but implementation will continue to be a main factor, especially the quality of implementation.</w:t>
            </w:r>
          </w:p>
          <w:p w14:paraId="669E6C12" w14:textId="77777777" w:rsidR="00B36DFF" w:rsidRPr="00E8321B" w:rsidRDefault="00B36DFF"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00E75F8D" w14:textId="26A6A6C1" w:rsidR="00066252" w:rsidRPr="00E8321B" w:rsidRDefault="00066252"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E8321B">
              <w:rPr>
                <w:rFonts w:ascii="Arial" w:hAnsi="Arial"/>
                <w:sz w:val="22"/>
                <w:szCs w:val="22"/>
              </w:rPr>
              <w:t xml:space="preserve">Any future interventions should have a clear exit strategy. Within the current project’s design, the exit strategy was not specifically identified and such a strategy could make it clear to stakeholders where donor support ends and it is up to stakeholders to do on their own. There is evidence that some of this is happening but not sufficient evidence that the reforms are fully accepted and whole-of-government. This </w:t>
            </w:r>
            <w:r w:rsidR="001C39E0" w:rsidRPr="00E8321B">
              <w:rPr>
                <w:rFonts w:ascii="Arial" w:hAnsi="Arial"/>
                <w:sz w:val="22"/>
                <w:szCs w:val="22"/>
              </w:rPr>
              <w:t xml:space="preserve">observation </w:t>
            </w:r>
            <w:r w:rsidRPr="00E8321B">
              <w:rPr>
                <w:rFonts w:ascii="Arial" w:hAnsi="Arial"/>
                <w:sz w:val="22"/>
                <w:szCs w:val="22"/>
              </w:rPr>
              <w:t>is not unique to Georgia since it requires cycles of activity over time.</w:t>
            </w:r>
          </w:p>
          <w:p w14:paraId="11C57B5B" w14:textId="6B1A8809" w:rsidR="00C3066C" w:rsidRPr="00E8321B" w:rsidRDefault="00C3066C" w:rsidP="003E7EE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A215AD" w14:paraId="6E390721" w14:textId="77777777" w:rsidTr="00B97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3A6759F7" w14:textId="21518A08" w:rsidR="00A215AD" w:rsidRDefault="00A215AD" w:rsidP="003E7EE7">
            <w:pPr>
              <w:pStyle w:val="ListParagraph"/>
              <w:ind w:left="0"/>
              <w:jc w:val="both"/>
              <w:rPr>
                <w:rFonts w:ascii="Arial" w:hAnsi="Arial"/>
                <w:sz w:val="22"/>
                <w:szCs w:val="22"/>
              </w:rPr>
            </w:pPr>
            <w:r>
              <w:rPr>
                <w:rFonts w:ascii="Arial" w:hAnsi="Arial"/>
                <w:sz w:val="22"/>
                <w:szCs w:val="22"/>
              </w:rPr>
              <w:lastRenderedPageBreak/>
              <w:t xml:space="preserve">Coordination </w:t>
            </w:r>
          </w:p>
        </w:tc>
        <w:tc>
          <w:tcPr>
            <w:tcW w:w="7929" w:type="dxa"/>
          </w:tcPr>
          <w:p w14:paraId="7700642F" w14:textId="2C30E12C" w:rsidR="008C2AE9" w:rsidRDefault="00066252"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The project has been apt at coordination on several fronts: wit</w:t>
            </w:r>
            <w:r w:rsidR="008C2AE9">
              <w:rPr>
                <w:rFonts w:ascii="Arial" w:hAnsi="Arial"/>
                <w:sz w:val="22"/>
                <w:szCs w:val="22"/>
              </w:rPr>
              <w:t>h government stakeholders,</w:t>
            </w:r>
            <w:r w:rsidR="00AF0CC8">
              <w:rPr>
                <w:rFonts w:ascii="Arial" w:hAnsi="Arial"/>
                <w:sz w:val="22"/>
                <w:szCs w:val="22"/>
              </w:rPr>
              <w:t xml:space="preserve"> development partners, CSO</w:t>
            </w:r>
            <w:r>
              <w:rPr>
                <w:rFonts w:ascii="Arial" w:hAnsi="Arial"/>
                <w:sz w:val="22"/>
                <w:szCs w:val="22"/>
              </w:rPr>
              <w:t>s, other UNDP projects</w:t>
            </w:r>
            <w:r w:rsidR="008C2AE9">
              <w:rPr>
                <w:rFonts w:ascii="Arial" w:hAnsi="Arial"/>
                <w:sz w:val="22"/>
                <w:szCs w:val="22"/>
              </w:rPr>
              <w:t>,</w:t>
            </w:r>
            <w:r>
              <w:rPr>
                <w:rFonts w:ascii="Arial" w:hAnsi="Arial"/>
                <w:sz w:val="22"/>
                <w:szCs w:val="22"/>
              </w:rPr>
              <w:t xml:space="preserve"> and UN agencies.  </w:t>
            </w:r>
            <w:r w:rsidR="008C2AE9">
              <w:rPr>
                <w:rFonts w:ascii="Arial" w:hAnsi="Arial"/>
                <w:sz w:val="22"/>
                <w:szCs w:val="22"/>
              </w:rPr>
              <w:t xml:space="preserve">The project’s management and staff have coordinated effectively and have a positive relationship with the UNDP country office and with UK government representatives. </w:t>
            </w:r>
          </w:p>
          <w:p w14:paraId="66A4CA06" w14:textId="77777777" w:rsidR="00B36DFF" w:rsidRDefault="00B36DFF"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26CD4FD4" w14:textId="7A3E34CE" w:rsidR="00A318D0" w:rsidRDefault="00066252"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From all partie</w:t>
            </w:r>
            <w:r w:rsidR="00A318D0">
              <w:rPr>
                <w:rFonts w:ascii="Arial" w:hAnsi="Arial"/>
                <w:sz w:val="22"/>
                <w:szCs w:val="22"/>
              </w:rPr>
              <w:t>s</w:t>
            </w:r>
            <w:r>
              <w:rPr>
                <w:rFonts w:ascii="Arial" w:hAnsi="Arial"/>
                <w:sz w:val="22"/>
                <w:szCs w:val="22"/>
              </w:rPr>
              <w:t xml:space="preserve"> interviewed, the project management and staff received pos</w:t>
            </w:r>
            <w:r w:rsidR="00A318D0">
              <w:rPr>
                <w:rFonts w:ascii="Arial" w:hAnsi="Arial"/>
                <w:sz w:val="22"/>
                <w:szCs w:val="22"/>
              </w:rPr>
              <w:t>itiv</w:t>
            </w:r>
            <w:r>
              <w:rPr>
                <w:rFonts w:ascii="Arial" w:hAnsi="Arial"/>
                <w:sz w:val="22"/>
                <w:szCs w:val="22"/>
              </w:rPr>
              <w:t xml:space="preserve">e comments for responsiveness, resourcefulness, </w:t>
            </w:r>
            <w:r w:rsidR="00A318D0">
              <w:rPr>
                <w:rFonts w:ascii="Arial" w:hAnsi="Arial"/>
                <w:sz w:val="22"/>
                <w:szCs w:val="22"/>
              </w:rPr>
              <w:t xml:space="preserve">support, follow-up and </w:t>
            </w:r>
            <w:r w:rsidR="00A318D0">
              <w:rPr>
                <w:rFonts w:ascii="Arial" w:hAnsi="Arial"/>
                <w:sz w:val="22"/>
                <w:szCs w:val="22"/>
              </w:rPr>
              <w:lastRenderedPageBreak/>
              <w:t xml:space="preserve">reliability. Government stakeholders see the project as a reliable support tool to accomplish their respective responsibilities. Other development partners indicated the interest to work together when necessary or coordinate as appropriate. </w:t>
            </w:r>
            <w:r w:rsidR="00925A62">
              <w:rPr>
                <w:rFonts w:ascii="Arial" w:hAnsi="Arial"/>
                <w:sz w:val="22"/>
                <w:szCs w:val="22"/>
              </w:rPr>
              <w:t xml:space="preserve">This is being done in a more informal manner based on either past working relationships of those active in the reform process or the building of new relationships. Collaboration also seems to occur when issues are confronted or attention is needed. </w:t>
            </w:r>
            <w:r w:rsidR="00A318D0">
              <w:rPr>
                <w:rFonts w:ascii="Arial" w:hAnsi="Arial"/>
                <w:sz w:val="22"/>
                <w:szCs w:val="22"/>
              </w:rPr>
              <w:t xml:space="preserve">The project fits into a multi-faceted governance program being executed by UNDP in Georgia as well as a major project of the UK government in </w:t>
            </w:r>
            <w:r w:rsidR="00271060">
              <w:rPr>
                <w:rFonts w:ascii="Arial" w:hAnsi="Arial"/>
                <w:sz w:val="22"/>
                <w:szCs w:val="22"/>
              </w:rPr>
              <w:t>Georgia</w:t>
            </w:r>
            <w:r w:rsidR="00A318D0">
              <w:rPr>
                <w:rFonts w:ascii="Arial" w:hAnsi="Arial"/>
                <w:sz w:val="22"/>
                <w:szCs w:val="22"/>
              </w:rPr>
              <w:t>. CSOs, to include NGOs and academic institutions and others, have been key players as parti</w:t>
            </w:r>
            <w:r w:rsidR="00A92474">
              <w:rPr>
                <w:rFonts w:ascii="Arial" w:hAnsi="Arial"/>
                <w:sz w:val="22"/>
                <w:szCs w:val="22"/>
              </w:rPr>
              <w:t>c</w:t>
            </w:r>
            <w:r w:rsidR="00A318D0">
              <w:rPr>
                <w:rFonts w:ascii="Arial" w:hAnsi="Arial"/>
                <w:sz w:val="22"/>
                <w:szCs w:val="22"/>
              </w:rPr>
              <w:t>ipants as well as stakeholders. The two faceted approach</w:t>
            </w:r>
            <w:r w:rsidR="00AF0CC8">
              <w:rPr>
                <w:rFonts w:ascii="Arial" w:hAnsi="Arial"/>
                <w:sz w:val="22"/>
                <w:szCs w:val="22"/>
              </w:rPr>
              <w:t xml:space="preserve"> </w:t>
            </w:r>
            <w:r w:rsidR="00A318D0">
              <w:rPr>
                <w:rFonts w:ascii="Arial" w:hAnsi="Arial"/>
                <w:sz w:val="22"/>
                <w:szCs w:val="22"/>
              </w:rPr>
              <w:t xml:space="preserve">- opening avenues for CSO input and participation into the various </w:t>
            </w:r>
            <w:r w:rsidR="00271060">
              <w:rPr>
                <w:rFonts w:ascii="Arial" w:hAnsi="Arial"/>
                <w:sz w:val="22"/>
                <w:szCs w:val="22"/>
              </w:rPr>
              <w:t xml:space="preserve">PAR elements and involvement of CSOs in </w:t>
            </w:r>
            <w:r w:rsidR="00A318D0">
              <w:rPr>
                <w:rFonts w:ascii="Arial" w:hAnsi="Arial"/>
                <w:sz w:val="22"/>
                <w:szCs w:val="22"/>
              </w:rPr>
              <w:t>the small grant scheme</w:t>
            </w:r>
            <w:r w:rsidR="00AF0CC8">
              <w:rPr>
                <w:rFonts w:ascii="Arial" w:hAnsi="Arial"/>
                <w:sz w:val="22"/>
                <w:szCs w:val="22"/>
              </w:rPr>
              <w:t xml:space="preserve"> -</w:t>
            </w:r>
            <w:r w:rsidR="00A318D0">
              <w:rPr>
                <w:rFonts w:ascii="Arial" w:hAnsi="Arial"/>
                <w:sz w:val="22"/>
                <w:szCs w:val="22"/>
              </w:rPr>
              <w:t xml:space="preserve"> has created more than just interest but a </w:t>
            </w:r>
            <w:r w:rsidR="00271060">
              <w:rPr>
                <w:rFonts w:ascii="Arial" w:hAnsi="Arial"/>
                <w:sz w:val="22"/>
                <w:szCs w:val="22"/>
              </w:rPr>
              <w:t>more active role in PAR reform as well as capacities to do so.</w:t>
            </w:r>
          </w:p>
          <w:p w14:paraId="5AE74010" w14:textId="77777777" w:rsidR="00B36DFF" w:rsidRDefault="00B36DFF"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66FDB3A9" w14:textId="5393AA01" w:rsidR="007B3C8A" w:rsidRDefault="007B3C8A"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 xml:space="preserve">Coordination was also done within the project itself to help </w:t>
            </w:r>
            <w:r w:rsidR="00925A62">
              <w:rPr>
                <w:rFonts w:ascii="Arial" w:hAnsi="Arial"/>
                <w:sz w:val="22"/>
                <w:szCs w:val="22"/>
              </w:rPr>
              <w:t xml:space="preserve">develop or strengthen working relationships </w:t>
            </w:r>
            <w:r>
              <w:rPr>
                <w:rFonts w:ascii="Arial" w:hAnsi="Arial"/>
                <w:sz w:val="22"/>
                <w:szCs w:val="22"/>
              </w:rPr>
              <w:t>between differ</w:t>
            </w:r>
            <w:r w:rsidR="00925A62">
              <w:rPr>
                <w:rFonts w:ascii="Arial" w:hAnsi="Arial"/>
                <w:sz w:val="22"/>
                <w:szCs w:val="22"/>
              </w:rPr>
              <w:t>ent stakeholders. PAR is a wide-</w:t>
            </w:r>
            <w:r>
              <w:rPr>
                <w:rFonts w:ascii="Arial" w:hAnsi="Arial"/>
                <w:sz w:val="22"/>
                <w:szCs w:val="22"/>
              </w:rPr>
              <w:t>ranging reform effort and requires the coordination and collaborati</w:t>
            </w:r>
            <w:r w:rsidR="00925A62">
              <w:rPr>
                <w:rFonts w:ascii="Arial" w:hAnsi="Arial"/>
                <w:sz w:val="22"/>
                <w:szCs w:val="22"/>
              </w:rPr>
              <w:t>o</w:t>
            </w:r>
            <w:r>
              <w:rPr>
                <w:rFonts w:ascii="Arial" w:hAnsi="Arial"/>
                <w:sz w:val="22"/>
                <w:szCs w:val="22"/>
              </w:rPr>
              <w:t xml:space="preserve">n of the various entities involved. It is not a totally hierarchical effort and various </w:t>
            </w:r>
            <w:proofErr w:type="spellStart"/>
            <w:r>
              <w:rPr>
                <w:rFonts w:ascii="Arial" w:hAnsi="Arial"/>
                <w:sz w:val="22"/>
                <w:szCs w:val="22"/>
              </w:rPr>
              <w:t>GoG</w:t>
            </w:r>
            <w:proofErr w:type="spellEnd"/>
            <w:r>
              <w:rPr>
                <w:rFonts w:ascii="Arial" w:hAnsi="Arial"/>
                <w:sz w:val="22"/>
                <w:szCs w:val="22"/>
              </w:rPr>
              <w:t xml:space="preserve"> enti</w:t>
            </w:r>
            <w:r w:rsidR="00925A62">
              <w:rPr>
                <w:rFonts w:ascii="Arial" w:hAnsi="Arial"/>
                <w:sz w:val="22"/>
                <w:szCs w:val="22"/>
              </w:rPr>
              <w:t>ti</w:t>
            </w:r>
            <w:r>
              <w:rPr>
                <w:rFonts w:ascii="Arial" w:hAnsi="Arial"/>
                <w:sz w:val="22"/>
                <w:szCs w:val="22"/>
              </w:rPr>
              <w:t xml:space="preserve">es have responsibility. This has led to formal and informal cooperative working relationships between </w:t>
            </w:r>
            <w:proofErr w:type="spellStart"/>
            <w:r>
              <w:rPr>
                <w:rFonts w:ascii="Arial" w:hAnsi="Arial"/>
                <w:sz w:val="22"/>
                <w:szCs w:val="22"/>
              </w:rPr>
              <w:t>AoG</w:t>
            </w:r>
            <w:proofErr w:type="spellEnd"/>
            <w:r>
              <w:rPr>
                <w:rFonts w:ascii="Arial" w:hAnsi="Arial"/>
                <w:sz w:val="22"/>
                <w:szCs w:val="22"/>
              </w:rPr>
              <w:t>, CSB, DGA and PSDA. Such coordinati</w:t>
            </w:r>
            <w:r w:rsidR="00925A62">
              <w:rPr>
                <w:rFonts w:ascii="Arial" w:hAnsi="Arial"/>
                <w:sz w:val="22"/>
                <w:szCs w:val="22"/>
              </w:rPr>
              <w:t>o</w:t>
            </w:r>
            <w:r>
              <w:rPr>
                <w:rFonts w:ascii="Arial" w:hAnsi="Arial"/>
                <w:sz w:val="22"/>
                <w:szCs w:val="22"/>
              </w:rPr>
              <w:t>n and collaborati</w:t>
            </w:r>
            <w:r w:rsidR="00925A62">
              <w:rPr>
                <w:rFonts w:ascii="Arial" w:hAnsi="Arial"/>
                <w:sz w:val="22"/>
                <w:szCs w:val="22"/>
              </w:rPr>
              <w:t>o</w:t>
            </w:r>
            <w:r>
              <w:rPr>
                <w:rFonts w:ascii="Arial" w:hAnsi="Arial"/>
                <w:sz w:val="22"/>
                <w:szCs w:val="22"/>
              </w:rPr>
              <w:t xml:space="preserve">n is absolutely necessary and the project has helped to facilitate it. </w:t>
            </w:r>
          </w:p>
          <w:p w14:paraId="749197A0" w14:textId="77777777" w:rsidR="00B36DFF" w:rsidRDefault="00B36DFF"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36BF438D" w14:textId="582DD638" w:rsidR="00A215AD" w:rsidRDefault="00A318D0"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 xml:space="preserve">There is the possibility for donor coordination to improve in this space that is more led by government. There are various donors involved (EU, </w:t>
            </w:r>
            <w:r w:rsidR="003114DC">
              <w:rPr>
                <w:rFonts w:ascii="Arial" w:hAnsi="Arial"/>
                <w:sz w:val="22"/>
                <w:szCs w:val="22"/>
              </w:rPr>
              <w:t xml:space="preserve">UNDP, </w:t>
            </w:r>
            <w:r>
              <w:rPr>
                <w:rFonts w:ascii="Arial" w:hAnsi="Arial"/>
                <w:sz w:val="22"/>
                <w:szCs w:val="22"/>
              </w:rPr>
              <w:t xml:space="preserve">USAID, </w:t>
            </w:r>
            <w:r w:rsidR="00C651EC">
              <w:rPr>
                <w:rFonts w:ascii="Arial" w:hAnsi="Arial"/>
                <w:sz w:val="22"/>
                <w:szCs w:val="22"/>
              </w:rPr>
              <w:t>GIZ</w:t>
            </w:r>
            <w:r>
              <w:rPr>
                <w:rFonts w:ascii="Arial" w:hAnsi="Arial"/>
                <w:sz w:val="22"/>
                <w:szCs w:val="22"/>
              </w:rPr>
              <w:t>, etc.) and there is coordination amongst the donors that benefits collaboration and cooperation and for each to focus on specific areas. However, the coordination is amongs</w:t>
            </w:r>
            <w:r w:rsidR="00A92474">
              <w:rPr>
                <w:rFonts w:ascii="Arial" w:hAnsi="Arial"/>
                <w:sz w:val="22"/>
                <w:szCs w:val="22"/>
              </w:rPr>
              <w:t>t the donors themsel</w:t>
            </w:r>
            <w:r>
              <w:rPr>
                <w:rFonts w:ascii="Arial" w:hAnsi="Arial"/>
                <w:sz w:val="22"/>
                <w:szCs w:val="22"/>
              </w:rPr>
              <w:t xml:space="preserve">ves. Each has their inroads with the </w:t>
            </w:r>
            <w:proofErr w:type="spellStart"/>
            <w:r>
              <w:rPr>
                <w:rFonts w:ascii="Arial" w:hAnsi="Arial"/>
                <w:sz w:val="22"/>
                <w:szCs w:val="22"/>
              </w:rPr>
              <w:t>GoG</w:t>
            </w:r>
            <w:proofErr w:type="spellEnd"/>
            <w:r>
              <w:rPr>
                <w:rFonts w:ascii="Arial" w:hAnsi="Arial"/>
                <w:sz w:val="22"/>
                <w:szCs w:val="22"/>
              </w:rPr>
              <w:t xml:space="preserve">. </w:t>
            </w:r>
            <w:r w:rsidR="00A92474">
              <w:rPr>
                <w:rFonts w:ascii="Arial" w:hAnsi="Arial"/>
                <w:sz w:val="22"/>
                <w:szCs w:val="22"/>
              </w:rPr>
              <w:t xml:space="preserve">More government-led donor coordination may benefit </w:t>
            </w:r>
            <w:r w:rsidR="00D17F68">
              <w:rPr>
                <w:rFonts w:ascii="Arial" w:hAnsi="Arial"/>
                <w:sz w:val="22"/>
                <w:szCs w:val="22"/>
              </w:rPr>
              <w:t xml:space="preserve">PAR progress </w:t>
            </w:r>
            <w:r w:rsidR="00A92474">
              <w:rPr>
                <w:rFonts w:ascii="Arial" w:hAnsi="Arial"/>
                <w:sz w:val="22"/>
                <w:szCs w:val="22"/>
              </w:rPr>
              <w:t>in the future</w:t>
            </w:r>
            <w:r w:rsidR="00D17F68">
              <w:rPr>
                <w:rFonts w:ascii="Arial" w:hAnsi="Arial"/>
                <w:sz w:val="22"/>
                <w:szCs w:val="22"/>
              </w:rPr>
              <w:t xml:space="preserve"> and the specific stakeholder counterparts</w:t>
            </w:r>
            <w:r w:rsidR="00925A62">
              <w:rPr>
                <w:rFonts w:ascii="Arial" w:hAnsi="Arial"/>
                <w:sz w:val="22"/>
                <w:szCs w:val="22"/>
              </w:rPr>
              <w:t>.</w:t>
            </w:r>
            <w:r w:rsidR="0057658E">
              <w:rPr>
                <w:rFonts w:ascii="Arial" w:hAnsi="Arial"/>
                <w:sz w:val="22"/>
                <w:szCs w:val="22"/>
              </w:rPr>
              <w:t xml:space="preserve"> UNDP has</w:t>
            </w:r>
            <w:r w:rsidR="003114DC">
              <w:rPr>
                <w:rFonts w:ascii="Arial" w:hAnsi="Arial"/>
                <w:sz w:val="22"/>
                <w:szCs w:val="22"/>
              </w:rPr>
              <w:t xml:space="preserve"> the comparative</w:t>
            </w:r>
            <w:r w:rsidR="0057658E">
              <w:rPr>
                <w:rFonts w:ascii="Arial" w:hAnsi="Arial"/>
                <w:sz w:val="22"/>
                <w:szCs w:val="22"/>
              </w:rPr>
              <w:t xml:space="preserve"> advantage to help make this happen</w:t>
            </w:r>
            <w:r w:rsidR="009033C3">
              <w:rPr>
                <w:rFonts w:ascii="Arial" w:hAnsi="Arial"/>
                <w:sz w:val="22"/>
                <w:szCs w:val="22"/>
              </w:rPr>
              <w:t xml:space="preserve"> given its objective stance and worldwide experience, including within the region</w:t>
            </w:r>
            <w:r w:rsidR="0057658E">
              <w:rPr>
                <w:rFonts w:ascii="Arial" w:hAnsi="Arial"/>
                <w:sz w:val="22"/>
                <w:szCs w:val="22"/>
              </w:rPr>
              <w:t>.</w:t>
            </w:r>
          </w:p>
          <w:p w14:paraId="29F319FF" w14:textId="3B188551" w:rsidR="00A92474" w:rsidRDefault="00A92474" w:rsidP="00A318D0">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tc>
      </w:tr>
      <w:tr w:rsidR="00A215AD" w14:paraId="35217A30" w14:textId="77777777" w:rsidTr="00B9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5D09A9F9" w14:textId="651058AE" w:rsidR="00A215AD" w:rsidRDefault="00A215AD" w:rsidP="003E7EE7">
            <w:pPr>
              <w:pStyle w:val="ListParagraph"/>
              <w:ind w:left="0"/>
              <w:jc w:val="both"/>
              <w:rPr>
                <w:rFonts w:ascii="Arial" w:hAnsi="Arial"/>
                <w:sz w:val="22"/>
                <w:szCs w:val="22"/>
              </w:rPr>
            </w:pPr>
            <w:r>
              <w:rPr>
                <w:rFonts w:ascii="Arial" w:hAnsi="Arial"/>
                <w:sz w:val="22"/>
                <w:szCs w:val="22"/>
              </w:rPr>
              <w:lastRenderedPageBreak/>
              <w:t>Gender Equality and Inclusion</w:t>
            </w:r>
          </w:p>
        </w:tc>
        <w:tc>
          <w:tcPr>
            <w:tcW w:w="7929" w:type="dxa"/>
          </w:tcPr>
          <w:p w14:paraId="54ADF32E" w14:textId="4E602846" w:rsidR="00271060" w:rsidRDefault="00271060"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Gender and inclusion have been a day-to-day commitment for the proj</w:t>
            </w:r>
            <w:r w:rsidR="0057658E">
              <w:rPr>
                <w:rFonts w:ascii="Arial" w:hAnsi="Arial"/>
                <w:sz w:val="22"/>
                <w:szCs w:val="22"/>
              </w:rPr>
              <w:t>ect since initiation. The project</w:t>
            </w:r>
            <w:r>
              <w:rPr>
                <w:rFonts w:ascii="Arial" w:hAnsi="Arial"/>
                <w:sz w:val="22"/>
                <w:szCs w:val="22"/>
              </w:rPr>
              <w:t xml:space="preserve"> follows an ingrained human rights based approach that is not only advocated but put into practice at the policy formulation level, </w:t>
            </w:r>
            <w:r w:rsidR="00622A3E">
              <w:rPr>
                <w:rFonts w:ascii="Arial" w:hAnsi="Arial"/>
                <w:sz w:val="22"/>
                <w:szCs w:val="22"/>
              </w:rPr>
              <w:t xml:space="preserve">civil servant </w:t>
            </w:r>
            <w:r>
              <w:rPr>
                <w:rFonts w:ascii="Arial" w:hAnsi="Arial"/>
                <w:sz w:val="22"/>
                <w:szCs w:val="22"/>
              </w:rPr>
              <w:t>human resource capacity building level, the provision of public services, and the involvement of CSOs and their ability to either address or formulate positions or provide research on gender and inclusion issues.</w:t>
            </w:r>
          </w:p>
          <w:p w14:paraId="1072D1F5" w14:textId="77777777" w:rsidR="00B36DFF" w:rsidRDefault="00B36DFF"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3607D727" w14:textId="3F7CC3CA" w:rsidR="00271060" w:rsidRDefault="00A90698"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The human rights based approach</w:t>
            </w:r>
            <w:r w:rsidR="00271060">
              <w:rPr>
                <w:rFonts w:ascii="Arial" w:hAnsi="Arial"/>
                <w:sz w:val="22"/>
                <w:szCs w:val="22"/>
              </w:rPr>
              <w:t xml:space="preserve"> is now embedded in the policy formulati</w:t>
            </w:r>
            <w:r>
              <w:rPr>
                <w:rFonts w:ascii="Arial" w:hAnsi="Arial"/>
                <w:sz w:val="22"/>
                <w:szCs w:val="22"/>
              </w:rPr>
              <w:t>o</w:t>
            </w:r>
            <w:r w:rsidR="00271060">
              <w:rPr>
                <w:rFonts w:ascii="Arial" w:hAnsi="Arial"/>
                <w:sz w:val="22"/>
                <w:szCs w:val="22"/>
              </w:rPr>
              <w:t>n process. The</w:t>
            </w:r>
            <w:r>
              <w:rPr>
                <w:rFonts w:ascii="Arial" w:hAnsi="Arial"/>
                <w:sz w:val="22"/>
                <w:szCs w:val="22"/>
              </w:rPr>
              <w:t xml:space="preserve"> polic</w:t>
            </w:r>
            <w:r w:rsidR="0057658E">
              <w:rPr>
                <w:rFonts w:ascii="Arial" w:hAnsi="Arial"/>
                <w:sz w:val="22"/>
                <w:szCs w:val="22"/>
              </w:rPr>
              <w:t xml:space="preserve">y </w:t>
            </w:r>
            <w:r w:rsidR="00271060">
              <w:rPr>
                <w:rFonts w:ascii="Arial" w:hAnsi="Arial"/>
                <w:sz w:val="22"/>
                <w:szCs w:val="22"/>
              </w:rPr>
              <w:t xml:space="preserve">planning handbook </w:t>
            </w:r>
            <w:r>
              <w:rPr>
                <w:rFonts w:ascii="Arial" w:hAnsi="Arial"/>
                <w:sz w:val="22"/>
                <w:szCs w:val="22"/>
              </w:rPr>
              <w:t>re</w:t>
            </w:r>
            <w:r w:rsidR="0057658E">
              <w:rPr>
                <w:rFonts w:ascii="Arial" w:hAnsi="Arial"/>
                <w:sz w:val="22"/>
                <w:szCs w:val="22"/>
              </w:rPr>
              <w:t>quires the adoption</w:t>
            </w:r>
            <w:r>
              <w:rPr>
                <w:rFonts w:ascii="Arial" w:hAnsi="Arial"/>
                <w:sz w:val="22"/>
                <w:szCs w:val="22"/>
              </w:rPr>
              <w:t xml:space="preserve"> of a </w:t>
            </w:r>
            <w:r w:rsidR="00B36DFF">
              <w:rPr>
                <w:rFonts w:ascii="Arial" w:hAnsi="Arial"/>
                <w:sz w:val="22"/>
                <w:szCs w:val="22"/>
              </w:rPr>
              <w:t xml:space="preserve">human </w:t>
            </w:r>
            <w:proofErr w:type="gramStart"/>
            <w:r w:rsidR="00B36DFF">
              <w:rPr>
                <w:rFonts w:ascii="Arial" w:hAnsi="Arial"/>
                <w:sz w:val="22"/>
                <w:szCs w:val="22"/>
              </w:rPr>
              <w:t>rights</w:t>
            </w:r>
            <w:r>
              <w:rPr>
                <w:rFonts w:ascii="Arial" w:hAnsi="Arial"/>
                <w:sz w:val="22"/>
                <w:szCs w:val="22"/>
              </w:rPr>
              <w:t xml:space="preserve"> based</w:t>
            </w:r>
            <w:proofErr w:type="gramEnd"/>
            <w:r>
              <w:rPr>
                <w:rFonts w:ascii="Arial" w:hAnsi="Arial"/>
                <w:sz w:val="22"/>
                <w:szCs w:val="22"/>
              </w:rPr>
              <w:t xml:space="preserve"> approach when formulating goals and objectives in national, sector and institutional policy documents. The documents are to incorporate issues relating to gender, minorities and vulnerable groups.</w:t>
            </w:r>
            <w:r w:rsidR="00A127EB">
              <w:rPr>
                <w:rFonts w:ascii="Arial" w:hAnsi="Arial"/>
                <w:sz w:val="22"/>
                <w:szCs w:val="22"/>
              </w:rPr>
              <w:t xml:space="preserve"> For the new PAR </w:t>
            </w:r>
            <w:r w:rsidR="00A127EB">
              <w:rPr>
                <w:rFonts w:ascii="Arial" w:hAnsi="Arial"/>
                <w:sz w:val="22"/>
                <w:szCs w:val="22"/>
              </w:rPr>
              <w:lastRenderedPageBreak/>
              <w:t>Roadmap under development, UN Women is part of the</w:t>
            </w:r>
            <w:r w:rsidR="004D0B79">
              <w:rPr>
                <w:rFonts w:ascii="Arial" w:hAnsi="Arial"/>
                <w:sz w:val="22"/>
                <w:szCs w:val="22"/>
              </w:rPr>
              <w:t xml:space="preserve"> development team and by applying</w:t>
            </w:r>
            <w:r w:rsidR="00A127EB">
              <w:rPr>
                <w:rFonts w:ascii="Arial" w:hAnsi="Arial"/>
                <w:sz w:val="22"/>
                <w:szCs w:val="22"/>
              </w:rPr>
              <w:t xml:space="preserve"> the policy planning</w:t>
            </w:r>
            <w:r w:rsidR="004D0B79">
              <w:rPr>
                <w:rFonts w:ascii="Arial" w:hAnsi="Arial"/>
                <w:sz w:val="22"/>
                <w:szCs w:val="22"/>
              </w:rPr>
              <w:t xml:space="preserve"> handbook and system</w:t>
            </w:r>
            <w:r w:rsidR="00A127EB">
              <w:rPr>
                <w:rFonts w:ascii="Arial" w:hAnsi="Arial"/>
                <w:sz w:val="22"/>
                <w:szCs w:val="22"/>
              </w:rPr>
              <w:t>, a more human rights-based approach will be applied.</w:t>
            </w:r>
            <w:r w:rsidR="00622A3E">
              <w:rPr>
                <w:rFonts w:ascii="Arial" w:hAnsi="Arial"/>
                <w:sz w:val="22"/>
                <w:szCs w:val="22"/>
              </w:rPr>
              <w:t xml:space="preserve"> Such an approach makes addressing such issues systematic and allows input from the professionals at the civil service level as well as the public. As well, it </w:t>
            </w:r>
            <w:proofErr w:type="gramStart"/>
            <w:r w:rsidR="00622A3E">
              <w:rPr>
                <w:rFonts w:ascii="Arial" w:hAnsi="Arial"/>
                <w:sz w:val="22"/>
                <w:szCs w:val="22"/>
              </w:rPr>
              <w:t>give</w:t>
            </w:r>
            <w:proofErr w:type="gramEnd"/>
            <w:r w:rsidR="00622A3E">
              <w:rPr>
                <w:rFonts w:ascii="Arial" w:hAnsi="Arial"/>
                <w:sz w:val="22"/>
                <w:szCs w:val="22"/>
              </w:rPr>
              <w:t xml:space="preserve"> more discrete avenues for development partner assistance or partnerships o</w:t>
            </w:r>
            <w:r w:rsidR="00AF0CC8">
              <w:rPr>
                <w:rFonts w:ascii="Arial" w:hAnsi="Arial"/>
                <w:sz w:val="22"/>
                <w:szCs w:val="22"/>
              </w:rPr>
              <w:t>n</w:t>
            </w:r>
            <w:r w:rsidR="00622A3E">
              <w:rPr>
                <w:rFonts w:ascii="Arial" w:hAnsi="Arial"/>
                <w:sz w:val="22"/>
                <w:szCs w:val="22"/>
              </w:rPr>
              <w:t xml:space="preserve"> these issues.</w:t>
            </w:r>
          </w:p>
          <w:p w14:paraId="6B73C0E5" w14:textId="77777777" w:rsidR="00B36DFF" w:rsidRDefault="00B36DFF"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4DEA2E46" w14:textId="6B5A718D" w:rsidR="00F51CB6" w:rsidRDefault="00E36339"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The civil servant h</w:t>
            </w:r>
            <w:r w:rsidR="00A90698">
              <w:rPr>
                <w:rFonts w:ascii="Arial" w:hAnsi="Arial"/>
                <w:sz w:val="22"/>
                <w:szCs w:val="22"/>
              </w:rPr>
              <w:t>uman resource capacity development sponsor</w:t>
            </w:r>
            <w:r w:rsidR="0057658E">
              <w:rPr>
                <w:rFonts w:ascii="Arial" w:hAnsi="Arial"/>
                <w:sz w:val="22"/>
                <w:szCs w:val="22"/>
              </w:rPr>
              <w:t>ed by the project had strong female participation</w:t>
            </w:r>
            <w:r w:rsidR="00A90698">
              <w:rPr>
                <w:rFonts w:ascii="Arial" w:hAnsi="Arial"/>
                <w:sz w:val="22"/>
                <w:szCs w:val="22"/>
              </w:rPr>
              <w:t>. Of the 25 main trai</w:t>
            </w:r>
            <w:r w:rsidR="009033C3">
              <w:rPr>
                <w:rFonts w:ascii="Arial" w:hAnsi="Arial"/>
                <w:sz w:val="22"/>
                <w:szCs w:val="22"/>
              </w:rPr>
              <w:t>ning events, 18 had</w:t>
            </w:r>
            <w:r w:rsidR="00A90698">
              <w:rPr>
                <w:rFonts w:ascii="Arial" w:hAnsi="Arial"/>
                <w:sz w:val="22"/>
                <w:szCs w:val="22"/>
              </w:rPr>
              <w:t xml:space="preserve"> gender disaggregated</w:t>
            </w:r>
            <w:r w:rsidR="009033C3">
              <w:rPr>
                <w:rFonts w:ascii="Arial" w:hAnsi="Arial"/>
                <w:sz w:val="22"/>
                <w:szCs w:val="22"/>
              </w:rPr>
              <w:t xml:space="preserve"> participant data</w:t>
            </w:r>
            <w:r w:rsidR="00A90698">
              <w:rPr>
                <w:rFonts w:ascii="Arial" w:hAnsi="Arial"/>
                <w:sz w:val="22"/>
                <w:szCs w:val="22"/>
              </w:rPr>
              <w:t xml:space="preserve">. At these 18 events, a total of about 2,907 individuals were </w:t>
            </w:r>
            <w:r w:rsidR="00913461">
              <w:rPr>
                <w:rFonts w:ascii="Arial" w:hAnsi="Arial"/>
                <w:sz w:val="22"/>
                <w:szCs w:val="22"/>
              </w:rPr>
              <w:t>trained with about 1,854 women</w:t>
            </w:r>
            <w:r w:rsidR="00A90698">
              <w:rPr>
                <w:rFonts w:ascii="Arial" w:hAnsi="Arial"/>
                <w:sz w:val="22"/>
                <w:szCs w:val="22"/>
              </w:rPr>
              <w:t xml:space="preserve"> trained (63.8</w:t>
            </w:r>
            <w:r w:rsidR="00913461">
              <w:rPr>
                <w:rFonts w:ascii="Arial" w:hAnsi="Arial"/>
                <w:sz w:val="22"/>
                <w:szCs w:val="22"/>
              </w:rPr>
              <w:t>%</w:t>
            </w:r>
            <w:r w:rsidR="00A90698">
              <w:rPr>
                <w:rFonts w:ascii="Arial" w:hAnsi="Arial"/>
                <w:sz w:val="22"/>
                <w:szCs w:val="22"/>
              </w:rPr>
              <w:t xml:space="preserve"> of those trained). </w:t>
            </w:r>
            <w:r w:rsidR="00AF0CC8">
              <w:rPr>
                <w:rFonts w:ascii="Arial" w:hAnsi="Arial"/>
                <w:sz w:val="22"/>
                <w:szCs w:val="22"/>
              </w:rPr>
              <w:t>Women made up 72% o</w:t>
            </w:r>
            <w:r w:rsidR="00F51CB6">
              <w:rPr>
                <w:rFonts w:ascii="Arial" w:hAnsi="Arial"/>
                <w:sz w:val="22"/>
                <w:szCs w:val="22"/>
              </w:rPr>
              <w:t>f those intervie</w:t>
            </w:r>
            <w:r w:rsidR="00913461">
              <w:rPr>
                <w:rFonts w:ascii="Arial" w:hAnsi="Arial"/>
                <w:sz w:val="22"/>
                <w:szCs w:val="22"/>
              </w:rPr>
              <w:t>wed for this evaluation</w:t>
            </w:r>
            <w:r w:rsidR="00AF0CC8">
              <w:rPr>
                <w:rFonts w:ascii="Arial" w:hAnsi="Arial"/>
                <w:sz w:val="22"/>
                <w:szCs w:val="22"/>
              </w:rPr>
              <w:t>. Women were trainers</w:t>
            </w:r>
            <w:r w:rsidR="00913461">
              <w:rPr>
                <w:rFonts w:ascii="Arial" w:hAnsi="Arial"/>
                <w:sz w:val="22"/>
                <w:szCs w:val="22"/>
              </w:rPr>
              <w:t>, confe</w:t>
            </w:r>
            <w:r w:rsidR="00AF0CC8">
              <w:rPr>
                <w:rFonts w:ascii="Arial" w:hAnsi="Arial"/>
                <w:sz w:val="22"/>
                <w:szCs w:val="22"/>
              </w:rPr>
              <w:t>rence speakers and consultants</w:t>
            </w:r>
            <w:r w:rsidR="00913461">
              <w:rPr>
                <w:rFonts w:ascii="Arial" w:hAnsi="Arial"/>
                <w:sz w:val="22"/>
                <w:szCs w:val="22"/>
              </w:rPr>
              <w:t xml:space="preserve">. </w:t>
            </w:r>
            <w:r w:rsidR="00F51CB6">
              <w:rPr>
                <w:rFonts w:ascii="Arial" w:hAnsi="Arial"/>
                <w:sz w:val="22"/>
                <w:szCs w:val="22"/>
              </w:rPr>
              <w:t>Project management and staff are all female except for one par</w:t>
            </w:r>
            <w:r w:rsidR="009033C3">
              <w:rPr>
                <w:rFonts w:ascii="Arial" w:hAnsi="Arial"/>
                <w:sz w:val="22"/>
                <w:szCs w:val="22"/>
              </w:rPr>
              <w:t>t</w:t>
            </w:r>
            <w:r w:rsidR="00F51CB6">
              <w:rPr>
                <w:rFonts w:ascii="Arial" w:hAnsi="Arial"/>
                <w:sz w:val="22"/>
                <w:szCs w:val="22"/>
              </w:rPr>
              <w:t xml:space="preserve">-time male advisor. The positions of those </w:t>
            </w:r>
            <w:r w:rsidR="00622A3E">
              <w:rPr>
                <w:rFonts w:ascii="Arial" w:hAnsi="Arial"/>
                <w:sz w:val="22"/>
                <w:szCs w:val="22"/>
              </w:rPr>
              <w:t xml:space="preserve">females </w:t>
            </w:r>
            <w:r w:rsidR="00F51CB6">
              <w:rPr>
                <w:rFonts w:ascii="Arial" w:hAnsi="Arial"/>
                <w:sz w:val="22"/>
                <w:szCs w:val="22"/>
              </w:rPr>
              <w:t>involved in the project</w:t>
            </w:r>
            <w:r w:rsidR="00622A3E">
              <w:rPr>
                <w:rFonts w:ascii="Arial" w:hAnsi="Arial"/>
                <w:sz w:val="22"/>
                <w:szCs w:val="22"/>
              </w:rPr>
              <w:t xml:space="preserve"> (trainers, trainees, counterparts, consultants, etc.)</w:t>
            </w:r>
            <w:r w:rsidR="00F51CB6">
              <w:rPr>
                <w:rFonts w:ascii="Arial" w:hAnsi="Arial"/>
                <w:sz w:val="22"/>
                <w:szCs w:val="22"/>
              </w:rPr>
              <w:t xml:space="preserve"> vary to include senior executives and managers, a range of technical specialists, and service delivery personnel.</w:t>
            </w:r>
          </w:p>
          <w:p w14:paraId="52BC0927" w14:textId="77777777" w:rsidR="00B36DFF" w:rsidRDefault="00B36DFF" w:rsidP="00E5088B">
            <w:pPr>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5F2EF87E" w14:textId="41C9117F" w:rsidR="00E5088B" w:rsidRDefault="00F51CB6" w:rsidP="00E5088B">
            <w:pPr>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The public service delivery outcome area has helped to improve awareness and use of public services of all citizens. The e-services and work done to improve service delivery in the</w:t>
            </w:r>
            <w:r w:rsidR="00E5088B">
              <w:rPr>
                <w:rFonts w:ascii="Arial" w:hAnsi="Arial"/>
                <w:sz w:val="22"/>
                <w:szCs w:val="22"/>
              </w:rPr>
              <w:t xml:space="preserve"> Public Service Halls and</w:t>
            </w:r>
            <w:r>
              <w:rPr>
                <w:rFonts w:ascii="Arial" w:hAnsi="Arial"/>
                <w:sz w:val="22"/>
                <w:szCs w:val="22"/>
              </w:rPr>
              <w:t xml:space="preserve"> Patrol Department Unified Service Center have helped to improve access </w:t>
            </w:r>
            <w:r w:rsidR="00B36DFF">
              <w:rPr>
                <w:rFonts w:ascii="Arial" w:hAnsi="Arial"/>
                <w:sz w:val="22"/>
                <w:szCs w:val="22"/>
              </w:rPr>
              <w:t>countrywide</w:t>
            </w:r>
            <w:r>
              <w:rPr>
                <w:rFonts w:ascii="Arial" w:hAnsi="Arial"/>
                <w:sz w:val="22"/>
                <w:szCs w:val="22"/>
              </w:rPr>
              <w:t xml:space="preserve"> for all groups to include women, minorities, and those with disabilities. As an example, personnel in these two</w:t>
            </w:r>
            <w:r w:rsidR="009033C3">
              <w:rPr>
                <w:rFonts w:ascii="Arial" w:hAnsi="Arial"/>
                <w:sz w:val="22"/>
                <w:szCs w:val="22"/>
              </w:rPr>
              <w:t xml:space="preserve"> entities were trained in sign</w:t>
            </w:r>
            <w:r>
              <w:rPr>
                <w:rFonts w:ascii="Arial" w:hAnsi="Arial"/>
                <w:sz w:val="22"/>
                <w:szCs w:val="22"/>
              </w:rPr>
              <w:t xml:space="preserve"> language. Standing Operating Procedures were developed to help serve the needs of</w:t>
            </w:r>
            <w:r w:rsidR="0057658E">
              <w:rPr>
                <w:rFonts w:ascii="Arial" w:hAnsi="Arial"/>
                <w:sz w:val="22"/>
                <w:szCs w:val="22"/>
              </w:rPr>
              <w:t xml:space="preserve"> those with disabilities. Several</w:t>
            </w:r>
            <w:r w:rsidR="007D42F3">
              <w:rPr>
                <w:rFonts w:ascii="Arial" w:hAnsi="Arial"/>
                <w:sz w:val="22"/>
                <w:szCs w:val="22"/>
              </w:rPr>
              <w:t xml:space="preserve"> </w:t>
            </w:r>
            <w:r>
              <w:rPr>
                <w:rFonts w:ascii="Arial" w:hAnsi="Arial"/>
                <w:sz w:val="22"/>
                <w:szCs w:val="22"/>
              </w:rPr>
              <w:t xml:space="preserve">e-services were developed </w:t>
            </w:r>
            <w:r w:rsidR="007D42F3">
              <w:rPr>
                <w:rFonts w:ascii="Arial" w:hAnsi="Arial"/>
                <w:sz w:val="22"/>
                <w:szCs w:val="22"/>
              </w:rPr>
              <w:t>to make such public services</w:t>
            </w:r>
            <w:r w:rsidR="00794EBF">
              <w:rPr>
                <w:rFonts w:ascii="Arial" w:hAnsi="Arial"/>
                <w:sz w:val="22"/>
                <w:szCs w:val="22"/>
              </w:rPr>
              <w:t xml:space="preserve"> are</w:t>
            </w:r>
            <w:r w:rsidR="007D42F3">
              <w:rPr>
                <w:rFonts w:ascii="Arial" w:hAnsi="Arial"/>
                <w:sz w:val="22"/>
                <w:szCs w:val="22"/>
              </w:rPr>
              <w:t xml:space="preserve"> more easily available to a variety of vulnerable groups.</w:t>
            </w:r>
            <w:r w:rsidR="00E5088B">
              <w:rPr>
                <w:rFonts w:ascii="Arial" w:hAnsi="Arial"/>
                <w:sz w:val="22"/>
                <w:szCs w:val="22"/>
              </w:rPr>
              <w:t xml:space="preserve"> Also, targeted service delivery improvement measures for persons with disab</w:t>
            </w:r>
            <w:r w:rsidR="0057658E">
              <w:rPr>
                <w:rFonts w:ascii="Arial" w:hAnsi="Arial"/>
                <w:sz w:val="22"/>
                <w:szCs w:val="22"/>
              </w:rPr>
              <w:t>ilities and persons with psychosocial needs were addressed</w:t>
            </w:r>
            <w:r w:rsidR="00E5088B">
              <w:rPr>
                <w:rFonts w:ascii="Arial" w:hAnsi="Arial"/>
                <w:sz w:val="22"/>
                <w:szCs w:val="22"/>
              </w:rPr>
              <w:t xml:space="preserve"> through</w:t>
            </w:r>
            <w:r w:rsidR="0057658E">
              <w:rPr>
                <w:rFonts w:ascii="Arial" w:hAnsi="Arial"/>
                <w:sz w:val="22"/>
                <w:szCs w:val="22"/>
              </w:rPr>
              <w:t xml:space="preserve"> the legal framework.</w:t>
            </w:r>
          </w:p>
          <w:p w14:paraId="772B6E28" w14:textId="77777777" w:rsidR="00B36DFF" w:rsidRDefault="00B36DFF" w:rsidP="00913461">
            <w:pPr>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10B7D3CF" w14:textId="704DB8A9" w:rsidR="00913461" w:rsidRDefault="007D42F3" w:rsidP="00913461">
            <w:pPr>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Regarding research done by CSOs, various subject areas were addressed to include: careers in civil service and gender equality, the study on state services supporting inclusive education, the challenges in provision of services to women victims of domestic violence by the Ministry of Internal Affairs during COVID-19, assessing public participati</w:t>
            </w:r>
            <w:r w:rsidR="00913461">
              <w:rPr>
                <w:rFonts w:ascii="Arial" w:hAnsi="Arial"/>
                <w:sz w:val="22"/>
                <w:szCs w:val="22"/>
              </w:rPr>
              <w:t>on in the policy-making process</w:t>
            </w:r>
            <w:r>
              <w:rPr>
                <w:rFonts w:ascii="Arial" w:hAnsi="Arial"/>
                <w:sz w:val="22"/>
                <w:szCs w:val="22"/>
              </w:rPr>
              <w:t>, support expansion of the home care services throughout Georgia targeting the most at-risk people affected by COVID-19, development and deployment of national risk communication strategy for public health emergencies in Georgia, provision of public services and effectiveness of ethnic minority (Azerbaijani) engagement in Georgia, day care standards for people with disabilities, and improving state services supporting the employment of persons with disabilities in Georgia.</w:t>
            </w:r>
            <w:r w:rsidR="00913461">
              <w:rPr>
                <w:rFonts w:ascii="Arial" w:hAnsi="Arial"/>
                <w:sz w:val="22"/>
                <w:szCs w:val="22"/>
              </w:rPr>
              <w:t xml:space="preserve"> Also, a project initiative mapped managerial female civil servant career paths to observe experiences, challenges, issues and opportunities.  </w:t>
            </w:r>
          </w:p>
          <w:p w14:paraId="582DEAC4" w14:textId="77777777" w:rsidR="00B36DFF" w:rsidRDefault="00B36DFF"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5E99B179" w14:textId="0D8D6F33" w:rsidR="00A90698" w:rsidRDefault="007D42F3"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 xml:space="preserve">The above listing of research </w:t>
            </w:r>
            <w:r w:rsidR="005F737B">
              <w:rPr>
                <w:rFonts w:ascii="Arial" w:hAnsi="Arial"/>
                <w:sz w:val="22"/>
                <w:szCs w:val="22"/>
              </w:rPr>
              <w:t>and civil society projec</w:t>
            </w:r>
            <w:r>
              <w:rPr>
                <w:rFonts w:ascii="Arial" w:hAnsi="Arial"/>
                <w:sz w:val="22"/>
                <w:szCs w:val="22"/>
              </w:rPr>
              <w:t xml:space="preserve">ts show that the project has addressed </w:t>
            </w:r>
            <w:r w:rsidR="005F737B">
              <w:rPr>
                <w:rFonts w:ascii="Arial" w:hAnsi="Arial"/>
                <w:sz w:val="22"/>
                <w:szCs w:val="22"/>
              </w:rPr>
              <w:t xml:space="preserve">different groups in a manner to identify and address certain </w:t>
            </w:r>
            <w:r w:rsidR="005F737B">
              <w:rPr>
                <w:rFonts w:ascii="Arial" w:hAnsi="Arial"/>
                <w:sz w:val="22"/>
                <w:szCs w:val="22"/>
              </w:rPr>
              <w:lastRenderedPageBreak/>
              <w:t xml:space="preserve">issues under the project’s umbrella. It appears that more of the relevant research and civil society projects were done on these topics was later in the project (2020). The first two evaluations of the grant schemes states that gender was reflected, for the most part, in terms of gender-related indicators and criteria yet not sufficiently mainstreamed in all research efforts. </w:t>
            </w:r>
            <w:r w:rsidR="00913461">
              <w:rPr>
                <w:rFonts w:ascii="Arial" w:hAnsi="Arial"/>
                <w:sz w:val="22"/>
                <w:szCs w:val="22"/>
              </w:rPr>
              <w:t>Gender factors were part of the criteria for the selection of the gran</w:t>
            </w:r>
            <w:r w:rsidR="00542C62">
              <w:rPr>
                <w:rFonts w:ascii="Arial" w:hAnsi="Arial"/>
                <w:sz w:val="22"/>
                <w:szCs w:val="22"/>
              </w:rPr>
              <w:t>t</w:t>
            </w:r>
            <w:r w:rsidR="00913461">
              <w:rPr>
                <w:rFonts w:ascii="Arial" w:hAnsi="Arial"/>
                <w:sz w:val="22"/>
                <w:szCs w:val="22"/>
              </w:rPr>
              <w:t>s. Though, m</w:t>
            </w:r>
            <w:r w:rsidR="005F737B">
              <w:rPr>
                <w:rFonts w:ascii="Arial" w:hAnsi="Arial"/>
                <w:sz w:val="22"/>
                <w:szCs w:val="22"/>
              </w:rPr>
              <w:t>ost of the projects did not have a gender or vulnerable group emphasis. This seems to have been addressed during the last cycle of research and CSO projects.</w:t>
            </w:r>
          </w:p>
          <w:p w14:paraId="74945351" w14:textId="77777777" w:rsidR="00B36DFF" w:rsidRDefault="00B36DFF"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1F0662AE" w14:textId="228177F9" w:rsidR="005F737B" w:rsidRDefault="005F737B"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Gender an</w:t>
            </w:r>
            <w:r w:rsidR="004D0B79">
              <w:rPr>
                <w:rFonts w:ascii="Arial" w:hAnsi="Arial"/>
                <w:sz w:val="22"/>
                <w:szCs w:val="22"/>
              </w:rPr>
              <w:t>d</w:t>
            </w:r>
            <w:r>
              <w:rPr>
                <w:rFonts w:ascii="Arial" w:hAnsi="Arial"/>
                <w:sz w:val="22"/>
                <w:szCs w:val="22"/>
              </w:rPr>
              <w:t xml:space="preserve"> social inclusion could have been better ingrained in the project through the project document to have more of a focus. As the project developed, these factors did come more into focus</w:t>
            </w:r>
            <w:r w:rsidR="00622A3E">
              <w:rPr>
                <w:rFonts w:ascii="Arial" w:hAnsi="Arial"/>
                <w:sz w:val="22"/>
                <w:szCs w:val="22"/>
              </w:rPr>
              <w:t xml:space="preserve"> and were intertwined in all activities as summarized in the above paragraphs</w:t>
            </w:r>
            <w:r>
              <w:rPr>
                <w:rFonts w:ascii="Arial" w:hAnsi="Arial"/>
                <w:sz w:val="22"/>
                <w:szCs w:val="22"/>
              </w:rPr>
              <w:t>. Also gender-disaggregated data could have been better planned from project initiatio</w:t>
            </w:r>
            <w:r w:rsidR="0057658E">
              <w:rPr>
                <w:rFonts w:ascii="Arial" w:hAnsi="Arial"/>
                <w:sz w:val="22"/>
                <w:szCs w:val="22"/>
              </w:rPr>
              <w:t>n. As mentioned, not all training</w:t>
            </w:r>
            <w:r>
              <w:rPr>
                <w:rFonts w:ascii="Arial" w:hAnsi="Arial"/>
                <w:sz w:val="22"/>
                <w:szCs w:val="22"/>
              </w:rPr>
              <w:t xml:space="preserve"> had </w:t>
            </w:r>
            <w:r w:rsidR="0057658E">
              <w:rPr>
                <w:rFonts w:ascii="Arial" w:hAnsi="Arial"/>
                <w:sz w:val="22"/>
                <w:szCs w:val="22"/>
              </w:rPr>
              <w:t>gender-disaggregated</w:t>
            </w:r>
            <w:r>
              <w:rPr>
                <w:rFonts w:ascii="Arial" w:hAnsi="Arial"/>
                <w:sz w:val="22"/>
                <w:szCs w:val="22"/>
              </w:rPr>
              <w:t xml:space="preserve"> data. And, more gender specific research co</w:t>
            </w:r>
            <w:r w:rsidR="0057658E">
              <w:rPr>
                <w:rFonts w:ascii="Arial" w:hAnsi="Arial"/>
                <w:sz w:val="22"/>
                <w:szCs w:val="22"/>
              </w:rPr>
              <w:t>u</w:t>
            </w:r>
            <w:r>
              <w:rPr>
                <w:rFonts w:ascii="Arial" w:hAnsi="Arial"/>
                <w:sz w:val="22"/>
                <w:szCs w:val="22"/>
              </w:rPr>
              <w:t>ld have been taken, especially in the areas of civil service professional development.</w:t>
            </w:r>
          </w:p>
          <w:p w14:paraId="794D3CC3" w14:textId="77777777" w:rsidR="00B36DFF" w:rsidRDefault="00B36DFF"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p w14:paraId="5A528D00" w14:textId="2452D38B" w:rsidR="003F2D70" w:rsidRDefault="00A127EB"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The project has definitely contributed to promoting positive changes in gender equality and women empowerment, as illustrated above. Th</w:t>
            </w:r>
            <w:r w:rsidR="004D0B79">
              <w:rPr>
                <w:rFonts w:ascii="Arial" w:hAnsi="Arial"/>
                <w:sz w:val="22"/>
                <w:szCs w:val="22"/>
              </w:rPr>
              <w:t>e</w:t>
            </w:r>
            <w:r>
              <w:rPr>
                <w:rFonts w:ascii="Arial" w:hAnsi="Arial"/>
                <w:sz w:val="22"/>
                <w:szCs w:val="22"/>
              </w:rPr>
              <w:t xml:space="preserve">re were no negative effects observed. There were positive effects in terms of engaging on women’s issues, emphasizing a merit-based civil service, equal access to professional development and objective-based performance appraisal, bringing attention to </w:t>
            </w:r>
            <w:r w:rsidR="009033C3">
              <w:rPr>
                <w:rFonts w:ascii="Arial" w:hAnsi="Arial"/>
                <w:sz w:val="22"/>
                <w:szCs w:val="22"/>
              </w:rPr>
              <w:t xml:space="preserve">and helping to come up with an appropriated mechanism for </w:t>
            </w:r>
            <w:r>
              <w:rPr>
                <w:rFonts w:ascii="Arial" w:hAnsi="Arial"/>
                <w:sz w:val="22"/>
                <w:szCs w:val="22"/>
              </w:rPr>
              <w:t>dispute resolution</w:t>
            </w:r>
            <w:r w:rsidR="009033C3">
              <w:rPr>
                <w:rFonts w:ascii="Arial" w:hAnsi="Arial"/>
                <w:sz w:val="22"/>
                <w:szCs w:val="22"/>
              </w:rPr>
              <w:t>,</w:t>
            </w:r>
            <w:r>
              <w:rPr>
                <w:rFonts w:ascii="Arial" w:hAnsi="Arial"/>
                <w:sz w:val="22"/>
                <w:szCs w:val="22"/>
              </w:rPr>
              <w:t xml:space="preserve"> and improving access to public services.</w:t>
            </w:r>
          </w:p>
          <w:p w14:paraId="56CA9776" w14:textId="022ED94A" w:rsidR="00E5088B" w:rsidRDefault="00E5088B" w:rsidP="00DD0856">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DB48CA" w14:paraId="3EB14841" w14:textId="77777777" w:rsidTr="00B97F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0E16B2EC" w14:textId="53046C13" w:rsidR="00DB48CA" w:rsidRDefault="00DB48CA" w:rsidP="003E7EE7">
            <w:pPr>
              <w:pStyle w:val="ListParagraph"/>
              <w:ind w:left="0"/>
              <w:jc w:val="both"/>
              <w:rPr>
                <w:rFonts w:ascii="Arial" w:hAnsi="Arial"/>
                <w:sz w:val="22"/>
                <w:szCs w:val="22"/>
              </w:rPr>
            </w:pPr>
            <w:r>
              <w:rPr>
                <w:rFonts w:ascii="Arial" w:hAnsi="Arial"/>
                <w:sz w:val="22"/>
                <w:szCs w:val="22"/>
              </w:rPr>
              <w:lastRenderedPageBreak/>
              <w:t>COVID-19 Impact</w:t>
            </w:r>
          </w:p>
        </w:tc>
        <w:tc>
          <w:tcPr>
            <w:tcW w:w="7929" w:type="dxa"/>
          </w:tcPr>
          <w:p w14:paraId="5682C041" w14:textId="4A3FFF8B" w:rsidR="002728D9" w:rsidRDefault="009B7258" w:rsidP="00E11A9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T</w:t>
            </w:r>
            <w:r w:rsidR="00DF779F">
              <w:rPr>
                <w:rFonts w:ascii="Arial" w:hAnsi="Arial"/>
                <w:sz w:val="22"/>
                <w:szCs w:val="22"/>
              </w:rPr>
              <w:t>he impact of COVID-19 on the project, and PAR in general, should be noted since the pandemic has impacted pro</w:t>
            </w:r>
            <w:r w:rsidR="000C3CC0">
              <w:rPr>
                <w:rFonts w:ascii="Arial" w:hAnsi="Arial"/>
                <w:sz w:val="22"/>
                <w:szCs w:val="22"/>
              </w:rPr>
              <w:t>ject perform</w:t>
            </w:r>
            <w:r>
              <w:rPr>
                <w:rFonts w:ascii="Arial" w:hAnsi="Arial"/>
                <w:sz w:val="22"/>
                <w:szCs w:val="22"/>
              </w:rPr>
              <w:t>ance for more than a year</w:t>
            </w:r>
            <w:r w:rsidR="000C3CC0">
              <w:rPr>
                <w:rFonts w:ascii="Arial" w:hAnsi="Arial"/>
                <w:sz w:val="22"/>
                <w:szCs w:val="22"/>
              </w:rPr>
              <w:t>. The project had to change its approach of one that was very much based on personal face-to-face interactions with stakeholders in terms of meetings and discussions, training, and the provision of the advisory services. The project adjusted its approach so that regulations were followed and safety paramount. The interactions with stakeholders, contractors and others moved on-line via teleconference or videoconference meetings. Training was modified to occur on-line. Several of the research and CSO grant scheme initiatives were in direct response to the pandemic and its repercussions. Most impacted was public service delivery with the pandemic instigating mor</w:t>
            </w:r>
            <w:r w:rsidR="00AD2C71">
              <w:rPr>
                <w:rFonts w:ascii="Arial" w:hAnsi="Arial"/>
                <w:sz w:val="22"/>
                <w:szCs w:val="22"/>
              </w:rPr>
              <w:t>e</w:t>
            </w:r>
            <w:r w:rsidR="009033C3">
              <w:rPr>
                <w:rFonts w:ascii="Arial" w:hAnsi="Arial"/>
                <w:sz w:val="22"/>
                <w:szCs w:val="22"/>
              </w:rPr>
              <w:t xml:space="preserve"> attention to service </w:t>
            </w:r>
            <w:r w:rsidR="009033C3" w:rsidRPr="00E25EF9">
              <w:rPr>
                <w:rFonts w:ascii="Arial" w:hAnsi="Arial"/>
                <w:sz w:val="22"/>
                <w:szCs w:val="22"/>
              </w:rPr>
              <w:t>delivery.</w:t>
            </w:r>
            <w:r w:rsidR="000C3CC0" w:rsidRPr="00E25EF9">
              <w:rPr>
                <w:rFonts w:ascii="Arial" w:hAnsi="Arial"/>
                <w:sz w:val="22"/>
                <w:szCs w:val="22"/>
              </w:rPr>
              <w:t xml:space="preserve"> The delivery of public services during a pandemic was part of the r</w:t>
            </w:r>
            <w:r w:rsidR="00AD2C71" w:rsidRPr="00E25EF9">
              <w:rPr>
                <w:rFonts w:ascii="Arial" w:hAnsi="Arial"/>
                <w:sz w:val="22"/>
                <w:szCs w:val="22"/>
              </w:rPr>
              <w:t>esponse included in the CAF assessments and application of standards for</w:t>
            </w:r>
            <w:r w:rsidR="000C3CC0" w:rsidRPr="00E25EF9">
              <w:rPr>
                <w:rFonts w:ascii="Arial" w:hAnsi="Arial"/>
                <w:sz w:val="22"/>
                <w:szCs w:val="22"/>
              </w:rPr>
              <w:t xml:space="preserve"> the Public Service Halls and the Patrol Department Unified Service Center.</w:t>
            </w:r>
            <w:r w:rsidR="001C5D22">
              <w:rPr>
                <w:rFonts w:ascii="Arial" w:hAnsi="Arial"/>
                <w:sz w:val="22"/>
                <w:szCs w:val="22"/>
              </w:rPr>
              <w:t xml:space="preserve"> Both entities reported that the advisory services and resulting service changes did help improve the delivery of services during the pandemic. </w:t>
            </w:r>
            <w:r w:rsidR="000C3CC0" w:rsidRPr="00E25EF9">
              <w:rPr>
                <w:rFonts w:ascii="Arial" w:hAnsi="Arial"/>
                <w:sz w:val="22"/>
                <w:szCs w:val="22"/>
              </w:rPr>
              <w:t>There</w:t>
            </w:r>
            <w:r w:rsidR="000C3CC0">
              <w:rPr>
                <w:rFonts w:ascii="Arial" w:hAnsi="Arial"/>
                <w:sz w:val="22"/>
                <w:szCs w:val="22"/>
              </w:rPr>
              <w:t xml:space="preserve"> </w:t>
            </w:r>
            <w:r w:rsidR="00AD2C71">
              <w:rPr>
                <w:rFonts w:ascii="Arial" w:hAnsi="Arial"/>
                <w:sz w:val="22"/>
                <w:szCs w:val="22"/>
              </w:rPr>
              <w:t>was an effort</w:t>
            </w:r>
            <w:r w:rsidR="000C3CC0">
              <w:rPr>
                <w:rFonts w:ascii="Arial" w:hAnsi="Arial"/>
                <w:sz w:val="22"/>
                <w:szCs w:val="22"/>
              </w:rPr>
              <w:t xml:space="preserve"> to place more public services on-line through my.gov.ge and the project was instrumental in helping this movement so much so that its target was significantly over achieved. The project also supported a promotional video prepared </w:t>
            </w:r>
            <w:r w:rsidR="007B3C8A">
              <w:rPr>
                <w:rFonts w:ascii="Arial" w:hAnsi="Arial"/>
                <w:sz w:val="22"/>
                <w:szCs w:val="22"/>
              </w:rPr>
              <w:t>with DGA to promote the use of my.gov.ge during the pandemic.</w:t>
            </w:r>
          </w:p>
          <w:p w14:paraId="23210C3D" w14:textId="77777777" w:rsidR="00B36DFF" w:rsidRDefault="00B36DFF" w:rsidP="00E11A9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p>
          <w:p w14:paraId="17DAC481" w14:textId="049BC95A" w:rsidR="00DB48CA" w:rsidRDefault="007B3C8A" w:rsidP="009B7258">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Arial" w:hAnsi="Arial"/>
                <w:sz w:val="22"/>
                <w:szCs w:val="22"/>
              </w:rPr>
            </w:pPr>
            <w:r>
              <w:rPr>
                <w:rFonts w:ascii="Arial" w:hAnsi="Arial"/>
                <w:sz w:val="22"/>
                <w:szCs w:val="22"/>
              </w:rPr>
              <w:t>The p</w:t>
            </w:r>
            <w:r w:rsidR="00AD2C71">
              <w:rPr>
                <w:rFonts w:ascii="Arial" w:hAnsi="Arial"/>
                <w:sz w:val="22"/>
                <w:szCs w:val="22"/>
              </w:rPr>
              <w:t xml:space="preserve">roject’s </w:t>
            </w:r>
            <w:r w:rsidR="009B7258">
              <w:rPr>
                <w:rFonts w:ascii="Arial" w:hAnsi="Arial"/>
                <w:sz w:val="22"/>
                <w:szCs w:val="22"/>
              </w:rPr>
              <w:t xml:space="preserve">pandemic response </w:t>
            </w:r>
            <w:r>
              <w:rPr>
                <w:rFonts w:ascii="Arial" w:hAnsi="Arial"/>
                <w:sz w:val="22"/>
                <w:szCs w:val="22"/>
              </w:rPr>
              <w:t xml:space="preserve">was timely and detailed so that 1) project activities continued; and 2) </w:t>
            </w:r>
            <w:r w:rsidRPr="00E25EF9">
              <w:rPr>
                <w:rFonts w:ascii="Arial" w:hAnsi="Arial"/>
                <w:sz w:val="22"/>
                <w:szCs w:val="22"/>
              </w:rPr>
              <w:t>the pandemic actually brought attention to the need for PAR reform</w:t>
            </w:r>
            <w:r w:rsidR="001C5D22">
              <w:rPr>
                <w:rFonts w:ascii="Arial" w:hAnsi="Arial"/>
                <w:sz w:val="22"/>
                <w:szCs w:val="22"/>
              </w:rPr>
              <w:t>. Both were addressed by adopting more responsive</w:t>
            </w:r>
            <w:r w:rsidRPr="00E25EF9">
              <w:rPr>
                <w:rFonts w:ascii="Arial" w:hAnsi="Arial"/>
                <w:sz w:val="22"/>
                <w:szCs w:val="22"/>
              </w:rPr>
              <w:t xml:space="preserve"> advisory, training and public service delivery</w:t>
            </w:r>
            <w:r w:rsidR="001C5D22">
              <w:rPr>
                <w:rFonts w:ascii="Arial" w:hAnsi="Arial"/>
                <w:sz w:val="22"/>
                <w:szCs w:val="22"/>
              </w:rPr>
              <w:t xml:space="preserve"> modalities</w:t>
            </w:r>
            <w:r w:rsidRPr="00E25EF9">
              <w:rPr>
                <w:rFonts w:ascii="Arial" w:hAnsi="Arial"/>
                <w:sz w:val="22"/>
                <w:szCs w:val="22"/>
              </w:rPr>
              <w:t>.</w:t>
            </w:r>
            <w:r>
              <w:rPr>
                <w:rFonts w:ascii="Arial" w:hAnsi="Arial"/>
                <w:sz w:val="22"/>
                <w:szCs w:val="22"/>
              </w:rPr>
              <w:t xml:space="preserve"> While some project activity or outcomes s</w:t>
            </w:r>
            <w:r w:rsidR="009B7258">
              <w:rPr>
                <w:rFonts w:ascii="Arial" w:hAnsi="Arial"/>
                <w:sz w:val="22"/>
                <w:szCs w:val="22"/>
              </w:rPr>
              <w:t xml:space="preserve">lowed because of the transition, </w:t>
            </w:r>
            <w:r>
              <w:rPr>
                <w:rFonts w:ascii="Arial" w:hAnsi="Arial"/>
                <w:sz w:val="22"/>
                <w:szCs w:val="22"/>
              </w:rPr>
              <w:t>efforts were made, with consultations with the project sponsors and stakeholders</w:t>
            </w:r>
            <w:r w:rsidR="00AD2C71">
              <w:rPr>
                <w:rFonts w:ascii="Arial" w:hAnsi="Arial"/>
                <w:sz w:val="22"/>
                <w:szCs w:val="22"/>
              </w:rPr>
              <w:t>,</w:t>
            </w:r>
            <w:r>
              <w:rPr>
                <w:rFonts w:ascii="Arial" w:hAnsi="Arial"/>
                <w:sz w:val="22"/>
                <w:szCs w:val="22"/>
              </w:rPr>
              <w:t xml:space="preserve"> to keep things moving. The pandemic is also probably the chief factor to grant a 3-month project extension to the end of March 2021.</w:t>
            </w:r>
          </w:p>
        </w:tc>
      </w:tr>
    </w:tbl>
    <w:p w14:paraId="47370E98" w14:textId="77777777" w:rsidR="003953BC" w:rsidRDefault="003953BC" w:rsidP="003060EE">
      <w:pPr>
        <w:pStyle w:val="Heading2"/>
        <w:numPr>
          <w:ilvl w:val="0"/>
          <w:numId w:val="3"/>
        </w:numPr>
      </w:pPr>
      <w:bookmarkStart w:id="12" w:name="_Toc478138863"/>
      <w:r>
        <w:lastRenderedPageBreak/>
        <w:t>Responsiveness to Project Goal, Project Management and Implementation</w:t>
      </w:r>
      <w:bookmarkEnd w:id="12"/>
    </w:p>
    <w:p w14:paraId="4B93FCF3" w14:textId="66963F1E" w:rsidR="00A143AE" w:rsidRPr="00934177" w:rsidRDefault="009767ED" w:rsidP="00934177">
      <w:pPr>
        <w:pStyle w:val="Heading4"/>
      </w:pPr>
      <w:bookmarkStart w:id="13" w:name="_Toc478138864"/>
      <w:r>
        <w:t>1.</w:t>
      </w:r>
      <w:r w:rsidR="00841ED3" w:rsidRPr="00841ED3">
        <w:tab/>
      </w:r>
      <w:r w:rsidR="003953BC">
        <w:t>Assessme</w:t>
      </w:r>
      <w:r w:rsidR="002454BB">
        <w:t>nt of Achieving Project Goal</w:t>
      </w:r>
      <w:bookmarkEnd w:id="13"/>
    </w:p>
    <w:p w14:paraId="59817A09" w14:textId="77777777" w:rsidR="00590FF9" w:rsidRDefault="00590FF9" w:rsidP="004A429A">
      <w:pPr>
        <w:jc w:val="both"/>
        <w:rPr>
          <w:rFonts w:ascii="Arial" w:hAnsi="Arial"/>
          <w:sz w:val="22"/>
          <w:szCs w:val="22"/>
        </w:rPr>
      </w:pPr>
    </w:p>
    <w:p w14:paraId="704100ED" w14:textId="0BF57B37" w:rsidR="00590FF9" w:rsidRDefault="00590FF9" w:rsidP="004A429A">
      <w:pPr>
        <w:jc w:val="both"/>
        <w:rPr>
          <w:rFonts w:ascii="Arial" w:hAnsi="Arial"/>
          <w:sz w:val="22"/>
          <w:szCs w:val="22"/>
        </w:rPr>
      </w:pPr>
      <w:r>
        <w:rPr>
          <w:rFonts w:ascii="Arial" w:hAnsi="Arial"/>
          <w:sz w:val="22"/>
          <w:szCs w:val="22"/>
        </w:rPr>
        <w:t xml:space="preserve">The project’s goal is intertwined with the </w:t>
      </w:r>
      <w:proofErr w:type="spellStart"/>
      <w:r>
        <w:rPr>
          <w:rFonts w:ascii="Arial" w:hAnsi="Arial"/>
          <w:sz w:val="22"/>
          <w:szCs w:val="22"/>
        </w:rPr>
        <w:t>GoG’s</w:t>
      </w:r>
      <w:proofErr w:type="spellEnd"/>
      <w:r>
        <w:rPr>
          <w:rFonts w:ascii="Arial" w:hAnsi="Arial"/>
          <w:sz w:val="22"/>
          <w:szCs w:val="22"/>
        </w:rPr>
        <w:t xml:space="preserve"> overall development goal, EU accession commitments and the UN and UNDP framework as described in Section II.A. However, the project goal has somewhat evolved from the project document. For instance the project goal in the project document is stated as: </w:t>
      </w:r>
    </w:p>
    <w:p w14:paraId="633D33C0" w14:textId="77777777" w:rsidR="00590FF9" w:rsidRPr="0015410A" w:rsidRDefault="00590FF9" w:rsidP="004A429A">
      <w:pPr>
        <w:jc w:val="both"/>
        <w:rPr>
          <w:rFonts w:ascii="Arial" w:hAnsi="Arial"/>
          <w:sz w:val="22"/>
          <w:szCs w:val="22"/>
        </w:rPr>
      </w:pPr>
    </w:p>
    <w:p w14:paraId="3DF73B92" w14:textId="12F503BF" w:rsidR="00590FF9" w:rsidRPr="0015410A" w:rsidRDefault="00590FF9" w:rsidP="00590FF9">
      <w:pPr>
        <w:ind w:left="1440" w:right="1080"/>
        <w:jc w:val="both"/>
        <w:rPr>
          <w:rFonts w:ascii="Arial" w:hAnsi="Arial"/>
          <w:sz w:val="22"/>
          <w:szCs w:val="22"/>
        </w:rPr>
      </w:pPr>
      <w:r w:rsidRPr="0015410A">
        <w:rPr>
          <w:rFonts w:ascii="Arial" w:hAnsi="Arial" w:cs="Arial"/>
          <w:sz w:val="22"/>
          <w:szCs w:val="22"/>
        </w:rPr>
        <w:t xml:space="preserve">“To </w:t>
      </w:r>
      <w:r w:rsidR="003168D6">
        <w:rPr>
          <w:rFonts w:ascii="Arial" w:hAnsi="Arial" w:cs="Arial"/>
          <w:sz w:val="22"/>
          <w:szCs w:val="22"/>
        </w:rPr>
        <w:t>enhance the capability of the Government of Georgia to implement its national development agenda through a more effective, professionally trained, unified and independent public administration that delivers public service with greater accountability and responsiveness to citizens’ needs</w:t>
      </w:r>
      <w:r w:rsidRPr="0015410A">
        <w:rPr>
          <w:rFonts w:ascii="Arial" w:hAnsi="Arial" w:cs="Arial"/>
          <w:sz w:val="22"/>
          <w:szCs w:val="22"/>
        </w:rPr>
        <w:t>.”</w:t>
      </w:r>
      <w:r w:rsidRPr="0015410A">
        <w:rPr>
          <w:rStyle w:val="FootnoteReference"/>
          <w:rFonts w:ascii="Arial" w:hAnsi="Arial" w:cs="Arial"/>
          <w:sz w:val="22"/>
          <w:szCs w:val="22"/>
        </w:rPr>
        <w:footnoteReference w:id="28"/>
      </w:r>
    </w:p>
    <w:p w14:paraId="42AED848" w14:textId="77777777" w:rsidR="00DB376F" w:rsidRPr="00590FF9" w:rsidRDefault="00DB376F" w:rsidP="00E8321B">
      <w:pPr>
        <w:ind w:right="990"/>
        <w:jc w:val="both"/>
        <w:rPr>
          <w:rFonts w:ascii="Arial" w:hAnsi="Arial"/>
          <w:sz w:val="22"/>
          <w:szCs w:val="22"/>
        </w:rPr>
      </w:pPr>
    </w:p>
    <w:p w14:paraId="50BA08EE" w14:textId="3383973F" w:rsidR="00590FF9" w:rsidRDefault="0075178B" w:rsidP="004A429A">
      <w:pPr>
        <w:jc w:val="both"/>
        <w:rPr>
          <w:rFonts w:ascii="Arial" w:hAnsi="Arial"/>
          <w:sz w:val="22"/>
          <w:szCs w:val="22"/>
        </w:rPr>
      </w:pPr>
      <w:r>
        <w:rPr>
          <w:rFonts w:ascii="Arial" w:hAnsi="Arial"/>
          <w:sz w:val="22"/>
          <w:szCs w:val="22"/>
        </w:rPr>
        <w:t>T</w:t>
      </w:r>
      <w:r w:rsidR="00DB376F">
        <w:rPr>
          <w:rFonts w:ascii="Arial" w:hAnsi="Arial"/>
          <w:sz w:val="22"/>
          <w:szCs w:val="22"/>
        </w:rPr>
        <w:t xml:space="preserve">he </w:t>
      </w:r>
      <w:r w:rsidR="000114B4">
        <w:rPr>
          <w:rFonts w:ascii="Arial" w:hAnsi="Arial"/>
          <w:sz w:val="22"/>
          <w:szCs w:val="22"/>
        </w:rPr>
        <w:t>RRF</w:t>
      </w:r>
      <w:r w:rsidR="00DB376F">
        <w:rPr>
          <w:rFonts w:ascii="Arial" w:hAnsi="Arial"/>
          <w:sz w:val="22"/>
          <w:szCs w:val="22"/>
        </w:rPr>
        <w:t xml:space="preserve"> has an impact statement:</w:t>
      </w:r>
    </w:p>
    <w:p w14:paraId="4B33B9D9" w14:textId="77777777" w:rsidR="00DB376F" w:rsidRDefault="00DB376F" w:rsidP="004A429A">
      <w:pPr>
        <w:jc w:val="both"/>
        <w:rPr>
          <w:rFonts w:ascii="Arial" w:hAnsi="Arial"/>
          <w:sz w:val="22"/>
          <w:szCs w:val="22"/>
        </w:rPr>
      </w:pPr>
    </w:p>
    <w:p w14:paraId="7837459F" w14:textId="165192DC" w:rsidR="00DB376F" w:rsidRDefault="0075178B" w:rsidP="0075178B">
      <w:pPr>
        <w:ind w:left="1440" w:right="990"/>
        <w:jc w:val="both"/>
        <w:rPr>
          <w:rFonts w:ascii="Arial" w:hAnsi="Arial"/>
          <w:sz w:val="22"/>
          <w:szCs w:val="22"/>
        </w:rPr>
      </w:pPr>
      <w:r>
        <w:rPr>
          <w:rFonts w:ascii="Arial" w:hAnsi="Arial"/>
          <w:sz w:val="22"/>
          <w:szCs w:val="22"/>
        </w:rPr>
        <w:t>“Citizens expectations for voice, accountability and better public service are met by stronger systems of democratic governance.”</w:t>
      </w:r>
    </w:p>
    <w:p w14:paraId="76FE2B27" w14:textId="77777777" w:rsidR="0075178B" w:rsidRDefault="0075178B" w:rsidP="004A429A">
      <w:pPr>
        <w:jc w:val="both"/>
        <w:rPr>
          <w:rFonts w:ascii="Arial" w:hAnsi="Arial"/>
          <w:sz w:val="22"/>
          <w:szCs w:val="22"/>
        </w:rPr>
      </w:pPr>
    </w:p>
    <w:p w14:paraId="65D6CC08" w14:textId="20E91DC3" w:rsidR="0075178B" w:rsidRDefault="009B7258" w:rsidP="004A429A">
      <w:pPr>
        <w:jc w:val="both"/>
        <w:rPr>
          <w:rFonts w:ascii="Arial" w:hAnsi="Arial"/>
          <w:sz w:val="22"/>
          <w:szCs w:val="22"/>
        </w:rPr>
      </w:pPr>
      <w:r>
        <w:rPr>
          <w:rFonts w:ascii="Arial" w:hAnsi="Arial"/>
          <w:sz w:val="22"/>
          <w:szCs w:val="22"/>
        </w:rPr>
        <w:t>T</w:t>
      </w:r>
      <w:r w:rsidR="00D878EA">
        <w:rPr>
          <w:rFonts w:ascii="Arial" w:hAnsi="Arial"/>
          <w:sz w:val="22"/>
          <w:szCs w:val="22"/>
        </w:rPr>
        <w:t>he above goal</w:t>
      </w:r>
      <w:r w:rsidR="003168D6">
        <w:rPr>
          <w:rFonts w:ascii="Arial" w:hAnsi="Arial"/>
          <w:sz w:val="22"/>
          <w:szCs w:val="22"/>
        </w:rPr>
        <w:t xml:space="preserve"> and impact statements have common elements. The impact statement is at a higher level and thus a bit broader</w:t>
      </w:r>
      <w:r w:rsidR="00E3737D">
        <w:rPr>
          <w:rFonts w:ascii="Arial" w:hAnsi="Arial"/>
          <w:sz w:val="22"/>
          <w:szCs w:val="22"/>
        </w:rPr>
        <w:t xml:space="preserve"> and long-term in nature</w:t>
      </w:r>
      <w:r w:rsidR="003168D6">
        <w:rPr>
          <w:rFonts w:ascii="Arial" w:hAnsi="Arial"/>
          <w:sz w:val="22"/>
          <w:szCs w:val="22"/>
        </w:rPr>
        <w:t>. The different phraseology</w:t>
      </w:r>
      <w:r w:rsidR="0075178B">
        <w:rPr>
          <w:rFonts w:ascii="Arial" w:hAnsi="Arial"/>
          <w:sz w:val="22"/>
          <w:szCs w:val="22"/>
        </w:rPr>
        <w:t xml:space="preserve"> did not add to mission creep or a misallocation of resources, or result in misunderstandings by</w:t>
      </w:r>
      <w:r w:rsidR="00E3737D">
        <w:rPr>
          <w:rFonts w:ascii="Arial" w:hAnsi="Arial"/>
          <w:sz w:val="22"/>
          <w:szCs w:val="22"/>
        </w:rPr>
        <w:t xml:space="preserve"> implementers and stakeholders.</w:t>
      </w:r>
      <w:r w:rsidR="000114B4">
        <w:rPr>
          <w:rFonts w:ascii="Arial" w:hAnsi="Arial"/>
          <w:sz w:val="22"/>
          <w:szCs w:val="22"/>
        </w:rPr>
        <w:t xml:space="preserve"> The</w:t>
      </w:r>
      <w:r w:rsidR="0075178B">
        <w:rPr>
          <w:rFonts w:ascii="Arial" w:hAnsi="Arial"/>
          <w:sz w:val="22"/>
          <w:szCs w:val="22"/>
        </w:rPr>
        <w:t xml:space="preserve"> definition of the outcomes and outputs were clearly stated so that a focus was developed to conc</w:t>
      </w:r>
      <w:r w:rsidR="00373C92">
        <w:rPr>
          <w:rFonts w:ascii="Arial" w:hAnsi="Arial"/>
          <w:sz w:val="22"/>
          <w:szCs w:val="22"/>
        </w:rPr>
        <w:t xml:space="preserve">entrate in the 3 outcomes </w:t>
      </w:r>
      <w:r w:rsidR="0075178B">
        <w:rPr>
          <w:rFonts w:ascii="Arial" w:hAnsi="Arial"/>
          <w:sz w:val="22"/>
          <w:szCs w:val="22"/>
        </w:rPr>
        <w:t xml:space="preserve">and the associated outputs and activities. The </w:t>
      </w:r>
      <w:proofErr w:type="spellStart"/>
      <w:r w:rsidR="0075178B">
        <w:rPr>
          <w:rFonts w:ascii="Arial" w:hAnsi="Arial"/>
          <w:sz w:val="22"/>
          <w:szCs w:val="22"/>
        </w:rPr>
        <w:t>GoG</w:t>
      </w:r>
      <w:proofErr w:type="spellEnd"/>
      <w:r w:rsidR="0075178B">
        <w:rPr>
          <w:rFonts w:ascii="Arial" w:hAnsi="Arial"/>
          <w:sz w:val="22"/>
          <w:szCs w:val="22"/>
        </w:rPr>
        <w:t xml:space="preserve"> mandate was also c</w:t>
      </w:r>
      <w:r w:rsidR="00A865C8">
        <w:rPr>
          <w:rFonts w:ascii="Arial" w:hAnsi="Arial"/>
          <w:sz w:val="22"/>
          <w:szCs w:val="22"/>
        </w:rPr>
        <w:t>lear since the PAR Roadmap and civil service r</w:t>
      </w:r>
      <w:r w:rsidR="0075178B">
        <w:rPr>
          <w:rFonts w:ascii="Arial" w:hAnsi="Arial"/>
          <w:sz w:val="22"/>
          <w:szCs w:val="22"/>
        </w:rPr>
        <w:t xml:space="preserve">eform </w:t>
      </w:r>
      <w:r w:rsidR="00A865C8">
        <w:rPr>
          <w:rFonts w:ascii="Arial" w:hAnsi="Arial"/>
          <w:sz w:val="22"/>
          <w:szCs w:val="22"/>
        </w:rPr>
        <w:t xml:space="preserve">law </w:t>
      </w:r>
      <w:r w:rsidR="0075178B">
        <w:rPr>
          <w:rFonts w:ascii="Arial" w:hAnsi="Arial"/>
          <w:sz w:val="22"/>
          <w:szCs w:val="22"/>
        </w:rPr>
        <w:t>provided the overall umbrella to help the project identify and make progress.</w:t>
      </w:r>
    </w:p>
    <w:p w14:paraId="61D45167" w14:textId="77777777" w:rsidR="0075178B" w:rsidRDefault="0075178B" w:rsidP="004A429A">
      <w:pPr>
        <w:jc w:val="both"/>
        <w:rPr>
          <w:rFonts w:ascii="Arial" w:hAnsi="Arial"/>
          <w:sz w:val="22"/>
          <w:szCs w:val="22"/>
        </w:rPr>
      </w:pPr>
    </w:p>
    <w:p w14:paraId="3FF3748E" w14:textId="08C675F1" w:rsidR="00DB376F" w:rsidRDefault="00A865C8" w:rsidP="00DB376F">
      <w:pPr>
        <w:jc w:val="both"/>
        <w:rPr>
          <w:rFonts w:ascii="Arial" w:hAnsi="Arial"/>
          <w:sz w:val="22"/>
          <w:szCs w:val="22"/>
        </w:rPr>
      </w:pPr>
      <w:r>
        <w:rPr>
          <w:rFonts w:ascii="Arial" w:hAnsi="Arial"/>
          <w:sz w:val="22"/>
          <w:szCs w:val="22"/>
        </w:rPr>
        <w:t>The p</w:t>
      </w:r>
      <w:r w:rsidR="00DB376F">
        <w:rPr>
          <w:rFonts w:ascii="Arial" w:hAnsi="Arial"/>
          <w:sz w:val="22"/>
          <w:szCs w:val="22"/>
        </w:rPr>
        <w:t>roject began on July 26, 2016 after signing project document. The project was designed to help raise awareness at the political level for further autonomy and professionalism of Georgia’s civil service. At the policy level, with other development partners’ support</w:t>
      </w:r>
      <w:r>
        <w:rPr>
          <w:rFonts w:ascii="Arial" w:hAnsi="Arial"/>
          <w:sz w:val="22"/>
          <w:szCs w:val="22"/>
        </w:rPr>
        <w:t>,</w:t>
      </w:r>
      <w:r w:rsidR="00DB376F">
        <w:rPr>
          <w:rFonts w:ascii="Arial" w:hAnsi="Arial"/>
          <w:sz w:val="22"/>
          <w:szCs w:val="22"/>
        </w:rPr>
        <w:t xml:space="preserve"> the project was to advance PAR and continue it as a priority at the cabinet level. At the operational level, the </w:t>
      </w:r>
      <w:r w:rsidR="00DB376F">
        <w:rPr>
          <w:rFonts w:ascii="Arial" w:hAnsi="Arial"/>
          <w:sz w:val="22"/>
          <w:szCs w:val="22"/>
        </w:rPr>
        <w:lastRenderedPageBreak/>
        <w:t>objective was to improve policymaking and implementation, overall civil service reform and improvement of service delivery.</w:t>
      </w:r>
    </w:p>
    <w:p w14:paraId="34D2E6AB" w14:textId="77777777" w:rsidR="00461BC5" w:rsidRDefault="00461BC5" w:rsidP="004A429A">
      <w:pPr>
        <w:jc w:val="both"/>
        <w:rPr>
          <w:rFonts w:ascii="Arial" w:hAnsi="Arial"/>
          <w:sz w:val="22"/>
          <w:szCs w:val="22"/>
        </w:rPr>
      </w:pPr>
    </w:p>
    <w:p w14:paraId="1C8F08DE" w14:textId="472CCE3F" w:rsidR="00461BC5" w:rsidRDefault="00461BC5" w:rsidP="004A429A">
      <w:pPr>
        <w:jc w:val="both"/>
        <w:rPr>
          <w:rFonts w:ascii="Arial" w:hAnsi="Arial"/>
          <w:sz w:val="22"/>
          <w:szCs w:val="22"/>
        </w:rPr>
      </w:pPr>
      <w:r>
        <w:rPr>
          <w:rFonts w:ascii="Arial" w:hAnsi="Arial"/>
          <w:sz w:val="22"/>
          <w:szCs w:val="22"/>
        </w:rPr>
        <w:t xml:space="preserve">Formal </w:t>
      </w:r>
      <w:r w:rsidR="009B7258">
        <w:rPr>
          <w:rFonts w:ascii="Arial" w:hAnsi="Arial"/>
          <w:sz w:val="22"/>
          <w:szCs w:val="22"/>
        </w:rPr>
        <w:t>Cabinet of Ministers project approval</w:t>
      </w:r>
      <w:r>
        <w:rPr>
          <w:rFonts w:ascii="Arial" w:hAnsi="Arial"/>
          <w:sz w:val="22"/>
          <w:szCs w:val="22"/>
        </w:rPr>
        <w:t xml:space="preserve"> was delayed due to </w:t>
      </w:r>
      <w:r w:rsidR="0075178B">
        <w:rPr>
          <w:rFonts w:ascii="Arial" w:hAnsi="Arial"/>
          <w:sz w:val="22"/>
          <w:szCs w:val="22"/>
        </w:rPr>
        <w:t>the 2</w:t>
      </w:r>
      <w:r>
        <w:rPr>
          <w:rFonts w:ascii="Arial" w:hAnsi="Arial"/>
          <w:sz w:val="22"/>
          <w:szCs w:val="22"/>
        </w:rPr>
        <w:t>016 parliamentary</w:t>
      </w:r>
      <w:r w:rsidR="0075178B">
        <w:rPr>
          <w:rFonts w:ascii="Arial" w:hAnsi="Arial"/>
          <w:sz w:val="22"/>
          <w:szCs w:val="22"/>
        </w:rPr>
        <w:t xml:space="preserve"> elections. When the project was i</w:t>
      </w:r>
      <w:r w:rsidR="00655E1A">
        <w:rPr>
          <w:rFonts w:ascii="Arial" w:hAnsi="Arial"/>
          <w:sz w:val="22"/>
          <w:szCs w:val="22"/>
        </w:rPr>
        <w:t>nitiated</w:t>
      </w:r>
      <w:r w:rsidR="0075178B">
        <w:rPr>
          <w:rFonts w:ascii="Arial" w:hAnsi="Arial"/>
          <w:sz w:val="22"/>
          <w:szCs w:val="22"/>
        </w:rPr>
        <w:t>, the first task undertaken was a review of t</w:t>
      </w:r>
      <w:r w:rsidR="000114B4">
        <w:rPr>
          <w:rFonts w:ascii="Arial" w:hAnsi="Arial"/>
          <w:sz w:val="22"/>
          <w:szCs w:val="22"/>
        </w:rPr>
        <w:t>he RRF</w:t>
      </w:r>
      <w:r w:rsidR="009A75A6">
        <w:rPr>
          <w:rFonts w:ascii="Arial" w:hAnsi="Arial"/>
          <w:sz w:val="22"/>
          <w:szCs w:val="22"/>
        </w:rPr>
        <w:t xml:space="preserve"> and associated work programs with the key stakeholders. Some adjustments were required </w:t>
      </w:r>
      <w:r>
        <w:rPr>
          <w:rFonts w:ascii="Arial" w:hAnsi="Arial"/>
          <w:sz w:val="22"/>
          <w:szCs w:val="22"/>
        </w:rPr>
        <w:t>sinc</w:t>
      </w:r>
      <w:r w:rsidR="00C4458A">
        <w:rPr>
          <w:rFonts w:ascii="Arial" w:hAnsi="Arial"/>
          <w:sz w:val="22"/>
          <w:szCs w:val="22"/>
        </w:rPr>
        <w:t xml:space="preserve">e </w:t>
      </w:r>
      <w:r w:rsidR="009A75A6">
        <w:rPr>
          <w:rFonts w:ascii="Arial" w:hAnsi="Arial"/>
          <w:sz w:val="22"/>
          <w:szCs w:val="22"/>
        </w:rPr>
        <w:t xml:space="preserve">the </w:t>
      </w:r>
      <w:r w:rsidR="00C4458A">
        <w:rPr>
          <w:rFonts w:ascii="Arial" w:hAnsi="Arial"/>
          <w:sz w:val="22"/>
          <w:szCs w:val="22"/>
        </w:rPr>
        <w:t>projec</w:t>
      </w:r>
      <w:r>
        <w:rPr>
          <w:rFonts w:ascii="Arial" w:hAnsi="Arial"/>
          <w:sz w:val="22"/>
          <w:szCs w:val="22"/>
        </w:rPr>
        <w:t xml:space="preserve">t document was prepared about </w:t>
      </w:r>
      <w:r w:rsidR="009A75A6">
        <w:rPr>
          <w:rFonts w:ascii="Arial" w:hAnsi="Arial"/>
          <w:sz w:val="22"/>
          <w:szCs w:val="22"/>
        </w:rPr>
        <w:t>one year before implementation. The meet</w:t>
      </w:r>
      <w:r w:rsidR="009B7258">
        <w:rPr>
          <w:rFonts w:ascii="Arial" w:hAnsi="Arial"/>
          <w:sz w:val="22"/>
          <w:szCs w:val="22"/>
        </w:rPr>
        <w:t>ings and adjustments were</w:t>
      </w:r>
      <w:r w:rsidR="009A75A6">
        <w:rPr>
          <w:rFonts w:ascii="Arial" w:hAnsi="Arial"/>
          <w:sz w:val="22"/>
          <w:szCs w:val="22"/>
        </w:rPr>
        <w:t xml:space="preserve"> a positive </w:t>
      </w:r>
      <w:r w:rsidR="00A865C8">
        <w:rPr>
          <w:rFonts w:ascii="Arial" w:hAnsi="Arial"/>
          <w:sz w:val="22"/>
          <w:szCs w:val="22"/>
        </w:rPr>
        <w:t xml:space="preserve">outcome </w:t>
      </w:r>
      <w:r w:rsidR="009A75A6">
        <w:rPr>
          <w:rFonts w:ascii="Arial" w:hAnsi="Arial"/>
          <w:sz w:val="22"/>
          <w:szCs w:val="22"/>
        </w:rPr>
        <w:t>for the project since it helped to tailor needs and synchronize activities with stakeholder interests and helped to gain participation and ownership at an early stage. One of the initial tasks of the project, the conduct of a survey of public and civil servant PAR perceptions in 2016-17 helped to establish baseline data for the project.</w:t>
      </w:r>
      <w:r w:rsidR="009A75A6">
        <w:rPr>
          <w:rStyle w:val="FootnoteReference"/>
          <w:rFonts w:ascii="Arial" w:hAnsi="Arial"/>
          <w:sz w:val="22"/>
          <w:szCs w:val="22"/>
        </w:rPr>
        <w:footnoteReference w:id="29"/>
      </w:r>
      <w:r w:rsidR="009A75A6">
        <w:rPr>
          <w:rFonts w:ascii="Arial" w:hAnsi="Arial"/>
          <w:sz w:val="22"/>
          <w:szCs w:val="22"/>
        </w:rPr>
        <w:t xml:space="preserve"> </w:t>
      </w:r>
    </w:p>
    <w:p w14:paraId="13AB8381" w14:textId="77777777" w:rsidR="00461BC5" w:rsidRDefault="00461BC5" w:rsidP="004A429A">
      <w:pPr>
        <w:jc w:val="both"/>
        <w:rPr>
          <w:rFonts w:ascii="Arial" w:hAnsi="Arial"/>
          <w:sz w:val="22"/>
          <w:szCs w:val="22"/>
        </w:rPr>
      </w:pPr>
    </w:p>
    <w:p w14:paraId="2AACAF02" w14:textId="225B4375" w:rsidR="00FC2B7F" w:rsidRDefault="009A75A6" w:rsidP="004A429A">
      <w:pPr>
        <w:jc w:val="both"/>
        <w:rPr>
          <w:rFonts w:ascii="Arial" w:hAnsi="Arial"/>
          <w:sz w:val="22"/>
          <w:szCs w:val="22"/>
        </w:rPr>
      </w:pPr>
      <w:r>
        <w:rPr>
          <w:rFonts w:ascii="Arial" w:hAnsi="Arial"/>
          <w:sz w:val="22"/>
          <w:szCs w:val="22"/>
        </w:rPr>
        <w:t>The PAR Council and associated working groups were reactivated in 2017. However, a worsening economic outlook i</w:t>
      </w:r>
      <w:r w:rsidR="00373C92">
        <w:rPr>
          <w:rFonts w:ascii="Arial" w:hAnsi="Arial"/>
          <w:sz w:val="22"/>
          <w:szCs w:val="22"/>
        </w:rPr>
        <w:t>n 2016-2017</w:t>
      </w:r>
      <w:r>
        <w:rPr>
          <w:rFonts w:ascii="Arial" w:hAnsi="Arial"/>
          <w:sz w:val="22"/>
          <w:szCs w:val="22"/>
        </w:rPr>
        <w:t xml:space="preserve"> resulted in austerity measures and a 10% cut in admi</w:t>
      </w:r>
      <w:r w:rsidR="00FC2B7F">
        <w:rPr>
          <w:rFonts w:ascii="Arial" w:hAnsi="Arial"/>
          <w:sz w:val="22"/>
          <w:szCs w:val="22"/>
        </w:rPr>
        <w:t>n</w:t>
      </w:r>
      <w:r>
        <w:rPr>
          <w:rFonts w:ascii="Arial" w:hAnsi="Arial"/>
          <w:sz w:val="22"/>
          <w:szCs w:val="22"/>
        </w:rPr>
        <w:t>i</w:t>
      </w:r>
      <w:r w:rsidR="00FC2B7F">
        <w:rPr>
          <w:rFonts w:ascii="Arial" w:hAnsi="Arial"/>
          <w:sz w:val="22"/>
          <w:szCs w:val="22"/>
        </w:rPr>
        <w:t>stra</w:t>
      </w:r>
      <w:r>
        <w:rPr>
          <w:rFonts w:ascii="Arial" w:hAnsi="Arial"/>
          <w:sz w:val="22"/>
          <w:szCs w:val="22"/>
        </w:rPr>
        <w:t xml:space="preserve">tive expenses and civil service personnel cuts. The number of ministries was reduced to 14 from 18. </w:t>
      </w:r>
      <w:r w:rsidR="00B94446">
        <w:rPr>
          <w:rFonts w:ascii="Arial" w:hAnsi="Arial"/>
          <w:sz w:val="22"/>
          <w:szCs w:val="22"/>
        </w:rPr>
        <w:t xml:space="preserve">Project activity and performance </w:t>
      </w:r>
      <w:r>
        <w:rPr>
          <w:rFonts w:ascii="Arial" w:hAnsi="Arial"/>
          <w:sz w:val="22"/>
          <w:szCs w:val="22"/>
        </w:rPr>
        <w:t xml:space="preserve">was </w:t>
      </w:r>
      <w:r w:rsidR="00B94446">
        <w:rPr>
          <w:rFonts w:ascii="Arial" w:hAnsi="Arial"/>
          <w:sz w:val="22"/>
          <w:szCs w:val="22"/>
        </w:rPr>
        <w:t xml:space="preserve">intertwined with establishment and implementation of </w:t>
      </w:r>
      <w:r w:rsidR="00A865C8">
        <w:rPr>
          <w:rFonts w:ascii="Arial" w:hAnsi="Arial"/>
          <w:sz w:val="22"/>
          <w:szCs w:val="22"/>
        </w:rPr>
        <w:t xml:space="preserve">the </w:t>
      </w:r>
      <w:r w:rsidR="00B94446">
        <w:rPr>
          <w:rFonts w:ascii="Arial" w:hAnsi="Arial"/>
          <w:sz w:val="22"/>
          <w:szCs w:val="22"/>
        </w:rPr>
        <w:t xml:space="preserve">legal/regulatory framework. </w:t>
      </w:r>
      <w:r>
        <w:rPr>
          <w:rFonts w:ascii="Arial" w:hAnsi="Arial"/>
          <w:sz w:val="22"/>
          <w:szCs w:val="22"/>
        </w:rPr>
        <w:t xml:space="preserve">The </w:t>
      </w:r>
      <w:r w:rsidR="000114B4">
        <w:rPr>
          <w:rFonts w:ascii="Arial" w:hAnsi="Arial"/>
          <w:sz w:val="22"/>
          <w:szCs w:val="22"/>
        </w:rPr>
        <w:t>civil s</w:t>
      </w:r>
      <w:r w:rsidR="00C4458A">
        <w:rPr>
          <w:rFonts w:ascii="Arial" w:hAnsi="Arial"/>
          <w:sz w:val="22"/>
          <w:szCs w:val="22"/>
        </w:rPr>
        <w:t>er</w:t>
      </w:r>
      <w:r>
        <w:rPr>
          <w:rFonts w:ascii="Arial" w:hAnsi="Arial"/>
          <w:sz w:val="22"/>
          <w:szCs w:val="22"/>
        </w:rPr>
        <w:t>vice law came into force on 1 July 2017 though</w:t>
      </w:r>
      <w:r w:rsidR="00C4458A">
        <w:rPr>
          <w:rFonts w:ascii="Arial" w:hAnsi="Arial"/>
          <w:sz w:val="22"/>
          <w:szCs w:val="22"/>
        </w:rPr>
        <w:t xml:space="preserve"> </w:t>
      </w:r>
      <w:r w:rsidR="000114B4">
        <w:rPr>
          <w:rFonts w:ascii="Arial" w:hAnsi="Arial"/>
          <w:sz w:val="22"/>
          <w:szCs w:val="22"/>
        </w:rPr>
        <w:t xml:space="preserve">several of the by-laws came into effect later on. </w:t>
      </w:r>
      <w:r>
        <w:rPr>
          <w:rFonts w:ascii="Arial" w:hAnsi="Arial"/>
          <w:sz w:val="22"/>
          <w:szCs w:val="22"/>
        </w:rPr>
        <w:t>The</w:t>
      </w:r>
      <w:r w:rsidR="00394B1C">
        <w:rPr>
          <w:rFonts w:ascii="Arial" w:hAnsi="Arial"/>
          <w:sz w:val="22"/>
          <w:szCs w:val="22"/>
        </w:rPr>
        <w:t xml:space="preserve"> Law on Salary</w:t>
      </w:r>
      <w:r w:rsidR="00FC2B7F">
        <w:rPr>
          <w:rFonts w:ascii="Arial" w:hAnsi="Arial"/>
          <w:sz w:val="22"/>
          <w:szCs w:val="22"/>
        </w:rPr>
        <w:t xml:space="preserve"> Scales in the</w:t>
      </w:r>
      <w:r w:rsidR="00A865C8">
        <w:rPr>
          <w:rFonts w:ascii="Arial" w:hAnsi="Arial"/>
          <w:sz w:val="22"/>
          <w:szCs w:val="22"/>
        </w:rPr>
        <w:t xml:space="preserve"> Civil Services was approved on</w:t>
      </w:r>
      <w:r w:rsidR="00394B1C">
        <w:rPr>
          <w:rFonts w:ascii="Arial" w:hAnsi="Arial"/>
          <w:sz w:val="22"/>
          <w:szCs w:val="22"/>
        </w:rPr>
        <w:t xml:space="preserve"> </w:t>
      </w:r>
      <w:r w:rsidR="00FC2B7F">
        <w:rPr>
          <w:rFonts w:ascii="Arial" w:hAnsi="Arial"/>
          <w:sz w:val="22"/>
          <w:szCs w:val="22"/>
        </w:rPr>
        <w:t>22 December 2017. A draft law was p</w:t>
      </w:r>
      <w:r w:rsidR="009B7258">
        <w:rPr>
          <w:rFonts w:ascii="Arial" w:hAnsi="Arial"/>
          <w:sz w:val="22"/>
          <w:szCs w:val="22"/>
        </w:rPr>
        <w:t>roposed to reform LEPLs. To date</w:t>
      </w:r>
      <w:r w:rsidR="00FC2B7F">
        <w:rPr>
          <w:rFonts w:ascii="Arial" w:hAnsi="Arial"/>
          <w:sz w:val="22"/>
          <w:szCs w:val="22"/>
        </w:rPr>
        <w:t>, no actions have been taken regarding LEPLs.</w:t>
      </w:r>
    </w:p>
    <w:p w14:paraId="6FF73CA2" w14:textId="77777777" w:rsidR="00FC2B7F" w:rsidRDefault="00FC2B7F" w:rsidP="004A429A">
      <w:pPr>
        <w:jc w:val="both"/>
        <w:rPr>
          <w:rFonts w:ascii="Arial" w:hAnsi="Arial"/>
          <w:sz w:val="22"/>
          <w:szCs w:val="22"/>
        </w:rPr>
      </w:pPr>
    </w:p>
    <w:p w14:paraId="19E7FEF9" w14:textId="1ED9FD34" w:rsidR="00461BC5" w:rsidRDefault="00FC2B7F" w:rsidP="004A429A">
      <w:pPr>
        <w:jc w:val="both"/>
        <w:rPr>
          <w:rFonts w:ascii="Arial" w:hAnsi="Arial"/>
          <w:sz w:val="22"/>
          <w:szCs w:val="22"/>
        </w:rPr>
      </w:pPr>
      <w:r>
        <w:rPr>
          <w:rFonts w:ascii="Arial" w:hAnsi="Arial"/>
          <w:sz w:val="22"/>
          <w:szCs w:val="22"/>
        </w:rPr>
        <w:t xml:space="preserve">Through these occurrences and changes in personnel or vacancies in </w:t>
      </w:r>
      <w:proofErr w:type="spellStart"/>
      <w:r>
        <w:rPr>
          <w:rFonts w:ascii="Arial" w:hAnsi="Arial"/>
          <w:sz w:val="22"/>
          <w:szCs w:val="22"/>
        </w:rPr>
        <w:t>AoG</w:t>
      </w:r>
      <w:proofErr w:type="spellEnd"/>
      <w:r>
        <w:rPr>
          <w:rFonts w:ascii="Arial" w:hAnsi="Arial"/>
          <w:sz w:val="22"/>
          <w:szCs w:val="22"/>
        </w:rPr>
        <w:t>, the p</w:t>
      </w:r>
      <w:r w:rsidR="00AA75AB">
        <w:rPr>
          <w:rFonts w:ascii="Arial" w:hAnsi="Arial"/>
          <w:sz w:val="22"/>
          <w:szCs w:val="22"/>
        </w:rPr>
        <w:t>roj</w:t>
      </w:r>
      <w:r w:rsidR="00C4458A">
        <w:rPr>
          <w:rFonts w:ascii="Arial" w:hAnsi="Arial"/>
          <w:sz w:val="22"/>
          <w:szCs w:val="22"/>
        </w:rPr>
        <w:t xml:space="preserve">ect had </w:t>
      </w:r>
      <w:r>
        <w:rPr>
          <w:rFonts w:ascii="Arial" w:hAnsi="Arial"/>
          <w:sz w:val="22"/>
          <w:szCs w:val="22"/>
        </w:rPr>
        <w:t xml:space="preserve">adopted a more </w:t>
      </w:r>
      <w:r w:rsidR="00C4458A">
        <w:rPr>
          <w:rFonts w:ascii="Arial" w:hAnsi="Arial"/>
          <w:sz w:val="22"/>
          <w:szCs w:val="22"/>
        </w:rPr>
        <w:t xml:space="preserve">flexible </w:t>
      </w:r>
      <w:r>
        <w:rPr>
          <w:rFonts w:ascii="Arial" w:hAnsi="Arial"/>
          <w:sz w:val="22"/>
          <w:szCs w:val="22"/>
        </w:rPr>
        <w:t>approach to be able to adjust to the</w:t>
      </w:r>
      <w:r w:rsidR="00C4458A">
        <w:rPr>
          <w:rFonts w:ascii="Arial" w:hAnsi="Arial"/>
          <w:sz w:val="22"/>
          <w:szCs w:val="22"/>
        </w:rPr>
        <w:t xml:space="preserve"> legal/regulatory environment, capacity constraints, and </w:t>
      </w:r>
      <w:r>
        <w:rPr>
          <w:rFonts w:ascii="Arial" w:hAnsi="Arial"/>
          <w:sz w:val="22"/>
          <w:szCs w:val="22"/>
        </w:rPr>
        <w:t xml:space="preserve">different levels of </w:t>
      </w:r>
      <w:r w:rsidR="00C4458A">
        <w:rPr>
          <w:rFonts w:ascii="Arial" w:hAnsi="Arial"/>
          <w:sz w:val="22"/>
          <w:szCs w:val="22"/>
        </w:rPr>
        <w:t>attention to or pri</w:t>
      </w:r>
      <w:r>
        <w:rPr>
          <w:rFonts w:ascii="Arial" w:hAnsi="Arial"/>
          <w:sz w:val="22"/>
          <w:szCs w:val="22"/>
        </w:rPr>
        <w:t>oritization of PAR</w:t>
      </w:r>
      <w:r w:rsidR="009B7258">
        <w:rPr>
          <w:rFonts w:ascii="Arial" w:hAnsi="Arial"/>
          <w:sz w:val="22"/>
          <w:szCs w:val="22"/>
        </w:rPr>
        <w:t>.</w:t>
      </w:r>
    </w:p>
    <w:p w14:paraId="38D7FC01" w14:textId="77777777" w:rsidR="00AA75AB" w:rsidRDefault="00AA75AB" w:rsidP="004A429A">
      <w:pPr>
        <w:jc w:val="both"/>
        <w:rPr>
          <w:rFonts w:ascii="Arial" w:hAnsi="Arial"/>
          <w:sz w:val="22"/>
          <w:szCs w:val="22"/>
        </w:rPr>
      </w:pPr>
    </w:p>
    <w:p w14:paraId="6C98201F" w14:textId="5EA80C96" w:rsidR="009B7258" w:rsidRDefault="00AA75AB" w:rsidP="00775EBF">
      <w:pPr>
        <w:jc w:val="both"/>
        <w:rPr>
          <w:rFonts w:ascii="Arial" w:hAnsi="Arial"/>
          <w:sz w:val="22"/>
          <w:szCs w:val="22"/>
        </w:rPr>
      </w:pPr>
      <w:r>
        <w:rPr>
          <w:rFonts w:ascii="Arial" w:hAnsi="Arial"/>
          <w:sz w:val="22"/>
          <w:szCs w:val="22"/>
        </w:rPr>
        <w:t>In 2018</w:t>
      </w:r>
      <w:r w:rsidR="00865DD5">
        <w:rPr>
          <w:rFonts w:ascii="Arial" w:hAnsi="Arial"/>
          <w:sz w:val="22"/>
          <w:szCs w:val="22"/>
        </w:rPr>
        <w:t xml:space="preserve">, the project was able to continue working with CSB to implement the </w:t>
      </w:r>
      <w:r w:rsidR="00A865C8">
        <w:rPr>
          <w:rFonts w:ascii="Arial" w:hAnsi="Arial"/>
          <w:sz w:val="22"/>
          <w:szCs w:val="22"/>
        </w:rPr>
        <w:t xml:space="preserve">elements of </w:t>
      </w:r>
      <w:r w:rsidR="000114B4">
        <w:rPr>
          <w:rFonts w:ascii="Arial" w:hAnsi="Arial"/>
          <w:sz w:val="22"/>
          <w:szCs w:val="22"/>
        </w:rPr>
        <w:t xml:space="preserve">the </w:t>
      </w:r>
      <w:r w:rsidR="00A865C8">
        <w:rPr>
          <w:rFonts w:ascii="Arial" w:hAnsi="Arial"/>
          <w:sz w:val="22"/>
          <w:szCs w:val="22"/>
        </w:rPr>
        <w:t>civil service law</w:t>
      </w:r>
      <w:r w:rsidR="00865DD5">
        <w:rPr>
          <w:rFonts w:ascii="Arial" w:hAnsi="Arial"/>
          <w:sz w:val="22"/>
          <w:szCs w:val="22"/>
        </w:rPr>
        <w:t xml:space="preserve"> under the project’s framework. According to project reporting, the CSB developed a more advisory role rather than hands on management role. CSB was coordin</w:t>
      </w:r>
      <w:r w:rsidR="00F81DD2">
        <w:rPr>
          <w:rFonts w:ascii="Arial" w:hAnsi="Arial"/>
          <w:sz w:val="22"/>
          <w:szCs w:val="22"/>
        </w:rPr>
        <w:t>at</w:t>
      </w:r>
      <w:r w:rsidR="00865DD5">
        <w:rPr>
          <w:rFonts w:ascii="Arial" w:hAnsi="Arial"/>
          <w:sz w:val="22"/>
          <w:szCs w:val="22"/>
        </w:rPr>
        <w:t>ing reform and providing guidance to ministries</w:t>
      </w:r>
      <w:r w:rsidR="00F81DD2">
        <w:rPr>
          <w:rFonts w:ascii="Arial" w:hAnsi="Arial"/>
          <w:sz w:val="22"/>
          <w:szCs w:val="22"/>
        </w:rPr>
        <w:t xml:space="preserve"> and agencies t</w:t>
      </w:r>
      <w:r w:rsidR="00865DD5">
        <w:rPr>
          <w:rFonts w:ascii="Arial" w:hAnsi="Arial"/>
          <w:sz w:val="22"/>
          <w:szCs w:val="22"/>
        </w:rPr>
        <w:t>o interpret the regulati</w:t>
      </w:r>
      <w:r w:rsidR="00F81DD2">
        <w:rPr>
          <w:rFonts w:ascii="Arial" w:hAnsi="Arial"/>
          <w:sz w:val="22"/>
          <w:szCs w:val="22"/>
        </w:rPr>
        <w:t>o</w:t>
      </w:r>
      <w:r w:rsidR="00865DD5">
        <w:rPr>
          <w:rFonts w:ascii="Arial" w:hAnsi="Arial"/>
          <w:sz w:val="22"/>
          <w:szCs w:val="22"/>
        </w:rPr>
        <w:t>ns. The project w</w:t>
      </w:r>
      <w:r w:rsidR="00F81DD2">
        <w:rPr>
          <w:rFonts w:ascii="Arial" w:hAnsi="Arial"/>
          <w:sz w:val="22"/>
          <w:szCs w:val="22"/>
        </w:rPr>
        <w:t>as</w:t>
      </w:r>
      <w:r w:rsidR="00865DD5">
        <w:rPr>
          <w:rFonts w:ascii="Arial" w:hAnsi="Arial"/>
          <w:sz w:val="22"/>
          <w:szCs w:val="22"/>
        </w:rPr>
        <w:t xml:space="preserve"> seen as a key development partner, amongst others, to help implement the civil service reform</w:t>
      </w:r>
      <w:r w:rsidR="00F81DD2">
        <w:rPr>
          <w:rFonts w:ascii="Arial" w:hAnsi="Arial"/>
          <w:sz w:val="22"/>
          <w:szCs w:val="22"/>
        </w:rPr>
        <w:t xml:space="preserve"> agenda. At the same time, the project was able to make progress with </w:t>
      </w:r>
      <w:proofErr w:type="spellStart"/>
      <w:r w:rsidR="00F81DD2">
        <w:rPr>
          <w:rFonts w:ascii="Arial" w:hAnsi="Arial"/>
          <w:sz w:val="22"/>
          <w:szCs w:val="22"/>
        </w:rPr>
        <w:t>AoG</w:t>
      </w:r>
      <w:proofErr w:type="spellEnd"/>
      <w:r w:rsidR="00F81DD2">
        <w:rPr>
          <w:rFonts w:ascii="Arial" w:hAnsi="Arial"/>
          <w:sz w:val="22"/>
          <w:szCs w:val="22"/>
        </w:rPr>
        <w:t xml:space="preserve"> to strengthen the policy planning, monitoring, evaluation and reporting. </w:t>
      </w:r>
      <w:r w:rsidR="003B3C2F">
        <w:rPr>
          <w:rFonts w:ascii="Arial" w:hAnsi="Arial"/>
          <w:sz w:val="22"/>
          <w:szCs w:val="22"/>
        </w:rPr>
        <w:t>There were political change</w:t>
      </w:r>
      <w:r w:rsidR="00A865C8">
        <w:rPr>
          <w:rFonts w:ascii="Arial" w:hAnsi="Arial"/>
          <w:sz w:val="22"/>
          <w:szCs w:val="22"/>
        </w:rPr>
        <w:t>s with a cabinet reshuffle and p</w:t>
      </w:r>
      <w:r w:rsidR="003B3C2F">
        <w:rPr>
          <w:rFonts w:ascii="Arial" w:hAnsi="Arial"/>
          <w:sz w:val="22"/>
          <w:szCs w:val="22"/>
        </w:rPr>
        <w:t>residential elections in November</w:t>
      </w:r>
      <w:r w:rsidR="00F81DD2">
        <w:rPr>
          <w:rFonts w:ascii="Arial" w:hAnsi="Arial"/>
          <w:sz w:val="22"/>
          <w:szCs w:val="22"/>
        </w:rPr>
        <w:t xml:space="preserve"> 2018</w:t>
      </w:r>
      <w:r w:rsidR="003B3C2F">
        <w:rPr>
          <w:rFonts w:ascii="Arial" w:hAnsi="Arial"/>
          <w:sz w:val="22"/>
          <w:szCs w:val="22"/>
        </w:rPr>
        <w:t>.</w:t>
      </w:r>
      <w:r w:rsidR="00F81DD2">
        <w:rPr>
          <w:rFonts w:ascii="Arial" w:hAnsi="Arial"/>
          <w:sz w:val="22"/>
          <w:szCs w:val="22"/>
        </w:rPr>
        <w:t xml:space="preserve"> The h</w:t>
      </w:r>
      <w:r w:rsidR="006F63CF">
        <w:rPr>
          <w:rFonts w:ascii="Arial" w:hAnsi="Arial"/>
          <w:sz w:val="22"/>
          <w:szCs w:val="22"/>
        </w:rPr>
        <w:t xml:space="preserve">ead of </w:t>
      </w:r>
      <w:proofErr w:type="spellStart"/>
      <w:r w:rsidR="006F63CF">
        <w:rPr>
          <w:rFonts w:ascii="Arial" w:hAnsi="Arial"/>
          <w:sz w:val="22"/>
          <w:szCs w:val="22"/>
        </w:rPr>
        <w:t>AoG</w:t>
      </w:r>
      <w:proofErr w:type="spellEnd"/>
      <w:r w:rsidR="006F63CF">
        <w:rPr>
          <w:rFonts w:ascii="Arial" w:hAnsi="Arial"/>
          <w:sz w:val="22"/>
          <w:szCs w:val="22"/>
        </w:rPr>
        <w:t xml:space="preserve"> moved to a ministerial p</w:t>
      </w:r>
      <w:r w:rsidR="00F81DD2">
        <w:rPr>
          <w:rFonts w:ascii="Arial" w:hAnsi="Arial"/>
          <w:sz w:val="22"/>
          <w:szCs w:val="22"/>
        </w:rPr>
        <w:t>osition on/about April 2018</w:t>
      </w:r>
      <w:r w:rsidR="009B7258">
        <w:rPr>
          <w:rFonts w:ascii="Arial" w:hAnsi="Arial"/>
          <w:sz w:val="22"/>
          <w:szCs w:val="22"/>
        </w:rPr>
        <w:t>. A new</w:t>
      </w:r>
      <w:r w:rsidR="00F81DD2">
        <w:rPr>
          <w:rFonts w:ascii="Arial" w:hAnsi="Arial"/>
          <w:sz w:val="22"/>
          <w:szCs w:val="22"/>
        </w:rPr>
        <w:t xml:space="preserve"> head was</w:t>
      </w:r>
      <w:r w:rsidR="00A865C8">
        <w:rPr>
          <w:rFonts w:ascii="Arial" w:hAnsi="Arial"/>
          <w:sz w:val="22"/>
          <w:szCs w:val="22"/>
        </w:rPr>
        <w:t xml:space="preserve"> appointed in July</w:t>
      </w:r>
      <w:r w:rsidR="002A158B">
        <w:rPr>
          <w:rFonts w:ascii="Arial" w:hAnsi="Arial"/>
          <w:sz w:val="22"/>
          <w:szCs w:val="22"/>
        </w:rPr>
        <w:t xml:space="preserve"> and initiated a restructuring.</w:t>
      </w:r>
      <w:r w:rsidR="006F63CF">
        <w:rPr>
          <w:rFonts w:ascii="Arial" w:hAnsi="Arial"/>
          <w:sz w:val="22"/>
          <w:szCs w:val="22"/>
        </w:rPr>
        <w:t xml:space="preserve"> </w:t>
      </w:r>
      <w:r w:rsidR="00F81DD2">
        <w:rPr>
          <w:rFonts w:ascii="Arial" w:hAnsi="Arial"/>
          <w:sz w:val="22"/>
          <w:szCs w:val="22"/>
        </w:rPr>
        <w:t>In June 20</w:t>
      </w:r>
      <w:r w:rsidR="006F63CF">
        <w:rPr>
          <w:rFonts w:ascii="Arial" w:hAnsi="Arial"/>
          <w:sz w:val="22"/>
          <w:szCs w:val="22"/>
        </w:rPr>
        <w:t>18 th</w:t>
      </w:r>
      <w:r w:rsidR="007961FC">
        <w:rPr>
          <w:rFonts w:ascii="Arial" w:hAnsi="Arial"/>
          <w:sz w:val="22"/>
          <w:szCs w:val="22"/>
        </w:rPr>
        <w:t xml:space="preserve">e </w:t>
      </w:r>
      <w:r w:rsidR="00F81DD2">
        <w:rPr>
          <w:rFonts w:ascii="Arial" w:hAnsi="Arial"/>
          <w:sz w:val="22"/>
          <w:szCs w:val="22"/>
        </w:rPr>
        <w:t>number of ministries were reduced</w:t>
      </w:r>
      <w:r w:rsidR="006F63CF">
        <w:rPr>
          <w:rFonts w:ascii="Arial" w:hAnsi="Arial"/>
          <w:sz w:val="22"/>
          <w:szCs w:val="22"/>
        </w:rPr>
        <w:t xml:space="preserve"> from 1</w:t>
      </w:r>
      <w:r w:rsidR="002A158B">
        <w:rPr>
          <w:rFonts w:ascii="Arial" w:hAnsi="Arial"/>
          <w:sz w:val="22"/>
          <w:szCs w:val="22"/>
        </w:rPr>
        <w:t>4 to 11. The 2017 reduction</w:t>
      </w:r>
      <w:r w:rsidR="006F63CF">
        <w:rPr>
          <w:rFonts w:ascii="Arial" w:hAnsi="Arial"/>
          <w:sz w:val="22"/>
          <w:szCs w:val="22"/>
        </w:rPr>
        <w:t xml:space="preserve"> was still not completed.</w:t>
      </w:r>
      <w:r w:rsidR="007961FC">
        <w:rPr>
          <w:rFonts w:ascii="Arial" w:hAnsi="Arial"/>
          <w:sz w:val="22"/>
          <w:szCs w:val="22"/>
        </w:rPr>
        <w:t xml:space="preserve"> </w:t>
      </w:r>
      <w:r w:rsidR="00F81DD2">
        <w:rPr>
          <w:rFonts w:ascii="Arial" w:hAnsi="Arial"/>
          <w:sz w:val="22"/>
          <w:szCs w:val="22"/>
        </w:rPr>
        <w:t xml:space="preserve">The new </w:t>
      </w:r>
      <w:r w:rsidR="007961FC">
        <w:rPr>
          <w:rFonts w:ascii="Arial" w:hAnsi="Arial"/>
          <w:sz w:val="22"/>
          <w:szCs w:val="22"/>
        </w:rPr>
        <w:t xml:space="preserve">Cabinet and leadership expressed interest </w:t>
      </w:r>
      <w:r w:rsidR="002A158B">
        <w:rPr>
          <w:rFonts w:ascii="Arial" w:hAnsi="Arial"/>
          <w:sz w:val="22"/>
          <w:szCs w:val="22"/>
        </w:rPr>
        <w:t>in the</w:t>
      </w:r>
      <w:r w:rsidR="007961FC">
        <w:rPr>
          <w:rFonts w:ascii="Arial" w:hAnsi="Arial"/>
          <w:sz w:val="22"/>
          <w:szCs w:val="22"/>
        </w:rPr>
        <w:t xml:space="preserve"> PAR agenda. </w:t>
      </w:r>
      <w:r w:rsidR="00F81DD2">
        <w:rPr>
          <w:rFonts w:ascii="Arial" w:hAnsi="Arial"/>
          <w:sz w:val="22"/>
          <w:szCs w:val="22"/>
        </w:rPr>
        <w:t>Given this situation the PAR project continued work despite the leadership disruptions.  By this time all elements of the project were established in all three outcome areas. Relati</w:t>
      </w:r>
      <w:r w:rsidR="00775EBF">
        <w:rPr>
          <w:rFonts w:ascii="Arial" w:hAnsi="Arial"/>
          <w:sz w:val="22"/>
          <w:szCs w:val="22"/>
        </w:rPr>
        <w:t>o</w:t>
      </w:r>
      <w:r w:rsidR="00F81DD2">
        <w:rPr>
          <w:rFonts w:ascii="Arial" w:hAnsi="Arial"/>
          <w:sz w:val="22"/>
          <w:szCs w:val="22"/>
        </w:rPr>
        <w:t>ns</w:t>
      </w:r>
      <w:r w:rsidR="00775EBF">
        <w:rPr>
          <w:rFonts w:ascii="Arial" w:hAnsi="Arial"/>
          <w:sz w:val="22"/>
          <w:szCs w:val="22"/>
        </w:rPr>
        <w:t>h</w:t>
      </w:r>
      <w:r w:rsidR="00F81DD2">
        <w:rPr>
          <w:rFonts w:ascii="Arial" w:hAnsi="Arial"/>
          <w:sz w:val="22"/>
          <w:szCs w:val="22"/>
        </w:rPr>
        <w:t>ips were built with the various stakeholders and work plans remained intact. While senior government attention had wavered with the various changes, commitment at the civil servant level was suf</w:t>
      </w:r>
      <w:r w:rsidR="002A158B">
        <w:rPr>
          <w:rFonts w:ascii="Arial" w:hAnsi="Arial"/>
          <w:sz w:val="22"/>
          <w:szCs w:val="22"/>
        </w:rPr>
        <w:t>ficient. And, the situation</w:t>
      </w:r>
      <w:r w:rsidR="00F81DD2">
        <w:rPr>
          <w:rFonts w:ascii="Arial" w:hAnsi="Arial"/>
          <w:sz w:val="22"/>
          <w:szCs w:val="22"/>
        </w:rPr>
        <w:t xml:space="preserve"> further identified the need</w:t>
      </w:r>
      <w:r w:rsidR="002A158B">
        <w:rPr>
          <w:rFonts w:ascii="Arial" w:hAnsi="Arial"/>
          <w:sz w:val="22"/>
          <w:szCs w:val="22"/>
        </w:rPr>
        <w:t xml:space="preserve"> for and </w:t>
      </w:r>
      <w:r w:rsidR="00775EBF">
        <w:rPr>
          <w:rFonts w:ascii="Arial" w:hAnsi="Arial"/>
          <w:sz w:val="22"/>
          <w:szCs w:val="22"/>
        </w:rPr>
        <w:t>the project’s commit</w:t>
      </w:r>
      <w:r w:rsidR="002A158B">
        <w:rPr>
          <w:rFonts w:ascii="Arial" w:hAnsi="Arial"/>
          <w:sz w:val="22"/>
          <w:szCs w:val="22"/>
        </w:rPr>
        <w:t>ment to</w:t>
      </w:r>
      <w:r w:rsidR="00F81DD2">
        <w:rPr>
          <w:rFonts w:ascii="Arial" w:hAnsi="Arial"/>
          <w:sz w:val="22"/>
          <w:szCs w:val="22"/>
        </w:rPr>
        <w:t xml:space="preserve"> CSO</w:t>
      </w:r>
      <w:r w:rsidR="00A865C8">
        <w:rPr>
          <w:rFonts w:ascii="Arial" w:hAnsi="Arial"/>
          <w:sz w:val="22"/>
          <w:szCs w:val="22"/>
        </w:rPr>
        <w:t xml:space="preserve"> input to PAR that</w:t>
      </w:r>
      <w:r w:rsidR="00F81DD2">
        <w:rPr>
          <w:rFonts w:ascii="Arial" w:hAnsi="Arial"/>
          <w:sz w:val="22"/>
          <w:szCs w:val="22"/>
        </w:rPr>
        <w:t xml:space="preserve"> </w:t>
      </w:r>
      <w:r w:rsidR="00775EBF">
        <w:rPr>
          <w:rFonts w:ascii="Arial" w:hAnsi="Arial"/>
          <w:sz w:val="22"/>
          <w:szCs w:val="22"/>
        </w:rPr>
        <w:t>the project was also developing through the reform of the policy planning process and small grants scheme</w:t>
      </w:r>
      <w:r w:rsidR="00F81DD2">
        <w:rPr>
          <w:rFonts w:ascii="Arial" w:hAnsi="Arial"/>
          <w:sz w:val="22"/>
          <w:szCs w:val="22"/>
        </w:rPr>
        <w:t xml:space="preserve">. </w:t>
      </w:r>
      <w:r w:rsidR="00775EBF">
        <w:rPr>
          <w:rFonts w:ascii="Arial" w:hAnsi="Arial"/>
          <w:sz w:val="22"/>
          <w:szCs w:val="22"/>
        </w:rPr>
        <w:t>The project</w:t>
      </w:r>
      <w:r w:rsidR="00A865C8">
        <w:rPr>
          <w:rFonts w:ascii="Arial" w:hAnsi="Arial"/>
          <w:sz w:val="22"/>
          <w:szCs w:val="22"/>
        </w:rPr>
        <w:t xml:space="preserve"> was also conducting a series </w:t>
      </w:r>
      <w:r w:rsidR="002A158B">
        <w:rPr>
          <w:rFonts w:ascii="Arial" w:hAnsi="Arial"/>
          <w:sz w:val="22"/>
          <w:szCs w:val="22"/>
        </w:rPr>
        <w:t xml:space="preserve">of </w:t>
      </w:r>
      <w:r w:rsidR="00A865C8">
        <w:rPr>
          <w:rFonts w:ascii="Arial" w:hAnsi="Arial"/>
          <w:sz w:val="22"/>
          <w:szCs w:val="22"/>
        </w:rPr>
        <w:t>Emerging Needs sub projects</w:t>
      </w:r>
      <w:r w:rsidR="00775EBF">
        <w:rPr>
          <w:rFonts w:ascii="Arial" w:hAnsi="Arial"/>
          <w:sz w:val="22"/>
          <w:szCs w:val="22"/>
        </w:rPr>
        <w:t xml:space="preserve"> to address particular PAR needs, such as institutional reform of </w:t>
      </w:r>
      <w:r w:rsidR="00775EBF">
        <w:rPr>
          <w:rFonts w:ascii="Arial" w:hAnsi="Arial"/>
          <w:sz w:val="22"/>
          <w:szCs w:val="22"/>
        </w:rPr>
        <w:lastRenderedPageBreak/>
        <w:t xml:space="preserve">two ministries in </w:t>
      </w:r>
      <w:proofErr w:type="spellStart"/>
      <w:r w:rsidR="00775EBF">
        <w:rPr>
          <w:rFonts w:ascii="Arial" w:hAnsi="Arial"/>
          <w:sz w:val="22"/>
          <w:szCs w:val="22"/>
        </w:rPr>
        <w:t>Ajara</w:t>
      </w:r>
      <w:proofErr w:type="spellEnd"/>
      <w:r w:rsidR="00775EBF">
        <w:rPr>
          <w:rFonts w:ascii="Arial" w:hAnsi="Arial"/>
          <w:sz w:val="22"/>
          <w:szCs w:val="22"/>
        </w:rPr>
        <w:t xml:space="preserve">. </w:t>
      </w:r>
      <w:r w:rsidR="00F81DD2">
        <w:rPr>
          <w:rFonts w:ascii="Arial" w:hAnsi="Arial"/>
          <w:sz w:val="22"/>
          <w:szCs w:val="22"/>
        </w:rPr>
        <w:t>As needed</w:t>
      </w:r>
      <w:r w:rsidR="00A865C8">
        <w:rPr>
          <w:rFonts w:ascii="Arial" w:hAnsi="Arial"/>
          <w:sz w:val="22"/>
          <w:szCs w:val="22"/>
        </w:rPr>
        <w:t>,</w:t>
      </w:r>
      <w:r w:rsidR="00F81DD2">
        <w:rPr>
          <w:rFonts w:ascii="Arial" w:hAnsi="Arial"/>
          <w:sz w:val="22"/>
          <w:szCs w:val="22"/>
        </w:rPr>
        <w:t xml:space="preserve"> </w:t>
      </w:r>
      <w:r w:rsidR="00775EBF">
        <w:rPr>
          <w:rFonts w:ascii="Arial" w:hAnsi="Arial"/>
          <w:sz w:val="22"/>
          <w:szCs w:val="22"/>
        </w:rPr>
        <w:t xml:space="preserve">senior </w:t>
      </w:r>
      <w:r w:rsidR="00A865C8">
        <w:rPr>
          <w:rFonts w:ascii="Arial" w:hAnsi="Arial"/>
          <w:sz w:val="22"/>
          <w:szCs w:val="22"/>
        </w:rPr>
        <w:t>development partner</w:t>
      </w:r>
      <w:r w:rsidR="00775EBF">
        <w:rPr>
          <w:rFonts w:ascii="Arial" w:hAnsi="Arial"/>
          <w:sz w:val="22"/>
          <w:szCs w:val="22"/>
        </w:rPr>
        <w:t xml:space="preserve"> officials</w:t>
      </w:r>
      <w:r w:rsidR="002A158B">
        <w:rPr>
          <w:rFonts w:ascii="Arial" w:hAnsi="Arial"/>
          <w:sz w:val="22"/>
          <w:szCs w:val="22"/>
        </w:rPr>
        <w:t>, such as EU, UK</w:t>
      </w:r>
      <w:r w:rsidR="00F81DD2">
        <w:rPr>
          <w:rFonts w:ascii="Arial" w:hAnsi="Arial"/>
          <w:sz w:val="22"/>
          <w:szCs w:val="22"/>
        </w:rPr>
        <w:t xml:space="preserve"> and UNDP </w:t>
      </w:r>
      <w:r w:rsidR="00A865C8">
        <w:rPr>
          <w:rFonts w:ascii="Arial" w:hAnsi="Arial"/>
          <w:sz w:val="22"/>
          <w:szCs w:val="22"/>
        </w:rPr>
        <w:t xml:space="preserve">representatives, </w:t>
      </w:r>
      <w:r w:rsidR="00F81DD2">
        <w:rPr>
          <w:rFonts w:ascii="Arial" w:hAnsi="Arial"/>
          <w:sz w:val="22"/>
          <w:szCs w:val="22"/>
        </w:rPr>
        <w:t xml:space="preserve">were brought in to </w:t>
      </w:r>
      <w:r w:rsidR="00775EBF">
        <w:rPr>
          <w:rFonts w:ascii="Arial" w:hAnsi="Arial"/>
          <w:sz w:val="22"/>
          <w:szCs w:val="22"/>
        </w:rPr>
        <w:t>bring attent</w:t>
      </w:r>
      <w:r w:rsidR="009B7258">
        <w:rPr>
          <w:rFonts w:ascii="Arial" w:hAnsi="Arial"/>
          <w:sz w:val="22"/>
          <w:szCs w:val="22"/>
        </w:rPr>
        <w:t>ion to PAR and specific issues.</w:t>
      </w:r>
    </w:p>
    <w:p w14:paraId="1ABC8C3F" w14:textId="77777777" w:rsidR="009B7258" w:rsidRDefault="009B7258" w:rsidP="00775EBF">
      <w:pPr>
        <w:jc w:val="both"/>
        <w:rPr>
          <w:rFonts w:ascii="Arial" w:hAnsi="Arial"/>
          <w:sz w:val="22"/>
          <w:szCs w:val="22"/>
        </w:rPr>
      </w:pPr>
    </w:p>
    <w:p w14:paraId="30CA657C" w14:textId="231540D2" w:rsidR="00B7636C" w:rsidRDefault="00D80E64" w:rsidP="00775EBF">
      <w:pPr>
        <w:jc w:val="both"/>
        <w:rPr>
          <w:rFonts w:ascii="Arial" w:hAnsi="Arial"/>
          <w:sz w:val="22"/>
          <w:szCs w:val="22"/>
        </w:rPr>
      </w:pPr>
      <w:r>
        <w:rPr>
          <w:rFonts w:ascii="Arial" w:hAnsi="Arial"/>
          <w:sz w:val="22"/>
          <w:szCs w:val="22"/>
        </w:rPr>
        <w:t>In 2019, there was some consolidation o</w:t>
      </w:r>
      <w:r w:rsidR="00775EBF">
        <w:rPr>
          <w:rFonts w:ascii="Arial" w:hAnsi="Arial"/>
          <w:sz w:val="22"/>
          <w:szCs w:val="22"/>
        </w:rPr>
        <w:t>f project gains from the 2016-18</w:t>
      </w:r>
      <w:r>
        <w:rPr>
          <w:rFonts w:ascii="Arial" w:hAnsi="Arial"/>
          <w:sz w:val="22"/>
          <w:szCs w:val="22"/>
        </w:rPr>
        <w:t xml:space="preserve"> period with change being undertaken at the main stakeholder entities and a whole-of-government approach</w:t>
      </w:r>
      <w:r w:rsidR="00775EBF">
        <w:rPr>
          <w:rFonts w:ascii="Arial" w:hAnsi="Arial"/>
          <w:sz w:val="22"/>
          <w:szCs w:val="22"/>
        </w:rPr>
        <w:t xml:space="preserve"> applied to the extent possible</w:t>
      </w:r>
      <w:r w:rsidR="00C13D18">
        <w:rPr>
          <w:rFonts w:ascii="Arial" w:hAnsi="Arial"/>
          <w:sz w:val="22"/>
          <w:szCs w:val="22"/>
        </w:rPr>
        <w:t>. However, destabilizing political occurrences</w:t>
      </w:r>
      <w:r>
        <w:rPr>
          <w:rFonts w:ascii="Arial" w:hAnsi="Arial"/>
          <w:sz w:val="22"/>
          <w:szCs w:val="22"/>
        </w:rPr>
        <w:t xml:space="preserve"> in 2019 raised concerns with</w:t>
      </w:r>
      <w:r w:rsidR="00C13D18">
        <w:rPr>
          <w:rFonts w:ascii="Arial" w:hAnsi="Arial"/>
          <w:sz w:val="22"/>
          <w:szCs w:val="22"/>
        </w:rPr>
        <w:t xml:space="preserve"> protests, the Prime Minister’s resignation and</w:t>
      </w:r>
      <w:r>
        <w:rPr>
          <w:rFonts w:ascii="Arial" w:hAnsi="Arial"/>
          <w:sz w:val="22"/>
          <w:szCs w:val="22"/>
        </w:rPr>
        <w:t xml:space="preserve"> parliamentary elections schedule</w:t>
      </w:r>
      <w:r w:rsidR="00C13D18">
        <w:rPr>
          <w:rFonts w:ascii="Arial" w:hAnsi="Arial"/>
          <w:sz w:val="22"/>
          <w:szCs w:val="22"/>
        </w:rPr>
        <w:t xml:space="preserve">d for 2020. </w:t>
      </w:r>
      <w:r>
        <w:rPr>
          <w:rFonts w:ascii="Arial" w:hAnsi="Arial"/>
          <w:sz w:val="22"/>
          <w:szCs w:val="22"/>
        </w:rPr>
        <w:t xml:space="preserve">The </w:t>
      </w:r>
      <w:r w:rsidRPr="00E25EF9">
        <w:rPr>
          <w:rFonts w:ascii="Arial" w:hAnsi="Arial"/>
          <w:sz w:val="22"/>
          <w:szCs w:val="22"/>
        </w:rPr>
        <w:t xml:space="preserve">results of the project’s mid-term public opinion survey </w:t>
      </w:r>
      <w:r w:rsidR="00C13D18" w:rsidRPr="00E25EF9">
        <w:rPr>
          <w:rFonts w:ascii="Arial" w:hAnsi="Arial"/>
          <w:sz w:val="22"/>
          <w:szCs w:val="22"/>
        </w:rPr>
        <w:t>showed</w:t>
      </w:r>
      <w:r w:rsidRPr="00E25EF9">
        <w:rPr>
          <w:rFonts w:ascii="Arial" w:hAnsi="Arial"/>
          <w:sz w:val="22"/>
          <w:szCs w:val="22"/>
        </w:rPr>
        <w:t xml:space="preserve"> concerns of the impartiality of Georgia’s civil service with 56% of respondents thinking public agencies make decisions based on politi</w:t>
      </w:r>
      <w:r w:rsidR="00C13D18" w:rsidRPr="00E25EF9">
        <w:rPr>
          <w:rFonts w:ascii="Arial" w:hAnsi="Arial"/>
          <w:sz w:val="22"/>
          <w:szCs w:val="22"/>
        </w:rPr>
        <w:t>cal orders, up from 34% in 2016</w:t>
      </w:r>
      <w:r w:rsidR="00775EBF" w:rsidRPr="00E25EF9">
        <w:rPr>
          <w:rFonts w:ascii="Arial" w:hAnsi="Arial"/>
          <w:sz w:val="22"/>
          <w:szCs w:val="22"/>
        </w:rPr>
        <w:t>.</w:t>
      </w:r>
      <w:r w:rsidR="00775EBF" w:rsidRPr="00E25EF9">
        <w:rPr>
          <w:rStyle w:val="FootnoteReference"/>
          <w:rFonts w:ascii="Arial" w:hAnsi="Arial"/>
          <w:sz w:val="22"/>
          <w:szCs w:val="22"/>
        </w:rPr>
        <w:footnoteReference w:id="30"/>
      </w:r>
      <w:r w:rsidR="00C13D18" w:rsidRPr="00E25EF9">
        <w:rPr>
          <w:rFonts w:ascii="Arial" w:hAnsi="Arial"/>
          <w:sz w:val="22"/>
          <w:szCs w:val="22"/>
        </w:rPr>
        <w:t xml:space="preserve"> Other findings indicated more of a loss of trust of government co</w:t>
      </w:r>
      <w:r w:rsidR="00670112" w:rsidRPr="00E25EF9">
        <w:rPr>
          <w:rFonts w:ascii="Arial" w:hAnsi="Arial"/>
          <w:sz w:val="22"/>
          <w:szCs w:val="22"/>
        </w:rPr>
        <w:t xml:space="preserve">mpared to 2016 survey findings: </w:t>
      </w:r>
      <w:r w:rsidR="00C13D18" w:rsidRPr="00E25EF9">
        <w:rPr>
          <w:rFonts w:ascii="Arial" w:hAnsi="Arial"/>
          <w:sz w:val="22"/>
          <w:szCs w:val="22"/>
        </w:rPr>
        <w:t>the percent of the public who believe the civil service employs professional fell</w:t>
      </w:r>
      <w:r w:rsidR="00670112" w:rsidRPr="00E25EF9">
        <w:rPr>
          <w:rFonts w:ascii="Arial" w:hAnsi="Arial"/>
          <w:sz w:val="22"/>
          <w:szCs w:val="22"/>
        </w:rPr>
        <w:t>s</w:t>
      </w:r>
      <w:r w:rsidR="00C13D18" w:rsidRPr="00E25EF9">
        <w:rPr>
          <w:rFonts w:ascii="Arial" w:hAnsi="Arial"/>
          <w:sz w:val="22"/>
          <w:szCs w:val="22"/>
        </w:rPr>
        <w:t xml:space="preserve"> to 58% from 74%; and public trust in civil servants fell from 67% from 71%. For civil servants, more civil servants said they are proud of their work (80% versu</w:t>
      </w:r>
      <w:r w:rsidR="00B7636C" w:rsidRPr="00E25EF9">
        <w:rPr>
          <w:rFonts w:ascii="Arial" w:hAnsi="Arial"/>
          <w:sz w:val="22"/>
          <w:szCs w:val="22"/>
        </w:rPr>
        <w:t xml:space="preserve">s 78% in 2016); fewer civil servants felt the civil </w:t>
      </w:r>
      <w:r w:rsidR="00670112" w:rsidRPr="00E25EF9">
        <w:rPr>
          <w:rFonts w:ascii="Arial" w:hAnsi="Arial"/>
          <w:sz w:val="22"/>
          <w:szCs w:val="22"/>
        </w:rPr>
        <w:t xml:space="preserve">service </w:t>
      </w:r>
      <w:r w:rsidR="00B7636C" w:rsidRPr="00E25EF9">
        <w:rPr>
          <w:rFonts w:ascii="Arial" w:hAnsi="Arial"/>
          <w:sz w:val="22"/>
          <w:szCs w:val="22"/>
        </w:rPr>
        <w:t>is free from political influence (42% versus 56%); an</w:t>
      </w:r>
      <w:r w:rsidR="00670112" w:rsidRPr="00E25EF9">
        <w:rPr>
          <w:rFonts w:ascii="Arial" w:hAnsi="Arial"/>
          <w:sz w:val="22"/>
          <w:szCs w:val="22"/>
        </w:rPr>
        <w:t>d</w:t>
      </w:r>
      <w:r w:rsidR="00B7636C" w:rsidRPr="00E25EF9">
        <w:rPr>
          <w:rFonts w:ascii="Arial" w:hAnsi="Arial"/>
          <w:sz w:val="22"/>
          <w:szCs w:val="22"/>
        </w:rPr>
        <w:t xml:space="preserve"> fewer civil servants said the civil service employs professionals (41% versus 50%). The deterioration of the public and civil servants</w:t>
      </w:r>
      <w:r w:rsidR="00EF6CCD">
        <w:rPr>
          <w:rFonts w:ascii="Arial" w:hAnsi="Arial"/>
          <w:sz w:val="22"/>
          <w:szCs w:val="22"/>
        </w:rPr>
        <w:t>’</w:t>
      </w:r>
      <w:r w:rsidR="00B7636C" w:rsidRPr="00E25EF9">
        <w:rPr>
          <w:rFonts w:ascii="Arial" w:hAnsi="Arial"/>
          <w:sz w:val="22"/>
          <w:szCs w:val="22"/>
        </w:rPr>
        <w:t xml:space="preserve"> opinions of the public administration and public services was clear. But, at the same time, 67% of the citizens said they value Georgia’s civil service.</w:t>
      </w:r>
    </w:p>
    <w:p w14:paraId="619A6FC9" w14:textId="77777777" w:rsidR="00D80E64" w:rsidRDefault="00D80E64" w:rsidP="004A429A">
      <w:pPr>
        <w:jc w:val="both"/>
        <w:rPr>
          <w:rFonts w:ascii="Arial" w:hAnsi="Arial"/>
          <w:sz w:val="22"/>
          <w:szCs w:val="22"/>
        </w:rPr>
      </w:pPr>
    </w:p>
    <w:p w14:paraId="64774AB4" w14:textId="2D9D7156" w:rsidR="00AA75AB" w:rsidRDefault="00B7636C" w:rsidP="004A429A">
      <w:pPr>
        <w:jc w:val="both"/>
        <w:rPr>
          <w:rFonts w:ascii="Arial" w:hAnsi="Arial"/>
          <w:sz w:val="22"/>
          <w:szCs w:val="22"/>
        </w:rPr>
      </w:pPr>
      <w:r>
        <w:rPr>
          <w:rFonts w:ascii="Arial" w:hAnsi="Arial"/>
          <w:sz w:val="22"/>
          <w:szCs w:val="22"/>
        </w:rPr>
        <w:t>The survey, along with the project’s mid term evaluation, helped the project to adjust focus and activities. There was progress on outputs and by the end of 2019</w:t>
      </w:r>
      <w:r w:rsidR="00F85F0E">
        <w:rPr>
          <w:rFonts w:ascii="Arial" w:hAnsi="Arial"/>
          <w:sz w:val="22"/>
          <w:szCs w:val="22"/>
        </w:rPr>
        <w:t xml:space="preserve"> </w:t>
      </w:r>
      <w:r>
        <w:rPr>
          <w:rFonts w:ascii="Arial" w:hAnsi="Arial"/>
          <w:sz w:val="22"/>
          <w:szCs w:val="22"/>
        </w:rPr>
        <w:t>the project seemed to be on course for completi</w:t>
      </w:r>
      <w:r w:rsidR="00A3676A">
        <w:rPr>
          <w:rFonts w:ascii="Arial" w:hAnsi="Arial"/>
          <w:sz w:val="22"/>
          <w:szCs w:val="22"/>
        </w:rPr>
        <w:t>o</w:t>
      </w:r>
      <w:r>
        <w:rPr>
          <w:rFonts w:ascii="Arial" w:hAnsi="Arial"/>
          <w:sz w:val="22"/>
          <w:szCs w:val="22"/>
        </w:rPr>
        <w:t>n in 2020 especially if necessary approval were provi</w:t>
      </w:r>
      <w:r w:rsidR="00A3676A">
        <w:rPr>
          <w:rFonts w:ascii="Arial" w:hAnsi="Arial"/>
          <w:sz w:val="22"/>
          <w:szCs w:val="22"/>
        </w:rPr>
        <w:t>ded for</w:t>
      </w:r>
      <w:r>
        <w:rPr>
          <w:rFonts w:ascii="Arial" w:hAnsi="Arial"/>
          <w:sz w:val="22"/>
          <w:szCs w:val="22"/>
        </w:rPr>
        <w:t xml:space="preserve"> key documents such as the policy planning handbook and the U</w:t>
      </w:r>
      <w:r w:rsidR="00A3676A">
        <w:rPr>
          <w:rFonts w:ascii="Arial" w:hAnsi="Arial"/>
          <w:sz w:val="22"/>
          <w:szCs w:val="22"/>
        </w:rPr>
        <w:t>PSDD.</w:t>
      </w:r>
      <w:r w:rsidR="00A3676A">
        <w:rPr>
          <w:rStyle w:val="FootnoteReference"/>
          <w:rFonts w:ascii="Arial" w:hAnsi="Arial"/>
          <w:sz w:val="22"/>
          <w:szCs w:val="22"/>
        </w:rPr>
        <w:footnoteReference w:id="31"/>
      </w:r>
      <w:r w:rsidR="00A3676A">
        <w:rPr>
          <w:rFonts w:ascii="Arial" w:hAnsi="Arial"/>
          <w:sz w:val="22"/>
          <w:szCs w:val="22"/>
        </w:rPr>
        <w:t xml:space="preserve"> </w:t>
      </w:r>
    </w:p>
    <w:p w14:paraId="7F05FC0D" w14:textId="77777777" w:rsidR="002454BB" w:rsidRDefault="002454BB" w:rsidP="004A429A">
      <w:pPr>
        <w:jc w:val="both"/>
        <w:rPr>
          <w:rFonts w:ascii="Arial" w:hAnsi="Arial"/>
          <w:sz w:val="22"/>
          <w:szCs w:val="22"/>
        </w:rPr>
      </w:pPr>
    </w:p>
    <w:p w14:paraId="504972DD" w14:textId="60A78414" w:rsidR="002454BB" w:rsidRDefault="002454BB" w:rsidP="004A429A">
      <w:pPr>
        <w:jc w:val="both"/>
        <w:rPr>
          <w:rFonts w:ascii="Arial" w:hAnsi="Arial"/>
          <w:sz w:val="22"/>
          <w:szCs w:val="22"/>
        </w:rPr>
      </w:pPr>
      <w:r>
        <w:rPr>
          <w:rFonts w:ascii="Arial" w:hAnsi="Arial"/>
          <w:sz w:val="22"/>
          <w:szCs w:val="22"/>
        </w:rPr>
        <w:t>For FY20, the project was to come to a close with plans for full implementation of policymaking guidelines</w:t>
      </w:r>
      <w:r w:rsidR="002A158B">
        <w:rPr>
          <w:rFonts w:ascii="Arial" w:hAnsi="Arial"/>
          <w:sz w:val="22"/>
          <w:szCs w:val="22"/>
        </w:rPr>
        <w:t>, more uniformity</w:t>
      </w:r>
      <w:r>
        <w:rPr>
          <w:rFonts w:ascii="Arial" w:hAnsi="Arial"/>
          <w:sz w:val="22"/>
          <w:szCs w:val="22"/>
        </w:rPr>
        <w:t xml:space="preserve"> of policy development and implementation with a whole of government approach and an electronic system for policymaking, implementation, monitoring and evaluation; increased development of human resources through educationa</w:t>
      </w:r>
      <w:r w:rsidR="002A158B">
        <w:rPr>
          <w:rFonts w:ascii="Arial" w:hAnsi="Arial"/>
          <w:sz w:val="22"/>
          <w:szCs w:val="22"/>
        </w:rPr>
        <w:t>l and training opportunities,</w:t>
      </w:r>
      <w:r>
        <w:rPr>
          <w:rFonts w:ascii="Arial" w:hAnsi="Arial"/>
          <w:sz w:val="22"/>
          <w:szCs w:val="22"/>
        </w:rPr>
        <w:t xml:space="preserve"> personnel appraisals</w:t>
      </w:r>
      <w:r w:rsidR="002A158B">
        <w:rPr>
          <w:rFonts w:ascii="Arial" w:hAnsi="Arial"/>
          <w:sz w:val="22"/>
          <w:szCs w:val="22"/>
        </w:rPr>
        <w:t xml:space="preserve"> and</w:t>
      </w:r>
      <w:r w:rsidR="00A3676A">
        <w:rPr>
          <w:rFonts w:ascii="Arial" w:hAnsi="Arial"/>
          <w:sz w:val="22"/>
          <w:szCs w:val="22"/>
        </w:rPr>
        <w:t xml:space="preserve"> an educational e-platform</w:t>
      </w:r>
      <w:r w:rsidR="00670112">
        <w:rPr>
          <w:rFonts w:ascii="Arial" w:hAnsi="Arial"/>
          <w:sz w:val="22"/>
          <w:szCs w:val="22"/>
        </w:rPr>
        <w:t>;</w:t>
      </w:r>
      <w:r>
        <w:rPr>
          <w:rFonts w:ascii="Arial" w:hAnsi="Arial"/>
          <w:sz w:val="22"/>
          <w:szCs w:val="22"/>
        </w:rPr>
        <w:t xml:space="preserve"> and the improved quality cont</w:t>
      </w:r>
      <w:r w:rsidR="00A3676A">
        <w:rPr>
          <w:rFonts w:ascii="Arial" w:hAnsi="Arial"/>
          <w:sz w:val="22"/>
          <w:szCs w:val="22"/>
        </w:rPr>
        <w:t xml:space="preserve">rol </w:t>
      </w:r>
      <w:r w:rsidR="00670112">
        <w:rPr>
          <w:rFonts w:ascii="Arial" w:hAnsi="Arial"/>
          <w:sz w:val="22"/>
          <w:szCs w:val="22"/>
        </w:rPr>
        <w:t>and unified standards for</w:t>
      </w:r>
      <w:r w:rsidR="00A3676A">
        <w:rPr>
          <w:rFonts w:ascii="Arial" w:hAnsi="Arial"/>
          <w:sz w:val="22"/>
          <w:szCs w:val="22"/>
        </w:rPr>
        <w:t xml:space="preserve"> e-</w:t>
      </w:r>
      <w:r>
        <w:rPr>
          <w:rFonts w:ascii="Arial" w:hAnsi="Arial"/>
          <w:sz w:val="22"/>
          <w:szCs w:val="22"/>
        </w:rPr>
        <w:t>services</w:t>
      </w:r>
      <w:r w:rsidR="00A3676A">
        <w:rPr>
          <w:rFonts w:ascii="Arial" w:hAnsi="Arial"/>
          <w:sz w:val="22"/>
          <w:szCs w:val="22"/>
        </w:rPr>
        <w:t xml:space="preserve"> and public service provision</w:t>
      </w:r>
      <w:r>
        <w:rPr>
          <w:rFonts w:ascii="Arial" w:hAnsi="Arial"/>
          <w:sz w:val="22"/>
          <w:szCs w:val="22"/>
        </w:rPr>
        <w:t xml:space="preserve">. </w:t>
      </w:r>
      <w:r w:rsidR="00A3676A">
        <w:rPr>
          <w:rFonts w:ascii="Arial" w:hAnsi="Arial"/>
          <w:sz w:val="22"/>
          <w:szCs w:val="22"/>
        </w:rPr>
        <w:t xml:space="preserve">As well, the small grants programs and sub projects were being implemented in a cyclical manner including periodic evaluations of the grant schemes. </w:t>
      </w:r>
      <w:r>
        <w:rPr>
          <w:rFonts w:ascii="Arial" w:hAnsi="Arial"/>
          <w:sz w:val="22"/>
          <w:szCs w:val="22"/>
        </w:rPr>
        <w:t>Plus</w:t>
      </w:r>
      <w:r w:rsidR="00670112">
        <w:rPr>
          <w:rFonts w:ascii="Arial" w:hAnsi="Arial"/>
          <w:sz w:val="22"/>
          <w:szCs w:val="22"/>
        </w:rPr>
        <w:t>,</w:t>
      </w:r>
      <w:r>
        <w:rPr>
          <w:rFonts w:ascii="Arial" w:hAnsi="Arial"/>
          <w:sz w:val="22"/>
          <w:szCs w:val="22"/>
        </w:rPr>
        <w:t xml:space="preserve"> a review of the PAR 2020 Roadmap was planned</w:t>
      </w:r>
      <w:r w:rsidR="00A3676A">
        <w:rPr>
          <w:rFonts w:ascii="Arial" w:hAnsi="Arial"/>
          <w:sz w:val="22"/>
          <w:szCs w:val="22"/>
        </w:rPr>
        <w:t xml:space="preserve"> and actually conducted</w:t>
      </w:r>
      <w:r>
        <w:rPr>
          <w:rFonts w:ascii="Arial" w:hAnsi="Arial"/>
          <w:sz w:val="22"/>
          <w:szCs w:val="22"/>
        </w:rPr>
        <w:t xml:space="preserve"> t</w:t>
      </w:r>
      <w:r w:rsidR="00A3676A">
        <w:rPr>
          <w:rFonts w:ascii="Arial" w:hAnsi="Arial"/>
          <w:sz w:val="22"/>
          <w:szCs w:val="22"/>
        </w:rPr>
        <w:t xml:space="preserve">o help design the next </w:t>
      </w:r>
      <w:r>
        <w:rPr>
          <w:rFonts w:ascii="Arial" w:hAnsi="Arial"/>
          <w:sz w:val="22"/>
          <w:szCs w:val="22"/>
        </w:rPr>
        <w:t>PAR</w:t>
      </w:r>
      <w:r w:rsidR="00A3676A">
        <w:rPr>
          <w:rFonts w:ascii="Arial" w:hAnsi="Arial"/>
          <w:sz w:val="22"/>
          <w:szCs w:val="22"/>
        </w:rPr>
        <w:t xml:space="preserve"> Roadmap</w:t>
      </w:r>
      <w:r>
        <w:rPr>
          <w:rFonts w:ascii="Arial" w:hAnsi="Arial"/>
          <w:sz w:val="22"/>
          <w:szCs w:val="22"/>
        </w:rPr>
        <w:t>. However, the COVID-19 pandemic and subsequent unprecedented measures for ensuring public health and safety significantly impacted the im</w:t>
      </w:r>
      <w:r w:rsidR="00A3676A">
        <w:rPr>
          <w:rFonts w:ascii="Arial" w:hAnsi="Arial"/>
          <w:sz w:val="22"/>
          <w:szCs w:val="22"/>
        </w:rPr>
        <w:t>plementation throughout m</w:t>
      </w:r>
      <w:r>
        <w:rPr>
          <w:rFonts w:ascii="Arial" w:hAnsi="Arial"/>
          <w:sz w:val="22"/>
          <w:szCs w:val="22"/>
        </w:rPr>
        <w:t>ost of 2020.</w:t>
      </w:r>
      <w:r w:rsidR="00056618">
        <w:rPr>
          <w:rFonts w:ascii="Arial" w:hAnsi="Arial"/>
          <w:sz w:val="22"/>
          <w:szCs w:val="22"/>
        </w:rPr>
        <w:t xml:space="preserve"> And, parliamentary elections </w:t>
      </w:r>
      <w:r w:rsidR="002A158B">
        <w:rPr>
          <w:rFonts w:ascii="Arial" w:hAnsi="Arial"/>
          <w:sz w:val="22"/>
          <w:szCs w:val="22"/>
        </w:rPr>
        <w:t xml:space="preserve">that </w:t>
      </w:r>
      <w:r w:rsidR="00056618">
        <w:rPr>
          <w:rFonts w:ascii="Arial" w:hAnsi="Arial"/>
          <w:sz w:val="22"/>
          <w:szCs w:val="22"/>
        </w:rPr>
        <w:t>occurred in October-November 2020</w:t>
      </w:r>
      <w:r w:rsidR="00E3737D">
        <w:rPr>
          <w:rFonts w:ascii="Arial" w:hAnsi="Arial"/>
          <w:sz w:val="22"/>
          <w:szCs w:val="22"/>
        </w:rPr>
        <w:t xml:space="preserve"> also had an impact. For instance, the position</w:t>
      </w:r>
      <w:r w:rsidR="002A158B">
        <w:rPr>
          <w:rFonts w:ascii="Arial" w:hAnsi="Arial"/>
          <w:sz w:val="22"/>
          <w:szCs w:val="22"/>
        </w:rPr>
        <w:t>s</w:t>
      </w:r>
      <w:r w:rsidR="00E3737D">
        <w:rPr>
          <w:rFonts w:ascii="Arial" w:hAnsi="Arial"/>
          <w:sz w:val="22"/>
          <w:szCs w:val="22"/>
        </w:rPr>
        <w:t xml:space="preserve"> of </w:t>
      </w:r>
      <w:proofErr w:type="spellStart"/>
      <w:r w:rsidR="00E3737D">
        <w:rPr>
          <w:rFonts w:ascii="Arial" w:hAnsi="Arial"/>
          <w:sz w:val="22"/>
          <w:szCs w:val="22"/>
        </w:rPr>
        <w:t>AoG</w:t>
      </w:r>
      <w:proofErr w:type="spellEnd"/>
      <w:r w:rsidR="00E3737D">
        <w:rPr>
          <w:rFonts w:ascii="Arial" w:hAnsi="Arial"/>
          <w:sz w:val="22"/>
          <w:szCs w:val="22"/>
        </w:rPr>
        <w:t xml:space="preserve"> Head</w:t>
      </w:r>
      <w:r w:rsidR="00373C92">
        <w:rPr>
          <w:rFonts w:ascii="Arial" w:hAnsi="Arial"/>
          <w:sz w:val="22"/>
          <w:szCs w:val="22"/>
        </w:rPr>
        <w:t xml:space="preserve"> and deputies were not filled </w:t>
      </w:r>
      <w:r w:rsidR="00E3737D">
        <w:rPr>
          <w:rFonts w:ascii="Arial" w:hAnsi="Arial"/>
          <w:sz w:val="22"/>
          <w:szCs w:val="22"/>
        </w:rPr>
        <w:t>until March 2021.</w:t>
      </w:r>
    </w:p>
    <w:p w14:paraId="0F7D892D" w14:textId="77777777" w:rsidR="002454BB" w:rsidRDefault="002454BB" w:rsidP="004A429A">
      <w:pPr>
        <w:jc w:val="both"/>
        <w:rPr>
          <w:rFonts w:ascii="Arial" w:hAnsi="Arial"/>
          <w:sz w:val="22"/>
          <w:szCs w:val="22"/>
        </w:rPr>
      </w:pPr>
    </w:p>
    <w:p w14:paraId="07796B89" w14:textId="70321E53" w:rsidR="00BB0109" w:rsidRDefault="00A3676A" w:rsidP="004A429A">
      <w:pPr>
        <w:jc w:val="both"/>
        <w:rPr>
          <w:rFonts w:ascii="Arial" w:hAnsi="Arial"/>
          <w:sz w:val="22"/>
          <w:szCs w:val="22"/>
        </w:rPr>
      </w:pPr>
      <w:r>
        <w:rPr>
          <w:rFonts w:ascii="Arial" w:hAnsi="Arial"/>
          <w:sz w:val="22"/>
          <w:szCs w:val="22"/>
        </w:rPr>
        <w:t>The COVID-19 p</w:t>
      </w:r>
      <w:r w:rsidR="002454BB">
        <w:rPr>
          <w:rFonts w:ascii="Arial" w:hAnsi="Arial"/>
          <w:sz w:val="22"/>
          <w:szCs w:val="22"/>
        </w:rPr>
        <w:t xml:space="preserve">andemic </w:t>
      </w:r>
      <w:r>
        <w:rPr>
          <w:rFonts w:ascii="Arial" w:hAnsi="Arial"/>
          <w:sz w:val="22"/>
          <w:szCs w:val="22"/>
        </w:rPr>
        <w:t>changed the focus of government activity given the necessity of a response. The pan</w:t>
      </w:r>
      <w:r w:rsidR="00056618">
        <w:rPr>
          <w:rFonts w:ascii="Arial" w:hAnsi="Arial"/>
          <w:sz w:val="22"/>
          <w:szCs w:val="22"/>
        </w:rPr>
        <w:t>demic</w:t>
      </w:r>
      <w:r w:rsidR="002454BB">
        <w:rPr>
          <w:rFonts w:ascii="Arial" w:hAnsi="Arial"/>
          <w:sz w:val="22"/>
          <w:szCs w:val="22"/>
        </w:rPr>
        <w:t xml:space="preserve"> strained government services and highlighted the need for whole-of-government coordination. </w:t>
      </w:r>
      <w:r w:rsidR="00056618">
        <w:rPr>
          <w:rFonts w:ascii="Arial" w:hAnsi="Arial"/>
          <w:sz w:val="22"/>
          <w:szCs w:val="22"/>
        </w:rPr>
        <w:t>The crisis situation also</w:t>
      </w:r>
      <w:r w:rsidR="002454BB">
        <w:rPr>
          <w:rFonts w:ascii="Arial" w:hAnsi="Arial"/>
          <w:sz w:val="22"/>
          <w:szCs w:val="22"/>
        </w:rPr>
        <w:t xml:space="preserve"> showed the need for PAR and the importance </w:t>
      </w:r>
      <w:r w:rsidR="002454BB">
        <w:rPr>
          <w:rFonts w:ascii="Arial" w:hAnsi="Arial"/>
          <w:sz w:val="22"/>
          <w:szCs w:val="22"/>
        </w:rPr>
        <w:lastRenderedPageBreak/>
        <w:t xml:space="preserve">of </w:t>
      </w:r>
      <w:r w:rsidR="00056618">
        <w:rPr>
          <w:rFonts w:ascii="Arial" w:hAnsi="Arial"/>
          <w:sz w:val="22"/>
          <w:szCs w:val="22"/>
        </w:rPr>
        <w:t xml:space="preserve">public </w:t>
      </w:r>
      <w:r w:rsidR="002454BB">
        <w:rPr>
          <w:rFonts w:ascii="Arial" w:hAnsi="Arial"/>
          <w:sz w:val="22"/>
          <w:szCs w:val="22"/>
        </w:rPr>
        <w:t>service delivery, especially accessing services on-line</w:t>
      </w:r>
      <w:r w:rsidR="00056618">
        <w:rPr>
          <w:rFonts w:ascii="Arial" w:hAnsi="Arial"/>
          <w:sz w:val="22"/>
          <w:szCs w:val="22"/>
        </w:rPr>
        <w:t xml:space="preserve"> and adjusting in-person public services</w:t>
      </w:r>
      <w:r w:rsidR="002454BB">
        <w:rPr>
          <w:rFonts w:ascii="Arial" w:hAnsi="Arial"/>
          <w:sz w:val="22"/>
          <w:szCs w:val="22"/>
        </w:rPr>
        <w:t>. Even though the PAR</w:t>
      </w:r>
      <w:r w:rsidR="00056618">
        <w:rPr>
          <w:rFonts w:ascii="Arial" w:hAnsi="Arial"/>
          <w:sz w:val="22"/>
          <w:szCs w:val="22"/>
        </w:rPr>
        <w:t xml:space="preserve"> and the project itself were</w:t>
      </w:r>
      <w:r w:rsidR="002454BB">
        <w:rPr>
          <w:rFonts w:ascii="Arial" w:hAnsi="Arial"/>
          <w:sz w:val="22"/>
          <w:szCs w:val="22"/>
        </w:rPr>
        <w:t xml:space="preserve"> not complete, the advances made to date did cont</w:t>
      </w:r>
      <w:r w:rsidR="00056618">
        <w:rPr>
          <w:rFonts w:ascii="Arial" w:hAnsi="Arial"/>
          <w:sz w:val="22"/>
          <w:szCs w:val="22"/>
        </w:rPr>
        <w:t>ribute to an improved response.</w:t>
      </w:r>
    </w:p>
    <w:p w14:paraId="3EE5160A" w14:textId="77777777" w:rsidR="00BB0109" w:rsidRDefault="00BB0109" w:rsidP="004A429A">
      <w:pPr>
        <w:jc w:val="both"/>
        <w:rPr>
          <w:rFonts w:ascii="Arial" w:hAnsi="Arial"/>
          <w:sz w:val="22"/>
          <w:szCs w:val="22"/>
        </w:rPr>
      </w:pPr>
    </w:p>
    <w:p w14:paraId="5E043EFD" w14:textId="7BCB9BF4" w:rsidR="002454BB" w:rsidRDefault="00056618" w:rsidP="004A429A">
      <w:pPr>
        <w:jc w:val="both"/>
        <w:rPr>
          <w:rFonts w:ascii="Arial" w:hAnsi="Arial"/>
          <w:sz w:val="22"/>
          <w:szCs w:val="22"/>
        </w:rPr>
      </w:pPr>
      <w:r>
        <w:rPr>
          <w:rFonts w:ascii="Arial" w:hAnsi="Arial"/>
          <w:sz w:val="22"/>
          <w:szCs w:val="22"/>
        </w:rPr>
        <w:t>The civil s</w:t>
      </w:r>
      <w:r w:rsidR="00BB0109">
        <w:rPr>
          <w:rFonts w:ascii="Arial" w:hAnsi="Arial"/>
          <w:sz w:val="22"/>
          <w:szCs w:val="22"/>
        </w:rPr>
        <w:t>ociety support aspects of the project were adjusted to emergency support to enhance collaboration between the government and public, such as the capacity building of the G</w:t>
      </w:r>
      <w:r w:rsidR="00670112">
        <w:rPr>
          <w:rFonts w:ascii="Arial" w:hAnsi="Arial"/>
          <w:sz w:val="22"/>
          <w:szCs w:val="22"/>
        </w:rPr>
        <w:t>eorgian Red Cross Society</w:t>
      </w:r>
      <w:r w:rsidR="00BB0109">
        <w:rPr>
          <w:rFonts w:ascii="Arial" w:hAnsi="Arial"/>
          <w:sz w:val="22"/>
          <w:szCs w:val="22"/>
        </w:rPr>
        <w:t xml:space="preserve"> to provide direct assistance in remote areas to vulnerable people and to expand their services. </w:t>
      </w:r>
      <w:r>
        <w:rPr>
          <w:rFonts w:ascii="Arial" w:hAnsi="Arial"/>
          <w:sz w:val="22"/>
          <w:szCs w:val="22"/>
        </w:rPr>
        <w:t>The project a</w:t>
      </w:r>
      <w:r w:rsidR="00BB0109">
        <w:rPr>
          <w:rFonts w:ascii="Arial" w:hAnsi="Arial"/>
          <w:sz w:val="22"/>
          <w:szCs w:val="22"/>
        </w:rPr>
        <w:t xml:space="preserve">lso </w:t>
      </w:r>
      <w:r>
        <w:rPr>
          <w:rFonts w:ascii="Arial" w:hAnsi="Arial"/>
          <w:sz w:val="22"/>
          <w:szCs w:val="22"/>
        </w:rPr>
        <w:t>provided support to work</w:t>
      </w:r>
      <w:r w:rsidR="00BB0109">
        <w:rPr>
          <w:rFonts w:ascii="Arial" w:hAnsi="Arial"/>
          <w:sz w:val="22"/>
          <w:szCs w:val="22"/>
        </w:rPr>
        <w:t xml:space="preserve"> on the immediate need to scale-up government’s capacity, such as the </w:t>
      </w:r>
      <w:r>
        <w:rPr>
          <w:rFonts w:ascii="Arial" w:hAnsi="Arial"/>
          <w:sz w:val="22"/>
          <w:szCs w:val="22"/>
        </w:rPr>
        <w:t xml:space="preserve">sub </w:t>
      </w:r>
      <w:r w:rsidR="00BB0109">
        <w:rPr>
          <w:rFonts w:ascii="Arial" w:hAnsi="Arial"/>
          <w:sz w:val="22"/>
          <w:szCs w:val="22"/>
        </w:rPr>
        <w:t xml:space="preserve">project launched to collaborate with the UN Association of Georgia to help the National Center for Disease Control and Public Health of Georgia to build its crisis communication capacity in the short term and develop a longer term strategy </w:t>
      </w:r>
      <w:r>
        <w:rPr>
          <w:rFonts w:ascii="Arial" w:hAnsi="Arial"/>
          <w:sz w:val="22"/>
          <w:szCs w:val="22"/>
        </w:rPr>
        <w:t>through a consultative process.</w:t>
      </w:r>
    </w:p>
    <w:p w14:paraId="229A1755" w14:textId="77777777" w:rsidR="00056618" w:rsidRDefault="00056618" w:rsidP="004A429A">
      <w:pPr>
        <w:jc w:val="both"/>
        <w:rPr>
          <w:rFonts w:ascii="Arial" w:hAnsi="Arial"/>
          <w:sz w:val="22"/>
          <w:szCs w:val="22"/>
        </w:rPr>
      </w:pPr>
    </w:p>
    <w:p w14:paraId="0C7DE1E9" w14:textId="7EEFAA84" w:rsidR="00056618" w:rsidRDefault="00056618" w:rsidP="004A429A">
      <w:pPr>
        <w:jc w:val="both"/>
        <w:rPr>
          <w:rFonts w:ascii="Arial" w:hAnsi="Arial"/>
          <w:sz w:val="22"/>
          <w:szCs w:val="22"/>
        </w:rPr>
      </w:pPr>
      <w:r>
        <w:rPr>
          <w:rFonts w:ascii="Arial" w:hAnsi="Arial"/>
          <w:sz w:val="22"/>
          <w:szCs w:val="22"/>
        </w:rPr>
        <w:t>The above brief historical description attempts to take a macro look at the situational context in which the project was implemented</w:t>
      </w:r>
      <w:r w:rsidR="00D878EA">
        <w:rPr>
          <w:rFonts w:ascii="Arial" w:hAnsi="Arial"/>
          <w:sz w:val="22"/>
          <w:szCs w:val="22"/>
        </w:rPr>
        <w:t xml:space="preserve"> and how the project goal wa</w:t>
      </w:r>
      <w:r w:rsidR="000A3B94">
        <w:rPr>
          <w:rFonts w:ascii="Arial" w:hAnsi="Arial"/>
          <w:sz w:val="22"/>
          <w:szCs w:val="22"/>
        </w:rPr>
        <w:t>s being met. There were various dest</w:t>
      </w:r>
      <w:r>
        <w:rPr>
          <w:rFonts w:ascii="Arial" w:hAnsi="Arial"/>
          <w:sz w:val="22"/>
          <w:szCs w:val="22"/>
        </w:rPr>
        <w:t>abilizing factors, mainly in the pol</w:t>
      </w:r>
      <w:r w:rsidR="000A3B94">
        <w:rPr>
          <w:rFonts w:ascii="Arial" w:hAnsi="Arial"/>
          <w:sz w:val="22"/>
          <w:szCs w:val="22"/>
        </w:rPr>
        <w:t>i</w:t>
      </w:r>
      <w:r>
        <w:rPr>
          <w:rFonts w:ascii="Arial" w:hAnsi="Arial"/>
          <w:sz w:val="22"/>
          <w:szCs w:val="22"/>
        </w:rPr>
        <w:t>tical context as changes in government and senior leadership occurred. Also, economic difficulties early on in the project did have an impact as the economic situati</w:t>
      </w:r>
      <w:r w:rsidR="000A3B94">
        <w:rPr>
          <w:rFonts w:ascii="Arial" w:hAnsi="Arial"/>
          <w:sz w:val="22"/>
          <w:szCs w:val="22"/>
        </w:rPr>
        <w:t>o</w:t>
      </w:r>
      <w:r>
        <w:rPr>
          <w:rFonts w:ascii="Arial" w:hAnsi="Arial"/>
          <w:sz w:val="22"/>
          <w:szCs w:val="22"/>
        </w:rPr>
        <w:t>n impacted government finances and thus the provision of public service and cuts in</w:t>
      </w:r>
      <w:r w:rsidR="000A3B94">
        <w:rPr>
          <w:rFonts w:ascii="Arial" w:hAnsi="Arial"/>
          <w:sz w:val="22"/>
          <w:szCs w:val="22"/>
        </w:rPr>
        <w:t xml:space="preserve"> government expenditure and the</w:t>
      </w:r>
      <w:r>
        <w:rPr>
          <w:rFonts w:ascii="Arial" w:hAnsi="Arial"/>
          <w:sz w:val="22"/>
          <w:szCs w:val="22"/>
        </w:rPr>
        <w:t xml:space="preserve"> reduction of the</w:t>
      </w:r>
      <w:r w:rsidR="000A3B94">
        <w:rPr>
          <w:rFonts w:ascii="Arial" w:hAnsi="Arial"/>
          <w:sz w:val="22"/>
          <w:szCs w:val="22"/>
        </w:rPr>
        <w:t xml:space="preserve"> number of min</w:t>
      </w:r>
      <w:r>
        <w:rPr>
          <w:rFonts w:ascii="Arial" w:hAnsi="Arial"/>
          <w:sz w:val="22"/>
          <w:szCs w:val="22"/>
        </w:rPr>
        <w:t>istries</w:t>
      </w:r>
      <w:r w:rsidR="00373C92">
        <w:rPr>
          <w:rFonts w:ascii="Arial" w:hAnsi="Arial"/>
          <w:sz w:val="22"/>
          <w:szCs w:val="22"/>
        </w:rPr>
        <w:t xml:space="preserve"> and personnel</w:t>
      </w:r>
      <w:r>
        <w:rPr>
          <w:rFonts w:ascii="Arial" w:hAnsi="Arial"/>
          <w:sz w:val="22"/>
          <w:szCs w:val="22"/>
        </w:rPr>
        <w:t xml:space="preserve">. </w:t>
      </w:r>
      <w:r w:rsidR="000A3B94">
        <w:rPr>
          <w:rFonts w:ascii="Arial" w:hAnsi="Arial"/>
          <w:sz w:val="22"/>
          <w:szCs w:val="22"/>
        </w:rPr>
        <w:t>As indicated in the mid-term public and civil service survey, the im</w:t>
      </w:r>
      <w:r w:rsidR="00670112">
        <w:rPr>
          <w:rFonts w:ascii="Arial" w:hAnsi="Arial"/>
          <w:sz w:val="22"/>
          <w:szCs w:val="22"/>
        </w:rPr>
        <w:t>pact on perceptions was noticeable</w:t>
      </w:r>
      <w:r w:rsidR="000A3B94">
        <w:rPr>
          <w:rFonts w:ascii="Arial" w:hAnsi="Arial"/>
          <w:sz w:val="22"/>
          <w:szCs w:val="22"/>
        </w:rPr>
        <w:t xml:space="preserve"> which reflects a deterioration of the situation. The survey shows the continued uphill battle that PAR confronts though there are commitments to PAR reform. That commitment seemed to have become less of a political priority as the proje</w:t>
      </w:r>
      <w:r w:rsidR="00373C92">
        <w:rPr>
          <w:rFonts w:ascii="Arial" w:hAnsi="Arial"/>
          <w:sz w:val="22"/>
          <w:szCs w:val="22"/>
        </w:rPr>
        <w:t xml:space="preserve">ct was implemented. But, though </w:t>
      </w:r>
      <w:r w:rsidR="000A3B94">
        <w:rPr>
          <w:rFonts w:ascii="Arial" w:hAnsi="Arial"/>
          <w:sz w:val="22"/>
          <w:szCs w:val="22"/>
        </w:rPr>
        <w:t xml:space="preserve">maybe not a main priority, the commitments made were adhered to and reform did happen though probably at a slower pace than originally intended. The </w:t>
      </w:r>
      <w:proofErr w:type="spellStart"/>
      <w:r w:rsidR="000A3B94">
        <w:rPr>
          <w:rFonts w:ascii="Arial" w:hAnsi="Arial"/>
          <w:sz w:val="22"/>
          <w:szCs w:val="22"/>
        </w:rPr>
        <w:t>GoG’s</w:t>
      </w:r>
      <w:proofErr w:type="spellEnd"/>
      <w:r w:rsidR="000A3B94">
        <w:rPr>
          <w:rFonts w:ascii="Arial" w:hAnsi="Arial"/>
          <w:sz w:val="22"/>
          <w:szCs w:val="22"/>
        </w:rPr>
        <w:t xml:space="preserve"> continued interest in and commitments to </w:t>
      </w:r>
      <w:r w:rsidR="003B1E6A">
        <w:rPr>
          <w:rFonts w:ascii="Arial" w:hAnsi="Arial"/>
          <w:sz w:val="22"/>
          <w:szCs w:val="22"/>
        </w:rPr>
        <w:t xml:space="preserve">the </w:t>
      </w:r>
      <w:r w:rsidR="000A3B94">
        <w:rPr>
          <w:rFonts w:ascii="Arial" w:hAnsi="Arial"/>
          <w:sz w:val="22"/>
          <w:szCs w:val="22"/>
        </w:rPr>
        <w:t xml:space="preserve">EU </w:t>
      </w:r>
      <w:r w:rsidR="00670112">
        <w:rPr>
          <w:rFonts w:ascii="Arial" w:hAnsi="Arial"/>
          <w:sz w:val="22"/>
          <w:szCs w:val="22"/>
        </w:rPr>
        <w:t>AA</w:t>
      </w:r>
      <w:r w:rsidR="007622E7">
        <w:rPr>
          <w:rFonts w:ascii="Arial" w:hAnsi="Arial"/>
          <w:sz w:val="22"/>
          <w:szCs w:val="22"/>
        </w:rPr>
        <w:t xml:space="preserve"> roadmap </w:t>
      </w:r>
      <w:r w:rsidR="000A3B94">
        <w:rPr>
          <w:rFonts w:ascii="Arial" w:hAnsi="Arial"/>
          <w:sz w:val="22"/>
          <w:szCs w:val="22"/>
        </w:rPr>
        <w:t xml:space="preserve">is the driving force to keep its commitment </w:t>
      </w:r>
      <w:r w:rsidR="00373C92">
        <w:rPr>
          <w:rFonts w:ascii="Arial" w:hAnsi="Arial"/>
          <w:sz w:val="22"/>
          <w:szCs w:val="22"/>
        </w:rPr>
        <w:t>as part of the</w:t>
      </w:r>
      <w:r w:rsidR="00995E30">
        <w:rPr>
          <w:rFonts w:ascii="Arial" w:hAnsi="Arial"/>
          <w:sz w:val="22"/>
          <w:szCs w:val="22"/>
        </w:rPr>
        <w:t xml:space="preserve"> development agenda</w:t>
      </w:r>
      <w:r w:rsidR="000A3B94">
        <w:rPr>
          <w:rFonts w:ascii="Arial" w:hAnsi="Arial"/>
          <w:sz w:val="22"/>
          <w:szCs w:val="22"/>
        </w:rPr>
        <w:t>.</w:t>
      </w:r>
      <w:r w:rsidR="00E3737D">
        <w:rPr>
          <w:rFonts w:ascii="Arial" w:hAnsi="Arial"/>
          <w:sz w:val="22"/>
          <w:szCs w:val="22"/>
        </w:rPr>
        <w:t xml:space="preserve"> The government </w:t>
      </w:r>
      <w:proofErr w:type="spellStart"/>
      <w:r w:rsidR="00E3737D">
        <w:rPr>
          <w:rFonts w:ascii="Arial" w:hAnsi="Arial"/>
          <w:sz w:val="22"/>
          <w:szCs w:val="22"/>
        </w:rPr>
        <w:t>programme</w:t>
      </w:r>
      <w:proofErr w:type="spellEnd"/>
      <w:r w:rsidR="00E3737D">
        <w:rPr>
          <w:rFonts w:ascii="Arial" w:hAnsi="Arial"/>
          <w:sz w:val="22"/>
          <w:szCs w:val="22"/>
        </w:rPr>
        <w:t xml:space="preserve"> for 2021-2024 that was approved by the current Prime Minister continues to emphasize PAR implementation for the next cycle.</w:t>
      </w:r>
    </w:p>
    <w:p w14:paraId="7D46F2FC" w14:textId="77777777" w:rsidR="000A3B94" w:rsidRDefault="000A3B94" w:rsidP="004A429A">
      <w:pPr>
        <w:jc w:val="both"/>
        <w:rPr>
          <w:rFonts w:ascii="Arial" w:hAnsi="Arial"/>
          <w:sz w:val="22"/>
          <w:szCs w:val="22"/>
        </w:rPr>
      </w:pPr>
    </w:p>
    <w:p w14:paraId="1A4AE2AF" w14:textId="272DDCDB" w:rsidR="002454BB" w:rsidRDefault="000A3B94" w:rsidP="004A429A">
      <w:pPr>
        <w:jc w:val="both"/>
        <w:rPr>
          <w:rFonts w:ascii="Arial" w:hAnsi="Arial"/>
          <w:sz w:val="22"/>
          <w:szCs w:val="22"/>
        </w:rPr>
      </w:pPr>
      <w:r>
        <w:rPr>
          <w:rFonts w:ascii="Arial" w:hAnsi="Arial"/>
          <w:sz w:val="22"/>
          <w:szCs w:val="22"/>
        </w:rPr>
        <w:t xml:space="preserve">The project was able to respond and remain catalytic to implement planned activities. The key elements were: 1) a flexible approach; 2) the building of effective working relationships with stakeholders, other development partners, and </w:t>
      </w:r>
      <w:r w:rsidR="003B1E6A">
        <w:rPr>
          <w:rFonts w:ascii="Arial" w:hAnsi="Arial"/>
          <w:sz w:val="22"/>
          <w:szCs w:val="22"/>
        </w:rPr>
        <w:t>civil society organizations;</w:t>
      </w:r>
      <w:r>
        <w:rPr>
          <w:rFonts w:ascii="Arial" w:hAnsi="Arial"/>
          <w:sz w:val="22"/>
          <w:szCs w:val="22"/>
        </w:rPr>
        <w:t xml:space="preserve"> 3) the targeting of resourc</w:t>
      </w:r>
      <w:r w:rsidR="00995E30">
        <w:rPr>
          <w:rFonts w:ascii="Arial" w:hAnsi="Arial"/>
          <w:sz w:val="22"/>
          <w:szCs w:val="22"/>
        </w:rPr>
        <w:t>e</w:t>
      </w:r>
      <w:r>
        <w:rPr>
          <w:rFonts w:ascii="Arial" w:hAnsi="Arial"/>
          <w:sz w:val="22"/>
          <w:szCs w:val="22"/>
        </w:rPr>
        <w:t>s and expertise (domestic and international</w:t>
      </w:r>
      <w:r w:rsidR="00995E30">
        <w:rPr>
          <w:rFonts w:ascii="Arial" w:hAnsi="Arial"/>
          <w:sz w:val="22"/>
          <w:szCs w:val="22"/>
        </w:rPr>
        <w:t>); and 4) a project structure, work planning abil</w:t>
      </w:r>
      <w:r w:rsidR="00670112">
        <w:rPr>
          <w:rFonts w:ascii="Arial" w:hAnsi="Arial"/>
          <w:sz w:val="22"/>
          <w:szCs w:val="22"/>
        </w:rPr>
        <w:t>ity, and work ethic that made the project team</w:t>
      </w:r>
      <w:r w:rsidR="00995E30">
        <w:rPr>
          <w:rFonts w:ascii="Arial" w:hAnsi="Arial"/>
          <w:sz w:val="22"/>
          <w:szCs w:val="22"/>
        </w:rPr>
        <w:t xml:space="preserve"> a trust</w:t>
      </w:r>
      <w:r w:rsidR="00670112">
        <w:rPr>
          <w:rFonts w:ascii="Arial" w:hAnsi="Arial"/>
          <w:sz w:val="22"/>
          <w:szCs w:val="22"/>
        </w:rPr>
        <w:t>ed</w:t>
      </w:r>
      <w:r w:rsidR="00995E30">
        <w:rPr>
          <w:rFonts w:ascii="Arial" w:hAnsi="Arial"/>
          <w:sz w:val="22"/>
          <w:szCs w:val="22"/>
        </w:rPr>
        <w:t xml:space="preserve"> partner. All of these factors hav</w:t>
      </w:r>
      <w:r w:rsidR="00550B3A">
        <w:rPr>
          <w:rFonts w:ascii="Arial" w:hAnsi="Arial"/>
          <w:sz w:val="22"/>
          <w:szCs w:val="22"/>
        </w:rPr>
        <w:t>e allowed the project to</w:t>
      </w:r>
      <w:r w:rsidR="00995E30">
        <w:rPr>
          <w:rFonts w:ascii="Arial" w:hAnsi="Arial"/>
          <w:sz w:val="22"/>
          <w:szCs w:val="22"/>
        </w:rPr>
        <w:t xml:space="preserve"> achieve the goal of advancing PAR, in general, and the specific outcome areas, in particular.</w:t>
      </w:r>
    </w:p>
    <w:p w14:paraId="77119B46" w14:textId="5CCA9A64" w:rsidR="00F0563B" w:rsidRDefault="00DF4117" w:rsidP="008A6CBC">
      <w:pPr>
        <w:pStyle w:val="Heading4"/>
      </w:pPr>
      <w:bookmarkStart w:id="14" w:name="_Toc478138865"/>
      <w:r>
        <w:t>2.</w:t>
      </w:r>
      <w:r w:rsidRPr="00841ED3">
        <w:tab/>
      </w:r>
      <w:r>
        <w:t>Proj</w:t>
      </w:r>
      <w:r w:rsidR="003953BC">
        <w:t>ect Design and Coherence of the Project to the Logical Framework</w:t>
      </w:r>
      <w:bookmarkEnd w:id="14"/>
    </w:p>
    <w:p w14:paraId="0207E851" w14:textId="77777777" w:rsidR="00734C83" w:rsidRDefault="00734C83" w:rsidP="00C22091">
      <w:pPr>
        <w:jc w:val="both"/>
        <w:rPr>
          <w:rFonts w:ascii="Arial" w:hAnsi="Arial"/>
          <w:sz w:val="22"/>
          <w:szCs w:val="22"/>
        </w:rPr>
      </w:pPr>
    </w:p>
    <w:p w14:paraId="2928CFF0" w14:textId="77777777" w:rsidR="00655E1A" w:rsidRDefault="00995E30" w:rsidP="00C22091">
      <w:pPr>
        <w:jc w:val="both"/>
        <w:rPr>
          <w:rFonts w:ascii="Arial" w:hAnsi="Arial"/>
          <w:sz w:val="22"/>
          <w:szCs w:val="22"/>
        </w:rPr>
      </w:pPr>
      <w:r>
        <w:rPr>
          <w:rFonts w:ascii="Arial" w:hAnsi="Arial"/>
          <w:sz w:val="22"/>
          <w:szCs w:val="22"/>
        </w:rPr>
        <w:t>The project was designed in the 2015 time period when the interest in PAR appear</w:t>
      </w:r>
      <w:r w:rsidR="00D1145F">
        <w:rPr>
          <w:rFonts w:ascii="Arial" w:hAnsi="Arial"/>
          <w:sz w:val="22"/>
          <w:szCs w:val="22"/>
        </w:rPr>
        <w:t>ed</w:t>
      </w:r>
      <w:r>
        <w:rPr>
          <w:rFonts w:ascii="Arial" w:hAnsi="Arial"/>
          <w:sz w:val="22"/>
          <w:szCs w:val="22"/>
        </w:rPr>
        <w:t xml:space="preserve"> to have been at it</w:t>
      </w:r>
      <w:r w:rsidR="007240CF">
        <w:rPr>
          <w:rFonts w:ascii="Arial" w:hAnsi="Arial"/>
          <w:sz w:val="22"/>
          <w:szCs w:val="22"/>
        </w:rPr>
        <w:t>s height amongst senior politic</w:t>
      </w:r>
      <w:r>
        <w:rPr>
          <w:rFonts w:ascii="Arial" w:hAnsi="Arial"/>
          <w:sz w:val="22"/>
          <w:szCs w:val="22"/>
        </w:rPr>
        <w:t xml:space="preserve">al leadership. This was around the same time as </w:t>
      </w:r>
      <w:r w:rsidR="007240CF">
        <w:rPr>
          <w:rFonts w:ascii="Arial" w:hAnsi="Arial"/>
          <w:sz w:val="22"/>
          <w:szCs w:val="22"/>
        </w:rPr>
        <w:t>making the EU commitments</w:t>
      </w:r>
      <w:r>
        <w:rPr>
          <w:rFonts w:ascii="Arial" w:hAnsi="Arial"/>
          <w:sz w:val="22"/>
          <w:szCs w:val="22"/>
        </w:rPr>
        <w:t>. As indicated above, there was a time lag between project design and implementation given politi</w:t>
      </w:r>
      <w:r w:rsidR="007240CF">
        <w:rPr>
          <w:rFonts w:ascii="Arial" w:hAnsi="Arial"/>
          <w:sz w:val="22"/>
          <w:szCs w:val="22"/>
        </w:rPr>
        <w:t>c</w:t>
      </w:r>
      <w:r>
        <w:rPr>
          <w:rFonts w:ascii="Arial" w:hAnsi="Arial"/>
          <w:sz w:val="22"/>
          <w:szCs w:val="22"/>
        </w:rPr>
        <w:t xml:space="preserve">al changes. However, the necessary commitments were present. </w:t>
      </w:r>
    </w:p>
    <w:p w14:paraId="2C645D5A" w14:textId="77777777" w:rsidR="00373C92" w:rsidRDefault="00373C92" w:rsidP="00C22091">
      <w:pPr>
        <w:jc w:val="both"/>
        <w:rPr>
          <w:rFonts w:ascii="Arial" w:hAnsi="Arial"/>
          <w:sz w:val="22"/>
          <w:szCs w:val="22"/>
        </w:rPr>
      </w:pPr>
    </w:p>
    <w:p w14:paraId="18E1E971" w14:textId="2DA795D8" w:rsidR="00655E1A" w:rsidRDefault="00655E1A" w:rsidP="00C22091">
      <w:pPr>
        <w:jc w:val="both"/>
        <w:rPr>
          <w:rFonts w:ascii="Arial" w:hAnsi="Arial"/>
          <w:sz w:val="22"/>
          <w:szCs w:val="22"/>
        </w:rPr>
      </w:pPr>
      <w:r>
        <w:rPr>
          <w:rFonts w:ascii="Arial" w:hAnsi="Arial"/>
          <w:sz w:val="22"/>
          <w:szCs w:val="22"/>
        </w:rPr>
        <w:t xml:space="preserve">The project was designed to be linked to and respond to the overall UN Partnership for Sustainable Development outcome and UNDP 2016-20 Country </w:t>
      </w:r>
      <w:proofErr w:type="spellStart"/>
      <w:r>
        <w:rPr>
          <w:rFonts w:ascii="Arial" w:hAnsi="Arial"/>
          <w:sz w:val="22"/>
          <w:szCs w:val="22"/>
        </w:rPr>
        <w:t>Programme</w:t>
      </w:r>
      <w:proofErr w:type="spellEnd"/>
      <w:r>
        <w:rPr>
          <w:rFonts w:ascii="Arial" w:hAnsi="Arial"/>
          <w:sz w:val="22"/>
          <w:szCs w:val="22"/>
        </w:rPr>
        <w:t xml:space="preserve"> strategic plan outcome: by 2020, expectations of citizens of Georgia for voice, rule of law, public sector reforms, and accountability are met by stronger systems of democratic governance at all levels. The project is also directly responsive to the country </w:t>
      </w:r>
      <w:proofErr w:type="spellStart"/>
      <w:r>
        <w:rPr>
          <w:rFonts w:ascii="Arial" w:hAnsi="Arial"/>
          <w:sz w:val="22"/>
          <w:szCs w:val="22"/>
        </w:rPr>
        <w:t>programme’s</w:t>
      </w:r>
      <w:proofErr w:type="spellEnd"/>
      <w:r>
        <w:rPr>
          <w:rFonts w:ascii="Arial" w:hAnsi="Arial"/>
          <w:sz w:val="22"/>
          <w:szCs w:val="22"/>
        </w:rPr>
        <w:t xml:space="preserve"> output 1.1: by 2020, </w:t>
      </w:r>
      <w:r>
        <w:rPr>
          <w:rFonts w:ascii="Arial" w:hAnsi="Arial"/>
          <w:sz w:val="22"/>
          <w:szCs w:val="22"/>
        </w:rPr>
        <w:lastRenderedPageBreak/>
        <w:t>government has stronger capacities to formulate, implement and monitor policies in a participatory manner for improved service delivery, with equal access for all</w:t>
      </w:r>
      <w:r w:rsidR="00C555B9">
        <w:rPr>
          <w:rFonts w:ascii="Arial" w:hAnsi="Arial"/>
          <w:sz w:val="22"/>
          <w:szCs w:val="22"/>
        </w:rPr>
        <w:t>.</w:t>
      </w:r>
    </w:p>
    <w:p w14:paraId="2DC8B0F2" w14:textId="77777777" w:rsidR="002100B3" w:rsidRDefault="002100B3" w:rsidP="00C22091">
      <w:pPr>
        <w:jc w:val="both"/>
        <w:rPr>
          <w:rFonts w:ascii="Arial" w:hAnsi="Arial"/>
          <w:sz w:val="22"/>
          <w:szCs w:val="22"/>
        </w:rPr>
      </w:pPr>
    </w:p>
    <w:p w14:paraId="2FA6DB42" w14:textId="3D4B3A81" w:rsidR="002100B3" w:rsidRDefault="002100B3" w:rsidP="00C22091">
      <w:pPr>
        <w:jc w:val="both"/>
        <w:rPr>
          <w:rFonts w:ascii="Arial" w:hAnsi="Arial"/>
          <w:sz w:val="22"/>
          <w:szCs w:val="22"/>
        </w:rPr>
      </w:pPr>
      <w:r>
        <w:rPr>
          <w:rFonts w:ascii="Arial" w:hAnsi="Arial"/>
          <w:sz w:val="22"/>
          <w:szCs w:val="22"/>
        </w:rPr>
        <w:t xml:space="preserve">The project directly responded to the </w:t>
      </w:r>
      <w:proofErr w:type="spellStart"/>
      <w:r>
        <w:rPr>
          <w:rFonts w:ascii="Arial" w:hAnsi="Arial"/>
          <w:sz w:val="22"/>
          <w:szCs w:val="22"/>
        </w:rPr>
        <w:t>Programme</w:t>
      </w:r>
      <w:proofErr w:type="spellEnd"/>
      <w:r>
        <w:rPr>
          <w:rFonts w:ascii="Arial" w:hAnsi="Arial"/>
          <w:sz w:val="22"/>
          <w:szCs w:val="22"/>
        </w:rPr>
        <w:t xml:space="preserve"> outcome when that outcome is parsed. The project did address building systems and opportunities for citizens’ voice in public policy, furthered the rule of law in the realm of public administration, directly addressed public administration reform in each of the output areas, and improved accountability by helping to develop a more professional and independent public service and build mechanisms for public input and service access. Regarding the </w:t>
      </w:r>
      <w:proofErr w:type="spellStart"/>
      <w:r>
        <w:rPr>
          <w:rFonts w:ascii="Arial" w:hAnsi="Arial"/>
          <w:sz w:val="22"/>
          <w:szCs w:val="22"/>
        </w:rPr>
        <w:t>Programme</w:t>
      </w:r>
      <w:proofErr w:type="spellEnd"/>
      <w:r>
        <w:rPr>
          <w:rFonts w:ascii="Arial" w:hAnsi="Arial"/>
          <w:sz w:val="22"/>
          <w:szCs w:val="22"/>
        </w:rPr>
        <w:t xml:space="preserve"> output, the t</w:t>
      </w:r>
      <w:r w:rsidR="00C555B9">
        <w:rPr>
          <w:rFonts w:ascii="Arial" w:hAnsi="Arial"/>
          <w:sz w:val="22"/>
          <w:szCs w:val="22"/>
        </w:rPr>
        <w:t>hree project output areas direc</w:t>
      </w:r>
      <w:r>
        <w:rPr>
          <w:rFonts w:ascii="Arial" w:hAnsi="Arial"/>
          <w:sz w:val="22"/>
          <w:szCs w:val="22"/>
        </w:rPr>
        <w:t xml:space="preserve">tly addressed improving the policy making process </w:t>
      </w:r>
      <w:r w:rsidR="00C555B9">
        <w:rPr>
          <w:rFonts w:ascii="Arial" w:hAnsi="Arial"/>
          <w:sz w:val="22"/>
          <w:szCs w:val="22"/>
        </w:rPr>
        <w:t xml:space="preserve">including by </w:t>
      </w:r>
      <w:r>
        <w:rPr>
          <w:rFonts w:ascii="Arial" w:hAnsi="Arial"/>
          <w:sz w:val="22"/>
          <w:szCs w:val="22"/>
        </w:rPr>
        <w:t xml:space="preserve">using more participatory approaches </w:t>
      </w:r>
      <w:r w:rsidR="00C555B9">
        <w:rPr>
          <w:rFonts w:ascii="Arial" w:hAnsi="Arial"/>
          <w:sz w:val="22"/>
          <w:szCs w:val="22"/>
        </w:rPr>
        <w:t>then before the project’s start; and</w:t>
      </w:r>
      <w:r>
        <w:rPr>
          <w:rFonts w:ascii="Arial" w:hAnsi="Arial"/>
          <w:sz w:val="22"/>
          <w:szCs w:val="22"/>
        </w:rPr>
        <w:t xml:space="preserve"> improving service delivery to increase usage, </w:t>
      </w:r>
      <w:r w:rsidR="00C555B9">
        <w:rPr>
          <w:rFonts w:ascii="Arial" w:hAnsi="Arial"/>
          <w:sz w:val="22"/>
          <w:szCs w:val="22"/>
        </w:rPr>
        <w:t>quality and general awareness a</w:t>
      </w:r>
      <w:r>
        <w:rPr>
          <w:rFonts w:ascii="Arial" w:hAnsi="Arial"/>
          <w:sz w:val="22"/>
          <w:szCs w:val="22"/>
        </w:rPr>
        <w:t>s well as provid</w:t>
      </w:r>
      <w:r w:rsidR="00C555B9">
        <w:rPr>
          <w:rFonts w:ascii="Arial" w:hAnsi="Arial"/>
          <w:sz w:val="22"/>
          <w:szCs w:val="22"/>
        </w:rPr>
        <w:t>i</w:t>
      </w:r>
      <w:r>
        <w:rPr>
          <w:rFonts w:ascii="Arial" w:hAnsi="Arial"/>
          <w:sz w:val="22"/>
          <w:szCs w:val="22"/>
        </w:rPr>
        <w:t>ng more equal access. As mentioned in other parts of this report, it is not a question of these areas being address, it is more a question of depth and a whole-of-government approach</w:t>
      </w:r>
      <w:r w:rsidR="00C555B9">
        <w:rPr>
          <w:rFonts w:ascii="Arial" w:hAnsi="Arial"/>
          <w:sz w:val="22"/>
          <w:szCs w:val="22"/>
        </w:rPr>
        <w:t xml:space="preserve"> with indications the reforms will be further implemented during the next PAR Roadmap’s timeframe.</w:t>
      </w:r>
      <w:r>
        <w:rPr>
          <w:rFonts w:ascii="Arial" w:hAnsi="Arial"/>
          <w:sz w:val="22"/>
          <w:szCs w:val="22"/>
        </w:rPr>
        <w:t xml:space="preserve"> </w:t>
      </w:r>
    </w:p>
    <w:p w14:paraId="2DC5420F" w14:textId="77777777" w:rsidR="00655E1A" w:rsidRDefault="00655E1A" w:rsidP="00C22091">
      <w:pPr>
        <w:jc w:val="both"/>
        <w:rPr>
          <w:rFonts w:ascii="Arial" w:hAnsi="Arial"/>
          <w:sz w:val="22"/>
          <w:szCs w:val="22"/>
        </w:rPr>
      </w:pPr>
    </w:p>
    <w:p w14:paraId="25690257" w14:textId="1DBDE409" w:rsidR="00995E30" w:rsidRDefault="00995E30" w:rsidP="00C22091">
      <w:pPr>
        <w:jc w:val="both"/>
        <w:rPr>
          <w:rFonts w:ascii="Arial" w:hAnsi="Arial"/>
          <w:sz w:val="22"/>
          <w:szCs w:val="22"/>
        </w:rPr>
      </w:pPr>
      <w:r>
        <w:rPr>
          <w:rFonts w:ascii="Arial" w:hAnsi="Arial"/>
          <w:sz w:val="22"/>
          <w:szCs w:val="22"/>
        </w:rPr>
        <w:t xml:space="preserve">What did benefit the project were the slight adjustments that were made at project initiation with stakeholders. At project beginning, project management and staff met with AOG, CSB, PSDA and DGA. </w:t>
      </w:r>
      <w:r w:rsidR="007240CF">
        <w:rPr>
          <w:rFonts w:ascii="Arial" w:hAnsi="Arial"/>
          <w:sz w:val="22"/>
          <w:szCs w:val="22"/>
        </w:rPr>
        <w:t>With each partner, the project team reviewed the corresponding outcome area together. Adjustments were made as necessary. All adjustments were reviewed with UNDP and UK management so that the appropriate</w:t>
      </w:r>
      <w:r w:rsidR="003B1E6A">
        <w:rPr>
          <w:rFonts w:ascii="Arial" w:hAnsi="Arial"/>
          <w:sz w:val="22"/>
          <w:szCs w:val="22"/>
        </w:rPr>
        <w:t xml:space="preserve"> results and RRF</w:t>
      </w:r>
      <w:r w:rsidR="007240CF">
        <w:rPr>
          <w:rFonts w:ascii="Arial" w:hAnsi="Arial"/>
          <w:sz w:val="22"/>
          <w:szCs w:val="22"/>
        </w:rPr>
        <w:t xml:space="preserve"> changes could be made. It is a benefit that both entities had a knowledgeable grasp of the situation and worked with the project team to allow for a positive way forward. This relationship has continued throughout the project lifespan to the benefit of the project’s results.</w:t>
      </w:r>
    </w:p>
    <w:p w14:paraId="488B8E02" w14:textId="77777777" w:rsidR="00995E30" w:rsidRDefault="00995E30" w:rsidP="00C22091">
      <w:pPr>
        <w:jc w:val="both"/>
        <w:rPr>
          <w:rFonts w:ascii="Arial" w:hAnsi="Arial"/>
          <w:sz w:val="22"/>
          <w:szCs w:val="22"/>
        </w:rPr>
      </w:pPr>
    </w:p>
    <w:p w14:paraId="2516DE27" w14:textId="3971BADC" w:rsidR="007961FC" w:rsidRDefault="00BB2FCB" w:rsidP="00C22091">
      <w:pPr>
        <w:jc w:val="both"/>
        <w:rPr>
          <w:rFonts w:ascii="Arial" w:hAnsi="Arial"/>
          <w:sz w:val="22"/>
          <w:szCs w:val="22"/>
        </w:rPr>
      </w:pPr>
      <w:r>
        <w:rPr>
          <w:rFonts w:ascii="Arial" w:hAnsi="Arial"/>
          <w:sz w:val="22"/>
          <w:szCs w:val="22"/>
        </w:rPr>
        <w:t>The conduct</w:t>
      </w:r>
      <w:r w:rsidR="007240CF">
        <w:rPr>
          <w:rFonts w:ascii="Arial" w:hAnsi="Arial"/>
          <w:sz w:val="22"/>
          <w:szCs w:val="22"/>
        </w:rPr>
        <w:t xml:space="preserve"> of the mid-term public and civil servant perception survey and the mid-term evaluation also provided feedback to help provide corrections. As well, the two ev</w:t>
      </w:r>
      <w:r>
        <w:rPr>
          <w:rFonts w:ascii="Arial" w:hAnsi="Arial"/>
          <w:sz w:val="22"/>
          <w:szCs w:val="22"/>
        </w:rPr>
        <w:t>a</w:t>
      </w:r>
      <w:r w:rsidR="007240CF">
        <w:rPr>
          <w:rFonts w:ascii="Arial" w:hAnsi="Arial"/>
          <w:sz w:val="22"/>
          <w:szCs w:val="22"/>
        </w:rPr>
        <w:t>luations fo</w:t>
      </w:r>
      <w:r>
        <w:rPr>
          <w:rFonts w:ascii="Arial" w:hAnsi="Arial"/>
          <w:sz w:val="22"/>
          <w:szCs w:val="22"/>
        </w:rPr>
        <w:t>r t</w:t>
      </w:r>
      <w:r w:rsidR="007240CF">
        <w:rPr>
          <w:rFonts w:ascii="Arial" w:hAnsi="Arial"/>
          <w:sz w:val="22"/>
          <w:szCs w:val="22"/>
        </w:rPr>
        <w:t>he small grant schemes provided feedback. It appears that the feedback was applied to the extent p</w:t>
      </w:r>
      <w:r>
        <w:rPr>
          <w:rFonts w:ascii="Arial" w:hAnsi="Arial"/>
          <w:sz w:val="22"/>
          <w:szCs w:val="22"/>
        </w:rPr>
        <w:t>ossible given resources availab</w:t>
      </w:r>
      <w:r w:rsidR="007240CF">
        <w:rPr>
          <w:rFonts w:ascii="Arial" w:hAnsi="Arial"/>
          <w:sz w:val="22"/>
          <w:szCs w:val="22"/>
        </w:rPr>
        <w:t>le and time remain</w:t>
      </w:r>
      <w:r>
        <w:rPr>
          <w:rFonts w:ascii="Arial" w:hAnsi="Arial"/>
          <w:sz w:val="22"/>
          <w:szCs w:val="22"/>
        </w:rPr>
        <w:t>i</w:t>
      </w:r>
      <w:r w:rsidR="007240CF">
        <w:rPr>
          <w:rFonts w:ascii="Arial" w:hAnsi="Arial"/>
          <w:sz w:val="22"/>
          <w:szCs w:val="22"/>
        </w:rPr>
        <w:t>ng. Some of this was thrown off track by the response to COVID-19 but, again, adjustments</w:t>
      </w:r>
      <w:r>
        <w:rPr>
          <w:rFonts w:ascii="Arial" w:hAnsi="Arial"/>
          <w:sz w:val="22"/>
          <w:szCs w:val="22"/>
        </w:rPr>
        <w:t xml:space="preserve"> had to be made given a totally</w:t>
      </w:r>
      <w:r w:rsidR="007240CF">
        <w:rPr>
          <w:rFonts w:ascii="Arial" w:hAnsi="Arial"/>
          <w:sz w:val="22"/>
          <w:szCs w:val="22"/>
        </w:rPr>
        <w:t xml:space="preserve"> different operational environment. </w:t>
      </w:r>
    </w:p>
    <w:p w14:paraId="4AA48ADC" w14:textId="77777777" w:rsidR="007240CF" w:rsidRDefault="007240CF" w:rsidP="00C22091">
      <w:pPr>
        <w:jc w:val="both"/>
        <w:rPr>
          <w:rFonts w:ascii="Arial" w:hAnsi="Arial"/>
          <w:sz w:val="22"/>
          <w:szCs w:val="22"/>
        </w:rPr>
      </w:pPr>
    </w:p>
    <w:p w14:paraId="1B41A63E" w14:textId="0568ED33" w:rsidR="00BB2FCB" w:rsidRDefault="007240CF" w:rsidP="00C22091">
      <w:pPr>
        <w:jc w:val="both"/>
        <w:rPr>
          <w:rFonts w:ascii="Arial" w:hAnsi="Arial"/>
          <w:sz w:val="22"/>
          <w:szCs w:val="22"/>
        </w:rPr>
      </w:pPr>
      <w:r>
        <w:rPr>
          <w:rFonts w:ascii="Arial" w:hAnsi="Arial"/>
          <w:sz w:val="22"/>
          <w:szCs w:val="22"/>
        </w:rPr>
        <w:t>Th</w:t>
      </w:r>
      <w:r w:rsidR="00BB2FCB">
        <w:rPr>
          <w:rFonts w:ascii="Arial" w:hAnsi="Arial"/>
          <w:sz w:val="22"/>
          <w:szCs w:val="22"/>
        </w:rPr>
        <w:t>e</w:t>
      </w:r>
      <w:r>
        <w:rPr>
          <w:rFonts w:ascii="Arial" w:hAnsi="Arial"/>
          <w:sz w:val="22"/>
          <w:szCs w:val="22"/>
        </w:rPr>
        <w:t xml:space="preserve">re were no </w:t>
      </w:r>
      <w:r w:rsidR="00BB2FCB">
        <w:rPr>
          <w:rFonts w:ascii="Arial" w:hAnsi="Arial"/>
          <w:sz w:val="22"/>
          <w:szCs w:val="22"/>
        </w:rPr>
        <w:t xml:space="preserve">major </w:t>
      </w:r>
      <w:r>
        <w:rPr>
          <w:rFonts w:ascii="Arial" w:hAnsi="Arial"/>
          <w:sz w:val="22"/>
          <w:szCs w:val="22"/>
        </w:rPr>
        <w:t>deviati</w:t>
      </w:r>
      <w:r w:rsidR="00BB2FCB">
        <w:rPr>
          <w:rFonts w:ascii="Arial" w:hAnsi="Arial"/>
          <w:sz w:val="22"/>
          <w:szCs w:val="22"/>
        </w:rPr>
        <w:t>o</w:t>
      </w:r>
      <w:r>
        <w:rPr>
          <w:rFonts w:ascii="Arial" w:hAnsi="Arial"/>
          <w:sz w:val="22"/>
          <w:szCs w:val="22"/>
        </w:rPr>
        <w:t xml:space="preserve">ns from the project’s logical framework. </w:t>
      </w:r>
      <w:r w:rsidR="00BB2FCB">
        <w:rPr>
          <w:rFonts w:ascii="Arial" w:hAnsi="Arial"/>
          <w:sz w:val="22"/>
          <w:szCs w:val="22"/>
        </w:rPr>
        <w:t xml:space="preserve">The outcome areas and outputs remained intact, after the adjustments were made initially, and pursued throughout the time of the project. The 3-month extension granted was </w:t>
      </w:r>
      <w:r w:rsidR="00D1145F">
        <w:rPr>
          <w:rFonts w:ascii="Arial" w:hAnsi="Arial"/>
          <w:sz w:val="22"/>
          <w:szCs w:val="22"/>
        </w:rPr>
        <w:t xml:space="preserve">mainly </w:t>
      </w:r>
      <w:r w:rsidR="00BB2FCB">
        <w:rPr>
          <w:rFonts w:ascii="Arial" w:hAnsi="Arial"/>
          <w:sz w:val="22"/>
          <w:szCs w:val="22"/>
        </w:rPr>
        <w:t>a result of the pandemic and not based on poo</w:t>
      </w:r>
      <w:r w:rsidR="00D1145F">
        <w:rPr>
          <w:rFonts w:ascii="Arial" w:hAnsi="Arial"/>
          <w:sz w:val="22"/>
          <w:szCs w:val="22"/>
        </w:rPr>
        <w:t>r performance</w:t>
      </w:r>
      <w:r w:rsidR="00BB2FCB">
        <w:rPr>
          <w:rFonts w:ascii="Arial" w:hAnsi="Arial"/>
          <w:sz w:val="22"/>
          <w:szCs w:val="22"/>
        </w:rPr>
        <w:t xml:space="preserve">. Any development project, especially a PAR-related reform, is sensitive to absorptive capacity. And, this project had confronted absorptive capacity issues as stakeholders became more prepared </w:t>
      </w:r>
      <w:r w:rsidR="00D1145F">
        <w:rPr>
          <w:rFonts w:ascii="Arial" w:hAnsi="Arial"/>
          <w:sz w:val="22"/>
          <w:szCs w:val="22"/>
        </w:rPr>
        <w:t>to work on implementation as th</w:t>
      </w:r>
      <w:r w:rsidR="00BB2FCB">
        <w:rPr>
          <w:rFonts w:ascii="Arial" w:hAnsi="Arial"/>
          <w:sz w:val="22"/>
          <w:szCs w:val="22"/>
        </w:rPr>
        <w:t xml:space="preserve">e project developed. </w:t>
      </w:r>
    </w:p>
    <w:p w14:paraId="70B18CD2" w14:textId="77777777" w:rsidR="00BB2FCB" w:rsidRDefault="00BB2FCB" w:rsidP="00C22091">
      <w:pPr>
        <w:jc w:val="both"/>
        <w:rPr>
          <w:rFonts w:ascii="Arial" w:hAnsi="Arial"/>
          <w:sz w:val="22"/>
          <w:szCs w:val="22"/>
        </w:rPr>
      </w:pPr>
    </w:p>
    <w:p w14:paraId="1C4DEEC1" w14:textId="09279D77" w:rsidR="00BB2FCB" w:rsidRPr="003B1E6A" w:rsidRDefault="007240CF" w:rsidP="0067373F">
      <w:pPr>
        <w:jc w:val="both"/>
        <w:rPr>
          <w:rFonts w:ascii="Arial" w:hAnsi="Arial"/>
          <w:b/>
          <w:sz w:val="22"/>
          <w:szCs w:val="22"/>
        </w:rPr>
      </w:pPr>
      <w:r>
        <w:rPr>
          <w:rFonts w:ascii="Arial" w:hAnsi="Arial"/>
          <w:sz w:val="22"/>
          <w:szCs w:val="22"/>
        </w:rPr>
        <w:t xml:space="preserve">The </w:t>
      </w:r>
      <w:r w:rsidR="00BB2FCB">
        <w:rPr>
          <w:rFonts w:ascii="Arial" w:hAnsi="Arial"/>
          <w:sz w:val="22"/>
          <w:szCs w:val="22"/>
        </w:rPr>
        <w:t xml:space="preserve">project’s </w:t>
      </w:r>
      <w:r>
        <w:rPr>
          <w:rFonts w:ascii="Arial" w:hAnsi="Arial"/>
          <w:sz w:val="22"/>
          <w:szCs w:val="22"/>
        </w:rPr>
        <w:t>Theory of Change</w:t>
      </w:r>
      <w:r w:rsidR="00BB2FCB">
        <w:rPr>
          <w:rFonts w:ascii="Arial" w:hAnsi="Arial"/>
          <w:sz w:val="22"/>
          <w:szCs w:val="22"/>
        </w:rPr>
        <w:t xml:space="preserve"> </w:t>
      </w:r>
      <w:r w:rsidR="00C66909">
        <w:rPr>
          <w:rFonts w:ascii="Arial" w:hAnsi="Arial"/>
          <w:sz w:val="22"/>
          <w:szCs w:val="22"/>
        </w:rPr>
        <w:t>(Annex N</w:t>
      </w:r>
      <w:r w:rsidR="0067373F">
        <w:rPr>
          <w:rFonts w:ascii="Arial" w:hAnsi="Arial"/>
          <w:sz w:val="22"/>
          <w:szCs w:val="22"/>
        </w:rPr>
        <w:t xml:space="preserve">) was revised from the original schematic drawn up during project formulation and as depicted in the project document. The final Theory of Change is more detailed and better aligned with the impact statement and UNDP strategic planning outcome with corresponding alignment with the three outcome areas and the related assumptions, outputs and their respective </w:t>
      </w:r>
      <w:r w:rsidR="003D2082">
        <w:rPr>
          <w:rFonts w:ascii="Arial" w:hAnsi="Arial"/>
          <w:sz w:val="22"/>
          <w:szCs w:val="22"/>
        </w:rPr>
        <w:t>output-related activities. The Theory of C</w:t>
      </w:r>
      <w:r w:rsidR="0067373F">
        <w:rPr>
          <w:rFonts w:ascii="Arial" w:hAnsi="Arial"/>
          <w:sz w:val="22"/>
          <w:szCs w:val="22"/>
        </w:rPr>
        <w:t>hange and RRF directly correspond with one another. This clarification and modification appears to be a result of the consultations with government stakeholders and the p</w:t>
      </w:r>
      <w:r w:rsidR="003D2082">
        <w:rPr>
          <w:rFonts w:ascii="Arial" w:hAnsi="Arial"/>
          <w:sz w:val="22"/>
          <w:szCs w:val="22"/>
        </w:rPr>
        <w:t>roject donors. The adjusted s</w:t>
      </w:r>
      <w:r w:rsidR="0067373F">
        <w:rPr>
          <w:rFonts w:ascii="Arial" w:hAnsi="Arial"/>
          <w:sz w:val="22"/>
          <w:szCs w:val="22"/>
        </w:rPr>
        <w:t>trate</w:t>
      </w:r>
      <w:r w:rsidR="003D2082">
        <w:rPr>
          <w:rFonts w:ascii="Arial" w:hAnsi="Arial"/>
          <w:sz w:val="22"/>
          <w:szCs w:val="22"/>
        </w:rPr>
        <w:t>g</w:t>
      </w:r>
      <w:r w:rsidR="0067373F">
        <w:rPr>
          <w:rFonts w:ascii="Arial" w:hAnsi="Arial"/>
          <w:sz w:val="22"/>
          <w:szCs w:val="22"/>
        </w:rPr>
        <w:t xml:space="preserve">y was fully in place </w:t>
      </w:r>
      <w:r w:rsidR="003D2082">
        <w:rPr>
          <w:rFonts w:ascii="Arial" w:hAnsi="Arial"/>
          <w:sz w:val="22"/>
          <w:szCs w:val="22"/>
        </w:rPr>
        <w:t>in 2017. The Theor</w:t>
      </w:r>
      <w:r w:rsidR="0067373F">
        <w:rPr>
          <w:rFonts w:ascii="Arial" w:hAnsi="Arial"/>
          <w:sz w:val="22"/>
          <w:szCs w:val="22"/>
        </w:rPr>
        <w:t>y of Change and RRF remain extremely relevant.</w:t>
      </w:r>
      <w:r w:rsidR="003D2082">
        <w:rPr>
          <w:rFonts w:ascii="Arial" w:hAnsi="Arial"/>
          <w:sz w:val="22"/>
          <w:szCs w:val="22"/>
        </w:rPr>
        <w:t xml:space="preserve"> Both are aligned with the government’s development </w:t>
      </w:r>
      <w:proofErr w:type="spellStart"/>
      <w:r w:rsidR="003D2082">
        <w:rPr>
          <w:rFonts w:ascii="Arial" w:hAnsi="Arial"/>
          <w:sz w:val="22"/>
          <w:szCs w:val="22"/>
        </w:rPr>
        <w:t>programme</w:t>
      </w:r>
      <w:proofErr w:type="spellEnd"/>
      <w:r w:rsidR="003D2082">
        <w:rPr>
          <w:rFonts w:ascii="Arial" w:hAnsi="Arial"/>
          <w:sz w:val="22"/>
          <w:szCs w:val="22"/>
        </w:rPr>
        <w:t xml:space="preserve"> and PAR Roadmap.</w:t>
      </w:r>
    </w:p>
    <w:p w14:paraId="79F23C59" w14:textId="77777777" w:rsidR="00BD7473" w:rsidRDefault="00BD7473" w:rsidP="00C22091">
      <w:pPr>
        <w:jc w:val="both"/>
        <w:rPr>
          <w:rFonts w:ascii="Arial" w:hAnsi="Arial"/>
          <w:sz w:val="22"/>
          <w:szCs w:val="22"/>
        </w:rPr>
      </w:pPr>
    </w:p>
    <w:p w14:paraId="7955346A" w14:textId="46E52969" w:rsidR="007961FC" w:rsidRDefault="00BD7473" w:rsidP="00C22091">
      <w:pPr>
        <w:jc w:val="both"/>
        <w:rPr>
          <w:rFonts w:ascii="Arial" w:hAnsi="Arial"/>
          <w:sz w:val="22"/>
          <w:szCs w:val="22"/>
        </w:rPr>
      </w:pPr>
      <w:r>
        <w:rPr>
          <w:rFonts w:ascii="Arial" w:hAnsi="Arial"/>
          <w:sz w:val="22"/>
          <w:szCs w:val="22"/>
        </w:rPr>
        <w:lastRenderedPageBreak/>
        <w:t>The p</w:t>
      </w:r>
      <w:r w:rsidR="007961FC">
        <w:rPr>
          <w:rFonts w:ascii="Arial" w:hAnsi="Arial"/>
          <w:sz w:val="22"/>
          <w:szCs w:val="22"/>
        </w:rPr>
        <w:t>roje</w:t>
      </w:r>
      <w:r>
        <w:rPr>
          <w:rFonts w:ascii="Arial" w:hAnsi="Arial"/>
          <w:sz w:val="22"/>
          <w:szCs w:val="22"/>
        </w:rPr>
        <w:t>ct was designed as a medium-tem intervention for a development subject that takes a medium to long-term development commitment. This commitment does not require external assistance throughout its evolution but does so at least in the beginning to</w:t>
      </w:r>
      <w:r w:rsidR="00BF3D72">
        <w:rPr>
          <w:rFonts w:ascii="Arial" w:hAnsi="Arial"/>
          <w:sz w:val="22"/>
          <w:szCs w:val="22"/>
        </w:rPr>
        <w:t xml:space="preserve"> the medium term</w:t>
      </w:r>
      <w:r>
        <w:rPr>
          <w:rFonts w:ascii="Arial" w:hAnsi="Arial"/>
          <w:sz w:val="22"/>
          <w:szCs w:val="22"/>
        </w:rPr>
        <w:t>. While PAR can be advanced in a 4-year time period, it cannot be fully implemented in that timeframe. Such reform takes repeated cycles of activity together with public input to constantly evolve a more</w:t>
      </w:r>
      <w:r w:rsidR="00BD1437">
        <w:rPr>
          <w:rFonts w:ascii="Arial" w:hAnsi="Arial"/>
          <w:sz w:val="22"/>
          <w:szCs w:val="22"/>
        </w:rPr>
        <w:t xml:space="preserve"> professional service that has</w:t>
      </w:r>
      <w:r>
        <w:rPr>
          <w:rFonts w:ascii="Arial" w:hAnsi="Arial"/>
          <w:sz w:val="22"/>
          <w:szCs w:val="22"/>
        </w:rPr>
        <w:t xml:space="preserve"> adequate training and is applied w</w:t>
      </w:r>
      <w:r w:rsidR="007622E7">
        <w:rPr>
          <w:rFonts w:ascii="Arial" w:hAnsi="Arial"/>
          <w:sz w:val="22"/>
          <w:szCs w:val="22"/>
        </w:rPr>
        <w:t>hole of government. The project</w:t>
      </w:r>
      <w:r>
        <w:rPr>
          <w:rFonts w:ascii="Arial" w:hAnsi="Arial"/>
          <w:sz w:val="22"/>
          <w:szCs w:val="22"/>
        </w:rPr>
        <w:t xml:space="preserve"> has contributed to and advance</w:t>
      </w:r>
      <w:r w:rsidR="00BD1437">
        <w:rPr>
          <w:rFonts w:ascii="Arial" w:hAnsi="Arial"/>
          <w:sz w:val="22"/>
          <w:szCs w:val="22"/>
        </w:rPr>
        <w:t>d</w:t>
      </w:r>
      <w:r>
        <w:rPr>
          <w:rFonts w:ascii="Arial" w:hAnsi="Arial"/>
          <w:sz w:val="22"/>
          <w:szCs w:val="22"/>
        </w:rPr>
        <w:t xml:space="preserve"> functional elements but more work is necessary to help the reforms “stick” and advance.</w:t>
      </w:r>
      <w:r w:rsidR="007622E7">
        <w:rPr>
          <w:rFonts w:ascii="Arial" w:hAnsi="Arial"/>
          <w:sz w:val="22"/>
          <w:szCs w:val="22"/>
        </w:rPr>
        <w:t xml:space="preserve"> </w:t>
      </w:r>
      <w:r>
        <w:rPr>
          <w:rFonts w:ascii="Arial" w:hAnsi="Arial"/>
          <w:sz w:val="22"/>
          <w:szCs w:val="22"/>
        </w:rPr>
        <w:t>The c</w:t>
      </w:r>
      <w:r w:rsidR="007961FC">
        <w:rPr>
          <w:rFonts w:ascii="Arial" w:hAnsi="Arial"/>
          <w:sz w:val="22"/>
          <w:szCs w:val="22"/>
        </w:rPr>
        <w:t xml:space="preserve">ollaborative partnership modality with government agencies started to show signs of success in 2018 as the entities continued to move forward with reforms and the PAR agenda despite leadership and political shifts. As well, donor coordination and dialogue contributed to marshaling resources and attention to key areas. </w:t>
      </w:r>
    </w:p>
    <w:p w14:paraId="105856AF" w14:textId="77777777" w:rsidR="00DB48CA" w:rsidRDefault="00DB48CA" w:rsidP="00C22091">
      <w:pPr>
        <w:jc w:val="both"/>
        <w:rPr>
          <w:rFonts w:ascii="Arial" w:hAnsi="Arial"/>
          <w:sz w:val="22"/>
          <w:szCs w:val="22"/>
        </w:rPr>
      </w:pPr>
    </w:p>
    <w:p w14:paraId="1A609446" w14:textId="181C7207" w:rsidR="007622E7" w:rsidRDefault="007622E7" w:rsidP="00C22091">
      <w:pPr>
        <w:jc w:val="both"/>
        <w:rPr>
          <w:rFonts w:ascii="Arial" w:hAnsi="Arial"/>
          <w:sz w:val="22"/>
          <w:szCs w:val="22"/>
        </w:rPr>
      </w:pPr>
      <w:r>
        <w:rPr>
          <w:rFonts w:ascii="Arial" w:hAnsi="Arial"/>
          <w:sz w:val="22"/>
          <w:szCs w:val="22"/>
        </w:rPr>
        <w:t>The project’s identification of key issues and risks were well considered and illustrated in the semi-annual and annual reports. The risks were clearly identified with a measurement of probability and impact with each risk having a mitigation action. The risks were confronted from time-to-time and the team was capable of addressing them as needed. While stakeholders also new of these risks, their ability to respond was more constrained since sometimes other support or agreement was necessary.</w:t>
      </w:r>
    </w:p>
    <w:p w14:paraId="55C55812" w14:textId="77777777" w:rsidR="007622E7" w:rsidRDefault="007622E7" w:rsidP="00C22091">
      <w:pPr>
        <w:jc w:val="both"/>
        <w:rPr>
          <w:rFonts w:ascii="Arial" w:hAnsi="Arial"/>
          <w:sz w:val="22"/>
          <w:szCs w:val="22"/>
        </w:rPr>
      </w:pPr>
    </w:p>
    <w:p w14:paraId="2B5A0CF5" w14:textId="77A5E326" w:rsidR="0038751C" w:rsidRDefault="007622E7" w:rsidP="006423E1">
      <w:pPr>
        <w:jc w:val="both"/>
        <w:rPr>
          <w:rFonts w:ascii="Arial" w:hAnsi="Arial"/>
          <w:sz w:val="22"/>
          <w:szCs w:val="22"/>
        </w:rPr>
      </w:pPr>
      <w:r>
        <w:rPr>
          <w:rFonts w:ascii="Arial" w:hAnsi="Arial"/>
          <w:sz w:val="22"/>
          <w:szCs w:val="22"/>
        </w:rPr>
        <w:t>The involvement of CSO’s was helpful to project progress. While the project was to help fost</w:t>
      </w:r>
      <w:r w:rsidR="00BD1437">
        <w:rPr>
          <w:rFonts w:ascii="Arial" w:hAnsi="Arial"/>
          <w:sz w:val="22"/>
          <w:szCs w:val="22"/>
        </w:rPr>
        <w:t>er CSO involvement in PAR</w:t>
      </w:r>
      <w:r>
        <w:rPr>
          <w:rFonts w:ascii="Arial" w:hAnsi="Arial"/>
          <w:sz w:val="22"/>
          <w:szCs w:val="22"/>
        </w:rPr>
        <w:t>, the project’s development and use of such entities have opened new doors for CSO involvement in the subject area. As well, the surveys including public and civil society</w:t>
      </w:r>
      <w:r w:rsidR="00F84830">
        <w:rPr>
          <w:rFonts w:ascii="Arial" w:hAnsi="Arial"/>
          <w:sz w:val="22"/>
          <w:szCs w:val="22"/>
        </w:rPr>
        <w:t xml:space="preserve"> opinion are</w:t>
      </w:r>
      <w:r>
        <w:rPr>
          <w:rFonts w:ascii="Arial" w:hAnsi="Arial"/>
          <w:sz w:val="22"/>
          <w:szCs w:val="22"/>
        </w:rPr>
        <w:t xml:space="preserve"> bringing more evidence-based information that provides feedback and can help planning and decision</w:t>
      </w:r>
      <w:r w:rsidR="009A416C">
        <w:rPr>
          <w:rFonts w:ascii="Arial" w:hAnsi="Arial"/>
          <w:sz w:val="22"/>
          <w:szCs w:val="22"/>
        </w:rPr>
        <w:t xml:space="preserve"> </w:t>
      </w:r>
      <w:r w:rsidR="00BD1437">
        <w:rPr>
          <w:rFonts w:ascii="Arial" w:hAnsi="Arial"/>
          <w:sz w:val="22"/>
          <w:szCs w:val="22"/>
        </w:rPr>
        <w:t>making.</w:t>
      </w:r>
    </w:p>
    <w:p w14:paraId="0A104534" w14:textId="77777777" w:rsidR="00C555B9" w:rsidRDefault="00C555B9" w:rsidP="006423E1">
      <w:pPr>
        <w:jc w:val="both"/>
        <w:rPr>
          <w:rFonts w:ascii="Arial" w:hAnsi="Arial"/>
          <w:sz w:val="22"/>
          <w:szCs w:val="22"/>
        </w:rPr>
      </w:pPr>
    </w:p>
    <w:p w14:paraId="5AF5B3A4" w14:textId="15827DFE" w:rsidR="0068735F" w:rsidRDefault="00C555B9" w:rsidP="0068735F">
      <w:pPr>
        <w:pStyle w:val="Pa5"/>
        <w:spacing w:after="160"/>
        <w:jc w:val="both"/>
        <w:rPr>
          <w:rStyle w:val="A0"/>
          <w:rFonts w:ascii="Arial" w:hAnsi="Arial" w:cs="Arial"/>
          <w:sz w:val="22"/>
          <w:szCs w:val="22"/>
        </w:rPr>
      </w:pPr>
      <w:r>
        <w:rPr>
          <w:rFonts w:ascii="Arial" w:hAnsi="Arial"/>
          <w:sz w:val="22"/>
          <w:szCs w:val="22"/>
        </w:rPr>
        <w:t xml:space="preserve">SDG Goal 16 is most applicable to the project: promote peaceful and inclusive societies for sustainable development, provide access to justice for all and build effective, accountable and inclusive institutions at all levels. The </w:t>
      </w:r>
      <w:proofErr w:type="spellStart"/>
      <w:r>
        <w:rPr>
          <w:rFonts w:ascii="Arial" w:hAnsi="Arial"/>
          <w:sz w:val="22"/>
          <w:szCs w:val="22"/>
        </w:rPr>
        <w:t>GoG</w:t>
      </w:r>
      <w:proofErr w:type="spellEnd"/>
      <w:r>
        <w:rPr>
          <w:rFonts w:ascii="Arial" w:hAnsi="Arial"/>
          <w:sz w:val="22"/>
          <w:szCs w:val="22"/>
        </w:rPr>
        <w:t xml:space="preserve"> established a “Democratic Governance” thematic working gro</w:t>
      </w:r>
      <w:r w:rsidR="005001A2">
        <w:rPr>
          <w:rFonts w:ascii="Arial" w:hAnsi="Arial"/>
          <w:sz w:val="22"/>
          <w:szCs w:val="22"/>
        </w:rPr>
        <w:t>up to address and</w:t>
      </w:r>
      <w:r>
        <w:rPr>
          <w:rFonts w:ascii="Arial" w:hAnsi="Arial"/>
          <w:sz w:val="22"/>
          <w:szCs w:val="22"/>
        </w:rPr>
        <w:t xml:space="preserve"> monitor the related SDGs.</w:t>
      </w:r>
      <w:r w:rsidR="005001A2">
        <w:rPr>
          <w:rFonts w:ascii="Arial" w:hAnsi="Arial"/>
          <w:sz w:val="22"/>
          <w:szCs w:val="22"/>
        </w:rPr>
        <w:t xml:space="preserve"> The AOG’s Policy Planning Unit of the Policy Planning and Coordination De</w:t>
      </w:r>
      <w:r>
        <w:rPr>
          <w:rFonts w:ascii="Arial" w:hAnsi="Arial"/>
          <w:sz w:val="22"/>
          <w:szCs w:val="22"/>
        </w:rPr>
        <w:t>p</w:t>
      </w:r>
      <w:r w:rsidR="005001A2">
        <w:rPr>
          <w:rFonts w:ascii="Arial" w:hAnsi="Arial"/>
          <w:sz w:val="22"/>
          <w:szCs w:val="22"/>
        </w:rPr>
        <w:t>artment is</w:t>
      </w:r>
      <w:r>
        <w:rPr>
          <w:rFonts w:ascii="Arial" w:hAnsi="Arial"/>
          <w:sz w:val="22"/>
          <w:szCs w:val="22"/>
        </w:rPr>
        <w:t xml:space="preserve"> the coordinator </w:t>
      </w:r>
      <w:r w:rsidR="00373C92">
        <w:rPr>
          <w:rFonts w:ascii="Arial" w:hAnsi="Arial"/>
          <w:sz w:val="22"/>
          <w:szCs w:val="22"/>
        </w:rPr>
        <w:t>for the SDG working group. The d</w:t>
      </w:r>
      <w:r>
        <w:rPr>
          <w:rFonts w:ascii="Arial" w:hAnsi="Arial"/>
          <w:sz w:val="22"/>
          <w:szCs w:val="22"/>
        </w:rPr>
        <w:t xml:space="preserve">epartment and </w:t>
      </w:r>
      <w:r w:rsidR="005001A2">
        <w:rPr>
          <w:rFonts w:ascii="Arial" w:hAnsi="Arial"/>
          <w:sz w:val="22"/>
          <w:szCs w:val="22"/>
        </w:rPr>
        <w:t>unit are main stakeholders of the PAR project. The project’s components directly correspond to the goal</w:t>
      </w:r>
      <w:r w:rsidR="00373C92">
        <w:rPr>
          <w:rFonts w:ascii="Arial" w:hAnsi="Arial"/>
          <w:sz w:val="22"/>
          <w:szCs w:val="22"/>
        </w:rPr>
        <w:t>’s</w:t>
      </w:r>
      <w:r w:rsidR="005001A2">
        <w:rPr>
          <w:rFonts w:ascii="Arial" w:hAnsi="Arial"/>
          <w:sz w:val="22"/>
          <w:szCs w:val="22"/>
        </w:rPr>
        <w:t xml:space="preserve"> components to include “inclusive societies for sustainable development” and “build effective, accountable and inclusive institutions at all levels.” The activities and results of the policy development and coordination, civil service reform and human resource management, and public service delivery outputs have all responded to address some of the major shortcomings and gaps that existed in each of these areas. </w:t>
      </w:r>
      <w:r w:rsidR="00BE7550">
        <w:rPr>
          <w:rFonts w:ascii="Arial" w:hAnsi="Arial"/>
          <w:sz w:val="22"/>
          <w:szCs w:val="22"/>
        </w:rPr>
        <w:t>The policy development and coordination output is the m</w:t>
      </w:r>
      <w:r w:rsidR="001C7D7B">
        <w:rPr>
          <w:rFonts w:ascii="Arial" w:hAnsi="Arial"/>
          <w:sz w:val="22"/>
          <w:szCs w:val="22"/>
        </w:rPr>
        <w:t>ost relevant since it provides for</w:t>
      </w:r>
      <w:r w:rsidR="00BE7550">
        <w:rPr>
          <w:rFonts w:ascii="Arial" w:hAnsi="Arial"/>
          <w:sz w:val="22"/>
          <w:szCs w:val="22"/>
        </w:rPr>
        <w:t xml:space="preserve"> SDGs to be part of national, sector and institutional strategies. There are 95 nationalized SDG targets. As more of these targets and approaches to achieving them are built into the strategies, the better the civil service can deliver on them. Thus, the relationship to the civil service reform and human</w:t>
      </w:r>
      <w:r w:rsidR="00DB3B57">
        <w:rPr>
          <w:rFonts w:ascii="Arial" w:hAnsi="Arial"/>
          <w:sz w:val="22"/>
          <w:szCs w:val="22"/>
        </w:rPr>
        <w:t xml:space="preserve"> resource management efforts to help design approaches </w:t>
      </w:r>
      <w:r w:rsidR="00BE7550">
        <w:rPr>
          <w:rFonts w:ascii="Arial" w:hAnsi="Arial"/>
          <w:sz w:val="22"/>
          <w:szCs w:val="22"/>
        </w:rPr>
        <w:t xml:space="preserve">to achieve </w:t>
      </w:r>
      <w:r w:rsidR="00DB3B57">
        <w:rPr>
          <w:rFonts w:ascii="Arial" w:hAnsi="Arial"/>
          <w:sz w:val="22"/>
          <w:szCs w:val="22"/>
        </w:rPr>
        <w:t>the targets. As of January 2020, there were 7 national or sector strategies that, together, covered all 95 targets.</w:t>
      </w:r>
      <w:r w:rsidR="00DB3B57">
        <w:rPr>
          <w:rStyle w:val="FootnoteReference"/>
          <w:rFonts w:ascii="Arial" w:hAnsi="Arial"/>
          <w:sz w:val="22"/>
          <w:szCs w:val="22"/>
        </w:rPr>
        <w:footnoteReference w:id="32"/>
      </w:r>
      <w:r w:rsidR="00DB3B57">
        <w:rPr>
          <w:rFonts w:ascii="Arial" w:hAnsi="Arial"/>
          <w:sz w:val="22"/>
          <w:szCs w:val="22"/>
        </w:rPr>
        <w:t xml:space="preserve"> The efforts by the project show how a public administration effort can have an impact, and will continue to do so, for all SDGs. As indicated in the pol</w:t>
      </w:r>
      <w:r w:rsidR="001C7D7B">
        <w:rPr>
          <w:rFonts w:ascii="Arial" w:hAnsi="Arial"/>
          <w:sz w:val="22"/>
          <w:szCs w:val="22"/>
        </w:rPr>
        <w:t xml:space="preserve">icy </w:t>
      </w:r>
      <w:r w:rsidR="00DB3B57" w:rsidRPr="00DB3B57">
        <w:rPr>
          <w:rFonts w:ascii="Arial" w:hAnsi="Arial" w:cs="Arial"/>
          <w:sz w:val="22"/>
          <w:szCs w:val="22"/>
        </w:rPr>
        <w:t xml:space="preserve">planning handbook, </w:t>
      </w:r>
      <w:r w:rsidR="00DB3B57" w:rsidRPr="00DB3B57">
        <w:rPr>
          <w:rStyle w:val="A0"/>
          <w:rFonts w:ascii="Arial" w:hAnsi="Arial" w:cs="Arial"/>
          <w:sz w:val="22"/>
          <w:szCs w:val="22"/>
        </w:rPr>
        <w:t xml:space="preserve">each goal and impact provided in </w:t>
      </w:r>
      <w:r w:rsidR="00DB3B57" w:rsidRPr="00DB3B57">
        <w:rPr>
          <w:rStyle w:val="A0"/>
          <w:rFonts w:ascii="Arial" w:hAnsi="Arial" w:cs="Arial"/>
          <w:sz w:val="22"/>
          <w:szCs w:val="22"/>
        </w:rPr>
        <w:lastRenderedPageBreak/>
        <w:t xml:space="preserve">a policy document must be linked to </w:t>
      </w:r>
      <w:proofErr w:type="gramStart"/>
      <w:r w:rsidR="00DB3B57" w:rsidRPr="00DB3B57">
        <w:rPr>
          <w:rStyle w:val="A0"/>
          <w:rFonts w:ascii="Arial" w:hAnsi="Arial" w:cs="Arial"/>
          <w:sz w:val="22"/>
          <w:szCs w:val="22"/>
        </w:rPr>
        <w:t>a</w:t>
      </w:r>
      <w:proofErr w:type="gramEnd"/>
      <w:r w:rsidR="00DB3B57">
        <w:rPr>
          <w:rStyle w:val="A0"/>
          <w:rFonts w:ascii="Arial" w:hAnsi="Arial" w:cs="Arial"/>
          <w:sz w:val="22"/>
          <w:szCs w:val="22"/>
        </w:rPr>
        <w:t xml:space="preserve"> </w:t>
      </w:r>
      <w:r w:rsidR="00DB3B57" w:rsidRPr="00DB3B57">
        <w:rPr>
          <w:rStyle w:val="A0"/>
          <w:rFonts w:ascii="Arial" w:hAnsi="Arial" w:cs="Arial"/>
          <w:sz w:val="22"/>
          <w:szCs w:val="22"/>
        </w:rPr>
        <w:t>SDG</w:t>
      </w:r>
      <w:r w:rsidR="00DB3B57">
        <w:rPr>
          <w:rStyle w:val="A0"/>
          <w:rFonts w:ascii="Arial" w:hAnsi="Arial" w:cs="Arial"/>
          <w:sz w:val="22"/>
          <w:szCs w:val="22"/>
        </w:rPr>
        <w:t>.</w:t>
      </w:r>
      <w:r w:rsidR="0068735F">
        <w:rPr>
          <w:rStyle w:val="FootnoteReference"/>
          <w:rFonts w:ascii="Arial" w:hAnsi="Arial" w:cs="Arial"/>
          <w:color w:val="000000"/>
          <w:sz w:val="22"/>
          <w:szCs w:val="22"/>
        </w:rPr>
        <w:footnoteReference w:id="33"/>
      </w:r>
    </w:p>
    <w:p w14:paraId="2D3B834E" w14:textId="4BF5ACDA" w:rsidR="00C555B9" w:rsidRPr="00FC5B50" w:rsidRDefault="0068735F" w:rsidP="00FC5B50">
      <w:pPr>
        <w:pStyle w:val="Default"/>
        <w:jc w:val="both"/>
        <w:rPr>
          <w:rFonts w:ascii="Arial" w:hAnsi="Arial" w:cs="Arial"/>
          <w:sz w:val="22"/>
          <w:szCs w:val="22"/>
        </w:rPr>
      </w:pPr>
      <w:r w:rsidRPr="001C7D7B">
        <w:rPr>
          <w:rFonts w:ascii="Arial" w:hAnsi="Arial" w:cs="Arial"/>
          <w:sz w:val="22"/>
          <w:szCs w:val="22"/>
        </w:rPr>
        <w:t xml:space="preserve">The project also contributed to other SDGs but in a more indirect way. </w:t>
      </w:r>
      <w:r w:rsidR="00F311C1" w:rsidRPr="001C7D7B">
        <w:rPr>
          <w:rFonts w:ascii="Arial" w:hAnsi="Arial" w:cs="Arial"/>
          <w:sz w:val="22"/>
          <w:szCs w:val="22"/>
        </w:rPr>
        <w:t xml:space="preserve"> SDG 5 Gender Equality was addressed by improving access to public services via the internet and at the Public Service Halls, providing and making</w:t>
      </w:r>
      <w:r w:rsidR="001C7D7B">
        <w:rPr>
          <w:rFonts w:ascii="Arial" w:hAnsi="Arial" w:cs="Arial"/>
          <w:sz w:val="22"/>
          <w:szCs w:val="22"/>
        </w:rPr>
        <w:t xml:space="preserve"> more accessible</w:t>
      </w:r>
      <w:r w:rsidR="00F311C1" w:rsidRPr="001C7D7B">
        <w:rPr>
          <w:rFonts w:ascii="Arial" w:hAnsi="Arial" w:cs="Arial"/>
          <w:sz w:val="22"/>
          <w:szCs w:val="22"/>
        </w:rPr>
        <w:t xml:space="preserve"> professionalized training of female civil servants, </w:t>
      </w:r>
      <w:r w:rsidR="001C7D7B">
        <w:rPr>
          <w:rFonts w:ascii="Arial" w:hAnsi="Arial" w:cs="Arial"/>
          <w:sz w:val="22"/>
          <w:szCs w:val="22"/>
        </w:rPr>
        <w:t xml:space="preserve">and </w:t>
      </w:r>
      <w:r w:rsidR="00F311C1" w:rsidRPr="001C7D7B">
        <w:rPr>
          <w:rFonts w:ascii="Arial" w:hAnsi="Arial" w:cs="Arial"/>
          <w:sz w:val="22"/>
          <w:szCs w:val="22"/>
        </w:rPr>
        <w:t xml:space="preserve">helping develop a more objective performance evaluation process and a more formalized dispute resolution process. Goal 10 Reduced Inequalities will be better addressed with an improved policy planning and coordination process and capabilities as well as the public service delivery access and availability improvements. And, SDG 17 Partnerships for the Goals was </w:t>
      </w:r>
      <w:r w:rsidR="001C7D7B" w:rsidRPr="001C7D7B">
        <w:rPr>
          <w:rFonts w:ascii="Arial" w:hAnsi="Arial" w:cs="Arial"/>
          <w:sz w:val="22"/>
          <w:szCs w:val="22"/>
        </w:rPr>
        <w:t>addressed given the advancements made in using technology to help deliver public services through my.gov.ge and upgrading technological capabilities such as in cyber security and web site standardization.</w:t>
      </w:r>
    </w:p>
    <w:p w14:paraId="61EEED09" w14:textId="7E840FAB" w:rsidR="00F0563B" w:rsidRDefault="0038751C" w:rsidP="008A6CBC">
      <w:pPr>
        <w:pStyle w:val="Heading4"/>
      </w:pPr>
      <w:bookmarkStart w:id="15" w:name="_Toc478138866"/>
      <w:r>
        <w:t>3</w:t>
      </w:r>
      <w:r w:rsidR="0069457A">
        <w:t>.</w:t>
      </w:r>
      <w:r w:rsidR="0069457A" w:rsidRPr="00841ED3">
        <w:tab/>
      </w:r>
      <w:r w:rsidR="003953BC">
        <w:t>Project Management and Implementation</w:t>
      </w:r>
      <w:bookmarkEnd w:id="15"/>
    </w:p>
    <w:p w14:paraId="2A002174" w14:textId="77777777" w:rsidR="00F0563B" w:rsidRDefault="00F0563B" w:rsidP="004A429A">
      <w:pPr>
        <w:jc w:val="both"/>
        <w:rPr>
          <w:rFonts w:ascii="Arial" w:hAnsi="Arial"/>
          <w:sz w:val="22"/>
          <w:szCs w:val="22"/>
        </w:rPr>
      </w:pPr>
    </w:p>
    <w:p w14:paraId="2BF81DC8" w14:textId="4993D4E1" w:rsidR="00E5088B" w:rsidRDefault="00E5088B" w:rsidP="004A429A">
      <w:pPr>
        <w:jc w:val="both"/>
        <w:rPr>
          <w:rFonts w:ascii="Arial" w:hAnsi="Arial"/>
          <w:sz w:val="22"/>
          <w:szCs w:val="22"/>
        </w:rPr>
      </w:pPr>
      <w:r>
        <w:rPr>
          <w:rFonts w:ascii="Arial" w:hAnsi="Arial"/>
          <w:sz w:val="22"/>
          <w:szCs w:val="22"/>
        </w:rPr>
        <w:t>Project management</w:t>
      </w:r>
      <w:r w:rsidR="007C7F47">
        <w:rPr>
          <w:rFonts w:ascii="Arial" w:hAnsi="Arial"/>
          <w:sz w:val="22"/>
          <w:szCs w:val="22"/>
        </w:rPr>
        <w:t xml:space="preserve"> was adjusted</w:t>
      </w:r>
      <w:r w:rsidR="000D46C4">
        <w:rPr>
          <w:rFonts w:ascii="Arial" w:hAnsi="Arial"/>
          <w:sz w:val="22"/>
          <w:szCs w:val="22"/>
        </w:rPr>
        <w:t xml:space="preserve"> during the project’s inception phase. As designed and implemented, the project was part of</w:t>
      </w:r>
      <w:r w:rsidR="00F84830">
        <w:rPr>
          <w:rFonts w:ascii="Arial" w:hAnsi="Arial"/>
          <w:sz w:val="22"/>
          <w:szCs w:val="22"/>
        </w:rPr>
        <w:t xml:space="preserve"> UNDP’s GRF</w:t>
      </w:r>
      <w:r w:rsidR="000D46C4">
        <w:rPr>
          <w:rFonts w:ascii="Arial" w:hAnsi="Arial"/>
          <w:sz w:val="22"/>
          <w:szCs w:val="22"/>
        </w:rPr>
        <w:t xml:space="preserve">. A project coordinator managed the intervention during the inception phase. The project was split out of the GRF and a full-time project manager was in place as of September 2017. The monitoring and evaluation specialist was also initially shared with the GRF (50:50). In 2019 PAR hired a full-time monitoring and evaluation specialist. The same change was made with the administration/finance associate. Other than those changes, there were no </w:t>
      </w:r>
      <w:r>
        <w:rPr>
          <w:rFonts w:ascii="Arial" w:hAnsi="Arial"/>
          <w:sz w:val="22"/>
          <w:szCs w:val="22"/>
        </w:rPr>
        <w:t>major hiring or firing, some movement of personnel wi</w:t>
      </w:r>
      <w:r w:rsidR="005F709A">
        <w:rPr>
          <w:rFonts w:ascii="Arial" w:hAnsi="Arial"/>
          <w:sz w:val="22"/>
          <w:szCs w:val="22"/>
        </w:rPr>
        <w:t>t</w:t>
      </w:r>
      <w:r>
        <w:rPr>
          <w:rFonts w:ascii="Arial" w:hAnsi="Arial"/>
          <w:sz w:val="22"/>
          <w:szCs w:val="22"/>
        </w:rPr>
        <w:t>hin the project</w:t>
      </w:r>
      <w:r w:rsidR="00E33E7E">
        <w:rPr>
          <w:rFonts w:ascii="Arial" w:hAnsi="Arial"/>
          <w:sz w:val="22"/>
          <w:szCs w:val="22"/>
        </w:rPr>
        <w:t>,</w:t>
      </w:r>
      <w:r>
        <w:rPr>
          <w:rFonts w:ascii="Arial" w:hAnsi="Arial"/>
          <w:sz w:val="22"/>
          <w:szCs w:val="22"/>
        </w:rPr>
        <w:t xml:space="preserve"> and more emphasis on monitoring a</w:t>
      </w:r>
      <w:r w:rsidR="005F709A">
        <w:rPr>
          <w:rFonts w:ascii="Arial" w:hAnsi="Arial"/>
          <w:sz w:val="22"/>
          <w:szCs w:val="22"/>
        </w:rPr>
        <w:t>nd evalua</w:t>
      </w:r>
      <w:r w:rsidR="00E33E7E">
        <w:rPr>
          <w:rFonts w:ascii="Arial" w:hAnsi="Arial"/>
          <w:sz w:val="22"/>
          <w:szCs w:val="22"/>
        </w:rPr>
        <w:t xml:space="preserve">tion as the project matured. </w:t>
      </w:r>
      <w:r w:rsidR="007C7F47">
        <w:rPr>
          <w:rFonts w:ascii="Arial" w:hAnsi="Arial"/>
          <w:sz w:val="22"/>
          <w:szCs w:val="22"/>
        </w:rPr>
        <w:t>The changes resulting from the split with the GRF allowed the team to fully concentrate on the project’s efforts in a</w:t>
      </w:r>
      <w:r w:rsidR="00F84830">
        <w:rPr>
          <w:rFonts w:ascii="Arial" w:hAnsi="Arial"/>
          <w:sz w:val="22"/>
          <w:szCs w:val="22"/>
        </w:rPr>
        <w:t xml:space="preserve"> more streamlined</w:t>
      </w:r>
      <w:r w:rsidR="007C7F47">
        <w:rPr>
          <w:rFonts w:ascii="Arial" w:hAnsi="Arial"/>
          <w:sz w:val="22"/>
          <w:szCs w:val="22"/>
        </w:rPr>
        <w:t xml:space="preserve"> manner. The adjustments were appropriate given the scope and breadth of the three project outcome areas. </w:t>
      </w:r>
      <w:r>
        <w:rPr>
          <w:rFonts w:ascii="Arial" w:hAnsi="Arial"/>
          <w:sz w:val="22"/>
          <w:szCs w:val="22"/>
        </w:rPr>
        <w:t xml:space="preserve">The personnel, as indicated by stakeholders and other counterparts, have a positive reputation not only for the delivery of project services but as collaborative and cooperative partners. The team is positioned </w:t>
      </w:r>
      <w:r w:rsidR="005F709A">
        <w:rPr>
          <w:rFonts w:ascii="Arial" w:hAnsi="Arial"/>
          <w:sz w:val="22"/>
          <w:szCs w:val="22"/>
        </w:rPr>
        <w:t xml:space="preserve">and seen </w:t>
      </w:r>
      <w:r>
        <w:rPr>
          <w:rFonts w:ascii="Arial" w:hAnsi="Arial"/>
          <w:sz w:val="22"/>
          <w:szCs w:val="22"/>
        </w:rPr>
        <w:t xml:space="preserve">as a </w:t>
      </w:r>
      <w:r w:rsidR="005F709A">
        <w:rPr>
          <w:rFonts w:ascii="Arial" w:hAnsi="Arial"/>
          <w:sz w:val="22"/>
          <w:szCs w:val="22"/>
        </w:rPr>
        <w:t xml:space="preserve">key group to facilitate PAR. </w:t>
      </w:r>
    </w:p>
    <w:p w14:paraId="689B57E6" w14:textId="77777777" w:rsidR="00E5088B" w:rsidRDefault="00E5088B" w:rsidP="004A429A">
      <w:pPr>
        <w:jc w:val="both"/>
        <w:rPr>
          <w:rFonts w:ascii="Arial" w:hAnsi="Arial"/>
          <w:sz w:val="22"/>
          <w:szCs w:val="22"/>
        </w:rPr>
      </w:pPr>
    </w:p>
    <w:p w14:paraId="41DE83E0" w14:textId="77777777" w:rsidR="00864618" w:rsidRDefault="005F709A" w:rsidP="00F0563B">
      <w:pPr>
        <w:jc w:val="both"/>
        <w:rPr>
          <w:rFonts w:ascii="Arial" w:hAnsi="Arial"/>
          <w:sz w:val="22"/>
          <w:szCs w:val="22"/>
        </w:rPr>
      </w:pPr>
      <w:r>
        <w:rPr>
          <w:rFonts w:ascii="Arial" w:hAnsi="Arial"/>
          <w:sz w:val="22"/>
          <w:szCs w:val="22"/>
        </w:rPr>
        <w:t xml:space="preserve">The team also contracted a variety of contractors </w:t>
      </w:r>
      <w:r w:rsidR="00F0563B">
        <w:rPr>
          <w:rFonts w:ascii="Arial" w:hAnsi="Arial"/>
          <w:sz w:val="22"/>
          <w:szCs w:val="22"/>
        </w:rPr>
        <w:t>(individuals and companies</w:t>
      </w:r>
      <w:r>
        <w:rPr>
          <w:rFonts w:ascii="Arial" w:hAnsi="Arial"/>
          <w:sz w:val="22"/>
          <w:szCs w:val="22"/>
        </w:rPr>
        <w:t xml:space="preserve">, domestic and international) </w:t>
      </w:r>
      <w:r w:rsidR="00F84830">
        <w:rPr>
          <w:rFonts w:ascii="Arial" w:hAnsi="Arial"/>
          <w:sz w:val="22"/>
          <w:szCs w:val="22"/>
        </w:rPr>
        <w:t>that were</w:t>
      </w:r>
      <w:r>
        <w:rPr>
          <w:rFonts w:ascii="Arial" w:hAnsi="Arial"/>
          <w:sz w:val="22"/>
          <w:szCs w:val="22"/>
        </w:rPr>
        <w:t xml:space="preserve"> engaged to provide training, systems design (procedural and e-platforms), research, surveys, technical advice, etc. </w:t>
      </w:r>
      <w:r w:rsidR="000617CE">
        <w:rPr>
          <w:rFonts w:ascii="Arial" w:hAnsi="Arial"/>
          <w:sz w:val="22"/>
          <w:szCs w:val="22"/>
        </w:rPr>
        <w:t>Stakeholders reported no negative feedback</w:t>
      </w:r>
      <w:r>
        <w:rPr>
          <w:rFonts w:ascii="Arial" w:hAnsi="Arial"/>
          <w:sz w:val="22"/>
          <w:szCs w:val="22"/>
        </w:rPr>
        <w:t xml:space="preserve"> and a review of project reports did not indicate any major issues. UNDP procurement guidelines were used for contracting services. Decision</w:t>
      </w:r>
      <w:r w:rsidR="000617CE">
        <w:rPr>
          <w:rFonts w:ascii="Arial" w:hAnsi="Arial"/>
          <w:sz w:val="22"/>
          <w:szCs w:val="22"/>
        </w:rPr>
        <w:t xml:space="preserve"> </w:t>
      </w:r>
      <w:r>
        <w:rPr>
          <w:rFonts w:ascii="Arial" w:hAnsi="Arial"/>
          <w:sz w:val="22"/>
          <w:szCs w:val="22"/>
        </w:rPr>
        <w:t xml:space="preserve">making was made in a participatory manner with the involved stakeholders. The small </w:t>
      </w:r>
      <w:r w:rsidR="000617CE">
        <w:rPr>
          <w:rFonts w:ascii="Arial" w:hAnsi="Arial"/>
          <w:sz w:val="22"/>
          <w:szCs w:val="22"/>
        </w:rPr>
        <w:t>grants scheme had an establishe</w:t>
      </w:r>
      <w:r>
        <w:rPr>
          <w:rFonts w:ascii="Arial" w:hAnsi="Arial"/>
          <w:sz w:val="22"/>
          <w:szCs w:val="22"/>
        </w:rPr>
        <w:t xml:space="preserve">d selection process and the different cycles of the scheme were evaluated in three evaluations with the last one slated </w:t>
      </w:r>
      <w:r w:rsidR="000617CE">
        <w:rPr>
          <w:rFonts w:ascii="Arial" w:hAnsi="Arial"/>
          <w:sz w:val="22"/>
          <w:szCs w:val="22"/>
        </w:rPr>
        <w:t>for completion</w:t>
      </w:r>
      <w:r>
        <w:rPr>
          <w:rFonts w:ascii="Arial" w:hAnsi="Arial"/>
          <w:sz w:val="22"/>
          <w:szCs w:val="22"/>
        </w:rPr>
        <w:t xml:space="preserve"> in March 2021. </w:t>
      </w:r>
    </w:p>
    <w:p w14:paraId="183D40CE" w14:textId="77777777" w:rsidR="00864618" w:rsidRDefault="00864618" w:rsidP="00F0563B">
      <w:pPr>
        <w:jc w:val="both"/>
        <w:rPr>
          <w:rFonts w:ascii="Arial" w:hAnsi="Arial"/>
          <w:sz w:val="22"/>
          <w:szCs w:val="22"/>
        </w:rPr>
      </w:pPr>
    </w:p>
    <w:p w14:paraId="48056A86" w14:textId="4F912E90" w:rsidR="00B11B14" w:rsidRDefault="00864618" w:rsidP="00F0563B">
      <w:pPr>
        <w:jc w:val="both"/>
        <w:rPr>
          <w:rFonts w:ascii="Arial" w:hAnsi="Arial"/>
          <w:sz w:val="22"/>
          <w:szCs w:val="22"/>
        </w:rPr>
      </w:pPr>
      <w:r>
        <w:rPr>
          <w:rFonts w:ascii="Arial" w:hAnsi="Arial"/>
          <w:sz w:val="22"/>
          <w:szCs w:val="22"/>
        </w:rPr>
        <w:t>Annex D provides a list of project personnel and the main company and individual contractors. Annex K identifies research contractors.</w:t>
      </w:r>
    </w:p>
    <w:p w14:paraId="1AC30934" w14:textId="77777777" w:rsidR="00864618" w:rsidRDefault="00864618" w:rsidP="00F0563B">
      <w:pPr>
        <w:jc w:val="both"/>
        <w:rPr>
          <w:rFonts w:ascii="Arial" w:hAnsi="Arial"/>
          <w:sz w:val="22"/>
          <w:szCs w:val="22"/>
        </w:rPr>
      </w:pPr>
    </w:p>
    <w:p w14:paraId="3069B4EC" w14:textId="04D6E5DD" w:rsidR="00EA74B8" w:rsidRDefault="000617CE" w:rsidP="00F0563B">
      <w:pPr>
        <w:jc w:val="both"/>
        <w:rPr>
          <w:rFonts w:ascii="Arial" w:hAnsi="Arial"/>
          <w:sz w:val="22"/>
          <w:szCs w:val="22"/>
        </w:rPr>
      </w:pPr>
      <w:r>
        <w:rPr>
          <w:rFonts w:ascii="Arial" w:hAnsi="Arial"/>
          <w:sz w:val="22"/>
          <w:szCs w:val="22"/>
        </w:rPr>
        <w:t xml:space="preserve">The monitoring and evaluation aspects of the project developed. </w:t>
      </w:r>
      <w:r w:rsidR="0096792B">
        <w:rPr>
          <w:rFonts w:ascii="Arial" w:hAnsi="Arial"/>
          <w:sz w:val="22"/>
          <w:szCs w:val="22"/>
        </w:rPr>
        <w:t>The approach was inclusive and participator</w:t>
      </w:r>
      <w:r w:rsidR="0011779E">
        <w:rPr>
          <w:rFonts w:ascii="Arial" w:hAnsi="Arial"/>
          <w:sz w:val="22"/>
          <w:szCs w:val="22"/>
        </w:rPr>
        <w:t>y</w:t>
      </w:r>
      <w:r w:rsidR="0096792B">
        <w:rPr>
          <w:rFonts w:ascii="Arial" w:hAnsi="Arial"/>
          <w:sz w:val="22"/>
          <w:szCs w:val="22"/>
        </w:rPr>
        <w:t xml:space="preserve"> from</w:t>
      </w:r>
      <w:r w:rsidR="0011779E">
        <w:rPr>
          <w:rFonts w:ascii="Arial" w:hAnsi="Arial"/>
          <w:sz w:val="22"/>
          <w:szCs w:val="22"/>
        </w:rPr>
        <w:t xml:space="preserve"> the project’s beginning</w:t>
      </w:r>
      <w:r w:rsidR="0096792B">
        <w:rPr>
          <w:rFonts w:ascii="Arial" w:hAnsi="Arial"/>
          <w:sz w:val="22"/>
          <w:szCs w:val="22"/>
        </w:rPr>
        <w:t xml:space="preserve">. At that time, the RRF, annual work plan and risk register were refined with project stakeholders. </w:t>
      </w:r>
      <w:r>
        <w:rPr>
          <w:rFonts w:ascii="Arial" w:hAnsi="Arial"/>
          <w:sz w:val="22"/>
          <w:szCs w:val="22"/>
        </w:rPr>
        <w:t xml:space="preserve">The development can be seen in the quality of </w:t>
      </w:r>
      <w:r>
        <w:rPr>
          <w:rFonts w:ascii="Arial" w:hAnsi="Arial"/>
          <w:sz w:val="22"/>
          <w:szCs w:val="22"/>
        </w:rPr>
        <w:lastRenderedPageBreak/>
        <w:t xml:space="preserve">the semi annual and annual project reports. The RRF </w:t>
      </w:r>
      <w:r w:rsidR="0011779E">
        <w:rPr>
          <w:rFonts w:ascii="Arial" w:hAnsi="Arial"/>
          <w:sz w:val="22"/>
          <w:szCs w:val="22"/>
        </w:rPr>
        <w:t>and risk register were</w:t>
      </w:r>
      <w:r>
        <w:rPr>
          <w:rFonts w:ascii="Arial" w:hAnsi="Arial"/>
          <w:sz w:val="22"/>
          <w:szCs w:val="22"/>
        </w:rPr>
        <w:t xml:space="preserve"> kept up-to-date. Beginning in 2017, the project team began working with</w:t>
      </w:r>
      <w:r w:rsidR="00B11B14">
        <w:rPr>
          <w:rFonts w:ascii="Arial" w:hAnsi="Arial"/>
          <w:sz w:val="22"/>
          <w:szCs w:val="22"/>
        </w:rPr>
        <w:t xml:space="preserve"> key stakeholders to </w:t>
      </w:r>
      <w:r>
        <w:rPr>
          <w:rFonts w:ascii="Arial" w:hAnsi="Arial"/>
          <w:sz w:val="22"/>
          <w:szCs w:val="22"/>
        </w:rPr>
        <w:t xml:space="preserve">develop their own monitoring and evaluation plans. </w:t>
      </w:r>
      <w:r w:rsidR="0096792B">
        <w:rPr>
          <w:rFonts w:ascii="Arial" w:hAnsi="Arial"/>
          <w:sz w:val="22"/>
          <w:szCs w:val="22"/>
        </w:rPr>
        <w:t xml:space="preserve">This helped the stakeholders to take ownership of the PAR initiatives </w:t>
      </w:r>
      <w:r w:rsidR="0011779E">
        <w:rPr>
          <w:rFonts w:ascii="Arial" w:hAnsi="Arial"/>
          <w:sz w:val="22"/>
          <w:szCs w:val="22"/>
        </w:rPr>
        <w:t xml:space="preserve">and </w:t>
      </w:r>
      <w:r w:rsidR="0096792B">
        <w:rPr>
          <w:rFonts w:ascii="Arial" w:hAnsi="Arial"/>
          <w:sz w:val="22"/>
          <w:szCs w:val="22"/>
        </w:rPr>
        <w:t xml:space="preserve">take responsibility for results. </w:t>
      </w:r>
      <w:r>
        <w:rPr>
          <w:rFonts w:ascii="Arial" w:hAnsi="Arial"/>
          <w:sz w:val="22"/>
          <w:szCs w:val="22"/>
        </w:rPr>
        <w:t xml:space="preserve">And, work was done with </w:t>
      </w:r>
      <w:r w:rsidR="00B11B14">
        <w:rPr>
          <w:rFonts w:ascii="Arial" w:hAnsi="Arial"/>
          <w:sz w:val="22"/>
          <w:szCs w:val="22"/>
        </w:rPr>
        <w:t xml:space="preserve">CSOs </w:t>
      </w:r>
      <w:r>
        <w:rPr>
          <w:rFonts w:ascii="Arial" w:hAnsi="Arial"/>
          <w:sz w:val="22"/>
          <w:szCs w:val="22"/>
        </w:rPr>
        <w:t>to develop their own results frameworks</w:t>
      </w:r>
      <w:r w:rsidR="0096792B">
        <w:rPr>
          <w:rFonts w:ascii="Arial" w:hAnsi="Arial"/>
          <w:sz w:val="22"/>
          <w:szCs w:val="22"/>
        </w:rPr>
        <w:t xml:space="preserve"> and risk registers</w:t>
      </w:r>
      <w:r>
        <w:rPr>
          <w:rFonts w:ascii="Arial" w:hAnsi="Arial"/>
          <w:sz w:val="22"/>
          <w:szCs w:val="22"/>
        </w:rPr>
        <w:t xml:space="preserve"> that were submitted as part of the CSO grant</w:t>
      </w:r>
      <w:r w:rsidR="006539C8">
        <w:rPr>
          <w:rFonts w:ascii="Arial" w:hAnsi="Arial"/>
          <w:sz w:val="22"/>
          <w:szCs w:val="22"/>
        </w:rPr>
        <w:t xml:space="preserve"> scheme. In addition to project-</w:t>
      </w:r>
      <w:r>
        <w:rPr>
          <w:rFonts w:ascii="Arial" w:hAnsi="Arial"/>
          <w:sz w:val="22"/>
          <w:szCs w:val="22"/>
        </w:rPr>
        <w:t xml:space="preserve">sponsored surveys of civil service </w:t>
      </w:r>
      <w:r w:rsidR="0096792B">
        <w:rPr>
          <w:rFonts w:ascii="Arial" w:hAnsi="Arial"/>
          <w:sz w:val="22"/>
          <w:szCs w:val="22"/>
        </w:rPr>
        <w:t xml:space="preserve">and public PAR </w:t>
      </w:r>
      <w:r>
        <w:rPr>
          <w:rFonts w:ascii="Arial" w:hAnsi="Arial"/>
          <w:sz w:val="22"/>
          <w:szCs w:val="22"/>
        </w:rPr>
        <w:t>perceptions, the project team c</w:t>
      </w:r>
      <w:r w:rsidR="00B11B14">
        <w:rPr>
          <w:rFonts w:ascii="Arial" w:hAnsi="Arial"/>
          <w:sz w:val="22"/>
          <w:szCs w:val="22"/>
        </w:rPr>
        <w:t xml:space="preserve">onducted </w:t>
      </w:r>
      <w:r w:rsidR="00550B30">
        <w:rPr>
          <w:rFonts w:ascii="Arial" w:hAnsi="Arial"/>
          <w:sz w:val="22"/>
          <w:szCs w:val="22"/>
        </w:rPr>
        <w:t>civil servant focus groups</w:t>
      </w:r>
      <w:r>
        <w:rPr>
          <w:rFonts w:ascii="Arial" w:hAnsi="Arial"/>
          <w:sz w:val="22"/>
          <w:szCs w:val="22"/>
        </w:rPr>
        <w:t xml:space="preserve"> on their knowledge</w:t>
      </w:r>
      <w:r w:rsidR="00B11B14">
        <w:rPr>
          <w:rFonts w:ascii="Arial" w:hAnsi="Arial"/>
          <w:sz w:val="22"/>
          <w:szCs w:val="22"/>
        </w:rPr>
        <w:t xml:space="preserve"> and perceptions of the performance appraisal system in their resp</w:t>
      </w:r>
      <w:r w:rsidR="00426134">
        <w:rPr>
          <w:rFonts w:ascii="Arial" w:hAnsi="Arial"/>
          <w:sz w:val="22"/>
          <w:szCs w:val="22"/>
        </w:rPr>
        <w:t>ective ministries (162 civil se</w:t>
      </w:r>
      <w:r w:rsidR="00B11B14">
        <w:rPr>
          <w:rFonts w:ascii="Arial" w:hAnsi="Arial"/>
          <w:sz w:val="22"/>
          <w:szCs w:val="22"/>
        </w:rPr>
        <w:t>rvants in 9 gove</w:t>
      </w:r>
      <w:r w:rsidR="00426134">
        <w:rPr>
          <w:rFonts w:ascii="Arial" w:hAnsi="Arial"/>
          <w:sz w:val="22"/>
          <w:szCs w:val="22"/>
        </w:rPr>
        <w:t>rnment agencies).</w:t>
      </w:r>
      <w:r>
        <w:rPr>
          <w:rFonts w:ascii="Arial" w:hAnsi="Arial"/>
          <w:sz w:val="22"/>
          <w:szCs w:val="22"/>
        </w:rPr>
        <w:t xml:space="preserve"> </w:t>
      </w:r>
      <w:r w:rsidR="00EA74B8">
        <w:rPr>
          <w:rFonts w:ascii="Arial" w:hAnsi="Arial"/>
          <w:sz w:val="22"/>
          <w:szCs w:val="22"/>
        </w:rPr>
        <w:t xml:space="preserve">In 2018, </w:t>
      </w:r>
      <w:r>
        <w:rPr>
          <w:rFonts w:ascii="Arial" w:hAnsi="Arial"/>
          <w:sz w:val="22"/>
          <w:szCs w:val="22"/>
        </w:rPr>
        <w:t xml:space="preserve">they </w:t>
      </w:r>
      <w:r w:rsidR="00EA74B8">
        <w:rPr>
          <w:rFonts w:ascii="Arial" w:hAnsi="Arial"/>
          <w:sz w:val="22"/>
          <w:szCs w:val="22"/>
        </w:rPr>
        <w:t xml:space="preserve">used “user journey mapping” to collect first hand information from civil servants on different topics including their perceptions and attitudes toward civil service reform and various elements of the reform. </w:t>
      </w:r>
      <w:r w:rsidR="0011779E">
        <w:rPr>
          <w:rFonts w:ascii="Arial" w:hAnsi="Arial"/>
          <w:sz w:val="22"/>
          <w:szCs w:val="22"/>
        </w:rPr>
        <w:t>The effort to adapt advisory services, training workshops and forums during the COVID-19 pandemic was a key challenge for the project. The activities were brought on-line with an emphasis on quality. Surveys and direct observation tools were used to help improve the delivery of project services. Satisfaction surveys were conducted at the end of each training and forum. The monitoring and evaluation framework became an important tool to adapt the project’s plan in response to changing needs and the various stak</w:t>
      </w:r>
      <w:r w:rsidR="00550B30">
        <w:rPr>
          <w:rFonts w:ascii="Arial" w:hAnsi="Arial"/>
          <w:sz w:val="22"/>
          <w:szCs w:val="22"/>
        </w:rPr>
        <w:t>eholders involved</w:t>
      </w:r>
      <w:r w:rsidR="0011779E">
        <w:rPr>
          <w:rFonts w:ascii="Arial" w:hAnsi="Arial"/>
          <w:sz w:val="22"/>
          <w:szCs w:val="22"/>
        </w:rPr>
        <w:t>. The result was two-fold: producing adequate monitoring and evaluation information as shown throughout this report and the data collection in the annexes, and helping to develop stakeholder monitoring and evaluation capacities.</w:t>
      </w:r>
    </w:p>
    <w:p w14:paraId="33BFA166" w14:textId="77777777" w:rsidR="00426134" w:rsidRDefault="00426134" w:rsidP="00F0563B">
      <w:pPr>
        <w:jc w:val="both"/>
        <w:rPr>
          <w:rFonts w:ascii="Arial" w:hAnsi="Arial"/>
          <w:sz w:val="22"/>
          <w:szCs w:val="22"/>
        </w:rPr>
      </w:pPr>
    </w:p>
    <w:p w14:paraId="58A10A13" w14:textId="442FEA2E" w:rsidR="00426134" w:rsidRDefault="000617CE" w:rsidP="00F0563B">
      <w:pPr>
        <w:jc w:val="both"/>
        <w:rPr>
          <w:rFonts w:ascii="Arial" w:hAnsi="Arial"/>
          <w:sz w:val="22"/>
          <w:szCs w:val="22"/>
        </w:rPr>
      </w:pPr>
      <w:r>
        <w:rPr>
          <w:rFonts w:ascii="Arial" w:hAnsi="Arial"/>
          <w:sz w:val="22"/>
          <w:szCs w:val="22"/>
        </w:rPr>
        <w:t xml:space="preserve">The project team’s collaboration and cooperation was a key element to help facilitate PAR progress, in general, and project progress, in particular. The project hosted or participated in donor coordination meetings. The participants included the major PAR development partners: </w:t>
      </w:r>
      <w:r w:rsidR="00426134">
        <w:rPr>
          <w:rFonts w:ascii="Arial" w:hAnsi="Arial"/>
          <w:sz w:val="22"/>
          <w:szCs w:val="22"/>
        </w:rPr>
        <w:t>Delegation of the European Union in Georgia, UK Embassy in Georgia, Swedis</w:t>
      </w:r>
      <w:r w:rsidR="00F84830">
        <w:rPr>
          <w:rFonts w:ascii="Arial" w:hAnsi="Arial"/>
          <w:sz w:val="22"/>
          <w:szCs w:val="22"/>
        </w:rPr>
        <w:t>h Embassy in Georgia and SIDA</w:t>
      </w:r>
      <w:r w:rsidR="008B555A">
        <w:rPr>
          <w:rFonts w:ascii="Arial" w:hAnsi="Arial"/>
          <w:sz w:val="22"/>
          <w:szCs w:val="22"/>
        </w:rPr>
        <w:t xml:space="preserve">, USAID </w:t>
      </w:r>
      <w:r w:rsidR="00426134">
        <w:rPr>
          <w:rFonts w:ascii="Arial" w:hAnsi="Arial"/>
          <w:sz w:val="22"/>
          <w:szCs w:val="22"/>
        </w:rPr>
        <w:t xml:space="preserve">along with </w:t>
      </w:r>
      <w:r>
        <w:rPr>
          <w:rFonts w:ascii="Arial" w:hAnsi="Arial"/>
          <w:sz w:val="22"/>
          <w:szCs w:val="22"/>
        </w:rPr>
        <w:t>the USAID-spons</w:t>
      </w:r>
      <w:r w:rsidR="00A770F6">
        <w:rPr>
          <w:rFonts w:ascii="Arial" w:hAnsi="Arial"/>
          <w:sz w:val="22"/>
          <w:szCs w:val="22"/>
        </w:rPr>
        <w:t>o</w:t>
      </w:r>
      <w:r w:rsidR="008B555A">
        <w:rPr>
          <w:rFonts w:ascii="Arial" w:hAnsi="Arial"/>
          <w:sz w:val="22"/>
          <w:szCs w:val="22"/>
        </w:rPr>
        <w:t xml:space="preserve">red </w:t>
      </w:r>
      <w:r w:rsidR="00426134">
        <w:rPr>
          <w:rFonts w:ascii="Arial" w:hAnsi="Arial"/>
          <w:sz w:val="22"/>
          <w:szCs w:val="22"/>
        </w:rPr>
        <w:t xml:space="preserve">GGI, GIZ, NATO Professional Development Program, </w:t>
      </w:r>
      <w:r w:rsidR="00A770F6">
        <w:rPr>
          <w:rFonts w:ascii="Arial" w:hAnsi="Arial"/>
          <w:sz w:val="22"/>
          <w:szCs w:val="22"/>
        </w:rPr>
        <w:t xml:space="preserve">and </w:t>
      </w:r>
      <w:r w:rsidR="00426134">
        <w:rPr>
          <w:rFonts w:ascii="Arial" w:hAnsi="Arial"/>
          <w:sz w:val="22"/>
          <w:szCs w:val="22"/>
        </w:rPr>
        <w:t>Swiss Cooperation Office in Georgia.</w:t>
      </w:r>
    </w:p>
    <w:p w14:paraId="03B3C321" w14:textId="77777777" w:rsidR="00373C92" w:rsidRDefault="00373C92" w:rsidP="00A770F6">
      <w:pPr>
        <w:jc w:val="both"/>
        <w:rPr>
          <w:rFonts w:ascii="Arial" w:hAnsi="Arial"/>
          <w:sz w:val="22"/>
          <w:szCs w:val="22"/>
        </w:rPr>
      </w:pPr>
    </w:p>
    <w:p w14:paraId="1F9AE48D" w14:textId="7D37C352" w:rsidR="006539C8" w:rsidRDefault="006539C8" w:rsidP="00A770F6">
      <w:pPr>
        <w:jc w:val="both"/>
        <w:rPr>
          <w:rFonts w:ascii="Arial" w:hAnsi="Arial"/>
          <w:sz w:val="22"/>
          <w:szCs w:val="22"/>
        </w:rPr>
      </w:pPr>
      <w:r>
        <w:rPr>
          <w:rFonts w:ascii="Arial" w:hAnsi="Arial"/>
          <w:sz w:val="22"/>
          <w:szCs w:val="22"/>
        </w:rPr>
        <w:t>The proje</w:t>
      </w:r>
      <w:r w:rsidR="00F84830">
        <w:rPr>
          <w:rFonts w:ascii="Arial" w:hAnsi="Arial"/>
          <w:sz w:val="22"/>
          <w:szCs w:val="22"/>
        </w:rPr>
        <w:t>ct team and</w:t>
      </w:r>
      <w:r>
        <w:rPr>
          <w:rFonts w:ascii="Arial" w:hAnsi="Arial"/>
          <w:sz w:val="22"/>
          <w:szCs w:val="22"/>
        </w:rPr>
        <w:t xml:space="preserve"> stakeholders benefitted from a project kick-off workshop and meetings with key stakeholders.  The meetings allowed the</w:t>
      </w:r>
      <w:r w:rsidR="00A770F6">
        <w:rPr>
          <w:rFonts w:ascii="Arial" w:hAnsi="Arial"/>
          <w:sz w:val="22"/>
          <w:szCs w:val="22"/>
        </w:rPr>
        <w:t xml:space="preserve"> review of project outputs during inception phase that was helpful to refine outputs especially given a changing environment </w:t>
      </w:r>
      <w:r>
        <w:rPr>
          <w:rFonts w:ascii="Arial" w:hAnsi="Arial"/>
          <w:sz w:val="22"/>
          <w:szCs w:val="22"/>
        </w:rPr>
        <w:t xml:space="preserve">since the project document was about a year old and there </w:t>
      </w:r>
      <w:r w:rsidR="008B555A">
        <w:rPr>
          <w:rFonts w:ascii="Arial" w:hAnsi="Arial"/>
          <w:sz w:val="22"/>
          <w:szCs w:val="22"/>
        </w:rPr>
        <w:t xml:space="preserve">were </w:t>
      </w:r>
      <w:r>
        <w:rPr>
          <w:rFonts w:ascii="Arial" w:hAnsi="Arial"/>
          <w:sz w:val="22"/>
          <w:szCs w:val="22"/>
        </w:rPr>
        <w:t>changes in government. The meetings also helped to formulate the 2017 work plan and budget.</w:t>
      </w:r>
    </w:p>
    <w:p w14:paraId="68A75465" w14:textId="77777777" w:rsidR="006539C8" w:rsidRDefault="006539C8" w:rsidP="00A770F6">
      <w:pPr>
        <w:jc w:val="both"/>
        <w:rPr>
          <w:rFonts w:ascii="Arial" w:hAnsi="Arial"/>
          <w:sz w:val="22"/>
          <w:szCs w:val="22"/>
        </w:rPr>
      </w:pPr>
    </w:p>
    <w:p w14:paraId="7DBC6031" w14:textId="1ADB14BD" w:rsidR="006539C8" w:rsidRDefault="00073E1E" w:rsidP="00A770F6">
      <w:pPr>
        <w:jc w:val="both"/>
        <w:rPr>
          <w:rFonts w:ascii="Arial" w:hAnsi="Arial"/>
          <w:sz w:val="22"/>
          <w:szCs w:val="22"/>
        </w:rPr>
      </w:pPr>
      <w:r>
        <w:rPr>
          <w:rFonts w:ascii="Arial" w:hAnsi="Arial"/>
          <w:sz w:val="22"/>
          <w:szCs w:val="22"/>
        </w:rPr>
        <w:t>Implemen</w:t>
      </w:r>
      <w:r w:rsidR="006539C8">
        <w:rPr>
          <w:rFonts w:ascii="Arial" w:hAnsi="Arial"/>
          <w:sz w:val="22"/>
          <w:szCs w:val="22"/>
        </w:rPr>
        <w:t>ta</w:t>
      </w:r>
      <w:r>
        <w:rPr>
          <w:rFonts w:ascii="Arial" w:hAnsi="Arial"/>
          <w:sz w:val="22"/>
          <w:szCs w:val="22"/>
        </w:rPr>
        <w:t>t</w:t>
      </w:r>
      <w:r w:rsidR="00F84830">
        <w:rPr>
          <w:rFonts w:ascii="Arial" w:hAnsi="Arial"/>
          <w:sz w:val="22"/>
          <w:szCs w:val="22"/>
        </w:rPr>
        <w:t>ion continued at a steady p</w:t>
      </w:r>
      <w:r w:rsidR="006539C8">
        <w:rPr>
          <w:rFonts w:ascii="Arial" w:hAnsi="Arial"/>
          <w:sz w:val="22"/>
          <w:szCs w:val="22"/>
        </w:rPr>
        <w:t xml:space="preserve">ace with the team adjusting attention and resources between the three </w:t>
      </w:r>
      <w:r>
        <w:rPr>
          <w:rFonts w:ascii="Arial" w:hAnsi="Arial"/>
          <w:sz w:val="22"/>
          <w:szCs w:val="22"/>
        </w:rPr>
        <w:t>outcome areas as the respective outputs were developed and/or implemented and as stakeholders had their own time, interest and capacities to implement. The project was helpful in instigating or supporting activity, as needed, and in full cooperation with the stakeholders.</w:t>
      </w:r>
    </w:p>
    <w:p w14:paraId="679C3FAE" w14:textId="77777777" w:rsidR="00073E1E" w:rsidRDefault="00073E1E" w:rsidP="00A770F6">
      <w:pPr>
        <w:jc w:val="both"/>
        <w:rPr>
          <w:rFonts w:ascii="Arial" w:hAnsi="Arial"/>
          <w:sz w:val="22"/>
          <w:szCs w:val="22"/>
        </w:rPr>
      </w:pPr>
    </w:p>
    <w:p w14:paraId="754F0BDB" w14:textId="4808FF81" w:rsidR="00073E1E" w:rsidRDefault="00073E1E" w:rsidP="00A770F6">
      <w:pPr>
        <w:jc w:val="both"/>
        <w:rPr>
          <w:rFonts w:ascii="Arial" w:hAnsi="Arial"/>
          <w:sz w:val="22"/>
          <w:szCs w:val="22"/>
        </w:rPr>
      </w:pPr>
      <w:r>
        <w:rPr>
          <w:rFonts w:ascii="Arial" w:hAnsi="Arial"/>
          <w:sz w:val="22"/>
          <w:szCs w:val="22"/>
        </w:rPr>
        <w:t xml:space="preserve">The civil society and research grant schemes and the sub-projects proved helpful to develop capacities for and attention to PAR topics and issues. It appears that each cycle of such initiatives became “smarter” and more targeted. The activities in 2020 into 2021 helped to respond to relevant issues and activities resulting from the COVID-19 situation. Again, it appears that the project’s flexibility, allowed by the project sponsors and exercised by the project team, enabled the project team to pivot to address these needs. Also, the pandemic response brought focus to public service delivery. The attention to this outcome area actually was a benefit since it applied much of what the project was </w:t>
      </w:r>
      <w:r w:rsidR="006D6510">
        <w:rPr>
          <w:rFonts w:ascii="Arial" w:hAnsi="Arial"/>
          <w:sz w:val="22"/>
          <w:szCs w:val="22"/>
        </w:rPr>
        <w:t xml:space="preserve">trying </w:t>
      </w:r>
      <w:r>
        <w:rPr>
          <w:rFonts w:ascii="Arial" w:hAnsi="Arial"/>
          <w:sz w:val="22"/>
          <w:szCs w:val="22"/>
        </w:rPr>
        <w:t xml:space="preserve">to accomplish to develop and apply service delivery </w:t>
      </w:r>
      <w:r w:rsidR="006D6510">
        <w:rPr>
          <w:rFonts w:ascii="Arial" w:hAnsi="Arial"/>
          <w:sz w:val="22"/>
          <w:szCs w:val="22"/>
        </w:rPr>
        <w:t>standards and improve public services.</w:t>
      </w:r>
    </w:p>
    <w:p w14:paraId="4292CFEF" w14:textId="77777777" w:rsidR="006539C8" w:rsidRDefault="006539C8" w:rsidP="00A770F6">
      <w:pPr>
        <w:jc w:val="both"/>
        <w:rPr>
          <w:rFonts w:ascii="Arial" w:hAnsi="Arial"/>
          <w:sz w:val="22"/>
          <w:szCs w:val="22"/>
        </w:rPr>
      </w:pPr>
    </w:p>
    <w:p w14:paraId="788FE38D" w14:textId="68990319" w:rsidR="00A770F6" w:rsidRDefault="006D6510" w:rsidP="00A770F6">
      <w:pPr>
        <w:jc w:val="both"/>
        <w:rPr>
          <w:rFonts w:ascii="Arial" w:hAnsi="Arial"/>
          <w:sz w:val="22"/>
          <w:szCs w:val="22"/>
        </w:rPr>
      </w:pPr>
      <w:r>
        <w:rPr>
          <w:rFonts w:ascii="Arial" w:hAnsi="Arial"/>
          <w:sz w:val="22"/>
          <w:szCs w:val="22"/>
        </w:rPr>
        <w:lastRenderedPageBreak/>
        <w:t xml:space="preserve">Communications efforts were documented in the project reporting. There was an active effort that appears to have helped raise the awareness of PAR in Georgia. Some of the communications were done with the UK government and some with UNDP. The communications outlets included radio, television, print, Internet and the various opinion surveys. </w:t>
      </w:r>
      <w:r w:rsidR="00F84830">
        <w:rPr>
          <w:rFonts w:ascii="Arial" w:hAnsi="Arial"/>
          <w:sz w:val="22"/>
          <w:szCs w:val="22"/>
        </w:rPr>
        <w:t>A list of project-sponsored conferences and public events is provided as Annex J.</w:t>
      </w:r>
      <w:r w:rsidR="008B555A">
        <w:rPr>
          <w:rFonts w:ascii="Arial" w:hAnsi="Arial"/>
          <w:sz w:val="22"/>
          <w:szCs w:val="22"/>
        </w:rPr>
        <w:t xml:space="preserve"> A list of guides, publications and videos is provided as part of Annex K.</w:t>
      </w:r>
    </w:p>
    <w:p w14:paraId="1D561554" w14:textId="77777777" w:rsidR="006D6510" w:rsidRDefault="006D6510" w:rsidP="00A770F6">
      <w:pPr>
        <w:jc w:val="both"/>
        <w:rPr>
          <w:rFonts w:ascii="Arial" w:hAnsi="Arial"/>
          <w:sz w:val="22"/>
          <w:szCs w:val="22"/>
        </w:rPr>
      </w:pPr>
    </w:p>
    <w:p w14:paraId="047F1873" w14:textId="465BB302" w:rsidR="0012381A" w:rsidRDefault="006D6510" w:rsidP="00A770F6">
      <w:pPr>
        <w:jc w:val="both"/>
        <w:rPr>
          <w:rFonts w:ascii="Arial" w:hAnsi="Arial"/>
          <w:sz w:val="22"/>
          <w:szCs w:val="22"/>
        </w:rPr>
      </w:pPr>
      <w:r>
        <w:rPr>
          <w:rFonts w:ascii="Arial" w:hAnsi="Arial"/>
          <w:sz w:val="22"/>
          <w:szCs w:val="22"/>
        </w:rPr>
        <w:t>A review of project expenditure shows that expenditure</w:t>
      </w:r>
      <w:r w:rsidR="0012381A">
        <w:rPr>
          <w:rFonts w:ascii="Arial" w:hAnsi="Arial"/>
          <w:sz w:val="22"/>
          <w:szCs w:val="22"/>
        </w:rPr>
        <w:t xml:space="preserve"> has followed project implementation and the executi</w:t>
      </w:r>
      <w:r w:rsidR="00D92A11">
        <w:rPr>
          <w:rFonts w:ascii="Arial" w:hAnsi="Arial"/>
          <w:sz w:val="22"/>
          <w:szCs w:val="22"/>
        </w:rPr>
        <w:t>o</w:t>
      </w:r>
      <w:r w:rsidR="0012381A">
        <w:rPr>
          <w:rFonts w:ascii="Arial" w:hAnsi="Arial"/>
          <w:sz w:val="22"/>
          <w:szCs w:val="22"/>
        </w:rPr>
        <w:t>n of activities.</w:t>
      </w:r>
      <w:r w:rsidR="00D92A11">
        <w:rPr>
          <w:rFonts w:ascii="Arial" w:hAnsi="Arial"/>
          <w:sz w:val="22"/>
          <w:szCs w:val="22"/>
        </w:rPr>
        <w:t xml:space="preserve"> As of 30 December 2020, about 95% of project funds were expended. The project was extended for a 3-month period and with that extension, the project budget was increased </w:t>
      </w:r>
      <w:r w:rsidR="00BB47F2">
        <w:rPr>
          <w:rFonts w:ascii="Arial" w:hAnsi="Arial"/>
          <w:sz w:val="22"/>
          <w:szCs w:val="22"/>
        </w:rPr>
        <w:t xml:space="preserve">by </w:t>
      </w:r>
      <w:r w:rsidR="00D92A11" w:rsidRPr="003D2082">
        <w:rPr>
          <w:rFonts w:ascii="Arial" w:hAnsi="Arial"/>
          <w:sz w:val="22"/>
          <w:szCs w:val="22"/>
        </w:rPr>
        <w:t>about $</w:t>
      </w:r>
      <w:r w:rsidR="003D2082" w:rsidRPr="003D2082">
        <w:rPr>
          <w:rFonts w:ascii="Arial" w:hAnsi="Arial"/>
          <w:sz w:val="22"/>
          <w:szCs w:val="22"/>
        </w:rPr>
        <w:t>307,188 (GBP 236,000</w:t>
      </w:r>
      <w:r w:rsidR="003D2082">
        <w:rPr>
          <w:rFonts w:ascii="Arial" w:hAnsi="Arial"/>
          <w:sz w:val="22"/>
          <w:szCs w:val="22"/>
        </w:rPr>
        <w:t>)</w:t>
      </w:r>
      <w:r w:rsidR="00D92A11" w:rsidRPr="003D2082">
        <w:rPr>
          <w:rFonts w:ascii="Arial" w:hAnsi="Arial"/>
          <w:sz w:val="22"/>
          <w:szCs w:val="22"/>
        </w:rPr>
        <w:t xml:space="preserve"> to</w:t>
      </w:r>
      <w:r w:rsidR="00D92A11">
        <w:rPr>
          <w:rFonts w:ascii="Arial" w:hAnsi="Arial"/>
          <w:sz w:val="22"/>
          <w:szCs w:val="22"/>
        </w:rPr>
        <w:t xml:space="preserve"> bring the total budget to $6,085,840. </w:t>
      </w:r>
      <w:r w:rsidR="003D5173">
        <w:rPr>
          <w:rFonts w:ascii="Arial" w:hAnsi="Arial"/>
          <w:sz w:val="22"/>
          <w:szCs w:val="22"/>
        </w:rPr>
        <w:t>Annex</w:t>
      </w:r>
      <w:r w:rsidR="0061464C" w:rsidRPr="00DF6B5C">
        <w:rPr>
          <w:rFonts w:ascii="Arial" w:hAnsi="Arial"/>
          <w:sz w:val="22"/>
          <w:szCs w:val="22"/>
        </w:rPr>
        <w:t xml:space="preserve"> </w:t>
      </w:r>
      <w:r w:rsidR="00DF6B5C" w:rsidRPr="00DF6B5C">
        <w:rPr>
          <w:rFonts w:ascii="Arial" w:hAnsi="Arial"/>
          <w:sz w:val="22"/>
          <w:szCs w:val="22"/>
        </w:rPr>
        <w:t>M p</w:t>
      </w:r>
      <w:r w:rsidR="0061464C" w:rsidRPr="00DF6B5C">
        <w:rPr>
          <w:rFonts w:ascii="Arial" w:hAnsi="Arial"/>
          <w:sz w:val="22"/>
          <w:szCs w:val="22"/>
        </w:rPr>
        <w:t>rovides a</w:t>
      </w:r>
      <w:r w:rsidR="0061464C" w:rsidRPr="0032114C">
        <w:rPr>
          <w:rFonts w:ascii="Arial" w:hAnsi="Arial"/>
          <w:sz w:val="22"/>
          <w:szCs w:val="22"/>
        </w:rPr>
        <w:t xml:space="preserve"> complete project budget status as of </w:t>
      </w:r>
      <w:r w:rsidR="0032114C" w:rsidRPr="0032114C">
        <w:rPr>
          <w:rFonts w:ascii="Arial" w:hAnsi="Arial"/>
          <w:sz w:val="22"/>
          <w:szCs w:val="22"/>
        </w:rPr>
        <w:t>31 December 2020.</w:t>
      </w:r>
    </w:p>
    <w:p w14:paraId="1A6DA3FD" w14:textId="77777777" w:rsidR="00F0563B" w:rsidRDefault="00F0563B" w:rsidP="00F0563B">
      <w:pPr>
        <w:jc w:val="both"/>
        <w:rPr>
          <w:rFonts w:ascii="Arial" w:hAnsi="Arial"/>
          <w:sz w:val="22"/>
          <w:szCs w:val="22"/>
        </w:rPr>
      </w:pPr>
    </w:p>
    <w:p w14:paraId="7B38E790" w14:textId="7CEE0DEC" w:rsidR="00F0563B" w:rsidRDefault="00C23D33" w:rsidP="00F0563B">
      <w:pPr>
        <w:pStyle w:val="ListParagraph"/>
        <w:ind w:left="0"/>
        <w:jc w:val="center"/>
        <w:rPr>
          <w:rFonts w:ascii="Arial" w:hAnsi="Arial"/>
          <w:b/>
          <w:sz w:val="22"/>
          <w:szCs w:val="22"/>
        </w:rPr>
      </w:pPr>
      <w:r>
        <w:rPr>
          <w:rFonts w:ascii="Arial" w:hAnsi="Arial"/>
          <w:b/>
          <w:sz w:val="22"/>
          <w:szCs w:val="22"/>
        </w:rPr>
        <w:t>Table 4</w:t>
      </w:r>
      <w:r w:rsidR="00F0563B">
        <w:rPr>
          <w:rFonts w:ascii="Arial" w:hAnsi="Arial"/>
          <w:b/>
          <w:sz w:val="22"/>
          <w:szCs w:val="22"/>
        </w:rPr>
        <w:t xml:space="preserve">: </w:t>
      </w:r>
      <w:r w:rsidR="00F0563B" w:rsidRPr="009F3CB2">
        <w:rPr>
          <w:rFonts w:ascii="Arial" w:hAnsi="Arial"/>
          <w:b/>
          <w:sz w:val="22"/>
          <w:szCs w:val="22"/>
        </w:rPr>
        <w:t xml:space="preserve">Project </w:t>
      </w:r>
      <w:r w:rsidR="00F0563B">
        <w:rPr>
          <w:rFonts w:ascii="Arial" w:hAnsi="Arial"/>
          <w:b/>
          <w:sz w:val="22"/>
          <w:szCs w:val="22"/>
        </w:rPr>
        <w:t>Financial Expenditu</w:t>
      </w:r>
      <w:r w:rsidR="0012381A">
        <w:rPr>
          <w:rFonts w:ascii="Arial" w:hAnsi="Arial"/>
          <w:b/>
          <w:sz w:val="22"/>
          <w:szCs w:val="22"/>
        </w:rPr>
        <w:t>re Status as of 31 December 2020</w:t>
      </w:r>
    </w:p>
    <w:p w14:paraId="1CB7D1A4" w14:textId="3930A7C3" w:rsidR="0012381A" w:rsidRPr="0012381A" w:rsidRDefault="0012381A" w:rsidP="00F0563B">
      <w:pPr>
        <w:pStyle w:val="ListParagraph"/>
        <w:ind w:left="0"/>
        <w:jc w:val="center"/>
        <w:rPr>
          <w:rFonts w:ascii="Arial" w:hAnsi="Arial"/>
          <w:sz w:val="22"/>
          <w:szCs w:val="22"/>
        </w:rPr>
      </w:pPr>
      <w:r w:rsidRPr="0012381A">
        <w:rPr>
          <w:rFonts w:ascii="Arial" w:hAnsi="Arial"/>
          <w:sz w:val="22"/>
          <w:szCs w:val="22"/>
        </w:rPr>
        <w:t>Note: $s and %s figures rounded</w:t>
      </w:r>
    </w:p>
    <w:p w14:paraId="51188A87" w14:textId="77777777" w:rsidR="00F0563B" w:rsidRDefault="00F0563B" w:rsidP="00F0563B">
      <w:pPr>
        <w:jc w:val="both"/>
        <w:rPr>
          <w:rFonts w:ascii="Arial" w:hAnsi="Arial"/>
          <w:sz w:val="22"/>
          <w:szCs w:val="22"/>
        </w:rPr>
      </w:pPr>
    </w:p>
    <w:tbl>
      <w:tblPr>
        <w:tblW w:w="9245" w:type="dxa"/>
        <w:jc w:val="center"/>
        <w:tblLook w:val="04A0" w:firstRow="1" w:lastRow="0" w:firstColumn="1" w:lastColumn="0" w:noHBand="0" w:noVBand="1"/>
      </w:tblPr>
      <w:tblGrid>
        <w:gridCol w:w="5390"/>
        <w:gridCol w:w="1444"/>
        <w:gridCol w:w="1172"/>
        <w:gridCol w:w="1239"/>
      </w:tblGrid>
      <w:tr w:rsidR="00F0563B" w:rsidRPr="00373C92" w14:paraId="3E610C31" w14:textId="77777777" w:rsidTr="00F0563B">
        <w:trPr>
          <w:trHeight w:val="400"/>
          <w:tblHeader/>
          <w:jc w:val="center"/>
        </w:trPr>
        <w:tc>
          <w:tcPr>
            <w:tcW w:w="5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8749C4" w14:textId="77777777" w:rsidR="00F0563B" w:rsidRPr="00373C92" w:rsidRDefault="00F0563B" w:rsidP="00F0563B">
            <w:pPr>
              <w:jc w:val="center"/>
              <w:rPr>
                <w:rFonts w:ascii="Arial" w:eastAsia="Times New Roman" w:hAnsi="Arial" w:cs="Arial"/>
                <w:b/>
                <w:bCs/>
                <w:color w:val="000000"/>
                <w:sz w:val="18"/>
                <w:szCs w:val="18"/>
              </w:rPr>
            </w:pPr>
            <w:r w:rsidRPr="00373C92">
              <w:rPr>
                <w:rFonts w:ascii="Arial" w:eastAsia="Times New Roman" w:hAnsi="Arial" w:cs="Arial"/>
                <w:b/>
                <w:bCs/>
                <w:color w:val="000000"/>
                <w:sz w:val="18"/>
                <w:szCs w:val="18"/>
              </w:rPr>
              <w:t> </w:t>
            </w:r>
          </w:p>
        </w:tc>
        <w:tc>
          <w:tcPr>
            <w:tcW w:w="1444" w:type="dxa"/>
            <w:tcBorders>
              <w:top w:val="single" w:sz="8" w:space="0" w:color="000000"/>
              <w:left w:val="nil"/>
              <w:bottom w:val="nil"/>
              <w:right w:val="single" w:sz="8" w:space="0" w:color="000000"/>
            </w:tcBorders>
            <w:shd w:val="clear" w:color="000000" w:fill="8DB3E2"/>
            <w:vAlign w:val="center"/>
            <w:hideMark/>
          </w:tcPr>
          <w:p w14:paraId="2225AD2F" w14:textId="3079A3EA" w:rsidR="00F0563B" w:rsidRPr="00373C92" w:rsidRDefault="00C03B27" w:rsidP="00F0563B">
            <w:pPr>
              <w:jc w:val="center"/>
              <w:rPr>
                <w:rFonts w:ascii="Arial" w:eastAsia="Times New Roman" w:hAnsi="Arial" w:cs="Arial"/>
                <w:b/>
                <w:bCs/>
                <w:color w:val="000000"/>
                <w:sz w:val="18"/>
                <w:szCs w:val="18"/>
              </w:rPr>
            </w:pPr>
            <w:r w:rsidRPr="00373C92">
              <w:rPr>
                <w:rFonts w:ascii="Arial" w:eastAsia="Times New Roman" w:hAnsi="Arial" w:cs="Arial"/>
                <w:b/>
                <w:bCs/>
                <w:color w:val="000000"/>
                <w:sz w:val="18"/>
                <w:szCs w:val="18"/>
              </w:rPr>
              <w:t>Total Planned</w:t>
            </w:r>
          </w:p>
        </w:tc>
        <w:tc>
          <w:tcPr>
            <w:tcW w:w="1172" w:type="dxa"/>
            <w:vMerge w:val="restart"/>
            <w:tcBorders>
              <w:top w:val="single" w:sz="8" w:space="0" w:color="000000"/>
              <w:left w:val="single" w:sz="8" w:space="0" w:color="000000"/>
              <w:bottom w:val="single" w:sz="8" w:space="0" w:color="000000"/>
              <w:right w:val="single" w:sz="8" w:space="0" w:color="000000"/>
            </w:tcBorders>
            <w:shd w:val="clear" w:color="000000" w:fill="8DB3E2"/>
            <w:vAlign w:val="center"/>
            <w:hideMark/>
          </w:tcPr>
          <w:p w14:paraId="1A71BAC5" w14:textId="77777777" w:rsidR="00F0563B" w:rsidRPr="00373C92" w:rsidRDefault="00F0563B" w:rsidP="00F0563B">
            <w:pPr>
              <w:jc w:val="center"/>
              <w:rPr>
                <w:rFonts w:ascii="Arial" w:eastAsia="Times New Roman" w:hAnsi="Arial" w:cs="Arial"/>
                <w:b/>
                <w:bCs/>
                <w:color w:val="000000"/>
                <w:sz w:val="18"/>
                <w:szCs w:val="18"/>
              </w:rPr>
            </w:pPr>
            <w:r w:rsidRPr="00373C92">
              <w:rPr>
                <w:rFonts w:ascii="Arial" w:eastAsia="Times New Roman" w:hAnsi="Arial" w:cs="Arial"/>
                <w:b/>
                <w:bCs/>
                <w:color w:val="000000"/>
                <w:sz w:val="18"/>
                <w:szCs w:val="18"/>
              </w:rPr>
              <w:t>Total Expended</w:t>
            </w:r>
          </w:p>
        </w:tc>
        <w:tc>
          <w:tcPr>
            <w:tcW w:w="1239" w:type="dxa"/>
            <w:vMerge w:val="restart"/>
            <w:tcBorders>
              <w:top w:val="single" w:sz="8" w:space="0" w:color="000000"/>
              <w:left w:val="single" w:sz="8" w:space="0" w:color="000000"/>
              <w:bottom w:val="single" w:sz="8" w:space="0" w:color="000000"/>
              <w:right w:val="single" w:sz="8" w:space="0" w:color="000000"/>
            </w:tcBorders>
            <w:shd w:val="clear" w:color="000000" w:fill="8DB3E2"/>
            <w:vAlign w:val="center"/>
            <w:hideMark/>
          </w:tcPr>
          <w:p w14:paraId="1816D11D" w14:textId="0482FBC2" w:rsidR="00F0563B" w:rsidRPr="00373C92" w:rsidRDefault="00C03B27" w:rsidP="00F0563B">
            <w:pPr>
              <w:jc w:val="center"/>
              <w:rPr>
                <w:rFonts w:ascii="Arial" w:eastAsia="Times New Roman" w:hAnsi="Arial" w:cs="Arial"/>
                <w:b/>
                <w:bCs/>
                <w:color w:val="000000"/>
                <w:sz w:val="18"/>
                <w:szCs w:val="18"/>
              </w:rPr>
            </w:pPr>
            <w:r w:rsidRPr="00373C92">
              <w:rPr>
                <w:rFonts w:ascii="Arial" w:eastAsia="Times New Roman" w:hAnsi="Arial" w:cs="Arial"/>
                <w:b/>
                <w:bCs/>
                <w:color w:val="000000"/>
                <w:sz w:val="18"/>
                <w:szCs w:val="18"/>
              </w:rPr>
              <w:t>Execution Rate</w:t>
            </w:r>
          </w:p>
        </w:tc>
      </w:tr>
      <w:tr w:rsidR="00F0563B" w:rsidRPr="00373C92" w14:paraId="3D4D98E8" w14:textId="77777777" w:rsidTr="00C03B27">
        <w:trPr>
          <w:trHeight w:val="53"/>
          <w:tblHeader/>
          <w:jc w:val="center"/>
        </w:trPr>
        <w:tc>
          <w:tcPr>
            <w:tcW w:w="5390" w:type="dxa"/>
            <w:vMerge/>
            <w:tcBorders>
              <w:top w:val="single" w:sz="8" w:space="0" w:color="000000"/>
              <w:left w:val="single" w:sz="8" w:space="0" w:color="000000"/>
              <w:bottom w:val="single" w:sz="8" w:space="0" w:color="000000"/>
              <w:right w:val="single" w:sz="8" w:space="0" w:color="000000"/>
            </w:tcBorders>
            <w:vAlign w:val="center"/>
            <w:hideMark/>
          </w:tcPr>
          <w:p w14:paraId="2C1D98A8" w14:textId="77777777" w:rsidR="00F0563B" w:rsidRPr="00373C92" w:rsidRDefault="00F0563B" w:rsidP="00F0563B">
            <w:pPr>
              <w:rPr>
                <w:rFonts w:ascii="Arial" w:eastAsia="Times New Roman" w:hAnsi="Arial" w:cs="Arial"/>
                <w:b/>
                <w:bCs/>
                <w:color w:val="000000"/>
                <w:sz w:val="18"/>
                <w:szCs w:val="18"/>
              </w:rPr>
            </w:pPr>
          </w:p>
        </w:tc>
        <w:tc>
          <w:tcPr>
            <w:tcW w:w="1444" w:type="dxa"/>
            <w:tcBorders>
              <w:top w:val="nil"/>
              <w:left w:val="nil"/>
              <w:bottom w:val="single" w:sz="8" w:space="0" w:color="000000"/>
              <w:right w:val="single" w:sz="8" w:space="0" w:color="000000"/>
            </w:tcBorders>
            <w:shd w:val="clear" w:color="000000" w:fill="8DB3E2"/>
            <w:vAlign w:val="center"/>
            <w:hideMark/>
          </w:tcPr>
          <w:p w14:paraId="06762B3E" w14:textId="2449DB57" w:rsidR="00F0563B" w:rsidRPr="00373C92" w:rsidRDefault="00F0563B" w:rsidP="00F0563B">
            <w:pPr>
              <w:jc w:val="center"/>
              <w:rPr>
                <w:rFonts w:ascii="Arial" w:eastAsia="Times New Roman" w:hAnsi="Arial" w:cs="Arial"/>
                <w:b/>
                <w:bCs/>
                <w:color w:val="000000"/>
                <w:sz w:val="18"/>
                <w:szCs w:val="18"/>
              </w:rPr>
            </w:pPr>
          </w:p>
        </w:tc>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E65A490" w14:textId="77777777" w:rsidR="00F0563B" w:rsidRPr="00373C92" w:rsidRDefault="00F0563B" w:rsidP="00F0563B">
            <w:pPr>
              <w:rPr>
                <w:rFonts w:ascii="Arial" w:eastAsia="Times New Roman" w:hAnsi="Arial" w:cs="Arial"/>
                <w:b/>
                <w:bCs/>
                <w:color w:val="000000"/>
                <w:sz w:val="18"/>
                <w:szCs w:val="18"/>
              </w:rPr>
            </w:pPr>
          </w:p>
        </w:tc>
        <w:tc>
          <w:tcPr>
            <w:tcW w:w="1239" w:type="dxa"/>
            <w:vMerge/>
            <w:tcBorders>
              <w:top w:val="single" w:sz="8" w:space="0" w:color="000000"/>
              <w:left w:val="single" w:sz="8" w:space="0" w:color="000000"/>
              <w:bottom w:val="single" w:sz="8" w:space="0" w:color="000000"/>
              <w:right w:val="single" w:sz="8" w:space="0" w:color="000000"/>
            </w:tcBorders>
            <w:vAlign w:val="center"/>
            <w:hideMark/>
          </w:tcPr>
          <w:p w14:paraId="1C672D9D" w14:textId="77777777" w:rsidR="00F0563B" w:rsidRPr="00373C92" w:rsidRDefault="00F0563B" w:rsidP="00F0563B">
            <w:pPr>
              <w:rPr>
                <w:rFonts w:ascii="Arial" w:eastAsia="Times New Roman" w:hAnsi="Arial" w:cs="Arial"/>
                <w:b/>
                <w:bCs/>
                <w:color w:val="000000"/>
                <w:sz w:val="18"/>
                <w:szCs w:val="18"/>
              </w:rPr>
            </w:pPr>
          </w:p>
        </w:tc>
      </w:tr>
      <w:tr w:rsidR="00F0563B" w:rsidRPr="00373C92" w14:paraId="794E8A8B" w14:textId="77777777" w:rsidTr="00F0563B">
        <w:trPr>
          <w:trHeight w:val="820"/>
          <w:jc w:val="center"/>
        </w:trPr>
        <w:tc>
          <w:tcPr>
            <w:tcW w:w="5390" w:type="dxa"/>
            <w:tcBorders>
              <w:top w:val="nil"/>
              <w:left w:val="single" w:sz="8" w:space="0" w:color="000000"/>
              <w:bottom w:val="single" w:sz="8" w:space="0" w:color="000000"/>
              <w:right w:val="single" w:sz="8" w:space="0" w:color="000000"/>
            </w:tcBorders>
            <w:shd w:val="clear" w:color="auto" w:fill="auto"/>
            <w:vAlign w:val="center"/>
            <w:hideMark/>
          </w:tcPr>
          <w:p w14:paraId="64EFD0F3" w14:textId="28F6E422" w:rsidR="00C03B27" w:rsidRPr="00373C92" w:rsidRDefault="00F0563B" w:rsidP="006F4333">
            <w:pPr>
              <w:rPr>
                <w:rFonts w:ascii="Arial" w:eastAsia="Times New Roman" w:hAnsi="Arial" w:cs="Arial"/>
                <w:color w:val="000000"/>
                <w:sz w:val="18"/>
                <w:szCs w:val="18"/>
              </w:rPr>
            </w:pPr>
            <w:r w:rsidRPr="00373C92">
              <w:rPr>
                <w:rFonts w:ascii="Arial" w:eastAsia="Times New Roman" w:hAnsi="Arial" w:cs="Arial"/>
                <w:color w:val="000000"/>
                <w:sz w:val="18"/>
                <w:szCs w:val="18"/>
              </w:rPr>
              <w:t xml:space="preserve">Outcome 1: </w:t>
            </w:r>
            <w:r w:rsidR="006F4333" w:rsidRPr="00373C92">
              <w:rPr>
                <w:rFonts w:ascii="Arial" w:eastAsia="Times New Roman" w:hAnsi="Arial" w:cs="Arial"/>
                <w:color w:val="000000"/>
                <w:sz w:val="18"/>
                <w:szCs w:val="18"/>
              </w:rPr>
              <w:t>Government of Georgia ensures enhanced participatory policy making and coordination between its institutions in PAR implementation</w:t>
            </w:r>
          </w:p>
        </w:tc>
        <w:tc>
          <w:tcPr>
            <w:tcW w:w="1444" w:type="dxa"/>
            <w:tcBorders>
              <w:top w:val="nil"/>
              <w:left w:val="nil"/>
              <w:bottom w:val="single" w:sz="8" w:space="0" w:color="000000"/>
              <w:right w:val="single" w:sz="8" w:space="0" w:color="000000"/>
            </w:tcBorders>
            <w:shd w:val="clear" w:color="auto" w:fill="auto"/>
            <w:vAlign w:val="center"/>
            <w:hideMark/>
          </w:tcPr>
          <w:p w14:paraId="5F2FDDDB" w14:textId="2E29D8AE"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$703,200</w:t>
            </w:r>
          </w:p>
        </w:tc>
        <w:tc>
          <w:tcPr>
            <w:tcW w:w="1172" w:type="dxa"/>
            <w:tcBorders>
              <w:top w:val="nil"/>
              <w:left w:val="nil"/>
              <w:bottom w:val="single" w:sz="8" w:space="0" w:color="000000"/>
              <w:right w:val="single" w:sz="8" w:space="0" w:color="000000"/>
            </w:tcBorders>
            <w:shd w:val="clear" w:color="auto" w:fill="auto"/>
            <w:vAlign w:val="center"/>
            <w:hideMark/>
          </w:tcPr>
          <w:p w14:paraId="4A5F03C2" w14:textId="06582794"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797,911</w:t>
            </w:r>
          </w:p>
        </w:tc>
        <w:tc>
          <w:tcPr>
            <w:tcW w:w="1239" w:type="dxa"/>
            <w:tcBorders>
              <w:top w:val="nil"/>
              <w:left w:val="nil"/>
              <w:bottom w:val="single" w:sz="8" w:space="0" w:color="000000"/>
              <w:right w:val="single" w:sz="8" w:space="0" w:color="000000"/>
            </w:tcBorders>
            <w:shd w:val="clear" w:color="auto" w:fill="auto"/>
            <w:vAlign w:val="center"/>
            <w:hideMark/>
          </w:tcPr>
          <w:p w14:paraId="3A200437" w14:textId="4B40CE2E"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113%</w:t>
            </w:r>
          </w:p>
        </w:tc>
      </w:tr>
      <w:tr w:rsidR="00F0563B" w:rsidRPr="00373C92" w14:paraId="68FF7D49" w14:textId="77777777" w:rsidTr="00F0563B">
        <w:trPr>
          <w:trHeight w:val="820"/>
          <w:jc w:val="center"/>
        </w:trPr>
        <w:tc>
          <w:tcPr>
            <w:tcW w:w="5390" w:type="dxa"/>
            <w:tcBorders>
              <w:top w:val="nil"/>
              <w:left w:val="single" w:sz="8" w:space="0" w:color="000000"/>
              <w:bottom w:val="single" w:sz="8" w:space="0" w:color="000000"/>
              <w:right w:val="single" w:sz="8" w:space="0" w:color="000000"/>
            </w:tcBorders>
            <w:shd w:val="clear" w:color="auto" w:fill="auto"/>
            <w:vAlign w:val="center"/>
            <w:hideMark/>
          </w:tcPr>
          <w:p w14:paraId="5525EB29" w14:textId="23D51874" w:rsidR="00F0563B" w:rsidRPr="00373C92" w:rsidRDefault="00F0563B" w:rsidP="006F4333">
            <w:pPr>
              <w:rPr>
                <w:rFonts w:ascii="Arial" w:eastAsia="Times New Roman" w:hAnsi="Arial" w:cs="Arial"/>
                <w:color w:val="000000"/>
                <w:sz w:val="18"/>
                <w:szCs w:val="18"/>
              </w:rPr>
            </w:pPr>
            <w:r w:rsidRPr="00373C92">
              <w:rPr>
                <w:rFonts w:ascii="Arial" w:eastAsia="Times New Roman" w:hAnsi="Arial" w:cs="Arial"/>
                <w:color w:val="000000"/>
                <w:sz w:val="18"/>
                <w:szCs w:val="18"/>
              </w:rPr>
              <w:t xml:space="preserve">Outcome 2: </w:t>
            </w:r>
            <w:r w:rsidR="00C03B27" w:rsidRPr="00373C92">
              <w:rPr>
                <w:rFonts w:ascii="Arial" w:eastAsia="Times New Roman" w:hAnsi="Arial" w:cs="Arial"/>
                <w:color w:val="000000"/>
                <w:sz w:val="18"/>
                <w:szCs w:val="18"/>
              </w:rPr>
              <w:t>Civil Service performance is more professional and effective</w:t>
            </w:r>
          </w:p>
        </w:tc>
        <w:tc>
          <w:tcPr>
            <w:tcW w:w="1444" w:type="dxa"/>
            <w:tcBorders>
              <w:top w:val="nil"/>
              <w:left w:val="nil"/>
              <w:bottom w:val="single" w:sz="8" w:space="0" w:color="000000"/>
              <w:right w:val="single" w:sz="8" w:space="0" w:color="000000"/>
            </w:tcBorders>
            <w:shd w:val="clear" w:color="auto" w:fill="auto"/>
            <w:vAlign w:val="center"/>
            <w:hideMark/>
          </w:tcPr>
          <w:p w14:paraId="2ABB56B1" w14:textId="5D97644F"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$2,096,766</w:t>
            </w:r>
          </w:p>
        </w:tc>
        <w:tc>
          <w:tcPr>
            <w:tcW w:w="1172" w:type="dxa"/>
            <w:tcBorders>
              <w:top w:val="nil"/>
              <w:left w:val="nil"/>
              <w:bottom w:val="single" w:sz="8" w:space="0" w:color="000000"/>
              <w:right w:val="single" w:sz="8" w:space="0" w:color="000000"/>
            </w:tcBorders>
            <w:shd w:val="clear" w:color="auto" w:fill="auto"/>
            <w:vAlign w:val="center"/>
            <w:hideMark/>
          </w:tcPr>
          <w:p w14:paraId="6FF9931F" w14:textId="7AF7B7BF"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$2,141,760</w:t>
            </w:r>
          </w:p>
        </w:tc>
        <w:tc>
          <w:tcPr>
            <w:tcW w:w="1239" w:type="dxa"/>
            <w:tcBorders>
              <w:top w:val="nil"/>
              <w:left w:val="nil"/>
              <w:bottom w:val="single" w:sz="8" w:space="0" w:color="000000"/>
              <w:right w:val="single" w:sz="8" w:space="0" w:color="000000"/>
            </w:tcBorders>
            <w:shd w:val="clear" w:color="auto" w:fill="auto"/>
            <w:vAlign w:val="center"/>
            <w:hideMark/>
          </w:tcPr>
          <w:p w14:paraId="548E0FC3" w14:textId="1EA9A247"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102%</w:t>
            </w:r>
          </w:p>
        </w:tc>
      </w:tr>
      <w:tr w:rsidR="00F0563B" w:rsidRPr="00373C92" w14:paraId="159D3992" w14:textId="77777777" w:rsidTr="00F0563B">
        <w:trPr>
          <w:trHeight w:val="620"/>
          <w:jc w:val="center"/>
        </w:trPr>
        <w:tc>
          <w:tcPr>
            <w:tcW w:w="5390" w:type="dxa"/>
            <w:tcBorders>
              <w:top w:val="nil"/>
              <w:left w:val="single" w:sz="8" w:space="0" w:color="000000"/>
              <w:bottom w:val="single" w:sz="8" w:space="0" w:color="000000"/>
              <w:right w:val="single" w:sz="8" w:space="0" w:color="000000"/>
            </w:tcBorders>
            <w:shd w:val="clear" w:color="auto" w:fill="auto"/>
            <w:vAlign w:val="center"/>
            <w:hideMark/>
          </w:tcPr>
          <w:p w14:paraId="2C76445E" w14:textId="4B687EDA" w:rsidR="00F0563B" w:rsidRPr="00373C92" w:rsidRDefault="00F0563B" w:rsidP="00C03B27">
            <w:pPr>
              <w:rPr>
                <w:rFonts w:ascii="Arial" w:eastAsia="Times New Roman" w:hAnsi="Arial" w:cs="Arial"/>
                <w:color w:val="000000"/>
                <w:sz w:val="18"/>
                <w:szCs w:val="18"/>
              </w:rPr>
            </w:pPr>
            <w:r w:rsidRPr="00373C92">
              <w:rPr>
                <w:rFonts w:ascii="Arial" w:eastAsia="Times New Roman" w:hAnsi="Arial" w:cs="Arial"/>
                <w:color w:val="000000"/>
                <w:sz w:val="18"/>
                <w:szCs w:val="18"/>
              </w:rPr>
              <w:t xml:space="preserve">Outcome 3: </w:t>
            </w:r>
            <w:proofErr w:type="spellStart"/>
            <w:r w:rsidR="00C03B27" w:rsidRPr="00373C92">
              <w:rPr>
                <w:rFonts w:ascii="Arial" w:eastAsia="Times New Roman" w:hAnsi="Arial" w:cs="Arial"/>
                <w:color w:val="000000"/>
                <w:sz w:val="18"/>
                <w:szCs w:val="18"/>
              </w:rPr>
              <w:t>GoG</w:t>
            </w:r>
            <w:proofErr w:type="spellEnd"/>
            <w:r w:rsidR="00C03B27" w:rsidRPr="00373C92">
              <w:rPr>
                <w:rFonts w:ascii="Arial" w:eastAsia="Times New Roman" w:hAnsi="Arial" w:cs="Arial"/>
                <w:color w:val="000000"/>
                <w:sz w:val="18"/>
                <w:szCs w:val="18"/>
              </w:rPr>
              <w:t xml:space="preserve"> delivers high quality, (digitally) more accessible and inclusive services to citizens</w:t>
            </w:r>
          </w:p>
        </w:tc>
        <w:tc>
          <w:tcPr>
            <w:tcW w:w="1444" w:type="dxa"/>
            <w:tcBorders>
              <w:top w:val="nil"/>
              <w:left w:val="nil"/>
              <w:bottom w:val="single" w:sz="8" w:space="0" w:color="000000"/>
              <w:right w:val="single" w:sz="8" w:space="0" w:color="000000"/>
            </w:tcBorders>
            <w:shd w:val="clear" w:color="auto" w:fill="auto"/>
            <w:vAlign w:val="center"/>
            <w:hideMark/>
          </w:tcPr>
          <w:p w14:paraId="5029A4BC" w14:textId="18A1C618"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$1,634,755</w:t>
            </w:r>
          </w:p>
        </w:tc>
        <w:tc>
          <w:tcPr>
            <w:tcW w:w="1172" w:type="dxa"/>
            <w:tcBorders>
              <w:top w:val="nil"/>
              <w:left w:val="nil"/>
              <w:bottom w:val="single" w:sz="8" w:space="0" w:color="000000"/>
              <w:right w:val="single" w:sz="8" w:space="0" w:color="000000"/>
            </w:tcBorders>
            <w:shd w:val="clear" w:color="auto" w:fill="auto"/>
            <w:vAlign w:val="center"/>
            <w:hideMark/>
          </w:tcPr>
          <w:p w14:paraId="68A1B149" w14:textId="5B6EE25A"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$1,288,291</w:t>
            </w:r>
          </w:p>
        </w:tc>
        <w:tc>
          <w:tcPr>
            <w:tcW w:w="1239" w:type="dxa"/>
            <w:tcBorders>
              <w:top w:val="nil"/>
              <w:left w:val="nil"/>
              <w:bottom w:val="single" w:sz="8" w:space="0" w:color="000000"/>
              <w:right w:val="single" w:sz="8" w:space="0" w:color="000000"/>
            </w:tcBorders>
            <w:shd w:val="clear" w:color="auto" w:fill="auto"/>
            <w:vAlign w:val="center"/>
            <w:hideMark/>
          </w:tcPr>
          <w:p w14:paraId="1E1B3A6D" w14:textId="23C72DC5" w:rsidR="00F0563B" w:rsidRPr="00373C92" w:rsidRDefault="00C03B27"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79%</w:t>
            </w:r>
          </w:p>
        </w:tc>
      </w:tr>
      <w:tr w:rsidR="00F0563B" w:rsidRPr="00373C92" w14:paraId="142E58AB" w14:textId="77777777" w:rsidTr="00F0563B">
        <w:trPr>
          <w:trHeight w:val="300"/>
          <w:jc w:val="center"/>
        </w:trPr>
        <w:tc>
          <w:tcPr>
            <w:tcW w:w="5390" w:type="dxa"/>
            <w:tcBorders>
              <w:top w:val="nil"/>
              <w:left w:val="single" w:sz="8" w:space="0" w:color="000000"/>
              <w:bottom w:val="single" w:sz="8" w:space="0" w:color="000000"/>
              <w:right w:val="single" w:sz="8" w:space="0" w:color="000000"/>
            </w:tcBorders>
            <w:shd w:val="clear" w:color="auto" w:fill="auto"/>
            <w:vAlign w:val="center"/>
            <w:hideMark/>
          </w:tcPr>
          <w:p w14:paraId="4BB664F0" w14:textId="747681AA" w:rsidR="00F0563B" w:rsidRPr="00373C92" w:rsidRDefault="00F0563B" w:rsidP="00F0563B">
            <w:pPr>
              <w:rPr>
                <w:rFonts w:ascii="Arial" w:eastAsia="Times New Roman" w:hAnsi="Arial" w:cs="Arial"/>
                <w:color w:val="000000"/>
                <w:sz w:val="18"/>
                <w:szCs w:val="18"/>
              </w:rPr>
            </w:pPr>
            <w:r w:rsidRPr="00373C92">
              <w:rPr>
                <w:rFonts w:ascii="Arial" w:eastAsia="Times New Roman" w:hAnsi="Arial" w:cs="Arial"/>
                <w:color w:val="000000"/>
                <w:sz w:val="18"/>
                <w:szCs w:val="18"/>
              </w:rPr>
              <w:t xml:space="preserve">Management </w:t>
            </w:r>
            <w:r w:rsidR="00C03B27" w:rsidRPr="00373C92">
              <w:rPr>
                <w:rFonts w:ascii="Arial" w:eastAsia="Times New Roman" w:hAnsi="Arial" w:cs="Arial"/>
                <w:color w:val="000000"/>
                <w:sz w:val="18"/>
                <w:szCs w:val="18"/>
              </w:rPr>
              <w:t xml:space="preserve">&amp; Administration </w:t>
            </w:r>
            <w:r w:rsidRPr="00373C92">
              <w:rPr>
                <w:rFonts w:ascii="Arial" w:eastAsia="Times New Roman" w:hAnsi="Arial" w:cs="Arial"/>
                <w:color w:val="000000"/>
                <w:sz w:val="18"/>
                <w:szCs w:val="18"/>
              </w:rPr>
              <w:t>Total</w:t>
            </w:r>
          </w:p>
        </w:tc>
        <w:tc>
          <w:tcPr>
            <w:tcW w:w="1444" w:type="dxa"/>
            <w:tcBorders>
              <w:top w:val="nil"/>
              <w:left w:val="nil"/>
              <w:bottom w:val="single" w:sz="8" w:space="0" w:color="000000"/>
              <w:right w:val="single" w:sz="8" w:space="0" w:color="000000"/>
            </w:tcBorders>
            <w:shd w:val="clear" w:color="auto" w:fill="auto"/>
            <w:vAlign w:val="center"/>
            <w:hideMark/>
          </w:tcPr>
          <w:p w14:paraId="2F4B2F4B" w14:textId="1385FC2C"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$1,258,073</w:t>
            </w:r>
          </w:p>
        </w:tc>
        <w:tc>
          <w:tcPr>
            <w:tcW w:w="1172" w:type="dxa"/>
            <w:tcBorders>
              <w:top w:val="nil"/>
              <w:left w:val="nil"/>
              <w:bottom w:val="single" w:sz="8" w:space="0" w:color="000000"/>
              <w:right w:val="single" w:sz="8" w:space="0" w:color="000000"/>
            </w:tcBorders>
            <w:shd w:val="clear" w:color="auto" w:fill="auto"/>
            <w:vAlign w:val="center"/>
            <w:hideMark/>
          </w:tcPr>
          <w:p w14:paraId="72621D7F" w14:textId="11CC582E"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$1,101,435</w:t>
            </w:r>
          </w:p>
        </w:tc>
        <w:tc>
          <w:tcPr>
            <w:tcW w:w="1239" w:type="dxa"/>
            <w:tcBorders>
              <w:top w:val="nil"/>
              <w:left w:val="nil"/>
              <w:bottom w:val="single" w:sz="8" w:space="0" w:color="000000"/>
              <w:right w:val="single" w:sz="8" w:space="0" w:color="000000"/>
            </w:tcBorders>
            <w:shd w:val="clear" w:color="auto" w:fill="auto"/>
            <w:vAlign w:val="center"/>
            <w:hideMark/>
          </w:tcPr>
          <w:p w14:paraId="39127564" w14:textId="594AC62D"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88%</w:t>
            </w:r>
          </w:p>
        </w:tc>
      </w:tr>
      <w:tr w:rsidR="00F0563B" w:rsidRPr="00373C92" w14:paraId="667D75F1" w14:textId="77777777" w:rsidTr="00F0563B">
        <w:trPr>
          <w:trHeight w:val="300"/>
          <w:jc w:val="center"/>
        </w:trPr>
        <w:tc>
          <w:tcPr>
            <w:tcW w:w="5390" w:type="dxa"/>
            <w:tcBorders>
              <w:top w:val="nil"/>
              <w:left w:val="single" w:sz="8" w:space="0" w:color="000000"/>
              <w:bottom w:val="single" w:sz="8" w:space="0" w:color="000000"/>
              <w:right w:val="single" w:sz="8" w:space="0" w:color="000000"/>
            </w:tcBorders>
            <w:shd w:val="clear" w:color="auto" w:fill="auto"/>
            <w:vAlign w:val="center"/>
            <w:hideMark/>
          </w:tcPr>
          <w:p w14:paraId="510C5BB5" w14:textId="77777777" w:rsidR="00F0563B" w:rsidRPr="00373C92" w:rsidRDefault="00F0563B" w:rsidP="00F0563B">
            <w:pPr>
              <w:rPr>
                <w:rFonts w:ascii="Arial" w:eastAsia="Times New Roman" w:hAnsi="Arial" w:cs="Arial"/>
                <w:i/>
                <w:iCs/>
                <w:color w:val="000000"/>
                <w:sz w:val="18"/>
                <w:szCs w:val="18"/>
              </w:rPr>
            </w:pPr>
            <w:r w:rsidRPr="00373C92">
              <w:rPr>
                <w:rFonts w:ascii="Arial" w:eastAsia="Times New Roman" w:hAnsi="Arial" w:cs="Arial"/>
                <w:i/>
                <w:iCs/>
                <w:color w:val="000000"/>
                <w:sz w:val="18"/>
                <w:szCs w:val="18"/>
              </w:rPr>
              <w:t>Total Net</w:t>
            </w:r>
          </w:p>
        </w:tc>
        <w:tc>
          <w:tcPr>
            <w:tcW w:w="1444" w:type="dxa"/>
            <w:tcBorders>
              <w:top w:val="nil"/>
              <w:left w:val="nil"/>
              <w:bottom w:val="single" w:sz="8" w:space="0" w:color="000000"/>
              <w:right w:val="single" w:sz="8" w:space="0" w:color="000000"/>
            </w:tcBorders>
            <w:shd w:val="clear" w:color="auto" w:fill="auto"/>
            <w:vAlign w:val="center"/>
            <w:hideMark/>
          </w:tcPr>
          <w:p w14:paraId="62270272" w14:textId="650FE0D0"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$5,692,794</w:t>
            </w:r>
          </w:p>
        </w:tc>
        <w:tc>
          <w:tcPr>
            <w:tcW w:w="1172" w:type="dxa"/>
            <w:tcBorders>
              <w:top w:val="nil"/>
              <w:left w:val="nil"/>
              <w:bottom w:val="single" w:sz="8" w:space="0" w:color="000000"/>
              <w:right w:val="single" w:sz="8" w:space="0" w:color="000000"/>
            </w:tcBorders>
            <w:shd w:val="clear" w:color="auto" w:fill="auto"/>
            <w:vAlign w:val="center"/>
            <w:hideMark/>
          </w:tcPr>
          <w:p w14:paraId="0D95CB80" w14:textId="3749D416"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$5,329,397</w:t>
            </w:r>
          </w:p>
        </w:tc>
        <w:tc>
          <w:tcPr>
            <w:tcW w:w="1239" w:type="dxa"/>
            <w:tcBorders>
              <w:top w:val="nil"/>
              <w:left w:val="nil"/>
              <w:bottom w:val="single" w:sz="8" w:space="0" w:color="000000"/>
              <w:right w:val="single" w:sz="8" w:space="0" w:color="000000"/>
            </w:tcBorders>
            <w:shd w:val="clear" w:color="auto" w:fill="auto"/>
            <w:vAlign w:val="center"/>
            <w:hideMark/>
          </w:tcPr>
          <w:p w14:paraId="46AC992F" w14:textId="6C655DA7"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94%</w:t>
            </w:r>
          </w:p>
        </w:tc>
      </w:tr>
      <w:tr w:rsidR="00F0563B" w:rsidRPr="00373C92" w14:paraId="2EEDD099" w14:textId="77777777" w:rsidTr="00F0563B">
        <w:trPr>
          <w:trHeight w:val="300"/>
          <w:jc w:val="center"/>
        </w:trPr>
        <w:tc>
          <w:tcPr>
            <w:tcW w:w="5390" w:type="dxa"/>
            <w:tcBorders>
              <w:top w:val="nil"/>
              <w:left w:val="single" w:sz="8" w:space="0" w:color="000000"/>
              <w:bottom w:val="single" w:sz="8" w:space="0" w:color="000000"/>
              <w:right w:val="single" w:sz="8" w:space="0" w:color="000000"/>
            </w:tcBorders>
            <w:shd w:val="clear" w:color="auto" w:fill="auto"/>
            <w:vAlign w:val="center"/>
            <w:hideMark/>
          </w:tcPr>
          <w:p w14:paraId="76227E88" w14:textId="734057BC" w:rsidR="00F0563B" w:rsidRPr="00373C92" w:rsidRDefault="00C03B27" w:rsidP="00F0563B">
            <w:pPr>
              <w:rPr>
                <w:rFonts w:ascii="Arial" w:eastAsia="Times New Roman" w:hAnsi="Arial" w:cs="Arial"/>
                <w:color w:val="000000"/>
                <w:sz w:val="18"/>
                <w:szCs w:val="18"/>
              </w:rPr>
            </w:pPr>
            <w:r w:rsidRPr="00373C92">
              <w:rPr>
                <w:rFonts w:ascii="Arial" w:eastAsia="Times New Roman" w:hAnsi="Arial" w:cs="Arial"/>
                <w:color w:val="000000"/>
                <w:sz w:val="18"/>
                <w:szCs w:val="18"/>
              </w:rPr>
              <w:t xml:space="preserve">Facilities and Administration </w:t>
            </w:r>
            <w:r w:rsidR="0012381A" w:rsidRPr="00373C92">
              <w:rPr>
                <w:rFonts w:ascii="Arial" w:eastAsia="Times New Roman" w:hAnsi="Arial" w:cs="Arial"/>
                <w:color w:val="000000"/>
                <w:sz w:val="18"/>
                <w:szCs w:val="18"/>
              </w:rPr>
              <w:t>(8%)</w:t>
            </w:r>
          </w:p>
        </w:tc>
        <w:tc>
          <w:tcPr>
            <w:tcW w:w="1444" w:type="dxa"/>
            <w:tcBorders>
              <w:top w:val="nil"/>
              <w:left w:val="nil"/>
              <w:bottom w:val="single" w:sz="8" w:space="0" w:color="000000"/>
              <w:right w:val="single" w:sz="8" w:space="0" w:color="000000"/>
            </w:tcBorders>
            <w:shd w:val="clear" w:color="auto" w:fill="auto"/>
            <w:vAlign w:val="center"/>
            <w:hideMark/>
          </w:tcPr>
          <w:p w14:paraId="245D1B66" w14:textId="6D501BBA"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$455,424</w:t>
            </w:r>
          </w:p>
        </w:tc>
        <w:tc>
          <w:tcPr>
            <w:tcW w:w="1172" w:type="dxa"/>
            <w:tcBorders>
              <w:top w:val="nil"/>
              <w:left w:val="nil"/>
              <w:bottom w:val="single" w:sz="8" w:space="0" w:color="000000"/>
              <w:right w:val="single" w:sz="8" w:space="0" w:color="000000"/>
            </w:tcBorders>
            <w:shd w:val="clear" w:color="auto" w:fill="auto"/>
            <w:vAlign w:val="center"/>
            <w:hideMark/>
          </w:tcPr>
          <w:p w14:paraId="22F0D26D" w14:textId="252E680F"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$426,352</w:t>
            </w:r>
          </w:p>
        </w:tc>
        <w:tc>
          <w:tcPr>
            <w:tcW w:w="1239" w:type="dxa"/>
            <w:tcBorders>
              <w:top w:val="nil"/>
              <w:left w:val="nil"/>
              <w:bottom w:val="single" w:sz="8" w:space="0" w:color="000000"/>
              <w:right w:val="single" w:sz="8" w:space="0" w:color="000000"/>
            </w:tcBorders>
            <w:shd w:val="clear" w:color="auto" w:fill="auto"/>
            <w:vAlign w:val="center"/>
            <w:hideMark/>
          </w:tcPr>
          <w:p w14:paraId="0BC5662F" w14:textId="3500F96A"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94%</w:t>
            </w:r>
          </w:p>
        </w:tc>
      </w:tr>
      <w:tr w:rsidR="00F0563B" w:rsidRPr="00373C92" w14:paraId="7A686686" w14:textId="77777777" w:rsidTr="00F0563B">
        <w:trPr>
          <w:trHeight w:val="300"/>
          <w:jc w:val="center"/>
        </w:trPr>
        <w:tc>
          <w:tcPr>
            <w:tcW w:w="5390" w:type="dxa"/>
            <w:tcBorders>
              <w:top w:val="nil"/>
              <w:left w:val="single" w:sz="8" w:space="0" w:color="000000"/>
              <w:bottom w:val="single" w:sz="8" w:space="0" w:color="000000"/>
              <w:right w:val="single" w:sz="8" w:space="0" w:color="000000"/>
            </w:tcBorders>
            <w:shd w:val="clear" w:color="auto" w:fill="auto"/>
            <w:vAlign w:val="center"/>
            <w:hideMark/>
          </w:tcPr>
          <w:p w14:paraId="746847E8" w14:textId="77777777" w:rsidR="00F0563B" w:rsidRPr="00373C92" w:rsidRDefault="00F0563B" w:rsidP="00F0563B">
            <w:pPr>
              <w:rPr>
                <w:rFonts w:ascii="Arial" w:eastAsia="Times New Roman" w:hAnsi="Arial" w:cs="Arial"/>
                <w:b/>
                <w:bCs/>
                <w:color w:val="000000"/>
                <w:sz w:val="18"/>
                <w:szCs w:val="18"/>
              </w:rPr>
            </w:pPr>
            <w:r w:rsidRPr="00373C92">
              <w:rPr>
                <w:rFonts w:ascii="Arial" w:eastAsia="Times New Roman" w:hAnsi="Arial" w:cs="Arial"/>
                <w:b/>
                <w:bCs/>
                <w:color w:val="000000"/>
                <w:sz w:val="18"/>
                <w:szCs w:val="18"/>
              </w:rPr>
              <w:t>Grand Total</w:t>
            </w:r>
          </w:p>
        </w:tc>
        <w:tc>
          <w:tcPr>
            <w:tcW w:w="1444" w:type="dxa"/>
            <w:tcBorders>
              <w:top w:val="nil"/>
              <w:left w:val="nil"/>
              <w:bottom w:val="single" w:sz="8" w:space="0" w:color="000000"/>
              <w:right w:val="single" w:sz="8" w:space="0" w:color="000000"/>
            </w:tcBorders>
            <w:shd w:val="clear" w:color="auto" w:fill="auto"/>
            <w:vAlign w:val="center"/>
            <w:hideMark/>
          </w:tcPr>
          <w:p w14:paraId="5F9B96AD" w14:textId="5569DF1F" w:rsidR="00F0563B" w:rsidRPr="00373C92" w:rsidRDefault="0012381A" w:rsidP="00F0563B">
            <w:pPr>
              <w:jc w:val="center"/>
              <w:rPr>
                <w:rFonts w:ascii="Arial" w:eastAsia="Times New Roman" w:hAnsi="Arial" w:cs="Arial"/>
                <w:b/>
                <w:bCs/>
                <w:color w:val="000000"/>
                <w:sz w:val="18"/>
                <w:szCs w:val="18"/>
              </w:rPr>
            </w:pPr>
            <w:r w:rsidRPr="00373C92">
              <w:rPr>
                <w:rFonts w:ascii="Arial" w:eastAsia="Times New Roman" w:hAnsi="Arial" w:cs="Arial"/>
                <w:b/>
                <w:bCs/>
                <w:color w:val="000000"/>
                <w:sz w:val="18"/>
                <w:szCs w:val="18"/>
              </w:rPr>
              <w:t>$6,085,840</w:t>
            </w:r>
          </w:p>
        </w:tc>
        <w:tc>
          <w:tcPr>
            <w:tcW w:w="1172" w:type="dxa"/>
            <w:tcBorders>
              <w:top w:val="nil"/>
              <w:left w:val="nil"/>
              <w:bottom w:val="single" w:sz="8" w:space="0" w:color="000000"/>
              <w:right w:val="single" w:sz="8" w:space="0" w:color="000000"/>
            </w:tcBorders>
            <w:shd w:val="clear" w:color="auto" w:fill="auto"/>
            <w:vAlign w:val="center"/>
            <w:hideMark/>
          </w:tcPr>
          <w:p w14:paraId="6EF04D60" w14:textId="3EA41DAE" w:rsidR="00F0563B" w:rsidRPr="00373C92" w:rsidRDefault="0012381A" w:rsidP="00F0563B">
            <w:pPr>
              <w:jc w:val="center"/>
              <w:rPr>
                <w:rFonts w:ascii="Arial" w:eastAsia="Times New Roman" w:hAnsi="Arial" w:cs="Arial"/>
                <w:b/>
                <w:bCs/>
                <w:color w:val="000000"/>
                <w:sz w:val="18"/>
                <w:szCs w:val="18"/>
              </w:rPr>
            </w:pPr>
            <w:r w:rsidRPr="00373C92">
              <w:rPr>
                <w:rFonts w:ascii="Arial" w:eastAsia="Times New Roman" w:hAnsi="Arial" w:cs="Arial"/>
                <w:b/>
                <w:bCs/>
                <w:color w:val="000000"/>
                <w:sz w:val="18"/>
                <w:szCs w:val="18"/>
              </w:rPr>
              <w:t>$5,755,749</w:t>
            </w:r>
          </w:p>
        </w:tc>
        <w:tc>
          <w:tcPr>
            <w:tcW w:w="1239" w:type="dxa"/>
            <w:tcBorders>
              <w:top w:val="nil"/>
              <w:left w:val="nil"/>
              <w:bottom w:val="single" w:sz="8" w:space="0" w:color="000000"/>
              <w:right w:val="single" w:sz="8" w:space="0" w:color="000000"/>
            </w:tcBorders>
            <w:shd w:val="clear" w:color="auto" w:fill="auto"/>
            <w:vAlign w:val="center"/>
            <w:hideMark/>
          </w:tcPr>
          <w:p w14:paraId="13D5569C" w14:textId="0A55D049" w:rsidR="00F0563B" w:rsidRPr="00373C92" w:rsidRDefault="0012381A" w:rsidP="00F0563B">
            <w:pPr>
              <w:jc w:val="center"/>
              <w:rPr>
                <w:rFonts w:ascii="Arial" w:eastAsia="Times New Roman" w:hAnsi="Arial" w:cs="Arial"/>
                <w:color w:val="000000"/>
                <w:sz w:val="18"/>
                <w:szCs w:val="18"/>
              </w:rPr>
            </w:pPr>
            <w:r w:rsidRPr="00373C92">
              <w:rPr>
                <w:rFonts w:ascii="Arial" w:eastAsia="Times New Roman" w:hAnsi="Arial" w:cs="Arial"/>
                <w:color w:val="000000"/>
                <w:sz w:val="18"/>
                <w:szCs w:val="18"/>
              </w:rPr>
              <w:t>95%</w:t>
            </w:r>
          </w:p>
        </w:tc>
      </w:tr>
    </w:tbl>
    <w:p w14:paraId="12322A4E" w14:textId="77777777" w:rsidR="00F0563B" w:rsidRPr="004B6C4F" w:rsidRDefault="00F0563B" w:rsidP="00F0563B">
      <w:pPr>
        <w:jc w:val="both"/>
        <w:rPr>
          <w:rFonts w:ascii="Arial" w:hAnsi="Arial"/>
          <w:sz w:val="20"/>
          <w:szCs w:val="20"/>
        </w:rPr>
      </w:pPr>
      <w:r w:rsidRPr="004B6C4F">
        <w:rPr>
          <w:rFonts w:ascii="Arial" w:hAnsi="Arial"/>
          <w:sz w:val="20"/>
          <w:szCs w:val="20"/>
        </w:rPr>
        <w:t>Source: Project Office. Full financi</w:t>
      </w:r>
      <w:r>
        <w:rPr>
          <w:rFonts w:ascii="Arial" w:hAnsi="Arial"/>
          <w:sz w:val="20"/>
          <w:szCs w:val="20"/>
        </w:rPr>
        <w:t>al table is provided as Annex H.</w:t>
      </w:r>
    </w:p>
    <w:p w14:paraId="57BE51DE" w14:textId="77777777" w:rsidR="00F0563B" w:rsidRDefault="00F0563B" w:rsidP="00F0563B">
      <w:pPr>
        <w:jc w:val="both"/>
        <w:rPr>
          <w:rFonts w:ascii="Arial" w:hAnsi="Arial"/>
          <w:sz w:val="22"/>
          <w:szCs w:val="22"/>
        </w:rPr>
      </w:pPr>
    </w:p>
    <w:p w14:paraId="270AFDAC" w14:textId="57A8036B" w:rsidR="0061464C" w:rsidRDefault="00362B58" w:rsidP="00F0563B">
      <w:pPr>
        <w:jc w:val="both"/>
        <w:rPr>
          <w:rFonts w:ascii="Arial" w:hAnsi="Arial"/>
          <w:sz w:val="22"/>
          <w:szCs w:val="22"/>
        </w:rPr>
      </w:pPr>
      <w:r>
        <w:rPr>
          <w:rFonts w:ascii="Arial" w:hAnsi="Arial"/>
          <w:sz w:val="22"/>
          <w:szCs w:val="22"/>
        </w:rPr>
        <w:t>For outcome</w:t>
      </w:r>
      <w:r w:rsidR="0061464C">
        <w:rPr>
          <w:rFonts w:ascii="Arial" w:hAnsi="Arial"/>
          <w:sz w:val="22"/>
          <w:szCs w:val="22"/>
        </w:rPr>
        <w:t xml:space="preserve"> 1, policy development and coordination, total </w:t>
      </w:r>
      <w:r>
        <w:rPr>
          <w:rFonts w:ascii="Arial" w:hAnsi="Arial"/>
          <w:sz w:val="22"/>
          <w:szCs w:val="22"/>
        </w:rPr>
        <w:t>expenditure was above target at</w:t>
      </w:r>
      <w:r w:rsidR="0061464C">
        <w:rPr>
          <w:rFonts w:ascii="Arial" w:hAnsi="Arial"/>
          <w:sz w:val="22"/>
          <w:szCs w:val="22"/>
        </w:rPr>
        <w:t xml:space="preserve"> about 113% of the planned budget</w:t>
      </w:r>
      <w:r>
        <w:rPr>
          <w:rFonts w:ascii="Arial" w:hAnsi="Arial"/>
          <w:sz w:val="22"/>
          <w:szCs w:val="22"/>
        </w:rPr>
        <w:t xml:space="preserve"> expended</w:t>
      </w:r>
      <w:r w:rsidR="0061464C">
        <w:rPr>
          <w:rFonts w:ascii="Arial" w:hAnsi="Arial"/>
          <w:sz w:val="22"/>
          <w:szCs w:val="22"/>
        </w:rPr>
        <w:t xml:space="preserve">. Contractual services exceeded planned expenditure by about 67%. The </w:t>
      </w:r>
      <w:r w:rsidR="00373C92">
        <w:rPr>
          <w:rFonts w:ascii="Arial" w:hAnsi="Arial"/>
          <w:sz w:val="22"/>
          <w:szCs w:val="22"/>
        </w:rPr>
        <w:t>international consultant line item budget</w:t>
      </w:r>
      <w:r w:rsidR="0061464C">
        <w:rPr>
          <w:rFonts w:ascii="Arial" w:hAnsi="Arial"/>
          <w:sz w:val="22"/>
          <w:szCs w:val="22"/>
        </w:rPr>
        <w:t xml:space="preserve"> was also exceeded by about 19%. Events, conferences and travel were about 10% under budg</w:t>
      </w:r>
      <w:r w:rsidR="00373C92">
        <w:rPr>
          <w:rFonts w:ascii="Arial" w:hAnsi="Arial"/>
          <w:sz w:val="22"/>
          <w:szCs w:val="22"/>
        </w:rPr>
        <w:t>et. O</w:t>
      </w:r>
      <w:r w:rsidR="0061464C">
        <w:rPr>
          <w:rFonts w:ascii="Arial" w:hAnsi="Arial"/>
          <w:sz w:val="22"/>
          <w:szCs w:val="22"/>
        </w:rPr>
        <w:t>n a year-to-y</w:t>
      </w:r>
      <w:r w:rsidR="00373C92">
        <w:rPr>
          <w:rFonts w:ascii="Arial" w:hAnsi="Arial"/>
          <w:sz w:val="22"/>
          <w:szCs w:val="22"/>
        </w:rPr>
        <w:t>ear basis, expenditure</w:t>
      </w:r>
      <w:r w:rsidR="0061464C">
        <w:rPr>
          <w:rFonts w:ascii="Arial" w:hAnsi="Arial"/>
          <w:sz w:val="22"/>
          <w:szCs w:val="22"/>
        </w:rPr>
        <w:t xml:space="preserve"> follow</w:t>
      </w:r>
      <w:r w:rsidR="00373C92">
        <w:rPr>
          <w:rFonts w:ascii="Arial" w:hAnsi="Arial"/>
          <w:sz w:val="22"/>
          <w:szCs w:val="22"/>
        </w:rPr>
        <w:t>ed</w:t>
      </w:r>
      <w:r w:rsidR="0061464C">
        <w:rPr>
          <w:rFonts w:ascii="Arial" w:hAnsi="Arial"/>
          <w:sz w:val="22"/>
          <w:szCs w:val="22"/>
        </w:rPr>
        <w:t xml:space="preserve"> implementation with a slow start that can be attributed to changes in government and at </w:t>
      </w:r>
      <w:proofErr w:type="spellStart"/>
      <w:r w:rsidR="0061464C">
        <w:rPr>
          <w:rFonts w:ascii="Arial" w:hAnsi="Arial"/>
          <w:sz w:val="22"/>
          <w:szCs w:val="22"/>
        </w:rPr>
        <w:t>AoG</w:t>
      </w:r>
      <w:proofErr w:type="spellEnd"/>
      <w:r w:rsidR="0061464C">
        <w:rPr>
          <w:rFonts w:ascii="Arial" w:hAnsi="Arial"/>
          <w:sz w:val="22"/>
          <w:szCs w:val="22"/>
        </w:rPr>
        <w:t xml:space="preserve">. However, the pace of activity and expenditure and corresponding activity picked up in </w:t>
      </w:r>
      <w:r w:rsidR="00B61DC9">
        <w:rPr>
          <w:rFonts w:ascii="Arial" w:hAnsi="Arial"/>
          <w:sz w:val="22"/>
          <w:szCs w:val="22"/>
        </w:rPr>
        <w:t>2018 to 2020. Expenditure in 2016 was over budget attributable to initial international consultant costs.</w:t>
      </w:r>
      <w:r w:rsidR="00BC67D3">
        <w:rPr>
          <w:rFonts w:ascii="Arial" w:hAnsi="Arial"/>
          <w:sz w:val="22"/>
          <w:szCs w:val="22"/>
        </w:rPr>
        <w:t xml:space="preserve">  T</w:t>
      </w:r>
      <w:r w:rsidR="003D2082">
        <w:rPr>
          <w:rFonts w:ascii="Arial" w:hAnsi="Arial"/>
          <w:sz w:val="22"/>
          <w:szCs w:val="22"/>
        </w:rPr>
        <w:t>his</w:t>
      </w:r>
      <w:r w:rsidR="00BC67D3">
        <w:rPr>
          <w:rFonts w:ascii="Arial" w:hAnsi="Arial"/>
          <w:sz w:val="22"/>
          <w:szCs w:val="22"/>
        </w:rPr>
        <w:t xml:space="preserve"> outcome</w:t>
      </w:r>
      <w:r w:rsidR="00B61DC9">
        <w:rPr>
          <w:rFonts w:ascii="Arial" w:hAnsi="Arial"/>
          <w:sz w:val="22"/>
          <w:szCs w:val="22"/>
        </w:rPr>
        <w:t xml:space="preserve"> area was the smallest, in terms of budget and expenditure, making up 11% of the project budget and 14% of the expenditure.</w:t>
      </w:r>
    </w:p>
    <w:p w14:paraId="36E4F19E" w14:textId="77777777" w:rsidR="00B61DC9" w:rsidRDefault="00B61DC9" w:rsidP="00F0563B">
      <w:pPr>
        <w:jc w:val="both"/>
        <w:rPr>
          <w:rFonts w:ascii="Arial" w:hAnsi="Arial"/>
          <w:sz w:val="22"/>
          <w:szCs w:val="22"/>
        </w:rPr>
      </w:pPr>
    </w:p>
    <w:p w14:paraId="48C701EE" w14:textId="2DBB94E6" w:rsidR="00B61DC9" w:rsidRDefault="00362B58" w:rsidP="00F0563B">
      <w:pPr>
        <w:jc w:val="both"/>
        <w:rPr>
          <w:rFonts w:ascii="Arial" w:hAnsi="Arial"/>
          <w:sz w:val="22"/>
          <w:szCs w:val="22"/>
        </w:rPr>
      </w:pPr>
      <w:r>
        <w:rPr>
          <w:rFonts w:ascii="Arial" w:hAnsi="Arial"/>
          <w:sz w:val="22"/>
          <w:szCs w:val="22"/>
        </w:rPr>
        <w:t>For outcome</w:t>
      </w:r>
      <w:r w:rsidR="00B61DC9">
        <w:rPr>
          <w:rFonts w:ascii="Arial" w:hAnsi="Arial"/>
          <w:sz w:val="22"/>
          <w:szCs w:val="22"/>
        </w:rPr>
        <w:t xml:space="preserve"> 2, civ</w:t>
      </w:r>
      <w:r>
        <w:rPr>
          <w:rFonts w:ascii="Arial" w:hAnsi="Arial"/>
          <w:sz w:val="22"/>
          <w:szCs w:val="22"/>
        </w:rPr>
        <w:t>il service delivery, expenditure</w:t>
      </w:r>
      <w:r w:rsidR="00B61DC9">
        <w:rPr>
          <w:rFonts w:ascii="Arial" w:hAnsi="Arial"/>
          <w:sz w:val="22"/>
          <w:szCs w:val="22"/>
        </w:rPr>
        <w:t xml:space="preserve"> was about on target with 102% of the planned budget expended.  The largest expenditure category was grants at about  $912,364. The</w:t>
      </w:r>
      <w:r>
        <w:rPr>
          <w:rFonts w:ascii="Arial" w:hAnsi="Arial"/>
          <w:sz w:val="22"/>
          <w:szCs w:val="22"/>
        </w:rPr>
        <w:t xml:space="preserve"> reason for the size of</w:t>
      </w:r>
      <w:r w:rsidR="00B61DC9">
        <w:rPr>
          <w:rFonts w:ascii="Arial" w:hAnsi="Arial"/>
          <w:sz w:val="22"/>
          <w:szCs w:val="22"/>
        </w:rPr>
        <w:t xml:space="preserve"> this category is that the CSO and research grants scheme was funded through this compon</w:t>
      </w:r>
      <w:r>
        <w:rPr>
          <w:rFonts w:ascii="Arial" w:hAnsi="Arial"/>
          <w:sz w:val="22"/>
          <w:szCs w:val="22"/>
        </w:rPr>
        <w:t>en</w:t>
      </w:r>
      <w:r w:rsidR="00B61DC9">
        <w:rPr>
          <w:rFonts w:ascii="Arial" w:hAnsi="Arial"/>
          <w:sz w:val="22"/>
          <w:szCs w:val="22"/>
        </w:rPr>
        <w:t xml:space="preserve">t. </w:t>
      </w:r>
      <w:r w:rsidR="00DF6B5C">
        <w:rPr>
          <w:rFonts w:ascii="Arial" w:hAnsi="Arial"/>
          <w:sz w:val="22"/>
          <w:szCs w:val="22"/>
        </w:rPr>
        <w:t>That</w:t>
      </w:r>
      <w:r>
        <w:rPr>
          <w:rFonts w:ascii="Arial" w:hAnsi="Arial"/>
          <w:sz w:val="22"/>
          <w:szCs w:val="22"/>
        </w:rPr>
        <w:t xml:space="preserve"> budget was exceeded by abou</w:t>
      </w:r>
      <w:r w:rsidR="00B61DC9">
        <w:rPr>
          <w:rFonts w:ascii="Arial" w:hAnsi="Arial"/>
          <w:sz w:val="22"/>
          <w:szCs w:val="22"/>
        </w:rPr>
        <w:t xml:space="preserve">t 35%. </w:t>
      </w:r>
      <w:r>
        <w:rPr>
          <w:rFonts w:ascii="Arial" w:hAnsi="Arial"/>
          <w:sz w:val="22"/>
          <w:szCs w:val="22"/>
        </w:rPr>
        <w:t xml:space="preserve">Local consultant costs were about 22% under budget. </w:t>
      </w:r>
      <w:r w:rsidR="00B61DC9">
        <w:rPr>
          <w:rFonts w:ascii="Arial" w:hAnsi="Arial"/>
          <w:sz w:val="22"/>
          <w:szCs w:val="22"/>
        </w:rPr>
        <w:t>Other budget categories were near</w:t>
      </w:r>
      <w:r>
        <w:rPr>
          <w:rFonts w:ascii="Arial" w:hAnsi="Arial"/>
          <w:sz w:val="22"/>
          <w:szCs w:val="22"/>
        </w:rPr>
        <w:t xml:space="preserve"> budgeted amount</w:t>
      </w:r>
      <w:r w:rsidR="008B555A">
        <w:rPr>
          <w:rFonts w:ascii="Arial" w:hAnsi="Arial"/>
          <w:sz w:val="22"/>
          <w:szCs w:val="22"/>
        </w:rPr>
        <w:t xml:space="preserve">s. On a year-to-year </w:t>
      </w:r>
      <w:r w:rsidR="008B555A">
        <w:rPr>
          <w:rFonts w:ascii="Arial" w:hAnsi="Arial"/>
          <w:sz w:val="22"/>
          <w:szCs w:val="22"/>
        </w:rPr>
        <w:lastRenderedPageBreak/>
        <w:t>basis, the</w:t>
      </w:r>
      <w:r>
        <w:rPr>
          <w:rFonts w:ascii="Arial" w:hAnsi="Arial"/>
          <w:sz w:val="22"/>
          <w:szCs w:val="22"/>
        </w:rPr>
        <w:t xml:space="preserve"> 2016 budget was significantly underspent most likely due to the need to plan the start up of the small grant schemes in the following years. Other year expenditure was at or ne</w:t>
      </w:r>
      <w:r w:rsidR="00BC67D3">
        <w:rPr>
          <w:rFonts w:ascii="Arial" w:hAnsi="Arial"/>
          <w:sz w:val="22"/>
          <w:szCs w:val="22"/>
        </w:rPr>
        <w:t>ar budgeted amounts. This outcome</w:t>
      </w:r>
      <w:r>
        <w:rPr>
          <w:rFonts w:ascii="Arial" w:hAnsi="Arial"/>
          <w:sz w:val="22"/>
          <w:szCs w:val="22"/>
        </w:rPr>
        <w:t xml:space="preserve"> area is the largest of the project with about 34% of the planned expenditure and 37% of total expenditure.</w:t>
      </w:r>
    </w:p>
    <w:p w14:paraId="51F701C1" w14:textId="77777777" w:rsidR="00362B58" w:rsidRDefault="00362B58" w:rsidP="00F0563B">
      <w:pPr>
        <w:jc w:val="both"/>
        <w:rPr>
          <w:rFonts w:ascii="Arial" w:hAnsi="Arial"/>
          <w:sz w:val="22"/>
          <w:szCs w:val="22"/>
        </w:rPr>
      </w:pPr>
    </w:p>
    <w:p w14:paraId="752FB04A" w14:textId="6211FA75" w:rsidR="00BC67D3" w:rsidRDefault="00373C92" w:rsidP="00F0563B">
      <w:pPr>
        <w:jc w:val="both"/>
        <w:rPr>
          <w:rFonts w:ascii="Arial" w:hAnsi="Arial"/>
          <w:sz w:val="22"/>
          <w:szCs w:val="22"/>
        </w:rPr>
      </w:pPr>
      <w:r>
        <w:rPr>
          <w:rFonts w:ascii="Arial" w:hAnsi="Arial"/>
          <w:sz w:val="22"/>
          <w:szCs w:val="22"/>
        </w:rPr>
        <w:t xml:space="preserve">For outcome </w:t>
      </w:r>
      <w:r w:rsidR="00362B58" w:rsidRPr="005514A4">
        <w:rPr>
          <w:rFonts w:ascii="Arial" w:hAnsi="Arial"/>
          <w:sz w:val="22"/>
          <w:szCs w:val="22"/>
        </w:rPr>
        <w:t>3, public service delivery, expenditure was below target with only 79% of the planned budget expended</w:t>
      </w:r>
      <w:r w:rsidR="00362B58" w:rsidRPr="00BC7344">
        <w:rPr>
          <w:rFonts w:ascii="Arial" w:hAnsi="Arial"/>
          <w:sz w:val="22"/>
          <w:szCs w:val="22"/>
        </w:rPr>
        <w:t>. This is somewhat a surprising find</w:t>
      </w:r>
      <w:r w:rsidR="00362B58" w:rsidRPr="006F120B">
        <w:rPr>
          <w:rFonts w:ascii="Arial" w:hAnsi="Arial"/>
          <w:sz w:val="22"/>
          <w:szCs w:val="22"/>
        </w:rPr>
        <w:t>ing since</w:t>
      </w:r>
      <w:r w:rsidR="00DF6B5C" w:rsidRPr="00C7453B">
        <w:rPr>
          <w:rFonts w:ascii="Arial" w:hAnsi="Arial"/>
          <w:sz w:val="22"/>
          <w:szCs w:val="22"/>
        </w:rPr>
        <w:t xml:space="preserve"> public service delivery outputs have</w:t>
      </w:r>
      <w:r w:rsidR="00362B58" w:rsidRPr="005514A4">
        <w:rPr>
          <w:rFonts w:ascii="Arial" w:hAnsi="Arial"/>
          <w:sz w:val="22"/>
          <w:szCs w:val="22"/>
        </w:rPr>
        <w:t xml:space="preserve"> been implemented in a timely manner with most outputs accomplished. </w:t>
      </w:r>
      <w:r w:rsidR="00BC67D3" w:rsidRPr="005514A4">
        <w:rPr>
          <w:rFonts w:ascii="Arial" w:hAnsi="Arial"/>
          <w:sz w:val="22"/>
          <w:szCs w:val="22"/>
        </w:rPr>
        <w:t>A</w:t>
      </w:r>
      <w:r w:rsidR="008B555A" w:rsidRPr="005514A4">
        <w:rPr>
          <w:rFonts w:ascii="Arial" w:hAnsi="Arial"/>
          <w:sz w:val="22"/>
          <w:szCs w:val="22"/>
        </w:rPr>
        <w:t>ll categories are under budget.</w:t>
      </w:r>
      <w:r w:rsidR="00BC67D3" w:rsidRPr="005514A4">
        <w:rPr>
          <w:rFonts w:ascii="Arial" w:hAnsi="Arial"/>
          <w:sz w:val="22"/>
          <w:szCs w:val="22"/>
        </w:rPr>
        <w:t xml:space="preserve"> What</w:t>
      </w:r>
      <w:r w:rsidR="00BC67D3">
        <w:rPr>
          <w:rFonts w:ascii="Arial" w:hAnsi="Arial"/>
          <w:sz w:val="22"/>
          <w:szCs w:val="22"/>
        </w:rPr>
        <w:t xml:space="preserve"> may be attributable to the low execution rate is that the UPSDD was not approved and thus held back full implementation of the standards though those standards were applied to two </w:t>
      </w:r>
      <w:r w:rsidR="008B555A">
        <w:rPr>
          <w:rFonts w:ascii="Arial" w:hAnsi="Arial"/>
          <w:sz w:val="22"/>
          <w:szCs w:val="22"/>
        </w:rPr>
        <w:t xml:space="preserve">large </w:t>
      </w:r>
      <w:r w:rsidR="00BC67D3">
        <w:rPr>
          <w:rFonts w:ascii="Arial" w:hAnsi="Arial"/>
          <w:sz w:val="22"/>
          <w:szCs w:val="22"/>
        </w:rPr>
        <w:t>entities to achieve the project target. Also, more efficiency may have been gained by delivering services to this outcome area especially where such efficiencies could multiply such as placing services on my.gov.ge. This outcome area is the second largest of the project with about 27% of the budget and 22% of the total expenditure.</w:t>
      </w:r>
    </w:p>
    <w:p w14:paraId="5D45EE3E" w14:textId="77777777" w:rsidR="00BC67D3" w:rsidRDefault="00BC67D3" w:rsidP="00F0563B">
      <w:pPr>
        <w:jc w:val="both"/>
        <w:rPr>
          <w:rFonts w:ascii="Arial" w:hAnsi="Arial"/>
          <w:sz w:val="22"/>
          <w:szCs w:val="22"/>
        </w:rPr>
      </w:pPr>
    </w:p>
    <w:p w14:paraId="2B2FA70B" w14:textId="5531F22E" w:rsidR="00BC67D3" w:rsidRDefault="00BC67D3" w:rsidP="00F0563B">
      <w:pPr>
        <w:jc w:val="both"/>
        <w:rPr>
          <w:rFonts w:ascii="Arial" w:hAnsi="Arial"/>
          <w:sz w:val="22"/>
          <w:szCs w:val="22"/>
        </w:rPr>
      </w:pPr>
      <w:r>
        <w:rPr>
          <w:rFonts w:ascii="Arial" w:hAnsi="Arial"/>
          <w:sz w:val="22"/>
          <w:szCs w:val="22"/>
        </w:rPr>
        <w:t>Given the budget performance, there is still work ongoing with the policy planning, monitoring and evaluation e-system</w:t>
      </w:r>
      <w:r w:rsidR="003D2082">
        <w:rPr>
          <w:rFonts w:ascii="Arial" w:hAnsi="Arial"/>
          <w:sz w:val="22"/>
          <w:szCs w:val="22"/>
        </w:rPr>
        <w:t xml:space="preserve"> (outcome area 1)</w:t>
      </w:r>
      <w:r w:rsidR="008B555A">
        <w:rPr>
          <w:rFonts w:ascii="Arial" w:hAnsi="Arial"/>
          <w:sz w:val="22"/>
          <w:szCs w:val="22"/>
        </w:rPr>
        <w:t xml:space="preserve"> </w:t>
      </w:r>
      <w:r>
        <w:rPr>
          <w:rFonts w:ascii="Arial" w:hAnsi="Arial"/>
          <w:sz w:val="22"/>
          <w:szCs w:val="22"/>
        </w:rPr>
        <w:t xml:space="preserve">and </w:t>
      </w:r>
      <w:r w:rsidR="005769EE">
        <w:rPr>
          <w:rFonts w:ascii="Arial" w:hAnsi="Arial"/>
          <w:sz w:val="22"/>
          <w:szCs w:val="22"/>
        </w:rPr>
        <w:t>e-learning</w:t>
      </w:r>
      <w:r>
        <w:rPr>
          <w:rFonts w:ascii="Arial" w:hAnsi="Arial"/>
          <w:sz w:val="22"/>
          <w:szCs w:val="22"/>
        </w:rPr>
        <w:t xml:space="preserve"> platform</w:t>
      </w:r>
      <w:r w:rsidR="003D2082">
        <w:rPr>
          <w:rFonts w:ascii="Arial" w:hAnsi="Arial"/>
          <w:sz w:val="22"/>
          <w:szCs w:val="22"/>
        </w:rPr>
        <w:t xml:space="preserve"> (outcome area 2)</w:t>
      </w:r>
      <w:r>
        <w:rPr>
          <w:rFonts w:ascii="Arial" w:hAnsi="Arial"/>
          <w:sz w:val="22"/>
          <w:szCs w:val="22"/>
        </w:rPr>
        <w:t xml:space="preserve">. Funds could be reallocated from outcome area 3 to outcome areas 1 and 2 to fund these initiatives. While the e-system and platform are more aimed at civil service </w:t>
      </w:r>
      <w:r w:rsidR="00470133">
        <w:rPr>
          <w:rFonts w:ascii="Arial" w:hAnsi="Arial"/>
          <w:sz w:val="22"/>
          <w:szCs w:val="22"/>
        </w:rPr>
        <w:t>delivery, they will ultimately impact public service delivery.</w:t>
      </w:r>
    </w:p>
    <w:p w14:paraId="3775284B" w14:textId="77777777" w:rsidR="00470133" w:rsidRDefault="00470133" w:rsidP="00F0563B">
      <w:pPr>
        <w:jc w:val="both"/>
        <w:rPr>
          <w:rFonts w:ascii="Arial" w:hAnsi="Arial"/>
          <w:sz w:val="22"/>
          <w:szCs w:val="22"/>
        </w:rPr>
      </w:pPr>
    </w:p>
    <w:p w14:paraId="7A467D80" w14:textId="3236914F" w:rsidR="00BC67D3" w:rsidRDefault="00470133" w:rsidP="00F0563B">
      <w:pPr>
        <w:jc w:val="both"/>
        <w:rPr>
          <w:rFonts w:ascii="Arial" w:hAnsi="Arial"/>
          <w:sz w:val="22"/>
          <w:szCs w:val="22"/>
        </w:rPr>
      </w:pPr>
      <w:r>
        <w:rPr>
          <w:rFonts w:ascii="Arial" w:hAnsi="Arial"/>
          <w:sz w:val="22"/>
          <w:szCs w:val="22"/>
        </w:rPr>
        <w:t>Total project management and administration costs are under budget with about 88% of the planned budget expended. Staff costs are in line with that execution rate while monitoring and evaluation is below the planned budget by about 41%. The monitoring and evaluation expended amount will most likely increase before project end given the ongoing evaluation of the small grant scheme and this final project evaluation.</w:t>
      </w:r>
    </w:p>
    <w:p w14:paraId="421AD43F" w14:textId="5C7C8C83" w:rsidR="009A416C" w:rsidRDefault="009A416C" w:rsidP="009A416C">
      <w:pPr>
        <w:pStyle w:val="Heading4"/>
      </w:pPr>
      <w:bookmarkStart w:id="16" w:name="_Toc478138867"/>
      <w:r>
        <w:t>4.</w:t>
      </w:r>
      <w:r>
        <w:tab/>
        <w:t>Conclusion</w:t>
      </w:r>
      <w:bookmarkEnd w:id="16"/>
    </w:p>
    <w:p w14:paraId="1A4D4FB4" w14:textId="77777777" w:rsidR="009A416C" w:rsidRDefault="009A416C" w:rsidP="009A416C">
      <w:pPr>
        <w:jc w:val="both"/>
        <w:rPr>
          <w:rFonts w:ascii="Arial" w:hAnsi="Arial"/>
          <w:sz w:val="22"/>
          <w:szCs w:val="22"/>
        </w:rPr>
      </w:pPr>
    </w:p>
    <w:p w14:paraId="3FD7E388" w14:textId="038DB369" w:rsidR="009A416C" w:rsidRDefault="009A416C" w:rsidP="00F0563B">
      <w:pPr>
        <w:jc w:val="both"/>
        <w:rPr>
          <w:rFonts w:ascii="Arial" w:hAnsi="Arial"/>
          <w:sz w:val="22"/>
          <w:szCs w:val="22"/>
        </w:rPr>
      </w:pPr>
      <w:r>
        <w:rPr>
          <w:rFonts w:ascii="Arial" w:hAnsi="Arial"/>
          <w:sz w:val="22"/>
          <w:szCs w:val="22"/>
        </w:rPr>
        <w:t xml:space="preserve">The project’s goal, outcome areas, outputs and activities are fully aligned with the </w:t>
      </w:r>
      <w:proofErr w:type="spellStart"/>
      <w:r>
        <w:rPr>
          <w:rFonts w:ascii="Arial" w:hAnsi="Arial"/>
          <w:sz w:val="22"/>
          <w:szCs w:val="22"/>
        </w:rPr>
        <w:t>GoG’s</w:t>
      </w:r>
      <w:proofErr w:type="spellEnd"/>
      <w:r>
        <w:rPr>
          <w:rFonts w:ascii="Arial" w:hAnsi="Arial"/>
          <w:sz w:val="22"/>
          <w:szCs w:val="22"/>
        </w:rPr>
        <w:t xml:space="preserve"> PAR Roadmap, efforts and interests. The project’s structu</w:t>
      </w:r>
      <w:r w:rsidR="00D66985">
        <w:rPr>
          <w:rFonts w:ascii="Arial" w:hAnsi="Arial"/>
          <w:sz w:val="22"/>
          <w:szCs w:val="22"/>
        </w:rPr>
        <w:t>re, management, implementation,</w:t>
      </w:r>
      <w:r>
        <w:rPr>
          <w:rFonts w:ascii="Arial" w:hAnsi="Arial"/>
          <w:sz w:val="22"/>
          <w:szCs w:val="22"/>
        </w:rPr>
        <w:t xml:space="preserve"> and financing are aligned as well with what the project set out to acc</w:t>
      </w:r>
      <w:r w:rsidR="00D66985">
        <w:rPr>
          <w:rFonts w:ascii="Arial" w:hAnsi="Arial"/>
          <w:sz w:val="22"/>
          <w:szCs w:val="22"/>
        </w:rPr>
        <w:t>omplish. Despite the challenges confronted, execution continued. PAR is a diverse reform area and any such effort must be applied whole-of-government and have significant depth to reach throughout the civil service with civil society knowledgeable of the changes and participatory in the process. With the time and resources the project had available to it and with cooperative stakeholders and development partners, all who confronted the same implementa</w:t>
      </w:r>
      <w:r w:rsidR="00DF6B5C">
        <w:rPr>
          <w:rFonts w:ascii="Arial" w:hAnsi="Arial"/>
          <w:sz w:val="22"/>
          <w:szCs w:val="22"/>
        </w:rPr>
        <w:t>tion challenges, the PAR seem to have taken hold and is</w:t>
      </w:r>
      <w:r w:rsidR="00D66985">
        <w:rPr>
          <w:rFonts w:ascii="Arial" w:hAnsi="Arial"/>
          <w:sz w:val="22"/>
          <w:szCs w:val="22"/>
        </w:rPr>
        <w:t xml:space="preserve"> advancing. </w:t>
      </w:r>
    </w:p>
    <w:p w14:paraId="12834030" w14:textId="77777777" w:rsidR="00D66985" w:rsidRDefault="00D66985" w:rsidP="00F0563B">
      <w:pPr>
        <w:jc w:val="both"/>
        <w:rPr>
          <w:rFonts w:ascii="Arial" w:hAnsi="Arial"/>
          <w:sz w:val="22"/>
          <w:szCs w:val="22"/>
        </w:rPr>
      </w:pPr>
    </w:p>
    <w:p w14:paraId="178E7427" w14:textId="6E288527" w:rsidR="00D66985" w:rsidRDefault="00D66985" w:rsidP="00F0563B">
      <w:pPr>
        <w:jc w:val="both"/>
        <w:rPr>
          <w:rFonts w:ascii="Arial" w:hAnsi="Arial"/>
          <w:sz w:val="22"/>
          <w:szCs w:val="22"/>
        </w:rPr>
      </w:pPr>
      <w:r>
        <w:rPr>
          <w:rFonts w:ascii="Arial" w:hAnsi="Arial"/>
          <w:sz w:val="22"/>
          <w:szCs w:val="22"/>
        </w:rPr>
        <w:t xml:space="preserve">The outcome areas of the project are broad and wide ranging. Each outcome area could be a project itself. The approach taken is more sophisticated with different areas of training, advisory services, system building (process and e-system), grant schemes and sub-projects. What has been done can be said to have had an impact on PAR and has been </w:t>
      </w:r>
      <w:r w:rsidR="00DF6B5C">
        <w:rPr>
          <w:rFonts w:ascii="Arial" w:hAnsi="Arial"/>
          <w:sz w:val="22"/>
          <w:szCs w:val="22"/>
        </w:rPr>
        <w:t xml:space="preserve">done </w:t>
      </w:r>
      <w:r>
        <w:rPr>
          <w:rFonts w:ascii="Arial" w:hAnsi="Arial"/>
          <w:sz w:val="22"/>
          <w:szCs w:val="22"/>
        </w:rPr>
        <w:t>in an efficient manner with tangible results. The breakdown of each of the outcome areas will be further described to better i</w:t>
      </w:r>
      <w:r w:rsidR="001F7B19">
        <w:rPr>
          <w:rFonts w:ascii="Arial" w:hAnsi="Arial"/>
          <w:sz w:val="22"/>
          <w:szCs w:val="22"/>
        </w:rPr>
        <w:t>llus</w:t>
      </w:r>
      <w:r>
        <w:rPr>
          <w:rFonts w:ascii="Arial" w:hAnsi="Arial"/>
          <w:sz w:val="22"/>
          <w:szCs w:val="22"/>
        </w:rPr>
        <w:t>tr</w:t>
      </w:r>
      <w:r w:rsidR="001F7B19">
        <w:rPr>
          <w:rFonts w:ascii="Arial" w:hAnsi="Arial"/>
          <w:sz w:val="22"/>
          <w:szCs w:val="22"/>
        </w:rPr>
        <w:t>a</w:t>
      </w:r>
      <w:r>
        <w:rPr>
          <w:rFonts w:ascii="Arial" w:hAnsi="Arial"/>
          <w:sz w:val="22"/>
          <w:szCs w:val="22"/>
        </w:rPr>
        <w:t>te project performance and indi</w:t>
      </w:r>
      <w:r w:rsidR="001F7B19">
        <w:rPr>
          <w:rFonts w:ascii="Arial" w:hAnsi="Arial"/>
          <w:sz w:val="22"/>
          <w:szCs w:val="22"/>
        </w:rPr>
        <w:t>vidual outcome area conclusions</w:t>
      </w:r>
      <w:r>
        <w:rPr>
          <w:rFonts w:ascii="Arial" w:hAnsi="Arial"/>
          <w:sz w:val="22"/>
          <w:szCs w:val="22"/>
        </w:rPr>
        <w:t xml:space="preserve">.  </w:t>
      </w:r>
    </w:p>
    <w:p w14:paraId="779C4FC5" w14:textId="2FA21F66" w:rsidR="00F0563B" w:rsidRDefault="00F0563B" w:rsidP="003060EE">
      <w:pPr>
        <w:pStyle w:val="Heading2"/>
        <w:numPr>
          <w:ilvl w:val="0"/>
          <w:numId w:val="3"/>
        </w:numPr>
      </w:pPr>
      <w:bookmarkStart w:id="17" w:name="_Toc478138868"/>
      <w:r>
        <w:lastRenderedPageBreak/>
        <w:t>Outcome 1: Po</w:t>
      </w:r>
      <w:r w:rsidR="00B874AE">
        <w:t>licy Development and Coordination</w:t>
      </w:r>
      <w:bookmarkEnd w:id="17"/>
    </w:p>
    <w:p w14:paraId="42AD40AC" w14:textId="6144BF4D" w:rsidR="00F0563B" w:rsidRPr="00934177" w:rsidRDefault="00F0563B" w:rsidP="00F0563B">
      <w:pPr>
        <w:pStyle w:val="Heading4"/>
      </w:pPr>
      <w:bookmarkStart w:id="18" w:name="_Toc478138869"/>
      <w:r>
        <w:t>1.</w:t>
      </w:r>
      <w:r w:rsidRPr="00F0563B">
        <w:tab/>
        <w:t>Background and Major Results</w:t>
      </w:r>
      <w:bookmarkEnd w:id="18"/>
    </w:p>
    <w:p w14:paraId="5324411C" w14:textId="77777777" w:rsidR="00F0563B" w:rsidRDefault="00F0563B" w:rsidP="00F0563B">
      <w:pPr>
        <w:jc w:val="both"/>
        <w:rPr>
          <w:rFonts w:ascii="Arial" w:hAnsi="Arial"/>
          <w:sz w:val="22"/>
          <w:szCs w:val="22"/>
        </w:rPr>
      </w:pPr>
    </w:p>
    <w:p w14:paraId="127A2300" w14:textId="0F7EBD95" w:rsidR="00D226FE" w:rsidRDefault="00D226FE" w:rsidP="00D226FE">
      <w:pPr>
        <w:jc w:val="both"/>
        <w:rPr>
          <w:rFonts w:ascii="Arial" w:hAnsi="Arial"/>
          <w:sz w:val="22"/>
          <w:szCs w:val="22"/>
        </w:rPr>
      </w:pPr>
      <w:r>
        <w:rPr>
          <w:rFonts w:ascii="Arial" w:hAnsi="Arial"/>
          <w:sz w:val="22"/>
          <w:szCs w:val="22"/>
        </w:rPr>
        <w:t xml:space="preserve">Outcome 1 is aimed at ensuring the </w:t>
      </w:r>
      <w:proofErr w:type="spellStart"/>
      <w:r>
        <w:rPr>
          <w:rFonts w:ascii="Arial" w:hAnsi="Arial"/>
          <w:sz w:val="22"/>
          <w:szCs w:val="22"/>
        </w:rPr>
        <w:t>GoG</w:t>
      </w:r>
      <w:proofErr w:type="spellEnd"/>
      <w:r>
        <w:rPr>
          <w:rFonts w:ascii="Arial" w:hAnsi="Arial"/>
          <w:sz w:val="22"/>
          <w:szCs w:val="22"/>
        </w:rPr>
        <w:t xml:space="preserve"> enhances participatory policy making and coordination between its institutions for PAR implementation</w:t>
      </w:r>
      <w:r w:rsidR="00C23D33">
        <w:rPr>
          <w:rFonts w:ascii="Arial" w:hAnsi="Arial"/>
          <w:sz w:val="22"/>
          <w:szCs w:val="22"/>
        </w:rPr>
        <w:t xml:space="preserve">. The main work is with the </w:t>
      </w:r>
      <w:proofErr w:type="spellStart"/>
      <w:r w:rsidR="00C23D33">
        <w:rPr>
          <w:rFonts w:ascii="Arial" w:hAnsi="Arial"/>
          <w:sz w:val="22"/>
          <w:szCs w:val="22"/>
        </w:rPr>
        <w:t>AoG</w:t>
      </w:r>
      <w:proofErr w:type="spellEnd"/>
      <w:r w:rsidR="00C23D33">
        <w:rPr>
          <w:rFonts w:ascii="Arial" w:hAnsi="Arial"/>
          <w:sz w:val="22"/>
          <w:szCs w:val="22"/>
        </w:rPr>
        <w:t xml:space="preserve"> </w:t>
      </w:r>
      <w:r>
        <w:rPr>
          <w:rFonts w:ascii="Arial" w:hAnsi="Arial"/>
          <w:sz w:val="22"/>
          <w:szCs w:val="22"/>
        </w:rPr>
        <w:t xml:space="preserve">to improve policy planning, management, implementation, monitoring and evaluation. Within the </w:t>
      </w:r>
      <w:proofErr w:type="spellStart"/>
      <w:r>
        <w:rPr>
          <w:rFonts w:ascii="Arial" w:hAnsi="Arial"/>
          <w:sz w:val="22"/>
          <w:szCs w:val="22"/>
        </w:rPr>
        <w:t>AoG</w:t>
      </w:r>
      <w:proofErr w:type="spellEnd"/>
      <w:r>
        <w:rPr>
          <w:rFonts w:ascii="Arial" w:hAnsi="Arial"/>
          <w:sz w:val="22"/>
          <w:szCs w:val="22"/>
        </w:rPr>
        <w:t xml:space="preserve">, the main work is with the Department of Policy Planning and Coordination and its two units – Policy Planning Unit and Public Administration Reform Unit. The PAR </w:t>
      </w:r>
      <w:r w:rsidR="00975C0A">
        <w:rPr>
          <w:rFonts w:ascii="Arial" w:hAnsi="Arial"/>
          <w:sz w:val="22"/>
          <w:szCs w:val="22"/>
        </w:rPr>
        <w:t>C</w:t>
      </w:r>
      <w:r w:rsidR="007A765D">
        <w:rPr>
          <w:rFonts w:ascii="Arial" w:hAnsi="Arial"/>
          <w:sz w:val="22"/>
          <w:szCs w:val="22"/>
        </w:rPr>
        <w:t xml:space="preserve">ouncil, for which the </w:t>
      </w:r>
      <w:proofErr w:type="spellStart"/>
      <w:r w:rsidR="007A765D">
        <w:rPr>
          <w:rFonts w:ascii="Arial" w:hAnsi="Arial"/>
          <w:sz w:val="22"/>
          <w:szCs w:val="22"/>
        </w:rPr>
        <w:t>AoG</w:t>
      </w:r>
      <w:proofErr w:type="spellEnd"/>
      <w:r w:rsidR="007A765D">
        <w:rPr>
          <w:rFonts w:ascii="Arial" w:hAnsi="Arial"/>
          <w:sz w:val="22"/>
          <w:szCs w:val="22"/>
        </w:rPr>
        <w:t xml:space="preserve"> serv</w:t>
      </w:r>
      <w:r>
        <w:rPr>
          <w:rFonts w:ascii="Arial" w:hAnsi="Arial"/>
          <w:sz w:val="22"/>
          <w:szCs w:val="22"/>
        </w:rPr>
        <w:t xml:space="preserve">es as the </w:t>
      </w:r>
      <w:r w:rsidR="007A765D">
        <w:rPr>
          <w:rFonts w:ascii="Arial" w:hAnsi="Arial"/>
          <w:sz w:val="22"/>
          <w:szCs w:val="22"/>
        </w:rPr>
        <w:t>secretariat</w:t>
      </w:r>
      <w:r w:rsidR="007903C2">
        <w:rPr>
          <w:rFonts w:ascii="Arial" w:hAnsi="Arial"/>
          <w:sz w:val="22"/>
          <w:szCs w:val="22"/>
        </w:rPr>
        <w:t>,</w:t>
      </w:r>
      <w:r w:rsidR="00975C0A">
        <w:rPr>
          <w:rFonts w:ascii="Arial" w:hAnsi="Arial"/>
          <w:sz w:val="22"/>
          <w:szCs w:val="22"/>
        </w:rPr>
        <w:t xml:space="preserve"> has</w:t>
      </w:r>
      <w:r>
        <w:rPr>
          <w:rFonts w:ascii="Arial" w:hAnsi="Arial"/>
          <w:sz w:val="22"/>
          <w:szCs w:val="22"/>
        </w:rPr>
        <w:t xml:space="preserve"> been a main </w:t>
      </w:r>
      <w:r w:rsidR="00975C0A">
        <w:rPr>
          <w:rFonts w:ascii="Arial" w:hAnsi="Arial"/>
          <w:sz w:val="22"/>
          <w:szCs w:val="22"/>
        </w:rPr>
        <w:t>project stakeholder and</w:t>
      </w:r>
      <w:r w:rsidR="00C23D33">
        <w:rPr>
          <w:rFonts w:ascii="Arial" w:hAnsi="Arial"/>
          <w:sz w:val="22"/>
          <w:szCs w:val="22"/>
        </w:rPr>
        <w:t xml:space="preserve"> </w:t>
      </w:r>
      <w:r w:rsidR="00975C0A">
        <w:rPr>
          <w:rFonts w:ascii="Arial" w:hAnsi="Arial"/>
          <w:sz w:val="22"/>
          <w:szCs w:val="22"/>
        </w:rPr>
        <w:t>a main body for</w:t>
      </w:r>
      <w:r w:rsidR="007A765D">
        <w:rPr>
          <w:rFonts w:ascii="Arial" w:hAnsi="Arial"/>
          <w:sz w:val="22"/>
          <w:szCs w:val="22"/>
        </w:rPr>
        <w:t xml:space="preserve"> overall PAR.</w:t>
      </w:r>
      <w:r w:rsidR="00971D6E">
        <w:rPr>
          <w:rFonts w:ascii="Arial" w:hAnsi="Arial"/>
          <w:sz w:val="22"/>
          <w:szCs w:val="22"/>
        </w:rPr>
        <w:t xml:space="preserve"> </w:t>
      </w:r>
      <w:r w:rsidR="00D777C7">
        <w:rPr>
          <w:rFonts w:ascii="Arial" w:hAnsi="Arial"/>
          <w:sz w:val="22"/>
          <w:szCs w:val="22"/>
        </w:rPr>
        <w:t xml:space="preserve">Work was correspondingly done with the ministry and agency planning and policy units. </w:t>
      </w:r>
      <w:r w:rsidR="00971D6E">
        <w:rPr>
          <w:rFonts w:ascii="Arial" w:hAnsi="Arial"/>
          <w:sz w:val="22"/>
          <w:szCs w:val="22"/>
        </w:rPr>
        <w:t xml:space="preserve">Coordination was evident with the civil service reform and public service delivery outcomes. </w:t>
      </w:r>
    </w:p>
    <w:p w14:paraId="11147F0B" w14:textId="0F217B0C" w:rsidR="000D46C4" w:rsidRDefault="000D46C4" w:rsidP="00F0563B">
      <w:pPr>
        <w:jc w:val="both"/>
        <w:rPr>
          <w:rFonts w:ascii="Arial" w:hAnsi="Arial"/>
          <w:sz w:val="22"/>
          <w:szCs w:val="22"/>
        </w:rPr>
      </w:pPr>
    </w:p>
    <w:p w14:paraId="0F0C7EDB" w14:textId="6D34E581" w:rsidR="007A765D" w:rsidRDefault="00C23D33" w:rsidP="00F0563B">
      <w:pPr>
        <w:jc w:val="both"/>
        <w:rPr>
          <w:rFonts w:ascii="Arial" w:hAnsi="Arial"/>
          <w:sz w:val="22"/>
          <w:szCs w:val="22"/>
        </w:rPr>
      </w:pPr>
      <w:r w:rsidRPr="00C23D33">
        <w:rPr>
          <w:rFonts w:ascii="Arial" w:hAnsi="Arial"/>
          <w:sz w:val="22"/>
          <w:szCs w:val="22"/>
        </w:rPr>
        <w:t>Table 5</w:t>
      </w:r>
      <w:r w:rsidR="007A765D" w:rsidRPr="00C23D33">
        <w:rPr>
          <w:rFonts w:ascii="Arial" w:hAnsi="Arial"/>
          <w:sz w:val="22"/>
          <w:szCs w:val="22"/>
        </w:rPr>
        <w:t xml:space="preserve"> provides the main results and status. The information is abstracted from the RRF </w:t>
      </w:r>
      <w:r w:rsidR="000945A9">
        <w:rPr>
          <w:rFonts w:ascii="Arial" w:hAnsi="Arial"/>
          <w:sz w:val="22"/>
          <w:szCs w:val="22"/>
        </w:rPr>
        <w:t>a</w:t>
      </w:r>
      <w:r w:rsidR="007A765D" w:rsidRPr="00C23D33">
        <w:rPr>
          <w:rFonts w:ascii="Arial" w:hAnsi="Arial"/>
          <w:sz w:val="22"/>
          <w:szCs w:val="22"/>
        </w:rPr>
        <w:t xml:space="preserve">s provided as </w:t>
      </w:r>
      <w:r w:rsidR="003D5173">
        <w:rPr>
          <w:rFonts w:ascii="Arial" w:hAnsi="Arial"/>
          <w:sz w:val="22"/>
          <w:szCs w:val="22"/>
        </w:rPr>
        <w:t>Annex</w:t>
      </w:r>
      <w:r w:rsidRPr="00C23D33">
        <w:rPr>
          <w:rFonts w:ascii="Arial" w:hAnsi="Arial"/>
          <w:sz w:val="22"/>
          <w:szCs w:val="22"/>
        </w:rPr>
        <w:t xml:space="preserve"> E</w:t>
      </w:r>
      <w:r w:rsidR="007A765D" w:rsidRPr="00C23D33">
        <w:rPr>
          <w:rFonts w:ascii="Arial" w:hAnsi="Arial"/>
          <w:sz w:val="22"/>
          <w:szCs w:val="22"/>
        </w:rPr>
        <w:t>.</w:t>
      </w:r>
    </w:p>
    <w:p w14:paraId="4F98D2C9" w14:textId="77777777" w:rsidR="007A765D" w:rsidRDefault="007A765D" w:rsidP="00F0563B">
      <w:pPr>
        <w:jc w:val="both"/>
        <w:rPr>
          <w:rFonts w:ascii="Arial" w:hAnsi="Arial"/>
          <w:sz w:val="22"/>
          <w:szCs w:val="22"/>
        </w:rPr>
      </w:pPr>
    </w:p>
    <w:p w14:paraId="4E77F425" w14:textId="2057F2AE" w:rsidR="007A765D" w:rsidRPr="007A765D" w:rsidRDefault="00C23D33" w:rsidP="007A765D">
      <w:pPr>
        <w:jc w:val="center"/>
        <w:rPr>
          <w:rFonts w:ascii="Arial" w:hAnsi="Arial"/>
          <w:b/>
          <w:sz w:val="22"/>
          <w:szCs w:val="22"/>
        </w:rPr>
      </w:pPr>
      <w:r>
        <w:rPr>
          <w:rFonts w:ascii="Arial" w:hAnsi="Arial"/>
          <w:b/>
          <w:sz w:val="22"/>
          <w:szCs w:val="22"/>
        </w:rPr>
        <w:t>Table 5</w:t>
      </w:r>
      <w:r w:rsidR="007A765D" w:rsidRPr="007A765D">
        <w:rPr>
          <w:rFonts w:ascii="Arial" w:hAnsi="Arial"/>
          <w:b/>
          <w:sz w:val="22"/>
          <w:szCs w:val="22"/>
        </w:rPr>
        <w:t xml:space="preserve"> Outcome 1: Policy Development and Cooperation</w:t>
      </w:r>
      <w:r w:rsidR="00C30729">
        <w:rPr>
          <w:rFonts w:ascii="Arial" w:hAnsi="Arial"/>
          <w:b/>
          <w:sz w:val="22"/>
          <w:szCs w:val="22"/>
        </w:rPr>
        <w:t xml:space="preserve"> Main Results</w:t>
      </w:r>
    </w:p>
    <w:p w14:paraId="4C6DE9DD" w14:textId="77777777" w:rsidR="007A765D" w:rsidRDefault="007A765D" w:rsidP="00F0563B">
      <w:pPr>
        <w:jc w:val="both"/>
        <w:rPr>
          <w:rFonts w:ascii="Arial" w:hAnsi="Arial"/>
          <w:sz w:val="22"/>
          <w:szCs w:val="22"/>
        </w:rPr>
      </w:pPr>
    </w:p>
    <w:tbl>
      <w:tblPr>
        <w:tblStyle w:val="LightGrid-Accent1"/>
        <w:tblW w:w="0" w:type="auto"/>
        <w:tblLook w:val="04A0" w:firstRow="1" w:lastRow="0" w:firstColumn="1" w:lastColumn="0" w:noHBand="0" w:noVBand="1"/>
      </w:tblPr>
      <w:tblGrid>
        <w:gridCol w:w="3371"/>
        <w:gridCol w:w="1237"/>
        <w:gridCol w:w="4968"/>
      </w:tblGrid>
      <w:tr w:rsidR="009C7D51" w:rsidRPr="00975C0A" w14:paraId="033F7805" w14:textId="77777777" w:rsidTr="009C7D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71" w:type="dxa"/>
          </w:tcPr>
          <w:p w14:paraId="3BBD45E1" w14:textId="5972DEAA" w:rsidR="009C7D51" w:rsidRPr="00975C0A" w:rsidRDefault="009C7D51" w:rsidP="007A765D">
            <w:pPr>
              <w:jc w:val="center"/>
              <w:rPr>
                <w:rFonts w:ascii="Arial" w:hAnsi="Arial"/>
                <w:sz w:val="20"/>
                <w:szCs w:val="20"/>
              </w:rPr>
            </w:pPr>
            <w:r w:rsidRPr="00975C0A">
              <w:rPr>
                <w:rFonts w:ascii="Arial" w:hAnsi="Arial"/>
                <w:sz w:val="20"/>
                <w:szCs w:val="20"/>
              </w:rPr>
              <w:t>Result</w:t>
            </w:r>
          </w:p>
        </w:tc>
        <w:tc>
          <w:tcPr>
            <w:tcW w:w="1237" w:type="dxa"/>
          </w:tcPr>
          <w:p w14:paraId="4BF2D7FE" w14:textId="563155BB" w:rsidR="009C7D51" w:rsidRPr="00975C0A" w:rsidRDefault="009C7D51" w:rsidP="007A765D">
            <w:pPr>
              <w:jc w:val="cente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975C0A">
              <w:rPr>
                <w:rFonts w:ascii="Arial" w:hAnsi="Arial"/>
                <w:sz w:val="20"/>
                <w:szCs w:val="20"/>
              </w:rPr>
              <w:t>Target</w:t>
            </w:r>
          </w:p>
        </w:tc>
        <w:tc>
          <w:tcPr>
            <w:tcW w:w="4968" w:type="dxa"/>
          </w:tcPr>
          <w:p w14:paraId="672EA366" w14:textId="06A6E6D9" w:rsidR="009C7D51" w:rsidRPr="00975C0A" w:rsidRDefault="009C7D51" w:rsidP="007A765D">
            <w:pPr>
              <w:jc w:val="cente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975C0A">
              <w:rPr>
                <w:rFonts w:ascii="Arial" w:hAnsi="Arial"/>
                <w:sz w:val="20"/>
                <w:szCs w:val="20"/>
              </w:rPr>
              <w:t>Status, Issues or Next Steps</w:t>
            </w:r>
          </w:p>
        </w:tc>
      </w:tr>
      <w:tr w:rsidR="009C7D51" w:rsidRPr="00975C0A" w14:paraId="6639ED96" w14:textId="77777777" w:rsidTr="009C7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34EC03E0" w14:textId="5C9BB3FE" w:rsidR="009C7D51" w:rsidRPr="00975C0A" w:rsidRDefault="009C7D51" w:rsidP="008962D7">
            <w:pPr>
              <w:rPr>
                <w:rFonts w:ascii="Arial" w:hAnsi="Arial"/>
                <w:b w:val="0"/>
                <w:sz w:val="20"/>
                <w:szCs w:val="20"/>
              </w:rPr>
            </w:pPr>
            <w:r w:rsidRPr="00975C0A">
              <w:rPr>
                <w:rFonts w:ascii="Arial" w:hAnsi="Arial"/>
                <w:b w:val="0"/>
                <w:sz w:val="20"/>
                <w:szCs w:val="20"/>
              </w:rPr>
              <w:t>1. Policy Planning, Monitoring and Evaluation Handbook approved</w:t>
            </w:r>
          </w:p>
        </w:tc>
        <w:tc>
          <w:tcPr>
            <w:tcW w:w="1237" w:type="dxa"/>
          </w:tcPr>
          <w:p w14:paraId="5CB53219" w14:textId="722EF385" w:rsidR="009C7D51" w:rsidRPr="00975C0A" w:rsidRDefault="009C7D51" w:rsidP="009C7D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1 process</w:t>
            </w:r>
          </w:p>
        </w:tc>
        <w:tc>
          <w:tcPr>
            <w:tcW w:w="4968" w:type="dxa"/>
          </w:tcPr>
          <w:p w14:paraId="5D5D7AB9" w14:textId="3E54F7DA" w:rsidR="009C7D51" w:rsidRPr="00975C0A" w:rsidRDefault="009C7D51" w:rsidP="008962D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Government Decree 629, December 2019 approved handbook and process</w:t>
            </w:r>
          </w:p>
        </w:tc>
      </w:tr>
      <w:tr w:rsidR="009C7D51" w:rsidRPr="00975C0A" w14:paraId="611FCBF3" w14:textId="77777777" w:rsidTr="009C7D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575C8049" w14:textId="75FF5217" w:rsidR="009C7D51" w:rsidRPr="00975C0A" w:rsidRDefault="009C7D51" w:rsidP="008962D7">
            <w:pPr>
              <w:rPr>
                <w:rFonts w:ascii="Arial" w:hAnsi="Arial"/>
                <w:b w:val="0"/>
                <w:sz w:val="20"/>
                <w:szCs w:val="20"/>
              </w:rPr>
            </w:pPr>
            <w:r w:rsidRPr="00975C0A">
              <w:rPr>
                <w:rFonts w:ascii="Arial" w:hAnsi="Arial"/>
                <w:b w:val="0"/>
                <w:sz w:val="20"/>
                <w:szCs w:val="20"/>
              </w:rPr>
              <w:t xml:space="preserve">2. 8 of 15 policy documents approved by </w:t>
            </w:r>
            <w:proofErr w:type="spellStart"/>
            <w:r w:rsidRPr="00975C0A">
              <w:rPr>
                <w:rFonts w:ascii="Arial" w:hAnsi="Arial"/>
                <w:b w:val="0"/>
                <w:sz w:val="20"/>
                <w:szCs w:val="20"/>
              </w:rPr>
              <w:t>GoG</w:t>
            </w:r>
            <w:proofErr w:type="spellEnd"/>
          </w:p>
        </w:tc>
        <w:tc>
          <w:tcPr>
            <w:tcW w:w="1237" w:type="dxa"/>
          </w:tcPr>
          <w:p w14:paraId="44F88947" w14:textId="3DB2D84E" w:rsidR="009C7D51" w:rsidRPr="00975C0A" w:rsidRDefault="009C7D51" w:rsidP="009C7D51">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3</w:t>
            </w:r>
          </w:p>
        </w:tc>
        <w:tc>
          <w:tcPr>
            <w:tcW w:w="4968" w:type="dxa"/>
          </w:tcPr>
          <w:p w14:paraId="1A26CBD0" w14:textId="2E4FC2FF" w:rsidR="009C7D51" w:rsidRPr="00975C0A" w:rsidRDefault="009C7D51" w:rsidP="008962D7">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The documents were approved using the handbook processes. Progress was delayed by impact of COVID-19 in 2020</w:t>
            </w:r>
          </w:p>
          <w:p w14:paraId="12B266D6" w14:textId="0FCEEC1B" w:rsidR="009C7D51" w:rsidRPr="00975C0A" w:rsidRDefault="009C7D51" w:rsidP="008962D7">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9C7D51" w:rsidRPr="00975C0A" w14:paraId="100DB807" w14:textId="77777777" w:rsidTr="009C7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5D65AC93" w14:textId="77777777" w:rsidR="009C7D51" w:rsidRPr="00975C0A" w:rsidRDefault="009C7D51" w:rsidP="008962D7">
            <w:pPr>
              <w:rPr>
                <w:rFonts w:ascii="Arial" w:hAnsi="Arial"/>
                <w:b w:val="0"/>
                <w:sz w:val="20"/>
                <w:szCs w:val="20"/>
              </w:rPr>
            </w:pPr>
            <w:r w:rsidRPr="00975C0A">
              <w:rPr>
                <w:rFonts w:ascii="Arial" w:hAnsi="Arial"/>
                <w:b w:val="0"/>
                <w:sz w:val="20"/>
                <w:szCs w:val="20"/>
              </w:rPr>
              <w:t>3. 3 major national strategies and accompanying action plans (of 15) are being reviewed using handbook process: PAR Strategy 2021-2024, e-Governance Strategy 2021-25, Maritime Transport Strategy 2021-25</w:t>
            </w:r>
          </w:p>
          <w:p w14:paraId="1BE00990" w14:textId="1552BC9B" w:rsidR="009C7D51" w:rsidRPr="00975C0A" w:rsidRDefault="009C7D51" w:rsidP="008962D7">
            <w:pPr>
              <w:rPr>
                <w:rFonts w:ascii="Arial" w:hAnsi="Arial"/>
                <w:b w:val="0"/>
                <w:sz w:val="20"/>
                <w:szCs w:val="20"/>
              </w:rPr>
            </w:pPr>
          </w:p>
        </w:tc>
        <w:tc>
          <w:tcPr>
            <w:tcW w:w="1237" w:type="dxa"/>
          </w:tcPr>
          <w:p w14:paraId="49D4BA69" w14:textId="1120EC00" w:rsidR="009C7D51" w:rsidRPr="00975C0A" w:rsidRDefault="009C7D51" w:rsidP="009C7D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3</w:t>
            </w:r>
          </w:p>
        </w:tc>
        <w:tc>
          <w:tcPr>
            <w:tcW w:w="4968" w:type="dxa"/>
          </w:tcPr>
          <w:p w14:paraId="7CDB9C72" w14:textId="0DB73E11" w:rsidR="009C7D51" w:rsidRPr="00975C0A" w:rsidRDefault="009C7D51" w:rsidP="008962D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Target to be reached in 2021. Policy Planning Unit working with ministries/agencies on other national, sector and institutional strategies</w:t>
            </w:r>
          </w:p>
        </w:tc>
      </w:tr>
      <w:tr w:rsidR="009C7D51" w:rsidRPr="00975C0A" w14:paraId="2B0DC3C6" w14:textId="77777777" w:rsidTr="009C7D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7959ACB2" w14:textId="1E3A1964" w:rsidR="009C7D51" w:rsidRPr="00975C0A" w:rsidRDefault="009C7D51" w:rsidP="008962D7">
            <w:pPr>
              <w:rPr>
                <w:rFonts w:ascii="Arial" w:hAnsi="Arial"/>
                <w:b w:val="0"/>
                <w:sz w:val="20"/>
                <w:szCs w:val="20"/>
              </w:rPr>
            </w:pPr>
            <w:r w:rsidRPr="00975C0A">
              <w:rPr>
                <w:rFonts w:ascii="Arial" w:hAnsi="Arial"/>
                <w:b w:val="0"/>
                <w:sz w:val="20"/>
                <w:szCs w:val="20"/>
              </w:rPr>
              <w:t>4. Unified Monitoring and Evaluation e-platform under development and the first phase is expected to be completed in March 2021</w:t>
            </w:r>
          </w:p>
        </w:tc>
        <w:tc>
          <w:tcPr>
            <w:tcW w:w="1237" w:type="dxa"/>
          </w:tcPr>
          <w:p w14:paraId="0126FC66" w14:textId="370A704D" w:rsidR="009C7D51" w:rsidRPr="00975C0A" w:rsidRDefault="009C7D51" w:rsidP="009C7D51">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1 platform</w:t>
            </w:r>
          </w:p>
        </w:tc>
        <w:tc>
          <w:tcPr>
            <w:tcW w:w="4968" w:type="dxa"/>
          </w:tcPr>
          <w:p w14:paraId="004325CC" w14:textId="01003CBE" w:rsidR="009C7D51" w:rsidRPr="00975C0A" w:rsidRDefault="009C7D51" w:rsidP="008962D7">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 xml:space="preserve">The e-platform is critical for applying and standardizing the planning process and to have a consistent monitoring and evaluation framework. Project facilitated a working agreement with </w:t>
            </w:r>
            <w:proofErr w:type="spellStart"/>
            <w:r w:rsidRPr="00975C0A">
              <w:rPr>
                <w:rFonts w:ascii="Arial" w:hAnsi="Arial"/>
                <w:sz w:val="20"/>
                <w:szCs w:val="20"/>
              </w:rPr>
              <w:t>AoG</w:t>
            </w:r>
            <w:proofErr w:type="spellEnd"/>
            <w:r w:rsidRPr="00975C0A">
              <w:rPr>
                <w:rFonts w:ascii="Arial" w:hAnsi="Arial"/>
                <w:sz w:val="20"/>
                <w:szCs w:val="20"/>
              </w:rPr>
              <w:t xml:space="preserve"> and DGA to complete the platform. Phase 1 is the design and building of the platform architecture and formalizing the policy planning and monitoring components. The system will be applied government-wide. Phase 2 is scheduled for completion in August 2021. Training (20 civil servants targeted) on the e-platform is to be completed by March 2021 if the first phase is completed by that time. </w:t>
            </w:r>
          </w:p>
        </w:tc>
      </w:tr>
      <w:tr w:rsidR="009C7D51" w:rsidRPr="00975C0A" w14:paraId="30580763" w14:textId="77777777" w:rsidTr="009C7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7B1D3C18" w14:textId="4E4E2B36" w:rsidR="009C7D51" w:rsidRPr="00975C0A" w:rsidRDefault="009C7D51" w:rsidP="008962D7">
            <w:pPr>
              <w:rPr>
                <w:rFonts w:ascii="Arial" w:hAnsi="Arial"/>
                <w:b w:val="0"/>
                <w:sz w:val="20"/>
                <w:szCs w:val="20"/>
              </w:rPr>
            </w:pPr>
            <w:r w:rsidRPr="00975C0A">
              <w:rPr>
                <w:rFonts w:ascii="Arial" w:hAnsi="Arial"/>
                <w:b w:val="0"/>
                <w:sz w:val="20"/>
                <w:szCs w:val="20"/>
              </w:rPr>
              <w:t>5. 79% of civil servants’ support PAR through the development of a PAR Communication Strategy and Action Plan</w:t>
            </w:r>
          </w:p>
          <w:p w14:paraId="4A1C5367" w14:textId="5640B4D4" w:rsidR="009C7D51" w:rsidRPr="00975C0A" w:rsidRDefault="009C7D51" w:rsidP="008962D7">
            <w:pPr>
              <w:rPr>
                <w:rFonts w:ascii="Arial" w:hAnsi="Arial"/>
                <w:b w:val="0"/>
                <w:sz w:val="20"/>
                <w:szCs w:val="20"/>
              </w:rPr>
            </w:pPr>
          </w:p>
        </w:tc>
        <w:tc>
          <w:tcPr>
            <w:tcW w:w="1237" w:type="dxa"/>
          </w:tcPr>
          <w:p w14:paraId="50B1B730" w14:textId="5733A0EB" w:rsidR="009C7D51" w:rsidRPr="00975C0A" w:rsidRDefault="009C7D51" w:rsidP="009C7D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92%</w:t>
            </w:r>
          </w:p>
        </w:tc>
        <w:tc>
          <w:tcPr>
            <w:tcW w:w="4968" w:type="dxa"/>
          </w:tcPr>
          <w:p w14:paraId="3BB881CA" w14:textId="4FAD9173" w:rsidR="009C7D51" w:rsidRPr="00975C0A" w:rsidRDefault="009C7D51" w:rsidP="008962D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The percentage is from the 2019 mid-term public and civil servant perception survey. Survey results will be updated by March 2021. The Communication strategy was prepared in October 2020 but not yet approved. Scheduled for approval at the next PAR Council meeting (March 2021).</w:t>
            </w:r>
          </w:p>
        </w:tc>
      </w:tr>
      <w:tr w:rsidR="009C7D51" w:rsidRPr="00975C0A" w14:paraId="7A09D0D3" w14:textId="77777777" w:rsidTr="009C7D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55E18236" w14:textId="6A65CB4C" w:rsidR="009C7D51" w:rsidRPr="00975C0A" w:rsidRDefault="00975C0A" w:rsidP="009C7D51">
            <w:pPr>
              <w:rPr>
                <w:rFonts w:ascii="Arial" w:hAnsi="Arial"/>
                <w:b w:val="0"/>
                <w:sz w:val="20"/>
                <w:szCs w:val="20"/>
              </w:rPr>
            </w:pPr>
            <w:r>
              <w:rPr>
                <w:rFonts w:ascii="Arial" w:hAnsi="Arial"/>
                <w:b w:val="0"/>
                <w:sz w:val="20"/>
                <w:szCs w:val="20"/>
              </w:rPr>
              <w:lastRenderedPageBreak/>
              <w:t>6</w:t>
            </w:r>
            <w:r w:rsidR="009C7D51" w:rsidRPr="00975C0A">
              <w:rPr>
                <w:rFonts w:ascii="Arial" w:hAnsi="Arial"/>
                <w:b w:val="0"/>
                <w:sz w:val="20"/>
                <w:szCs w:val="20"/>
              </w:rPr>
              <w:t>. 94% of policy planning units trained on policy planning, monitoring and evaluation from all line ministries</w:t>
            </w:r>
          </w:p>
        </w:tc>
        <w:tc>
          <w:tcPr>
            <w:tcW w:w="1237" w:type="dxa"/>
          </w:tcPr>
          <w:p w14:paraId="53D371C5" w14:textId="16DE6692" w:rsidR="009C7D51" w:rsidRPr="00975C0A" w:rsidRDefault="009C7D51" w:rsidP="009C7D51">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90%</w:t>
            </w:r>
          </w:p>
        </w:tc>
        <w:tc>
          <w:tcPr>
            <w:tcW w:w="4968" w:type="dxa"/>
          </w:tcPr>
          <w:p w14:paraId="474D42D5" w14:textId="24A075FB" w:rsidR="009C7D51" w:rsidRPr="00975C0A" w:rsidRDefault="009C7D51" w:rsidP="00AC3944">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 xml:space="preserve">The last phase of the training was delivered on-line. Agreement with </w:t>
            </w:r>
            <w:proofErr w:type="spellStart"/>
            <w:r w:rsidRPr="00975C0A">
              <w:rPr>
                <w:rFonts w:ascii="Arial" w:hAnsi="Arial"/>
                <w:sz w:val="20"/>
                <w:szCs w:val="20"/>
              </w:rPr>
              <w:t>AoG</w:t>
            </w:r>
            <w:proofErr w:type="spellEnd"/>
            <w:r w:rsidRPr="00975C0A">
              <w:rPr>
                <w:rFonts w:ascii="Arial" w:hAnsi="Arial"/>
                <w:sz w:val="20"/>
                <w:szCs w:val="20"/>
              </w:rPr>
              <w:t xml:space="preserve"> to have the next phase of training on the unified e-learning platform (see outcome area 2, below). </w:t>
            </w:r>
            <w:r w:rsidR="00AC3944" w:rsidRPr="00975C0A">
              <w:rPr>
                <w:rFonts w:ascii="Arial" w:hAnsi="Arial"/>
                <w:sz w:val="20"/>
                <w:szCs w:val="20"/>
              </w:rPr>
              <w:t>As part of policy unit staff training plans, new personnel must receive training upon entry and personnel have to attend training every 3 years</w:t>
            </w:r>
            <w:r w:rsidRPr="00975C0A">
              <w:rPr>
                <w:rFonts w:ascii="Arial" w:hAnsi="Arial"/>
                <w:sz w:val="20"/>
                <w:szCs w:val="20"/>
              </w:rPr>
              <w:t>. Training w</w:t>
            </w:r>
            <w:r w:rsidR="00AC3944" w:rsidRPr="00975C0A">
              <w:rPr>
                <w:rFonts w:ascii="Arial" w:hAnsi="Arial"/>
                <w:sz w:val="20"/>
                <w:szCs w:val="20"/>
              </w:rPr>
              <w:t>as inclusive</w:t>
            </w:r>
            <w:r w:rsidRPr="00975C0A">
              <w:rPr>
                <w:rFonts w:ascii="Arial" w:hAnsi="Arial"/>
                <w:sz w:val="20"/>
                <w:szCs w:val="20"/>
              </w:rPr>
              <w:t xml:space="preserve"> of officials from </w:t>
            </w:r>
            <w:proofErr w:type="spellStart"/>
            <w:r w:rsidRPr="00975C0A">
              <w:rPr>
                <w:rFonts w:ascii="Arial" w:hAnsi="Arial"/>
                <w:sz w:val="20"/>
                <w:szCs w:val="20"/>
              </w:rPr>
              <w:t>Ajara</w:t>
            </w:r>
            <w:proofErr w:type="spellEnd"/>
            <w:r w:rsidRPr="00975C0A">
              <w:rPr>
                <w:rFonts w:ascii="Arial" w:hAnsi="Arial"/>
                <w:sz w:val="20"/>
                <w:szCs w:val="20"/>
              </w:rPr>
              <w:t>.</w:t>
            </w:r>
          </w:p>
        </w:tc>
      </w:tr>
      <w:tr w:rsidR="009C7D51" w:rsidRPr="00975C0A" w14:paraId="17FA3738" w14:textId="77777777" w:rsidTr="009C7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659D1A9F" w14:textId="328630C9" w:rsidR="009C7D51" w:rsidRPr="00975C0A" w:rsidRDefault="00975C0A" w:rsidP="008962D7">
            <w:pPr>
              <w:rPr>
                <w:rFonts w:ascii="Arial" w:hAnsi="Arial"/>
                <w:b w:val="0"/>
                <w:sz w:val="20"/>
                <w:szCs w:val="20"/>
              </w:rPr>
            </w:pPr>
            <w:r>
              <w:rPr>
                <w:rFonts w:ascii="Arial" w:hAnsi="Arial"/>
                <w:b w:val="0"/>
                <w:sz w:val="20"/>
                <w:szCs w:val="20"/>
              </w:rPr>
              <w:t>7</w:t>
            </w:r>
            <w:r w:rsidR="009C7D51" w:rsidRPr="00975C0A">
              <w:rPr>
                <w:rFonts w:ascii="Arial" w:hAnsi="Arial"/>
                <w:b w:val="0"/>
                <w:sz w:val="20"/>
                <w:szCs w:val="20"/>
              </w:rPr>
              <w:t>. 87% of civil servants demonstrate increased knowledge of unified policy planning process</w:t>
            </w:r>
          </w:p>
        </w:tc>
        <w:tc>
          <w:tcPr>
            <w:tcW w:w="1237" w:type="dxa"/>
          </w:tcPr>
          <w:p w14:paraId="7F19D74B" w14:textId="32F6AC6B" w:rsidR="009C7D51" w:rsidRPr="00975C0A" w:rsidRDefault="009C7D51" w:rsidP="009C7D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80%</w:t>
            </w:r>
          </w:p>
        </w:tc>
        <w:tc>
          <w:tcPr>
            <w:tcW w:w="4968" w:type="dxa"/>
          </w:tcPr>
          <w:p w14:paraId="57133C39" w14:textId="71C07372" w:rsidR="009C7D51" w:rsidRPr="00975C0A" w:rsidRDefault="009C7D51" w:rsidP="008962D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Expectation is that the added knowledge will contribute to higher quality policy documents.</w:t>
            </w:r>
          </w:p>
        </w:tc>
      </w:tr>
      <w:tr w:rsidR="009C7D51" w:rsidRPr="00975C0A" w14:paraId="7CE97087" w14:textId="77777777" w:rsidTr="009C7D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75251105" w14:textId="6631FF6E" w:rsidR="009C7D51" w:rsidRPr="00975C0A" w:rsidRDefault="00975C0A" w:rsidP="008962D7">
            <w:pPr>
              <w:rPr>
                <w:rFonts w:ascii="Arial" w:hAnsi="Arial"/>
                <w:b w:val="0"/>
                <w:sz w:val="20"/>
                <w:szCs w:val="20"/>
              </w:rPr>
            </w:pPr>
            <w:r>
              <w:rPr>
                <w:rFonts w:ascii="Arial" w:hAnsi="Arial"/>
                <w:b w:val="0"/>
                <w:sz w:val="20"/>
                <w:szCs w:val="20"/>
              </w:rPr>
              <w:t>8</w:t>
            </w:r>
            <w:r w:rsidR="009C7D51" w:rsidRPr="00975C0A">
              <w:rPr>
                <w:rFonts w:ascii="Arial" w:hAnsi="Arial"/>
                <w:b w:val="0"/>
                <w:sz w:val="20"/>
                <w:szCs w:val="20"/>
              </w:rPr>
              <w:t xml:space="preserve">. 75% demonstrate understanding of inclusive public participation elements </w:t>
            </w:r>
          </w:p>
        </w:tc>
        <w:tc>
          <w:tcPr>
            <w:tcW w:w="1237" w:type="dxa"/>
          </w:tcPr>
          <w:p w14:paraId="535E0CC4" w14:textId="77902E9F" w:rsidR="009C7D51" w:rsidRPr="00975C0A" w:rsidRDefault="009C7D51" w:rsidP="009C7D51">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60%</w:t>
            </w:r>
          </w:p>
        </w:tc>
        <w:tc>
          <w:tcPr>
            <w:tcW w:w="4968" w:type="dxa"/>
          </w:tcPr>
          <w:p w14:paraId="2A0AD711" w14:textId="1D655441" w:rsidR="009C7D51" w:rsidRPr="00975C0A" w:rsidRDefault="009C7D51" w:rsidP="008962D7">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975C0A">
              <w:rPr>
                <w:rFonts w:ascii="Arial" w:hAnsi="Arial"/>
                <w:sz w:val="20"/>
                <w:szCs w:val="20"/>
              </w:rPr>
              <w:t>Training and the policy handbook include raising awareness and providing avenues for public inputs. And, a CSO conducted a study that prepared an index to measure compliance of public input to the policy process.</w:t>
            </w:r>
          </w:p>
        </w:tc>
      </w:tr>
      <w:tr w:rsidR="009C7D51" w:rsidRPr="00975C0A" w14:paraId="15F46E66" w14:textId="77777777" w:rsidTr="009C7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1" w:type="dxa"/>
          </w:tcPr>
          <w:p w14:paraId="3AB2FD91" w14:textId="39BBA234" w:rsidR="009C7D51" w:rsidRPr="00975C0A" w:rsidRDefault="00975C0A" w:rsidP="008962D7">
            <w:pPr>
              <w:rPr>
                <w:rFonts w:ascii="Arial" w:hAnsi="Arial"/>
                <w:b w:val="0"/>
                <w:sz w:val="20"/>
                <w:szCs w:val="20"/>
              </w:rPr>
            </w:pPr>
            <w:r>
              <w:rPr>
                <w:rFonts w:ascii="Arial" w:hAnsi="Arial"/>
                <w:b w:val="0"/>
                <w:sz w:val="20"/>
                <w:szCs w:val="20"/>
              </w:rPr>
              <w:t>9</w:t>
            </w:r>
            <w:r w:rsidR="009C7D51" w:rsidRPr="00975C0A">
              <w:rPr>
                <w:rFonts w:ascii="Arial" w:hAnsi="Arial"/>
                <w:b w:val="0"/>
                <w:sz w:val="20"/>
                <w:szCs w:val="20"/>
              </w:rPr>
              <w:t>. PAR Strategy and Action Plan (2021-2024) under development</w:t>
            </w:r>
          </w:p>
        </w:tc>
        <w:tc>
          <w:tcPr>
            <w:tcW w:w="1237" w:type="dxa"/>
          </w:tcPr>
          <w:p w14:paraId="028F8015" w14:textId="7270F334" w:rsidR="009C7D51" w:rsidRPr="00975C0A" w:rsidRDefault="009C7D51" w:rsidP="009C7D51">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975C0A">
              <w:rPr>
                <w:rFonts w:ascii="Arial" w:hAnsi="Arial"/>
                <w:sz w:val="20"/>
                <w:szCs w:val="20"/>
              </w:rPr>
              <w:t>1 plan</w:t>
            </w:r>
          </w:p>
        </w:tc>
        <w:tc>
          <w:tcPr>
            <w:tcW w:w="4968" w:type="dxa"/>
          </w:tcPr>
          <w:p w14:paraId="7FB676B1" w14:textId="06A4FD21" w:rsidR="009C7D51" w:rsidRPr="00975C0A" w:rsidRDefault="009C7D51" w:rsidP="008962D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sidRPr="00975C0A">
              <w:rPr>
                <w:rFonts w:ascii="Arial" w:hAnsi="Arial"/>
                <w:sz w:val="20"/>
                <w:szCs w:val="20"/>
              </w:rPr>
              <w:t>AoG</w:t>
            </w:r>
            <w:proofErr w:type="spellEnd"/>
            <w:r w:rsidRPr="00975C0A">
              <w:rPr>
                <w:rFonts w:ascii="Arial" w:hAnsi="Arial"/>
                <w:sz w:val="20"/>
                <w:szCs w:val="20"/>
              </w:rPr>
              <w:t xml:space="preserve"> is leading the formulation of the new strategy that was delayed given the COVID-19 situation and </w:t>
            </w:r>
            <w:proofErr w:type="spellStart"/>
            <w:r w:rsidRPr="00975C0A">
              <w:rPr>
                <w:rFonts w:ascii="Arial" w:hAnsi="Arial"/>
                <w:sz w:val="20"/>
                <w:szCs w:val="20"/>
              </w:rPr>
              <w:t>GoG</w:t>
            </w:r>
            <w:proofErr w:type="spellEnd"/>
            <w:r w:rsidRPr="00975C0A">
              <w:rPr>
                <w:rFonts w:ascii="Arial" w:hAnsi="Arial"/>
                <w:sz w:val="20"/>
                <w:szCs w:val="20"/>
              </w:rPr>
              <w:t xml:space="preserve"> response, and government changes. The project has provided support, as has UN Women. Assistance has been provided for workshops, focus groups and consultant provision. The strategy will be linked to the Government Program 2021-2024 that includes PAR.</w:t>
            </w:r>
          </w:p>
        </w:tc>
      </w:tr>
    </w:tbl>
    <w:p w14:paraId="5A5A811E" w14:textId="77777777" w:rsidR="000D46C4" w:rsidRDefault="000D46C4" w:rsidP="00F0563B">
      <w:pPr>
        <w:jc w:val="both"/>
        <w:rPr>
          <w:rFonts w:ascii="Arial" w:hAnsi="Arial"/>
          <w:sz w:val="22"/>
          <w:szCs w:val="22"/>
        </w:rPr>
      </w:pPr>
    </w:p>
    <w:p w14:paraId="02272F32" w14:textId="00CD2704" w:rsidR="00C30612" w:rsidRDefault="00461BC5" w:rsidP="00F0563B">
      <w:pPr>
        <w:jc w:val="both"/>
        <w:rPr>
          <w:rFonts w:ascii="Arial" w:hAnsi="Arial"/>
          <w:sz w:val="22"/>
          <w:szCs w:val="22"/>
        </w:rPr>
      </w:pPr>
      <w:r>
        <w:rPr>
          <w:rFonts w:ascii="Arial" w:hAnsi="Arial"/>
          <w:sz w:val="22"/>
          <w:szCs w:val="22"/>
        </w:rPr>
        <w:t>Initially in 2016</w:t>
      </w:r>
      <w:r w:rsidR="003D6ECD">
        <w:rPr>
          <w:rFonts w:ascii="Arial" w:hAnsi="Arial"/>
          <w:sz w:val="22"/>
          <w:szCs w:val="22"/>
        </w:rPr>
        <w:t>, the project team</w:t>
      </w:r>
      <w:r>
        <w:rPr>
          <w:rFonts w:ascii="Arial" w:hAnsi="Arial"/>
          <w:sz w:val="22"/>
          <w:szCs w:val="22"/>
        </w:rPr>
        <w:t xml:space="preserve"> had consultations with the </w:t>
      </w:r>
      <w:proofErr w:type="spellStart"/>
      <w:r>
        <w:rPr>
          <w:rFonts w:ascii="Arial" w:hAnsi="Arial"/>
          <w:sz w:val="22"/>
          <w:szCs w:val="22"/>
        </w:rPr>
        <w:t>AoG</w:t>
      </w:r>
      <w:proofErr w:type="spellEnd"/>
      <w:r>
        <w:rPr>
          <w:rFonts w:ascii="Arial" w:hAnsi="Arial"/>
          <w:sz w:val="22"/>
          <w:szCs w:val="22"/>
        </w:rPr>
        <w:t xml:space="preserve"> since it is the primary count</w:t>
      </w:r>
      <w:r w:rsidR="003D6ECD">
        <w:rPr>
          <w:rFonts w:ascii="Arial" w:hAnsi="Arial"/>
          <w:sz w:val="22"/>
          <w:szCs w:val="22"/>
        </w:rPr>
        <w:t>erpart for the project and for the o</w:t>
      </w:r>
      <w:r>
        <w:rPr>
          <w:rFonts w:ascii="Arial" w:hAnsi="Arial"/>
          <w:sz w:val="22"/>
          <w:szCs w:val="22"/>
        </w:rPr>
        <w:t>utco</w:t>
      </w:r>
      <w:r w:rsidR="003D6ECD">
        <w:rPr>
          <w:rFonts w:ascii="Arial" w:hAnsi="Arial"/>
          <w:sz w:val="22"/>
          <w:szCs w:val="22"/>
        </w:rPr>
        <w:t>me</w:t>
      </w:r>
      <w:r>
        <w:rPr>
          <w:rFonts w:ascii="Arial" w:hAnsi="Arial"/>
          <w:sz w:val="22"/>
          <w:szCs w:val="22"/>
        </w:rPr>
        <w:t xml:space="preserve">. There was initially some refinement of the outputs. </w:t>
      </w:r>
      <w:r w:rsidR="00C30612">
        <w:rPr>
          <w:rFonts w:ascii="Arial" w:hAnsi="Arial"/>
          <w:sz w:val="22"/>
          <w:szCs w:val="22"/>
        </w:rPr>
        <w:t>It was determined that the CSB as the primary beneficiary for the change management plan for civil service reform</w:t>
      </w:r>
      <w:r w:rsidR="003D6ECD">
        <w:rPr>
          <w:rFonts w:ascii="Arial" w:hAnsi="Arial"/>
          <w:sz w:val="22"/>
          <w:szCs w:val="22"/>
        </w:rPr>
        <w:t xml:space="preserve"> would coordinate tha</w:t>
      </w:r>
      <w:r w:rsidR="008368E7">
        <w:rPr>
          <w:rFonts w:ascii="Arial" w:hAnsi="Arial"/>
          <w:sz w:val="22"/>
          <w:szCs w:val="22"/>
        </w:rPr>
        <w:t>t outcome area</w:t>
      </w:r>
      <w:r w:rsidR="00C30612">
        <w:rPr>
          <w:rFonts w:ascii="Arial" w:hAnsi="Arial"/>
          <w:sz w:val="22"/>
          <w:szCs w:val="22"/>
        </w:rPr>
        <w:t xml:space="preserve">. </w:t>
      </w:r>
      <w:r w:rsidR="008368E7">
        <w:rPr>
          <w:rFonts w:ascii="Arial" w:hAnsi="Arial"/>
          <w:sz w:val="22"/>
          <w:szCs w:val="22"/>
        </w:rPr>
        <w:t>It was decided</w:t>
      </w:r>
      <w:r w:rsidR="003D6ECD">
        <w:rPr>
          <w:rFonts w:ascii="Arial" w:hAnsi="Arial"/>
          <w:sz w:val="22"/>
          <w:szCs w:val="22"/>
        </w:rPr>
        <w:t xml:space="preserve"> </w:t>
      </w:r>
      <w:r w:rsidR="008368E7">
        <w:rPr>
          <w:rFonts w:ascii="Arial" w:hAnsi="Arial"/>
          <w:sz w:val="22"/>
          <w:szCs w:val="22"/>
        </w:rPr>
        <w:t>t</w:t>
      </w:r>
      <w:r w:rsidR="00C30612">
        <w:rPr>
          <w:rFonts w:ascii="Arial" w:hAnsi="Arial"/>
          <w:sz w:val="22"/>
          <w:szCs w:val="22"/>
        </w:rPr>
        <w:t>he internal and external communication strategy would concentrate o</w:t>
      </w:r>
      <w:r w:rsidR="008368E7">
        <w:rPr>
          <w:rFonts w:ascii="Arial" w:hAnsi="Arial"/>
          <w:sz w:val="22"/>
          <w:szCs w:val="22"/>
        </w:rPr>
        <w:t>n civil service reform. It was</w:t>
      </w:r>
      <w:r w:rsidR="00C30612">
        <w:rPr>
          <w:rFonts w:ascii="Arial" w:hAnsi="Arial"/>
          <w:sz w:val="22"/>
          <w:szCs w:val="22"/>
        </w:rPr>
        <w:t xml:space="preserve"> </w:t>
      </w:r>
      <w:r w:rsidR="008368E7">
        <w:rPr>
          <w:rFonts w:ascii="Arial" w:hAnsi="Arial"/>
          <w:sz w:val="22"/>
          <w:szCs w:val="22"/>
        </w:rPr>
        <w:t>also decided</w:t>
      </w:r>
      <w:r w:rsidR="00C30612">
        <w:rPr>
          <w:rFonts w:ascii="Arial" w:hAnsi="Arial"/>
          <w:sz w:val="22"/>
          <w:szCs w:val="22"/>
        </w:rPr>
        <w:t xml:space="preserve"> that ministry planning capacities would be assessed to develop an appropriate model of performance monitoring and reporting with the following years to install mechanisms and methodologies. And</w:t>
      </w:r>
      <w:r w:rsidR="008368E7">
        <w:rPr>
          <w:rFonts w:ascii="Arial" w:hAnsi="Arial"/>
          <w:sz w:val="22"/>
          <w:szCs w:val="22"/>
        </w:rPr>
        <w:t xml:space="preserve">, </w:t>
      </w:r>
      <w:proofErr w:type="spellStart"/>
      <w:r w:rsidR="008368E7">
        <w:rPr>
          <w:rFonts w:ascii="Arial" w:hAnsi="Arial"/>
          <w:sz w:val="22"/>
          <w:szCs w:val="22"/>
        </w:rPr>
        <w:t>Ao</w:t>
      </w:r>
      <w:r w:rsidR="00C30612">
        <w:rPr>
          <w:rFonts w:ascii="Arial" w:hAnsi="Arial"/>
          <w:sz w:val="22"/>
          <w:szCs w:val="22"/>
        </w:rPr>
        <w:t>G</w:t>
      </w:r>
      <w:proofErr w:type="spellEnd"/>
      <w:r w:rsidR="00C30612">
        <w:rPr>
          <w:rFonts w:ascii="Arial" w:hAnsi="Arial"/>
          <w:sz w:val="22"/>
          <w:szCs w:val="22"/>
        </w:rPr>
        <w:t xml:space="preserve"> wanted support to introd</w:t>
      </w:r>
      <w:r w:rsidR="00C45FA6">
        <w:rPr>
          <w:rFonts w:ascii="Arial" w:hAnsi="Arial"/>
          <w:sz w:val="22"/>
          <w:szCs w:val="22"/>
        </w:rPr>
        <w:t>uce new policy planning practice</w:t>
      </w:r>
      <w:r w:rsidR="00C30612">
        <w:rPr>
          <w:rFonts w:ascii="Arial" w:hAnsi="Arial"/>
          <w:sz w:val="22"/>
          <w:szCs w:val="22"/>
        </w:rPr>
        <w:t>s a</w:t>
      </w:r>
      <w:r w:rsidR="00AF4AD0">
        <w:rPr>
          <w:rFonts w:ascii="Arial" w:hAnsi="Arial"/>
          <w:sz w:val="22"/>
          <w:szCs w:val="22"/>
        </w:rPr>
        <w:t>t</w:t>
      </w:r>
      <w:r w:rsidR="00C30612">
        <w:rPr>
          <w:rFonts w:ascii="Arial" w:hAnsi="Arial"/>
          <w:sz w:val="22"/>
          <w:szCs w:val="22"/>
        </w:rPr>
        <w:t xml:space="preserve"> the line ministries</w:t>
      </w:r>
      <w:r w:rsidR="008368E7">
        <w:rPr>
          <w:rFonts w:ascii="Arial" w:hAnsi="Arial"/>
          <w:sz w:val="22"/>
          <w:szCs w:val="22"/>
        </w:rPr>
        <w:t>.</w:t>
      </w:r>
      <w:r w:rsidR="00C30612">
        <w:rPr>
          <w:rFonts w:ascii="Arial" w:hAnsi="Arial"/>
          <w:sz w:val="22"/>
          <w:szCs w:val="22"/>
        </w:rPr>
        <w:t xml:space="preserve"> </w:t>
      </w:r>
    </w:p>
    <w:p w14:paraId="256BE9F4" w14:textId="77777777" w:rsidR="00F0563B" w:rsidRDefault="00F0563B" w:rsidP="00F0563B">
      <w:pPr>
        <w:jc w:val="both"/>
        <w:rPr>
          <w:rFonts w:ascii="Arial" w:hAnsi="Arial"/>
          <w:sz w:val="22"/>
          <w:szCs w:val="22"/>
        </w:rPr>
      </w:pPr>
    </w:p>
    <w:p w14:paraId="5C57F0E0" w14:textId="4B7A1C37" w:rsidR="008368E7" w:rsidRDefault="00C4458A" w:rsidP="008368E7">
      <w:pPr>
        <w:jc w:val="both"/>
        <w:rPr>
          <w:rFonts w:ascii="Arial" w:hAnsi="Arial"/>
          <w:sz w:val="22"/>
          <w:szCs w:val="22"/>
        </w:rPr>
      </w:pPr>
      <w:r>
        <w:rPr>
          <w:rFonts w:ascii="Arial" w:hAnsi="Arial"/>
          <w:sz w:val="22"/>
          <w:szCs w:val="22"/>
        </w:rPr>
        <w:t>In 2017</w:t>
      </w:r>
      <w:r w:rsidR="008368E7">
        <w:rPr>
          <w:rFonts w:ascii="Arial" w:hAnsi="Arial"/>
          <w:sz w:val="22"/>
          <w:szCs w:val="22"/>
        </w:rPr>
        <w:t>, there was</w:t>
      </w:r>
      <w:r>
        <w:rPr>
          <w:rFonts w:ascii="Arial" w:hAnsi="Arial"/>
          <w:sz w:val="22"/>
          <w:szCs w:val="22"/>
        </w:rPr>
        <w:t xml:space="preserve"> a reev</w:t>
      </w:r>
      <w:r w:rsidR="00394B1C">
        <w:rPr>
          <w:rFonts w:ascii="Arial" w:hAnsi="Arial"/>
          <w:sz w:val="22"/>
          <w:szCs w:val="22"/>
        </w:rPr>
        <w:t xml:space="preserve">aluation of PAR modalities in </w:t>
      </w:r>
      <w:proofErr w:type="spellStart"/>
      <w:r w:rsidR="00A874D7">
        <w:rPr>
          <w:rFonts w:ascii="Arial" w:hAnsi="Arial"/>
          <w:sz w:val="22"/>
          <w:szCs w:val="22"/>
        </w:rPr>
        <w:t>AoG</w:t>
      </w:r>
      <w:proofErr w:type="spellEnd"/>
      <w:r w:rsidR="00A874D7">
        <w:rPr>
          <w:rFonts w:ascii="Arial" w:hAnsi="Arial"/>
          <w:sz w:val="22"/>
          <w:szCs w:val="22"/>
        </w:rPr>
        <w:t xml:space="preserve"> </w:t>
      </w:r>
      <w:r w:rsidR="008368E7">
        <w:rPr>
          <w:rFonts w:ascii="Arial" w:hAnsi="Arial"/>
          <w:sz w:val="22"/>
          <w:szCs w:val="22"/>
        </w:rPr>
        <w:t>and changes</w:t>
      </w:r>
      <w:r w:rsidR="00394B1C">
        <w:rPr>
          <w:rFonts w:ascii="Arial" w:hAnsi="Arial"/>
          <w:sz w:val="22"/>
          <w:szCs w:val="22"/>
        </w:rPr>
        <w:t xml:space="preserve"> in </w:t>
      </w:r>
      <w:r w:rsidR="00AF4AD0">
        <w:rPr>
          <w:rFonts w:ascii="Arial" w:hAnsi="Arial"/>
          <w:sz w:val="22"/>
          <w:szCs w:val="22"/>
        </w:rPr>
        <w:t xml:space="preserve">the </w:t>
      </w:r>
      <w:r w:rsidR="008368E7">
        <w:rPr>
          <w:rFonts w:ascii="Arial" w:hAnsi="Arial"/>
          <w:sz w:val="22"/>
          <w:szCs w:val="22"/>
        </w:rPr>
        <w:t xml:space="preserve">Policy, Planning and Innovation Unit. The </w:t>
      </w:r>
      <w:proofErr w:type="spellStart"/>
      <w:r w:rsidR="008368E7">
        <w:rPr>
          <w:rFonts w:ascii="Arial" w:hAnsi="Arial"/>
          <w:sz w:val="22"/>
          <w:szCs w:val="22"/>
        </w:rPr>
        <w:t>Ao</w:t>
      </w:r>
      <w:r w:rsidR="008A0585" w:rsidRPr="008A0585">
        <w:rPr>
          <w:rFonts w:ascii="Arial" w:hAnsi="Arial"/>
          <w:sz w:val="22"/>
          <w:szCs w:val="22"/>
        </w:rPr>
        <w:t>G</w:t>
      </w:r>
      <w:proofErr w:type="spellEnd"/>
      <w:r w:rsidR="008A0585" w:rsidRPr="008A0585">
        <w:rPr>
          <w:rFonts w:ascii="Arial" w:hAnsi="Arial"/>
          <w:sz w:val="22"/>
          <w:szCs w:val="22"/>
        </w:rPr>
        <w:t xml:space="preserve"> completed </w:t>
      </w:r>
      <w:r w:rsidR="008368E7">
        <w:rPr>
          <w:rFonts w:ascii="Arial" w:hAnsi="Arial"/>
          <w:sz w:val="22"/>
          <w:szCs w:val="22"/>
        </w:rPr>
        <w:t xml:space="preserve">an </w:t>
      </w:r>
      <w:r w:rsidR="008A0585" w:rsidRPr="008A0585">
        <w:rPr>
          <w:rFonts w:ascii="Arial" w:hAnsi="Arial"/>
          <w:sz w:val="22"/>
          <w:szCs w:val="22"/>
        </w:rPr>
        <w:t xml:space="preserve">assessment and mapping of strategic processes for PAR guidance including recommendations for improvement. </w:t>
      </w:r>
      <w:r w:rsidR="008368E7">
        <w:rPr>
          <w:rFonts w:ascii="Arial" w:hAnsi="Arial"/>
          <w:sz w:val="22"/>
          <w:szCs w:val="22"/>
        </w:rPr>
        <w:t xml:space="preserve">The </w:t>
      </w:r>
      <w:r w:rsidR="008A0585" w:rsidRPr="008A0585">
        <w:rPr>
          <w:rFonts w:ascii="Arial" w:hAnsi="Arial"/>
          <w:sz w:val="22"/>
          <w:szCs w:val="22"/>
        </w:rPr>
        <w:t>PAR working groups</w:t>
      </w:r>
      <w:r w:rsidR="008368E7">
        <w:rPr>
          <w:rFonts w:ascii="Arial" w:hAnsi="Arial"/>
          <w:sz w:val="22"/>
          <w:szCs w:val="22"/>
        </w:rPr>
        <w:t xml:space="preserve"> were used to conduct the assessment and mapping.</w:t>
      </w:r>
      <w:r w:rsidR="008A0585">
        <w:rPr>
          <w:rStyle w:val="FootnoteReference"/>
          <w:rFonts w:ascii="Arial" w:hAnsi="Arial"/>
          <w:sz w:val="22"/>
          <w:szCs w:val="22"/>
        </w:rPr>
        <w:footnoteReference w:id="34"/>
      </w:r>
      <w:r w:rsidR="008368E7">
        <w:rPr>
          <w:rFonts w:ascii="Arial" w:hAnsi="Arial"/>
          <w:sz w:val="22"/>
          <w:szCs w:val="22"/>
        </w:rPr>
        <w:t xml:space="preserve"> The project conducted an evaluation of ongoing planning and coordination </w:t>
      </w:r>
      <w:r w:rsidR="00B528F2">
        <w:rPr>
          <w:rFonts w:ascii="Arial" w:hAnsi="Arial"/>
          <w:sz w:val="22"/>
          <w:szCs w:val="22"/>
        </w:rPr>
        <w:t>processes including performance</w:t>
      </w:r>
      <w:r w:rsidR="008368E7">
        <w:rPr>
          <w:rFonts w:ascii="Arial" w:hAnsi="Arial"/>
          <w:sz w:val="22"/>
          <w:szCs w:val="22"/>
        </w:rPr>
        <w:t xml:space="preserve"> tracking and monitoring. The evaluation resulted in recommendations and the beginning of peer advice to ministry and agency policy units. The PAR Council was initially an active stakeholder and had an under</w:t>
      </w:r>
      <w:r w:rsidR="00AF4AD0">
        <w:rPr>
          <w:rFonts w:ascii="Arial" w:hAnsi="Arial"/>
          <w:sz w:val="22"/>
          <w:szCs w:val="22"/>
        </w:rPr>
        <w:t>standing of project objectives.</w:t>
      </w:r>
    </w:p>
    <w:p w14:paraId="1AF3AF83" w14:textId="77777777" w:rsidR="00981F67" w:rsidRDefault="00981F67" w:rsidP="00981F67">
      <w:pPr>
        <w:jc w:val="both"/>
        <w:rPr>
          <w:rFonts w:ascii="Arial" w:hAnsi="Arial"/>
          <w:sz w:val="22"/>
          <w:szCs w:val="22"/>
        </w:rPr>
      </w:pPr>
    </w:p>
    <w:p w14:paraId="3884F849" w14:textId="5CF945DA" w:rsidR="0094430D" w:rsidRDefault="0094430D" w:rsidP="00981F67">
      <w:pPr>
        <w:jc w:val="both"/>
        <w:rPr>
          <w:rFonts w:ascii="Arial" w:hAnsi="Arial"/>
          <w:sz w:val="22"/>
          <w:szCs w:val="22"/>
        </w:rPr>
      </w:pPr>
      <w:r>
        <w:rPr>
          <w:rFonts w:ascii="Arial" w:hAnsi="Arial"/>
          <w:sz w:val="22"/>
          <w:szCs w:val="22"/>
        </w:rPr>
        <w:lastRenderedPageBreak/>
        <w:t xml:space="preserve">The </w:t>
      </w:r>
      <w:r w:rsidR="00B528F2">
        <w:rPr>
          <w:rFonts w:ascii="Arial" w:hAnsi="Arial"/>
          <w:sz w:val="22"/>
          <w:szCs w:val="22"/>
        </w:rPr>
        <w:t xml:space="preserve">public policy process </w:t>
      </w:r>
      <w:r>
        <w:rPr>
          <w:rFonts w:ascii="Arial" w:hAnsi="Arial"/>
          <w:sz w:val="22"/>
          <w:szCs w:val="22"/>
        </w:rPr>
        <w:t>assessments that were done identified weaknesses to include: 1) w</w:t>
      </w:r>
      <w:r w:rsidR="00981F67">
        <w:rPr>
          <w:rFonts w:ascii="Arial" w:hAnsi="Arial"/>
          <w:sz w:val="22"/>
          <w:szCs w:val="22"/>
        </w:rPr>
        <w:t>eak strategic plann</w:t>
      </w:r>
      <w:r>
        <w:rPr>
          <w:rFonts w:ascii="Arial" w:hAnsi="Arial"/>
          <w:sz w:val="22"/>
          <w:szCs w:val="22"/>
        </w:rPr>
        <w:t>ing management in ministries; 2) w</w:t>
      </w:r>
      <w:r w:rsidR="00981F67">
        <w:rPr>
          <w:rFonts w:ascii="Arial" w:hAnsi="Arial"/>
          <w:sz w:val="22"/>
          <w:szCs w:val="22"/>
        </w:rPr>
        <w:t xml:space="preserve">eak linkages between policy development and </w:t>
      </w:r>
      <w:r>
        <w:rPr>
          <w:rFonts w:ascii="Arial" w:hAnsi="Arial"/>
          <w:sz w:val="22"/>
          <w:szCs w:val="22"/>
        </w:rPr>
        <w:t xml:space="preserve">the </w:t>
      </w:r>
      <w:r w:rsidR="00981F67">
        <w:rPr>
          <w:rFonts w:ascii="Arial" w:hAnsi="Arial"/>
          <w:sz w:val="22"/>
          <w:szCs w:val="22"/>
        </w:rPr>
        <w:t>budg</w:t>
      </w:r>
      <w:r>
        <w:rPr>
          <w:rFonts w:ascii="Arial" w:hAnsi="Arial"/>
          <w:sz w:val="22"/>
          <w:szCs w:val="22"/>
        </w:rPr>
        <w:t>et process; 3) w</w:t>
      </w:r>
      <w:r w:rsidR="00981F67">
        <w:rPr>
          <w:rFonts w:ascii="Arial" w:hAnsi="Arial"/>
          <w:sz w:val="22"/>
          <w:szCs w:val="22"/>
        </w:rPr>
        <w:t xml:space="preserve">eak linkages between different policy documents; </w:t>
      </w:r>
      <w:r>
        <w:rPr>
          <w:rFonts w:ascii="Arial" w:hAnsi="Arial"/>
          <w:sz w:val="22"/>
          <w:szCs w:val="22"/>
        </w:rPr>
        <w:t>and 4) u</w:t>
      </w:r>
      <w:r w:rsidR="00981F67">
        <w:rPr>
          <w:rFonts w:ascii="Arial" w:hAnsi="Arial"/>
          <w:sz w:val="22"/>
          <w:szCs w:val="22"/>
        </w:rPr>
        <w:t>neven level of knowledge and experience in p</w:t>
      </w:r>
      <w:r w:rsidR="00AA75AB">
        <w:rPr>
          <w:rFonts w:ascii="Arial" w:hAnsi="Arial"/>
          <w:sz w:val="22"/>
          <w:szCs w:val="22"/>
        </w:rPr>
        <w:t>o</w:t>
      </w:r>
      <w:r w:rsidR="00981F67">
        <w:rPr>
          <w:rFonts w:ascii="Arial" w:hAnsi="Arial"/>
          <w:sz w:val="22"/>
          <w:szCs w:val="22"/>
        </w:rPr>
        <w:t>lic</w:t>
      </w:r>
      <w:r w:rsidR="00AA75AB">
        <w:rPr>
          <w:rFonts w:ascii="Arial" w:hAnsi="Arial"/>
          <w:sz w:val="22"/>
          <w:szCs w:val="22"/>
        </w:rPr>
        <w:t xml:space="preserve">y planning </w:t>
      </w:r>
      <w:r w:rsidR="00981F67">
        <w:rPr>
          <w:rFonts w:ascii="Arial" w:hAnsi="Arial"/>
          <w:sz w:val="22"/>
          <w:szCs w:val="22"/>
        </w:rPr>
        <w:t>and coordination mechan</w:t>
      </w:r>
      <w:r w:rsidR="00E83509">
        <w:rPr>
          <w:rFonts w:ascii="Arial" w:hAnsi="Arial"/>
          <w:sz w:val="22"/>
          <w:szCs w:val="22"/>
        </w:rPr>
        <w:t>isms across various ministries.</w:t>
      </w:r>
    </w:p>
    <w:p w14:paraId="2896ED6C" w14:textId="77777777" w:rsidR="00E83509" w:rsidRDefault="00E83509" w:rsidP="00981F67">
      <w:pPr>
        <w:jc w:val="both"/>
        <w:rPr>
          <w:rFonts w:ascii="Arial" w:hAnsi="Arial"/>
          <w:sz w:val="22"/>
          <w:szCs w:val="22"/>
        </w:rPr>
      </w:pPr>
    </w:p>
    <w:p w14:paraId="2383D059" w14:textId="61F9A65F" w:rsidR="0094430D" w:rsidRPr="00981F67" w:rsidRDefault="0094430D" w:rsidP="0094430D">
      <w:pPr>
        <w:jc w:val="both"/>
        <w:rPr>
          <w:rFonts w:ascii="Arial" w:hAnsi="Arial"/>
          <w:sz w:val="22"/>
          <w:szCs w:val="22"/>
        </w:rPr>
      </w:pPr>
      <w:r>
        <w:rPr>
          <w:rFonts w:ascii="Arial" w:hAnsi="Arial"/>
          <w:sz w:val="22"/>
          <w:szCs w:val="22"/>
        </w:rPr>
        <w:t xml:space="preserve">The project contracted an international consultant to scope out existing </w:t>
      </w:r>
      <w:r w:rsidR="00B528F2">
        <w:rPr>
          <w:rFonts w:ascii="Arial" w:hAnsi="Arial"/>
          <w:sz w:val="22"/>
          <w:szCs w:val="22"/>
        </w:rPr>
        <w:t xml:space="preserve">policy </w:t>
      </w:r>
      <w:r>
        <w:rPr>
          <w:rFonts w:ascii="Arial" w:hAnsi="Arial"/>
          <w:sz w:val="22"/>
          <w:szCs w:val="22"/>
        </w:rPr>
        <w:t xml:space="preserve">monitoring and performance tracking mechanisms of public agencies and identify needs to develop a government-wide performance tracking and monitoring system. The PAR Roadmap and Policy Planning Reform Strategy 2015-2017 were used as the basis for developing the system. Based on consultant findings a workshop was held in November 2017 for policy planning unit personnel to gain consensus to move forward. </w:t>
      </w:r>
    </w:p>
    <w:p w14:paraId="761175D1" w14:textId="77777777" w:rsidR="00B94446" w:rsidRDefault="00B94446" w:rsidP="00F0563B">
      <w:pPr>
        <w:jc w:val="both"/>
        <w:rPr>
          <w:rFonts w:ascii="Arial" w:hAnsi="Arial"/>
          <w:sz w:val="22"/>
          <w:szCs w:val="22"/>
        </w:rPr>
      </w:pPr>
    </w:p>
    <w:p w14:paraId="64683FEA" w14:textId="60CBA0F6" w:rsidR="00C80E22" w:rsidRDefault="00AA75AB" w:rsidP="00F0563B">
      <w:pPr>
        <w:jc w:val="both"/>
        <w:rPr>
          <w:rFonts w:ascii="Arial" w:hAnsi="Arial"/>
          <w:sz w:val="22"/>
          <w:szCs w:val="22"/>
        </w:rPr>
      </w:pPr>
      <w:r>
        <w:rPr>
          <w:rFonts w:ascii="Arial" w:hAnsi="Arial"/>
          <w:sz w:val="22"/>
          <w:szCs w:val="22"/>
        </w:rPr>
        <w:t xml:space="preserve">In 2018, </w:t>
      </w:r>
      <w:r w:rsidR="0094430D">
        <w:rPr>
          <w:rFonts w:ascii="Arial" w:hAnsi="Arial"/>
          <w:sz w:val="22"/>
          <w:szCs w:val="22"/>
        </w:rPr>
        <w:t xml:space="preserve">the project </w:t>
      </w:r>
      <w:r>
        <w:rPr>
          <w:rFonts w:ascii="Arial" w:hAnsi="Arial"/>
          <w:sz w:val="22"/>
          <w:szCs w:val="22"/>
        </w:rPr>
        <w:t xml:space="preserve">worked with </w:t>
      </w:r>
      <w:proofErr w:type="spellStart"/>
      <w:r>
        <w:rPr>
          <w:rFonts w:ascii="Arial" w:hAnsi="Arial"/>
          <w:sz w:val="22"/>
          <w:szCs w:val="22"/>
        </w:rPr>
        <w:t>AoG</w:t>
      </w:r>
      <w:proofErr w:type="spellEnd"/>
      <w:r>
        <w:rPr>
          <w:rFonts w:ascii="Arial" w:hAnsi="Arial"/>
          <w:sz w:val="22"/>
          <w:szCs w:val="22"/>
        </w:rPr>
        <w:t xml:space="preserve"> to asses</w:t>
      </w:r>
      <w:r w:rsidR="00811E18">
        <w:rPr>
          <w:rFonts w:ascii="Arial" w:hAnsi="Arial"/>
          <w:sz w:val="22"/>
          <w:szCs w:val="22"/>
        </w:rPr>
        <w:t>s</w:t>
      </w:r>
      <w:r>
        <w:rPr>
          <w:rFonts w:ascii="Arial" w:hAnsi="Arial"/>
          <w:sz w:val="22"/>
          <w:szCs w:val="22"/>
        </w:rPr>
        <w:t xml:space="preserve"> policymaking practices in line ministries and in developing po</w:t>
      </w:r>
      <w:r w:rsidR="00811E18">
        <w:rPr>
          <w:rFonts w:ascii="Arial" w:hAnsi="Arial"/>
          <w:sz w:val="22"/>
          <w:szCs w:val="22"/>
        </w:rPr>
        <w:t>l</w:t>
      </w:r>
      <w:r>
        <w:rPr>
          <w:rFonts w:ascii="Arial" w:hAnsi="Arial"/>
          <w:sz w:val="22"/>
          <w:szCs w:val="22"/>
        </w:rPr>
        <w:t>icy</w:t>
      </w:r>
      <w:r w:rsidR="0094430D">
        <w:rPr>
          <w:rFonts w:ascii="Arial" w:hAnsi="Arial"/>
          <w:sz w:val="22"/>
          <w:szCs w:val="22"/>
        </w:rPr>
        <w:t>-</w:t>
      </w:r>
      <w:r>
        <w:rPr>
          <w:rFonts w:ascii="Arial" w:hAnsi="Arial"/>
          <w:sz w:val="22"/>
          <w:szCs w:val="22"/>
        </w:rPr>
        <w:t>mak</w:t>
      </w:r>
      <w:r w:rsidR="00811E18">
        <w:rPr>
          <w:rFonts w:ascii="Arial" w:hAnsi="Arial"/>
          <w:sz w:val="22"/>
          <w:szCs w:val="22"/>
        </w:rPr>
        <w:t>i</w:t>
      </w:r>
      <w:r w:rsidR="00E83509">
        <w:rPr>
          <w:rFonts w:ascii="Arial" w:hAnsi="Arial"/>
          <w:sz w:val="22"/>
          <w:szCs w:val="22"/>
        </w:rPr>
        <w:t>ng guidelines. T</w:t>
      </w:r>
      <w:r>
        <w:rPr>
          <w:rFonts w:ascii="Arial" w:hAnsi="Arial"/>
          <w:sz w:val="22"/>
          <w:szCs w:val="22"/>
        </w:rPr>
        <w:t xml:space="preserve">raining </w:t>
      </w:r>
      <w:r w:rsidR="00E83509">
        <w:rPr>
          <w:rFonts w:ascii="Arial" w:hAnsi="Arial"/>
          <w:sz w:val="22"/>
          <w:szCs w:val="22"/>
        </w:rPr>
        <w:t xml:space="preserve">was conducted </w:t>
      </w:r>
      <w:r>
        <w:rPr>
          <w:rFonts w:ascii="Arial" w:hAnsi="Arial"/>
          <w:sz w:val="22"/>
          <w:szCs w:val="22"/>
        </w:rPr>
        <w:t>of key per</w:t>
      </w:r>
      <w:r w:rsidR="0094430D">
        <w:rPr>
          <w:rFonts w:ascii="Arial" w:hAnsi="Arial"/>
          <w:sz w:val="22"/>
          <w:szCs w:val="22"/>
        </w:rPr>
        <w:t>sonnel in mini</w:t>
      </w:r>
      <w:r w:rsidR="00E83509">
        <w:rPr>
          <w:rFonts w:ascii="Arial" w:hAnsi="Arial"/>
          <w:sz w:val="22"/>
          <w:szCs w:val="22"/>
        </w:rPr>
        <w:t xml:space="preserve">stries and LEPLs. Work was </w:t>
      </w:r>
      <w:r w:rsidR="0094430D">
        <w:rPr>
          <w:rFonts w:ascii="Arial" w:hAnsi="Arial"/>
          <w:sz w:val="22"/>
          <w:szCs w:val="22"/>
        </w:rPr>
        <w:t>mainl</w:t>
      </w:r>
      <w:r w:rsidR="00E83509">
        <w:rPr>
          <w:rFonts w:ascii="Arial" w:hAnsi="Arial"/>
          <w:sz w:val="22"/>
          <w:szCs w:val="22"/>
        </w:rPr>
        <w:t>y</w:t>
      </w:r>
      <w:r w:rsidR="0094430D">
        <w:rPr>
          <w:rFonts w:ascii="Arial" w:hAnsi="Arial"/>
          <w:sz w:val="22"/>
          <w:szCs w:val="22"/>
        </w:rPr>
        <w:t xml:space="preserve"> done</w:t>
      </w:r>
      <w:r w:rsidR="00811E18">
        <w:rPr>
          <w:rFonts w:ascii="Arial" w:hAnsi="Arial"/>
          <w:sz w:val="22"/>
          <w:szCs w:val="22"/>
        </w:rPr>
        <w:t xml:space="preserve"> with the Policy Analysis, Strategic Planning and Coordination Dep</w:t>
      </w:r>
      <w:r w:rsidR="0094430D">
        <w:rPr>
          <w:rFonts w:ascii="Arial" w:hAnsi="Arial"/>
          <w:sz w:val="22"/>
          <w:szCs w:val="22"/>
        </w:rPr>
        <w:t>artment. In April</w:t>
      </w:r>
      <w:r w:rsidR="00AC3944">
        <w:rPr>
          <w:rFonts w:ascii="Arial" w:hAnsi="Arial"/>
          <w:sz w:val="22"/>
          <w:szCs w:val="22"/>
        </w:rPr>
        <w:t xml:space="preserve"> 2018</w:t>
      </w:r>
      <w:r w:rsidR="0094430D">
        <w:rPr>
          <w:rFonts w:ascii="Arial" w:hAnsi="Arial"/>
          <w:sz w:val="22"/>
          <w:szCs w:val="22"/>
        </w:rPr>
        <w:t xml:space="preserve">, with a new head of </w:t>
      </w:r>
      <w:proofErr w:type="spellStart"/>
      <w:r w:rsidR="0094430D">
        <w:rPr>
          <w:rFonts w:ascii="Arial" w:hAnsi="Arial"/>
          <w:sz w:val="22"/>
          <w:szCs w:val="22"/>
        </w:rPr>
        <w:t>AoG</w:t>
      </w:r>
      <w:proofErr w:type="spellEnd"/>
      <w:r w:rsidR="0094430D">
        <w:rPr>
          <w:rFonts w:ascii="Arial" w:hAnsi="Arial"/>
          <w:sz w:val="22"/>
          <w:szCs w:val="22"/>
        </w:rPr>
        <w:t>, an internal assessment and rest</w:t>
      </w:r>
      <w:r w:rsidR="00811E18">
        <w:rPr>
          <w:rFonts w:ascii="Arial" w:hAnsi="Arial"/>
          <w:sz w:val="22"/>
          <w:szCs w:val="22"/>
        </w:rPr>
        <w:t xml:space="preserve">ructuring of </w:t>
      </w:r>
      <w:proofErr w:type="spellStart"/>
      <w:r w:rsidR="00811E18">
        <w:rPr>
          <w:rFonts w:ascii="Arial" w:hAnsi="Arial"/>
          <w:sz w:val="22"/>
          <w:szCs w:val="22"/>
        </w:rPr>
        <w:t>AoG</w:t>
      </w:r>
      <w:proofErr w:type="spellEnd"/>
      <w:r w:rsidR="00C80E22">
        <w:rPr>
          <w:rFonts w:ascii="Arial" w:hAnsi="Arial"/>
          <w:sz w:val="22"/>
          <w:szCs w:val="22"/>
        </w:rPr>
        <w:t xml:space="preserve"> took place. Also, </w:t>
      </w:r>
      <w:r w:rsidR="00811E18">
        <w:rPr>
          <w:rFonts w:ascii="Arial" w:hAnsi="Arial"/>
          <w:sz w:val="22"/>
          <w:szCs w:val="22"/>
        </w:rPr>
        <w:t xml:space="preserve">OECD/SIGMA </w:t>
      </w:r>
      <w:r w:rsidR="00C80E22">
        <w:rPr>
          <w:rFonts w:ascii="Arial" w:hAnsi="Arial"/>
          <w:sz w:val="22"/>
          <w:szCs w:val="22"/>
        </w:rPr>
        <w:t xml:space="preserve">published its </w:t>
      </w:r>
      <w:r w:rsidR="00811E18">
        <w:rPr>
          <w:rFonts w:ascii="Arial" w:hAnsi="Arial"/>
          <w:sz w:val="22"/>
          <w:szCs w:val="22"/>
        </w:rPr>
        <w:t>Baseline Measurement Report of Policy Planning and Coordination</w:t>
      </w:r>
      <w:r w:rsidR="00C80E22">
        <w:rPr>
          <w:rFonts w:ascii="Arial" w:hAnsi="Arial"/>
          <w:sz w:val="22"/>
          <w:szCs w:val="22"/>
        </w:rPr>
        <w:t xml:space="preserve"> in May 2018.</w:t>
      </w:r>
      <w:r w:rsidR="00811E18">
        <w:rPr>
          <w:rStyle w:val="FootnoteReference"/>
          <w:rFonts w:ascii="Arial" w:hAnsi="Arial"/>
          <w:sz w:val="22"/>
          <w:szCs w:val="22"/>
        </w:rPr>
        <w:footnoteReference w:id="35"/>
      </w:r>
      <w:r w:rsidR="00811E18">
        <w:rPr>
          <w:rFonts w:ascii="Arial" w:hAnsi="Arial"/>
          <w:sz w:val="22"/>
          <w:szCs w:val="22"/>
        </w:rPr>
        <w:t xml:space="preserve"> </w:t>
      </w:r>
      <w:r w:rsidR="00C80E22">
        <w:rPr>
          <w:rFonts w:ascii="Arial" w:hAnsi="Arial"/>
          <w:sz w:val="22"/>
          <w:szCs w:val="22"/>
        </w:rPr>
        <w:t xml:space="preserve">The report assessed the policy development and coordination areas. The report </w:t>
      </w:r>
      <w:r w:rsidR="00811E18">
        <w:rPr>
          <w:rFonts w:ascii="Arial" w:hAnsi="Arial"/>
          <w:sz w:val="22"/>
          <w:szCs w:val="22"/>
        </w:rPr>
        <w:t xml:space="preserve">identified shortfalls that went along with </w:t>
      </w:r>
      <w:r w:rsidR="00B528F2">
        <w:rPr>
          <w:rFonts w:ascii="Arial" w:hAnsi="Arial"/>
          <w:sz w:val="22"/>
          <w:szCs w:val="22"/>
        </w:rPr>
        <w:t>the</w:t>
      </w:r>
      <w:r w:rsidR="00C80E22">
        <w:rPr>
          <w:rFonts w:ascii="Arial" w:hAnsi="Arial"/>
          <w:sz w:val="22"/>
          <w:szCs w:val="22"/>
        </w:rPr>
        <w:t xml:space="preserve"> </w:t>
      </w:r>
      <w:r w:rsidR="00811E18">
        <w:rPr>
          <w:rFonts w:ascii="Arial" w:hAnsi="Arial"/>
          <w:sz w:val="22"/>
          <w:szCs w:val="22"/>
        </w:rPr>
        <w:t>project</w:t>
      </w:r>
      <w:r w:rsidR="00C80E22">
        <w:rPr>
          <w:rFonts w:ascii="Arial" w:hAnsi="Arial"/>
          <w:sz w:val="22"/>
          <w:szCs w:val="22"/>
        </w:rPr>
        <w:t>’s</w:t>
      </w:r>
      <w:r w:rsidR="00E83509">
        <w:rPr>
          <w:rFonts w:ascii="Arial" w:hAnsi="Arial"/>
          <w:sz w:val="22"/>
          <w:szCs w:val="22"/>
        </w:rPr>
        <w:t xml:space="preserve"> </w:t>
      </w:r>
      <w:r w:rsidR="00B528F2">
        <w:rPr>
          <w:rFonts w:ascii="Arial" w:hAnsi="Arial"/>
          <w:sz w:val="22"/>
          <w:szCs w:val="22"/>
        </w:rPr>
        <w:t xml:space="preserve">prior </w:t>
      </w:r>
      <w:r w:rsidR="00E83509">
        <w:rPr>
          <w:rFonts w:ascii="Arial" w:hAnsi="Arial"/>
          <w:sz w:val="22"/>
          <w:szCs w:val="22"/>
        </w:rPr>
        <w:t>assessment</w:t>
      </w:r>
      <w:r w:rsidR="00B528F2">
        <w:rPr>
          <w:rFonts w:ascii="Arial" w:hAnsi="Arial"/>
          <w:sz w:val="22"/>
          <w:szCs w:val="22"/>
        </w:rPr>
        <w:t>. The OECD/SIGMA assessment found</w:t>
      </w:r>
      <w:r w:rsidR="00811E18">
        <w:rPr>
          <w:rFonts w:ascii="Arial" w:hAnsi="Arial"/>
          <w:sz w:val="22"/>
          <w:szCs w:val="22"/>
        </w:rPr>
        <w:t xml:space="preserve"> weaknes</w:t>
      </w:r>
      <w:r w:rsidR="00C80E22">
        <w:rPr>
          <w:rFonts w:ascii="Arial" w:hAnsi="Arial"/>
          <w:sz w:val="22"/>
          <w:szCs w:val="22"/>
        </w:rPr>
        <w:t>ses in PAR coordination</w:t>
      </w:r>
      <w:r w:rsidR="00811E18">
        <w:rPr>
          <w:rFonts w:ascii="Arial" w:hAnsi="Arial"/>
          <w:sz w:val="22"/>
          <w:szCs w:val="22"/>
        </w:rPr>
        <w:t xml:space="preserve"> and </w:t>
      </w:r>
      <w:r w:rsidR="00C80E22">
        <w:rPr>
          <w:rFonts w:ascii="Arial" w:hAnsi="Arial"/>
          <w:sz w:val="22"/>
          <w:szCs w:val="22"/>
        </w:rPr>
        <w:t xml:space="preserve">the </w:t>
      </w:r>
      <w:r w:rsidR="00811E18">
        <w:rPr>
          <w:rFonts w:ascii="Arial" w:hAnsi="Arial"/>
          <w:sz w:val="22"/>
          <w:szCs w:val="22"/>
        </w:rPr>
        <w:t>policy development process, weak research-based evidence for policymaking</w:t>
      </w:r>
      <w:r w:rsidR="00C80E22">
        <w:rPr>
          <w:rFonts w:ascii="Arial" w:hAnsi="Arial"/>
          <w:sz w:val="22"/>
          <w:szCs w:val="22"/>
        </w:rPr>
        <w:t>,</w:t>
      </w:r>
      <w:r w:rsidR="00811E18">
        <w:rPr>
          <w:rFonts w:ascii="Arial" w:hAnsi="Arial"/>
          <w:sz w:val="22"/>
          <w:szCs w:val="22"/>
        </w:rPr>
        <w:t xml:space="preserve"> and shortcoming in the institutional setup of the coordinating bodies and processes. </w:t>
      </w:r>
      <w:r w:rsidR="00C80E22">
        <w:rPr>
          <w:rFonts w:ascii="Arial" w:hAnsi="Arial"/>
          <w:sz w:val="22"/>
          <w:szCs w:val="22"/>
        </w:rPr>
        <w:t>In response to the various assessments, t</w:t>
      </w:r>
      <w:r w:rsidR="00811E18">
        <w:rPr>
          <w:rFonts w:ascii="Arial" w:hAnsi="Arial"/>
          <w:sz w:val="22"/>
          <w:szCs w:val="22"/>
        </w:rPr>
        <w:t xml:space="preserve">he project formulated a plan to strengthen </w:t>
      </w:r>
      <w:r w:rsidR="00C80E22">
        <w:rPr>
          <w:rFonts w:ascii="Arial" w:hAnsi="Arial"/>
          <w:sz w:val="22"/>
          <w:szCs w:val="22"/>
        </w:rPr>
        <w:t xml:space="preserve">policy planning, </w:t>
      </w:r>
      <w:r w:rsidR="00D5549D">
        <w:rPr>
          <w:rFonts w:ascii="Arial" w:hAnsi="Arial"/>
          <w:sz w:val="22"/>
          <w:szCs w:val="22"/>
        </w:rPr>
        <w:t>performance tracking, monitoring</w:t>
      </w:r>
      <w:r w:rsidR="00C80E22">
        <w:rPr>
          <w:rFonts w:ascii="Arial" w:hAnsi="Arial"/>
          <w:sz w:val="22"/>
          <w:szCs w:val="22"/>
        </w:rPr>
        <w:t>,</w:t>
      </w:r>
      <w:r w:rsidR="00D5549D">
        <w:rPr>
          <w:rFonts w:ascii="Arial" w:hAnsi="Arial"/>
          <w:sz w:val="22"/>
          <w:szCs w:val="22"/>
        </w:rPr>
        <w:t xml:space="preserve"> and evaluation practices throughout the civil service. </w:t>
      </w:r>
    </w:p>
    <w:p w14:paraId="6E4A69D2" w14:textId="77777777" w:rsidR="00975C0A" w:rsidRDefault="00975C0A" w:rsidP="006B7BE1">
      <w:pPr>
        <w:jc w:val="both"/>
        <w:rPr>
          <w:rFonts w:ascii="Arial" w:hAnsi="Arial"/>
          <w:sz w:val="22"/>
          <w:szCs w:val="22"/>
        </w:rPr>
      </w:pPr>
    </w:p>
    <w:p w14:paraId="43CDF27E" w14:textId="4A871E79" w:rsidR="00811E18" w:rsidRDefault="006B7BE1" w:rsidP="006B7BE1">
      <w:pPr>
        <w:jc w:val="both"/>
        <w:rPr>
          <w:rFonts w:ascii="Arial" w:hAnsi="Arial"/>
          <w:sz w:val="22"/>
          <w:szCs w:val="22"/>
        </w:rPr>
      </w:pPr>
      <w:r>
        <w:rPr>
          <w:rFonts w:ascii="Arial" w:hAnsi="Arial"/>
          <w:sz w:val="22"/>
          <w:szCs w:val="22"/>
        </w:rPr>
        <w:t>The project implemented the Training and Consultation Support Initiative to increase the capacity of the ministries’ policy units in public policy analysis, strengthen the link between policy planning and budgeting, improve the linkage between policy planning and implementation, and build a monitoring and evaluation mechanism. An assessment of all 14 ministries was conducted.  Training in public policy analysis started in October 2018 followed by advisory services and coaching. A training module in policy analysis was developed. Work was also done to update the po</w:t>
      </w:r>
      <w:r w:rsidR="00E83509">
        <w:rPr>
          <w:rFonts w:ascii="Arial" w:hAnsi="Arial"/>
          <w:sz w:val="22"/>
          <w:szCs w:val="22"/>
        </w:rPr>
        <w:t>licy planning handbook.  T</w:t>
      </w:r>
      <w:r>
        <w:rPr>
          <w:rFonts w:ascii="Arial" w:hAnsi="Arial"/>
          <w:sz w:val="22"/>
          <w:szCs w:val="22"/>
        </w:rPr>
        <w:t xml:space="preserve">he project worked with the </w:t>
      </w:r>
      <w:proofErr w:type="spellStart"/>
      <w:r>
        <w:rPr>
          <w:rFonts w:ascii="Arial" w:hAnsi="Arial"/>
          <w:sz w:val="22"/>
          <w:szCs w:val="22"/>
        </w:rPr>
        <w:t>AoG</w:t>
      </w:r>
      <w:proofErr w:type="spellEnd"/>
      <w:r>
        <w:rPr>
          <w:rFonts w:ascii="Arial" w:hAnsi="Arial"/>
          <w:sz w:val="22"/>
          <w:szCs w:val="22"/>
        </w:rPr>
        <w:t xml:space="preserve"> to develop policy process standard operating procedures that would be part of the new handbook. For the performance tracking and monitoring system, an assessment was conducted of existing processes and procedures. Meetings and/or workshops were then held with 15 public agencies. One of the results of the meetings and workshops was a standardized glossary of terms that would become part of the new policy planning handbook. </w:t>
      </w:r>
    </w:p>
    <w:p w14:paraId="120DA0BD" w14:textId="77777777" w:rsidR="00D5549D" w:rsidRDefault="00D5549D" w:rsidP="00F0563B">
      <w:pPr>
        <w:jc w:val="both"/>
        <w:rPr>
          <w:rFonts w:ascii="Arial" w:hAnsi="Arial"/>
          <w:sz w:val="22"/>
          <w:szCs w:val="22"/>
        </w:rPr>
      </w:pPr>
    </w:p>
    <w:p w14:paraId="2ABE6940" w14:textId="6E147C8C" w:rsidR="00D5549D" w:rsidRDefault="00D5549D" w:rsidP="00F0563B">
      <w:pPr>
        <w:jc w:val="both"/>
        <w:rPr>
          <w:rFonts w:ascii="Arial" w:hAnsi="Arial"/>
          <w:sz w:val="22"/>
          <w:szCs w:val="22"/>
        </w:rPr>
      </w:pPr>
      <w:r>
        <w:rPr>
          <w:rFonts w:ascii="Arial" w:hAnsi="Arial"/>
          <w:sz w:val="22"/>
          <w:szCs w:val="22"/>
        </w:rPr>
        <w:t xml:space="preserve">PAR Council coordination meetings were held regularly in 2018. </w:t>
      </w:r>
      <w:r w:rsidR="006B7BE1">
        <w:rPr>
          <w:rFonts w:ascii="Arial" w:hAnsi="Arial"/>
          <w:sz w:val="22"/>
          <w:szCs w:val="22"/>
        </w:rPr>
        <w:t>The</w:t>
      </w:r>
      <w:r>
        <w:rPr>
          <w:rFonts w:ascii="Arial" w:hAnsi="Arial"/>
          <w:sz w:val="22"/>
          <w:szCs w:val="22"/>
        </w:rPr>
        <w:t xml:space="preserve"> </w:t>
      </w:r>
      <w:r w:rsidR="006B7BE1">
        <w:rPr>
          <w:rFonts w:ascii="Arial" w:hAnsi="Arial"/>
          <w:sz w:val="22"/>
          <w:szCs w:val="22"/>
        </w:rPr>
        <w:t>Council adopted the PAR Roadmap Action plan for 2019-20. The Council was</w:t>
      </w:r>
      <w:r w:rsidR="00B528F2">
        <w:rPr>
          <w:rFonts w:ascii="Arial" w:hAnsi="Arial"/>
          <w:sz w:val="22"/>
          <w:szCs w:val="22"/>
        </w:rPr>
        <w:t xml:space="preserve"> kept appraised of project</w:t>
      </w:r>
      <w:r w:rsidR="006B7BE1">
        <w:rPr>
          <w:rFonts w:ascii="Arial" w:hAnsi="Arial"/>
          <w:sz w:val="22"/>
          <w:szCs w:val="22"/>
        </w:rPr>
        <w:t xml:space="preserve"> and other development partner</w:t>
      </w:r>
      <w:r w:rsidR="00E83509">
        <w:rPr>
          <w:rFonts w:ascii="Arial" w:hAnsi="Arial"/>
          <w:sz w:val="22"/>
          <w:szCs w:val="22"/>
        </w:rPr>
        <w:t>s’</w:t>
      </w:r>
      <w:r w:rsidR="006B7BE1">
        <w:rPr>
          <w:rFonts w:ascii="Arial" w:hAnsi="Arial"/>
          <w:sz w:val="22"/>
          <w:szCs w:val="22"/>
        </w:rPr>
        <w:t xml:space="preserve"> PAR activities.</w:t>
      </w:r>
    </w:p>
    <w:p w14:paraId="4E1BAFFD" w14:textId="77777777" w:rsidR="00DF1A83" w:rsidRDefault="00DF1A83" w:rsidP="00F0563B">
      <w:pPr>
        <w:jc w:val="both"/>
        <w:rPr>
          <w:rFonts w:ascii="Arial" w:hAnsi="Arial"/>
          <w:sz w:val="22"/>
          <w:szCs w:val="22"/>
        </w:rPr>
      </w:pPr>
    </w:p>
    <w:p w14:paraId="173B63F0" w14:textId="11C9F66C" w:rsidR="00DF1A83" w:rsidRDefault="006940FB" w:rsidP="00F0563B">
      <w:pPr>
        <w:jc w:val="both"/>
        <w:rPr>
          <w:rFonts w:ascii="Arial" w:hAnsi="Arial"/>
          <w:sz w:val="22"/>
          <w:szCs w:val="22"/>
        </w:rPr>
      </w:pPr>
      <w:r>
        <w:rPr>
          <w:rFonts w:ascii="Arial" w:hAnsi="Arial"/>
          <w:sz w:val="22"/>
          <w:szCs w:val="22"/>
        </w:rPr>
        <w:t xml:space="preserve">In 2019, </w:t>
      </w:r>
      <w:r w:rsidR="00C1262F">
        <w:rPr>
          <w:rFonts w:ascii="Arial" w:hAnsi="Arial"/>
          <w:sz w:val="22"/>
          <w:szCs w:val="22"/>
        </w:rPr>
        <w:t xml:space="preserve">the </w:t>
      </w:r>
      <w:proofErr w:type="spellStart"/>
      <w:r w:rsidR="00C1262F">
        <w:rPr>
          <w:rFonts w:ascii="Arial" w:hAnsi="Arial"/>
          <w:sz w:val="22"/>
          <w:szCs w:val="22"/>
        </w:rPr>
        <w:t>AoG</w:t>
      </w:r>
      <w:proofErr w:type="spellEnd"/>
      <w:r w:rsidR="00C1262F">
        <w:rPr>
          <w:rFonts w:ascii="Arial" w:hAnsi="Arial"/>
          <w:sz w:val="22"/>
          <w:szCs w:val="22"/>
        </w:rPr>
        <w:t xml:space="preserve">, with project support mentioned above, </w:t>
      </w:r>
      <w:r>
        <w:rPr>
          <w:rFonts w:ascii="Arial" w:hAnsi="Arial"/>
          <w:sz w:val="22"/>
          <w:szCs w:val="22"/>
        </w:rPr>
        <w:t xml:space="preserve">finalized </w:t>
      </w:r>
      <w:r w:rsidR="00C1262F">
        <w:rPr>
          <w:rFonts w:ascii="Arial" w:hAnsi="Arial"/>
          <w:sz w:val="22"/>
          <w:szCs w:val="22"/>
        </w:rPr>
        <w:t xml:space="preserve">the </w:t>
      </w:r>
      <w:r>
        <w:rPr>
          <w:rFonts w:ascii="Arial" w:hAnsi="Arial"/>
          <w:sz w:val="22"/>
          <w:szCs w:val="22"/>
        </w:rPr>
        <w:t>“Rule on Development Monitoring and Evaluation of Policy Documents</w:t>
      </w:r>
      <w:r w:rsidR="00D80E64">
        <w:rPr>
          <w:rFonts w:ascii="Arial" w:hAnsi="Arial"/>
          <w:sz w:val="22"/>
          <w:szCs w:val="22"/>
        </w:rPr>
        <w:t>”</w:t>
      </w:r>
      <w:r>
        <w:rPr>
          <w:rFonts w:ascii="Arial" w:hAnsi="Arial"/>
          <w:sz w:val="22"/>
          <w:szCs w:val="22"/>
        </w:rPr>
        <w:t xml:space="preserve"> </w:t>
      </w:r>
      <w:r w:rsidR="00D80E64">
        <w:rPr>
          <w:rFonts w:ascii="Arial" w:hAnsi="Arial"/>
          <w:sz w:val="22"/>
          <w:szCs w:val="22"/>
        </w:rPr>
        <w:t>and “Policy Planning, M</w:t>
      </w:r>
      <w:r w:rsidR="00C1262F">
        <w:rPr>
          <w:rFonts w:ascii="Arial" w:hAnsi="Arial"/>
          <w:sz w:val="22"/>
          <w:szCs w:val="22"/>
        </w:rPr>
        <w:t xml:space="preserve">onitoring and </w:t>
      </w:r>
      <w:r w:rsidR="00C1262F">
        <w:rPr>
          <w:rFonts w:ascii="Arial" w:hAnsi="Arial"/>
          <w:sz w:val="22"/>
          <w:szCs w:val="22"/>
        </w:rPr>
        <w:lastRenderedPageBreak/>
        <w:t>Evaluation Handbook”</w:t>
      </w:r>
      <w:r w:rsidR="00D80E64">
        <w:rPr>
          <w:rFonts w:ascii="Arial" w:hAnsi="Arial"/>
          <w:sz w:val="22"/>
          <w:szCs w:val="22"/>
        </w:rPr>
        <w:t xml:space="preserve"> </w:t>
      </w:r>
      <w:r w:rsidR="00C1262F">
        <w:rPr>
          <w:rFonts w:ascii="Arial" w:hAnsi="Arial"/>
          <w:sz w:val="22"/>
          <w:szCs w:val="22"/>
        </w:rPr>
        <w:t>using a whole-of-</w:t>
      </w:r>
      <w:r>
        <w:rPr>
          <w:rFonts w:ascii="Arial" w:hAnsi="Arial"/>
          <w:sz w:val="22"/>
          <w:szCs w:val="22"/>
        </w:rPr>
        <w:t>government approach</w:t>
      </w:r>
      <w:r w:rsidR="00C1262F">
        <w:rPr>
          <w:rFonts w:ascii="Arial" w:hAnsi="Arial"/>
          <w:sz w:val="22"/>
          <w:szCs w:val="22"/>
        </w:rPr>
        <w:t xml:space="preserve">. The documents were approved by </w:t>
      </w:r>
      <w:r w:rsidR="00BF4535" w:rsidRPr="00BF4535">
        <w:rPr>
          <w:rFonts w:ascii="Arial" w:hAnsi="Arial"/>
          <w:sz w:val="22"/>
          <w:szCs w:val="22"/>
        </w:rPr>
        <w:t>the</w:t>
      </w:r>
      <w:r w:rsidR="00BF4535">
        <w:rPr>
          <w:rFonts w:ascii="Sylfaen" w:hAnsi="Sylfaen"/>
          <w:sz w:val="22"/>
          <w:szCs w:val="22"/>
        </w:rPr>
        <w:t xml:space="preserve"> </w:t>
      </w:r>
      <w:r w:rsidR="00AC3944">
        <w:rPr>
          <w:rFonts w:ascii="Arial" w:hAnsi="Arial"/>
          <w:sz w:val="22"/>
          <w:szCs w:val="22"/>
        </w:rPr>
        <w:t>g</w:t>
      </w:r>
      <w:r w:rsidR="00BF4535" w:rsidRPr="00BF4535">
        <w:rPr>
          <w:rFonts w:ascii="Arial" w:hAnsi="Arial"/>
          <w:sz w:val="22"/>
          <w:szCs w:val="22"/>
        </w:rPr>
        <w:t xml:space="preserve">overnment </w:t>
      </w:r>
      <w:r w:rsidR="00C1262F">
        <w:rPr>
          <w:rFonts w:ascii="Arial" w:hAnsi="Arial"/>
          <w:sz w:val="22"/>
          <w:szCs w:val="22"/>
        </w:rPr>
        <w:t>decree in December 20</w:t>
      </w:r>
      <w:r w:rsidR="00D80E64">
        <w:rPr>
          <w:rFonts w:ascii="Arial" w:hAnsi="Arial"/>
          <w:sz w:val="22"/>
          <w:szCs w:val="22"/>
        </w:rPr>
        <w:t>19</w:t>
      </w:r>
      <w:r>
        <w:rPr>
          <w:rFonts w:ascii="Arial" w:hAnsi="Arial"/>
          <w:sz w:val="22"/>
          <w:szCs w:val="22"/>
        </w:rPr>
        <w:t xml:space="preserve">. </w:t>
      </w:r>
      <w:r w:rsidR="00C1262F">
        <w:rPr>
          <w:rFonts w:ascii="Arial" w:hAnsi="Arial"/>
          <w:sz w:val="22"/>
          <w:szCs w:val="22"/>
        </w:rPr>
        <w:t xml:space="preserve">The </w:t>
      </w:r>
      <w:proofErr w:type="spellStart"/>
      <w:r w:rsidR="00C1262F">
        <w:rPr>
          <w:rFonts w:ascii="Arial" w:hAnsi="Arial"/>
          <w:sz w:val="22"/>
          <w:szCs w:val="22"/>
        </w:rPr>
        <w:t>AoG</w:t>
      </w:r>
      <w:proofErr w:type="spellEnd"/>
      <w:r w:rsidR="00C1262F">
        <w:rPr>
          <w:rFonts w:ascii="Arial" w:hAnsi="Arial"/>
          <w:sz w:val="22"/>
          <w:szCs w:val="22"/>
        </w:rPr>
        <w:t xml:space="preserve"> w</w:t>
      </w:r>
      <w:r w:rsidR="00D80E64">
        <w:rPr>
          <w:rFonts w:ascii="Arial" w:hAnsi="Arial"/>
          <w:sz w:val="22"/>
          <w:szCs w:val="22"/>
        </w:rPr>
        <w:t xml:space="preserve">orked with </w:t>
      </w:r>
      <w:r w:rsidR="00B528F2">
        <w:rPr>
          <w:rFonts w:ascii="Arial" w:hAnsi="Arial"/>
          <w:sz w:val="22"/>
          <w:szCs w:val="22"/>
        </w:rPr>
        <w:t xml:space="preserve">the </w:t>
      </w:r>
      <w:r w:rsidR="00D80E64">
        <w:rPr>
          <w:rFonts w:ascii="Arial" w:hAnsi="Arial"/>
          <w:sz w:val="22"/>
          <w:szCs w:val="22"/>
        </w:rPr>
        <w:t>M</w:t>
      </w:r>
      <w:r w:rsidR="00C1262F">
        <w:rPr>
          <w:rFonts w:ascii="Arial" w:hAnsi="Arial"/>
          <w:sz w:val="22"/>
          <w:szCs w:val="22"/>
        </w:rPr>
        <w:t>inistry of Regional Development and Infrastructure on</w:t>
      </w:r>
      <w:r w:rsidR="00D80E64">
        <w:rPr>
          <w:rFonts w:ascii="Arial" w:hAnsi="Arial"/>
          <w:sz w:val="22"/>
          <w:szCs w:val="22"/>
        </w:rPr>
        <w:t xml:space="preserve"> </w:t>
      </w:r>
      <w:r w:rsidR="00C1262F">
        <w:rPr>
          <w:rFonts w:ascii="Arial" w:hAnsi="Arial"/>
          <w:sz w:val="22"/>
          <w:szCs w:val="22"/>
        </w:rPr>
        <w:t xml:space="preserve">the </w:t>
      </w:r>
      <w:r w:rsidR="00D80E64">
        <w:rPr>
          <w:rFonts w:ascii="Arial" w:hAnsi="Arial"/>
          <w:sz w:val="22"/>
          <w:szCs w:val="22"/>
        </w:rPr>
        <w:t>Mid-Term Strategy for Municipal Development</w:t>
      </w:r>
      <w:r w:rsidR="00C1262F">
        <w:rPr>
          <w:rFonts w:ascii="Arial" w:hAnsi="Arial"/>
          <w:sz w:val="22"/>
          <w:szCs w:val="22"/>
        </w:rPr>
        <w:t xml:space="preserve"> so it used the new handbook. With project support, work also began on preparing the </w:t>
      </w:r>
      <w:r w:rsidR="00DA63E1">
        <w:rPr>
          <w:rFonts w:ascii="Arial" w:hAnsi="Arial"/>
          <w:sz w:val="22"/>
          <w:szCs w:val="22"/>
        </w:rPr>
        <w:t xml:space="preserve">unified </w:t>
      </w:r>
      <w:r w:rsidR="00C1262F">
        <w:rPr>
          <w:rFonts w:ascii="Arial" w:hAnsi="Arial"/>
          <w:sz w:val="22"/>
          <w:szCs w:val="22"/>
        </w:rPr>
        <w:t>policy planning, monitoring and evaluation e-system.</w:t>
      </w:r>
      <w:r w:rsidR="00496C09">
        <w:rPr>
          <w:rFonts w:ascii="Arial" w:hAnsi="Arial"/>
          <w:sz w:val="22"/>
          <w:szCs w:val="22"/>
        </w:rPr>
        <w:t xml:space="preserve"> A business analysis was prep</w:t>
      </w:r>
      <w:r w:rsidR="00DA63E1">
        <w:rPr>
          <w:rFonts w:ascii="Arial" w:hAnsi="Arial"/>
          <w:sz w:val="22"/>
          <w:szCs w:val="22"/>
        </w:rPr>
        <w:t>ared for that e-system.</w:t>
      </w:r>
    </w:p>
    <w:p w14:paraId="13623659" w14:textId="77777777" w:rsidR="006940FB" w:rsidRDefault="006940FB" w:rsidP="00F0563B">
      <w:pPr>
        <w:jc w:val="both"/>
        <w:rPr>
          <w:rFonts w:ascii="Arial" w:hAnsi="Arial"/>
          <w:sz w:val="22"/>
          <w:szCs w:val="22"/>
        </w:rPr>
      </w:pPr>
    </w:p>
    <w:p w14:paraId="576425AD" w14:textId="123D9EB4" w:rsidR="006940FB" w:rsidRDefault="00C1262F" w:rsidP="00F0563B">
      <w:pPr>
        <w:jc w:val="both"/>
        <w:rPr>
          <w:rFonts w:ascii="Arial" w:hAnsi="Arial"/>
          <w:sz w:val="22"/>
          <w:szCs w:val="22"/>
        </w:rPr>
      </w:pPr>
      <w:r>
        <w:rPr>
          <w:rFonts w:ascii="Arial" w:hAnsi="Arial"/>
          <w:sz w:val="22"/>
          <w:szCs w:val="22"/>
        </w:rPr>
        <w:t xml:space="preserve">Up to the end of 2019, the project trained 283 civil </w:t>
      </w:r>
      <w:r w:rsidR="00FE7503">
        <w:rPr>
          <w:rFonts w:ascii="Arial" w:hAnsi="Arial"/>
          <w:sz w:val="22"/>
          <w:szCs w:val="22"/>
        </w:rPr>
        <w:t xml:space="preserve">servants </w:t>
      </w:r>
      <w:r w:rsidR="006940FB">
        <w:rPr>
          <w:rFonts w:ascii="Arial" w:hAnsi="Arial"/>
          <w:sz w:val="22"/>
          <w:szCs w:val="22"/>
        </w:rPr>
        <w:t>in pol</w:t>
      </w:r>
      <w:r w:rsidR="00CA32CA">
        <w:rPr>
          <w:rFonts w:ascii="Arial" w:hAnsi="Arial"/>
          <w:sz w:val="22"/>
          <w:szCs w:val="22"/>
        </w:rPr>
        <w:t>icy analysi</w:t>
      </w:r>
      <w:r>
        <w:rPr>
          <w:rFonts w:ascii="Arial" w:hAnsi="Arial"/>
          <w:sz w:val="22"/>
          <w:szCs w:val="22"/>
        </w:rPr>
        <w:t xml:space="preserve">s, planning, monitoring and evaluation. </w:t>
      </w:r>
      <w:r w:rsidR="00A16277">
        <w:rPr>
          <w:rFonts w:ascii="Arial" w:hAnsi="Arial"/>
          <w:sz w:val="22"/>
          <w:szCs w:val="22"/>
        </w:rPr>
        <w:t xml:space="preserve"> </w:t>
      </w:r>
      <w:r w:rsidR="00496C09">
        <w:rPr>
          <w:rFonts w:ascii="Arial" w:hAnsi="Arial"/>
          <w:sz w:val="22"/>
          <w:szCs w:val="22"/>
        </w:rPr>
        <w:t xml:space="preserve">The training included 50 people from </w:t>
      </w:r>
      <w:proofErr w:type="spellStart"/>
      <w:r w:rsidR="00496C09">
        <w:rPr>
          <w:rFonts w:ascii="Arial" w:hAnsi="Arial"/>
          <w:sz w:val="22"/>
          <w:szCs w:val="22"/>
        </w:rPr>
        <w:t>Ajara</w:t>
      </w:r>
      <w:proofErr w:type="spellEnd"/>
      <w:r w:rsidR="00496C09">
        <w:rPr>
          <w:rFonts w:ascii="Arial" w:hAnsi="Arial"/>
          <w:sz w:val="22"/>
          <w:szCs w:val="22"/>
        </w:rPr>
        <w:t xml:space="preserve">. </w:t>
      </w:r>
      <w:r>
        <w:rPr>
          <w:rFonts w:ascii="Arial" w:hAnsi="Arial"/>
          <w:sz w:val="22"/>
          <w:szCs w:val="22"/>
        </w:rPr>
        <w:t>The training curriculum was</w:t>
      </w:r>
      <w:r w:rsidR="00A16277">
        <w:rPr>
          <w:rFonts w:ascii="Arial" w:hAnsi="Arial"/>
          <w:sz w:val="22"/>
          <w:szCs w:val="22"/>
        </w:rPr>
        <w:t xml:space="preserve"> updated</w:t>
      </w:r>
      <w:r>
        <w:rPr>
          <w:rFonts w:ascii="Arial" w:hAnsi="Arial"/>
          <w:sz w:val="22"/>
          <w:szCs w:val="22"/>
        </w:rPr>
        <w:t xml:space="preserve"> to follow the handbook. Coaching was provided to</w:t>
      </w:r>
      <w:r w:rsidR="00A16277">
        <w:rPr>
          <w:rFonts w:ascii="Arial" w:hAnsi="Arial"/>
          <w:sz w:val="22"/>
          <w:szCs w:val="22"/>
        </w:rPr>
        <w:t xml:space="preserve"> 6 minis</w:t>
      </w:r>
      <w:r>
        <w:rPr>
          <w:rFonts w:ascii="Arial" w:hAnsi="Arial"/>
          <w:sz w:val="22"/>
          <w:szCs w:val="22"/>
        </w:rPr>
        <w:t xml:space="preserve">tries on policy-related issues. Ten policy planning unit </w:t>
      </w:r>
      <w:r w:rsidR="00496C09">
        <w:rPr>
          <w:rFonts w:ascii="Arial" w:hAnsi="Arial"/>
          <w:sz w:val="22"/>
          <w:szCs w:val="22"/>
        </w:rPr>
        <w:t>people were trained as trainers.</w:t>
      </w:r>
      <w:r>
        <w:rPr>
          <w:rFonts w:ascii="Arial" w:hAnsi="Arial"/>
          <w:sz w:val="22"/>
          <w:szCs w:val="22"/>
        </w:rPr>
        <w:t xml:space="preserve"> </w:t>
      </w:r>
    </w:p>
    <w:p w14:paraId="79340982" w14:textId="77777777" w:rsidR="00496C09" w:rsidRDefault="00496C09" w:rsidP="00F0563B">
      <w:pPr>
        <w:jc w:val="both"/>
        <w:rPr>
          <w:rFonts w:ascii="Arial" w:hAnsi="Arial"/>
          <w:sz w:val="22"/>
          <w:szCs w:val="22"/>
        </w:rPr>
      </w:pPr>
    </w:p>
    <w:p w14:paraId="7FF33059" w14:textId="500BA11A" w:rsidR="00A16277" w:rsidRDefault="00496C09" w:rsidP="00F0563B">
      <w:pPr>
        <w:jc w:val="both"/>
        <w:rPr>
          <w:rFonts w:ascii="Arial" w:hAnsi="Arial"/>
          <w:sz w:val="22"/>
          <w:szCs w:val="22"/>
        </w:rPr>
      </w:pPr>
      <w:r>
        <w:rPr>
          <w:rFonts w:ascii="Arial" w:hAnsi="Arial"/>
          <w:sz w:val="22"/>
          <w:szCs w:val="22"/>
        </w:rPr>
        <w:t xml:space="preserve">At </w:t>
      </w:r>
      <w:proofErr w:type="spellStart"/>
      <w:r>
        <w:rPr>
          <w:rFonts w:ascii="Arial" w:hAnsi="Arial"/>
          <w:sz w:val="22"/>
          <w:szCs w:val="22"/>
        </w:rPr>
        <w:t>AoG</w:t>
      </w:r>
      <w:proofErr w:type="spellEnd"/>
      <w:r w:rsidR="00E83509">
        <w:rPr>
          <w:rFonts w:ascii="Arial" w:hAnsi="Arial"/>
          <w:sz w:val="22"/>
          <w:szCs w:val="22"/>
        </w:rPr>
        <w:t>,</w:t>
      </w:r>
      <w:r>
        <w:rPr>
          <w:rFonts w:ascii="Arial" w:hAnsi="Arial"/>
          <w:sz w:val="22"/>
          <w:szCs w:val="22"/>
        </w:rPr>
        <w:t xml:space="preserve"> </w:t>
      </w:r>
      <w:r w:rsidR="00A16277">
        <w:rPr>
          <w:rFonts w:ascii="Arial" w:hAnsi="Arial"/>
          <w:sz w:val="22"/>
          <w:szCs w:val="22"/>
        </w:rPr>
        <w:t>staffing in Policy Planning and Coordination Dep</w:t>
      </w:r>
      <w:r>
        <w:rPr>
          <w:rFonts w:ascii="Arial" w:hAnsi="Arial"/>
          <w:sz w:val="22"/>
          <w:szCs w:val="22"/>
        </w:rPr>
        <w:t xml:space="preserve">artment </w:t>
      </w:r>
      <w:r w:rsidR="00A16277">
        <w:rPr>
          <w:rFonts w:ascii="Arial" w:hAnsi="Arial"/>
          <w:sz w:val="22"/>
          <w:szCs w:val="22"/>
        </w:rPr>
        <w:t>doubled since</w:t>
      </w:r>
      <w:r>
        <w:rPr>
          <w:rFonts w:ascii="Arial" w:hAnsi="Arial"/>
          <w:sz w:val="22"/>
          <w:szCs w:val="22"/>
        </w:rPr>
        <w:t xml:space="preserve"> 2016 to 16.</w:t>
      </w:r>
    </w:p>
    <w:p w14:paraId="52982D85" w14:textId="77777777" w:rsidR="00CA32CA" w:rsidRDefault="00CA32CA" w:rsidP="00F0563B">
      <w:pPr>
        <w:jc w:val="both"/>
        <w:rPr>
          <w:rFonts w:ascii="Arial" w:hAnsi="Arial"/>
          <w:sz w:val="22"/>
          <w:szCs w:val="22"/>
        </w:rPr>
      </w:pPr>
    </w:p>
    <w:p w14:paraId="432ADEC0" w14:textId="116C2822" w:rsidR="008D41DD" w:rsidRDefault="00496C09" w:rsidP="008D41DD">
      <w:pPr>
        <w:jc w:val="both"/>
        <w:rPr>
          <w:rFonts w:ascii="Arial" w:hAnsi="Arial"/>
          <w:sz w:val="22"/>
          <w:szCs w:val="22"/>
        </w:rPr>
      </w:pPr>
      <w:r>
        <w:rPr>
          <w:rFonts w:ascii="Arial" w:hAnsi="Arial"/>
          <w:sz w:val="22"/>
          <w:szCs w:val="22"/>
        </w:rPr>
        <w:t xml:space="preserve">The </w:t>
      </w:r>
      <w:r w:rsidR="00A16277">
        <w:rPr>
          <w:rFonts w:ascii="Arial" w:hAnsi="Arial"/>
          <w:sz w:val="22"/>
          <w:szCs w:val="22"/>
        </w:rPr>
        <w:t>PAR Council only met once in 2019</w:t>
      </w:r>
      <w:r>
        <w:rPr>
          <w:rFonts w:ascii="Arial" w:hAnsi="Arial"/>
          <w:sz w:val="22"/>
          <w:szCs w:val="22"/>
        </w:rPr>
        <w:t xml:space="preserve"> and it was reported that the working groups were not very active. The PAR Communication Strategy was drafted by the project but was not approved.</w:t>
      </w:r>
      <w:r w:rsidR="008D41DD">
        <w:rPr>
          <w:rFonts w:ascii="Arial" w:hAnsi="Arial"/>
          <w:sz w:val="22"/>
          <w:szCs w:val="22"/>
        </w:rPr>
        <w:t xml:space="preserve"> The Strategy’s target groups are civil servants, CSOs and </w:t>
      </w:r>
      <w:r w:rsidR="00B528F2">
        <w:rPr>
          <w:rFonts w:ascii="Arial" w:hAnsi="Arial"/>
          <w:sz w:val="22"/>
          <w:szCs w:val="22"/>
        </w:rPr>
        <w:t xml:space="preserve">the </w:t>
      </w:r>
      <w:r w:rsidR="008D41DD">
        <w:rPr>
          <w:rFonts w:ascii="Arial" w:hAnsi="Arial"/>
          <w:sz w:val="22"/>
          <w:szCs w:val="22"/>
        </w:rPr>
        <w:t xml:space="preserve">general public. </w:t>
      </w:r>
    </w:p>
    <w:p w14:paraId="685CEDA9" w14:textId="77777777" w:rsidR="00167432" w:rsidRDefault="00167432" w:rsidP="00F0563B">
      <w:pPr>
        <w:jc w:val="both"/>
        <w:rPr>
          <w:rFonts w:ascii="Arial" w:hAnsi="Arial"/>
          <w:sz w:val="22"/>
          <w:szCs w:val="22"/>
        </w:rPr>
      </w:pPr>
    </w:p>
    <w:p w14:paraId="061A893A" w14:textId="3D0AF385" w:rsidR="00167432" w:rsidRDefault="00496C09" w:rsidP="00F0563B">
      <w:pPr>
        <w:jc w:val="both"/>
        <w:rPr>
          <w:rFonts w:ascii="Arial" w:hAnsi="Arial"/>
          <w:sz w:val="22"/>
          <w:szCs w:val="22"/>
        </w:rPr>
      </w:pPr>
      <w:r>
        <w:rPr>
          <w:rFonts w:ascii="Arial" w:hAnsi="Arial"/>
          <w:sz w:val="22"/>
          <w:szCs w:val="22"/>
        </w:rPr>
        <w:t>The 2019 public and civil service perception survey was co</w:t>
      </w:r>
      <w:r w:rsidR="00E83509">
        <w:rPr>
          <w:rFonts w:ascii="Arial" w:hAnsi="Arial"/>
          <w:sz w:val="22"/>
          <w:szCs w:val="22"/>
        </w:rPr>
        <w:t>nducted</w:t>
      </w:r>
      <w:r>
        <w:rPr>
          <w:rFonts w:ascii="Arial" w:hAnsi="Arial"/>
          <w:sz w:val="22"/>
          <w:szCs w:val="22"/>
        </w:rPr>
        <w:t xml:space="preserve">. The outcome was not positive for PAR since many of the questions had more negative responses compared to 2016, as reported above. There </w:t>
      </w:r>
      <w:r w:rsidR="00E83509">
        <w:rPr>
          <w:rFonts w:ascii="Arial" w:hAnsi="Arial"/>
          <w:sz w:val="22"/>
          <w:szCs w:val="22"/>
        </w:rPr>
        <w:t>were</w:t>
      </w:r>
      <w:r>
        <w:rPr>
          <w:rFonts w:ascii="Arial" w:hAnsi="Arial"/>
          <w:sz w:val="22"/>
          <w:szCs w:val="22"/>
        </w:rPr>
        <w:t xml:space="preserve"> some advances for PAR reform but public knowledge was at a low level. For instance, public awareness of PAR was measured at</w:t>
      </w:r>
      <w:r w:rsidR="00167432">
        <w:rPr>
          <w:rFonts w:ascii="Arial" w:hAnsi="Arial"/>
          <w:sz w:val="22"/>
          <w:szCs w:val="22"/>
        </w:rPr>
        <w:t xml:space="preserve"> 39% in 2019 co</w:t>
      </w:r>
      <w:r>
        <w:rPr>
          <w:rFonts w:ascii="Arial" w:hAnsi="Arial"/>
          <w:sz w:val="22"/>
          <w:szCs w:val="22"/>
        </w:rPr>
        <w:t>mpared to 19% in 2016. Despite the work done to date, the survey revealed much more was needed.</w:t>
      </w:r>
    </w:p>
    <w:p w14:paraId="1D1A2245" w14:textId="77777777" w:rsidR="00CA32CA" w:rsidRDefault="00CA32CA" w:rsidP="00F0563B">
      <w:pPr>
        <w:jc w:val="both"/>
        <w:rPr>
          <w:rFonts w:ascii="Arial" w:hAnsi="Arial"/>
          <w:sz w:val="22"/>
          <w:szCs w:val="22"/>
        </w:rPr>
      </w:pPr>
    </w:p>
    <w:p w14:paraId="448FAB40" w14:textId="509C448D" w:rsidR="00BB0109" w:rsidRDefault="00BB0109" w:rsidP="00F0563B">
      <w:pPr>
        <w:jc w:val="both"/>
        <w:rPr>
          <w:rFonts w:ascii="Arial" w:hAnsi="Arial"/>
          <w:sz w:val="22"/>
          <w:szCs w:val="22"/>
        </w:rPr>
      </w:pPr>
      <w:r>
        <w:rPr>
          <w:rFonts w:ascii="Arial" w:hAnsi="Arial"/>
          <w:sz w:val="22"/>
          <w:szCs w:val="22"/>
        </w:rPr>
        <w:t>In 2020</w:t>
      </w:r>
      <w:r w:rsidR="00A566E3">
        <w:rPr>
          <w:rFonts w:ascii="Arial" w:hAnsi="Arial"/>
          <w:sz w:val="22"/>
          <w:szCs w:val="22"/>
        </w:rPr>
        <w:t>-21</w:t>
      </w:r>
      <w:r w:rsidR="00496C09">
        <w:rPr>
          <w:rFonts w:ascii="Arial" w:hAnsi="Arial"/>
          <w:sz w:val="22"/>
          <w:szCs w:val="22"/>
        </w:rPr>
        <w:t>,</w:t>
      </w:r>
      <w:r>
        <w:rPr>
          <w:rFonts w:ascii="Arial" w:hAnsi="Arial"/>
          <w:sz w:val="22"/>
          <w:szCs w:val="22"/>
        </w:rPr>
        <w:t xml:space="preserve"> one of the key achievemen</w:t>
      </w:r>
      <w:r w:rsidR="00496C09">
        <w:rPr>
          <w:rFonts w:ascii="Arial" w:hAnsi="Arial"/>
          <w:sz w:val="22"/>
          <w:szCs w:val="22"/>
        </w:rPr>
        <w:t xml:space="preserve">ts was the recognition of the prime minister and </w:t>
      </w:r>
      <w:proofErr w:type="spellStart"/>
      <w:r>
        <w:rPr>
          <w:rFonts w:ascii="Arial" w:hAnsi="Arial"/>
          <w:sz w:val="22"/>
          <w:szCs w:val="22"/>
        </w:rPr>
        <w:t>AoG</w:t>
      </w:r>
      <w:proofErr w:type="spellEnd"/>
      <w:r>
        <w:rPr>
          <w:rFonts w:ascii="Arial" w:hAnsi="Arial"/>
          <w:sz w:val="22"/>
          <w:szCs w:val="22"/>
        </w:rPr>
        <w:t xml:space="preserve"> </w:t>
      </w:r>
      <w:r w:rsidR="00496C09">
        <w:rPr>
          <w:rFonts w:ascii="Arial" w:hAnsi="Arial"/>
          <w:sz w:val="22"/>
          <w:szCs w:val="22"/>
        </w:rPr>
        <w:t>head of the</w:t>
      </w:r>
      <w:r>
        <w:rPr>
          <w:rFonts w:ascii="Arial" w:hAnsi="Arial"/>
          <w:sz w:val="22"/>
          <w:szCs w:val="22"/>
        </w:rPr>
        <w:t xml:space="preserve"> prioritization of PAR on the government’s agenda and </w:t>
      </w:r>
      <w:r w:rsidR="00CA73A8">
        <w:rPr>
          <w:rFonts w:ascii="Arial" w:hAnsi="Arial"/>
          <w:sz w:val="22"/>
          <w:szCs w:val="22"/>
        </w:rPr>
        <w:t xml:space="preserve">the </w:t>
      </w:r>
      <w:r w:rsidR="00F368A0">
        <w:rPr>
          <w:rFonts w:ascii="Arial" w:hAnsi="Arial"/>
          <w:sz w:val="22"/>
          <w:szCs w:val="22"/>
        </w:rPr>
        <w:t xml:space="preserve">PAR project as one of the examples driving change. The </w:t>
      </w:r>
      <w:r w:rsidR="00DA63E1">
        <w:rPr>
          <w:rFonts w:ascii="Arial" w:hAnsi="Arial"/>
          <w:sz w:val="22"/>
          <w:szCs w:val="22"/>
        </w:rPr>
        <w:t>COVID-19 pandemic</w:t>
      </w:r>
      <w:r w:rsidR="00F368A0">
        <w:rPr>
          <w:rFonts w:ascii="Arial" w:hAnsi="Arial"/>
          <w:sz w:val="22"/>
          <w:szCs w:val="22"/>
        </w:rPr>
        <w:t xml:space="preserve"> raise</w:t>
      </w:r>
      <w:r w:rsidR="00DA63E1">
        <w:rPr>
          <w:rFonts w:ascii="Arial" w:hAnsi="Arial"/>
          <w:sz w:val="22"/>
          <w:szCs w:val="22"/>
        </w:rPr>
        <w:t>d</w:t>
      </w:r>
      <w:r w:rsidR="00F368A0">
        <w:rPr>
          <w:rFonts w:ascii="Arial" w:hAnsi="Arial"/>
          <w:sz w:val="22"/>
          <w:szCs w:val="22"/>
        </w:rPr>
        <w:t xml:space="preserve"> the awareness at the senior levels of government to prioritize PAR.</w:t>
      </w:r>
      <w:r>
        <w:rPr>
          <w:rFonts w:ascii="Arial" w:hAnsi="Arial"/>
          <w:sz w:val="22"/>
          <w:szCs w:val="22"/>
        </w:rPr>
        <w:t xml:space="preserve"> </w:t>
      </w:r>
    </w:p>
    <w:p w14:paraId="68E307AF" w14:textId="77777777" w:rsidR="00F368A0" w:rsidRDefault="00F368A0" w:rsidP="00F0563B">
      <w:pPr>
        <w:jc w:val="both"/>
        <w:rPr>
          <w:rFonts w:ascii="Arial" w:hAnsi="Arial"/>
          <w:sz w:val="22"/>
          <w:szCs w:val="22"/>
        </w:rPr>
      </w:pPr>
    </w:p>
    <w:p w14:paraId="3E8550AE" w14:textId="77777777" w:rsidR="00DA63E1" w:rsidRDefault="00DA63E1" w:rsidP="00F0563B">
      <w:pPr>
        <w:jc w:val="both"/>
        <w:rPr>
          <w:rFonts w:ascii="Arial" w:hAnsi="Arial"/>
          <w:sz w:val="22"/>
          <w:szCs w:val="22"/>
        </w:rPr>
      </w:pPr>
      <w:r>
        <w:rPr>
          <w:rFonts w:ascii="Arial" w:hAnsi="Arial"/>
          <w:sz w:val="22"/>
          <w:szCs w:val="22"/>
        </w:rPr>
        <w:t xml:space="preserve">The work on the unified policy planning, monitoring and evaluation e-system was ongoing and the concept was finalized. </w:t>
      </w:r>
    </w:p>
    <w:p w14:paraId="6FEC269C" w14:textId="77777777" w:rsidR="00DA63E1" w:rsidRDefault="00DA63E1" w:rsidP="00F0563B">
      <w:pPr>
        <w:jc w:val="both"/>
        <w:rPr>
          <w:rFonts w:ascii="Arial" w:hAnsi="Arial"/>
          <w:sz w:val="22"/>
          <w:szCs w:val="22"/>
        </w:rPr>
      </w:pPr>
    </w:p>
    <w:p w14:paraId="25EEEDBF" w14:textId="675DC12C" w:rsidR="00DA63E1" w:rsidRDefault="00DA63E1" w:rsidP="00F0563B">
      <w:pPr>
        <w:jc w:val="both"/>
        <w:rPr>
          <w:rFonts w:ascii="Arial" w:hAnsi="Arial"/>
          <w:sz w:val="22"/>
          <w:szCs w:val="22"/>
        </w:rPr>
      </w:pPr>
      <w:r>
        <w:rPr>
          <w:rFonts w:ascii="Arial" w:hAnsi="Arial"/>
          <w:sz w:val="22"/>
          <w:szCs w:val="22"/>
        </w:rPr>
        <w:t xml:space="preserve">Training continued with up to 300 civil servants trained in policy planning, monitoring and evaluation. </w:t>
      </w:r>
      <w:r w:rsidR="00AC3944">
        <w:rPr>
          <w:rFonts w:ascii="Arial" w:hAnsi="Arial"/>
          <w:sz w:val="22"/>
          <w:szCs w:val="22"/>
        </w:rPr>
        <w:t xml:space="preserve">In an agreement between the </w:t>
      </w:r>
      <w:proofErr w:type="spellStart"/>
      <w:r w:rsidR="00AC3944">
        <w:rPr>
          <w:rFonts w:ascii="Arial" w:hAnsi="Arial"/>
          <w:sz w:val="22"/>
          <w:szCs w:val="22"/>
        </w:rPr>
        <w:t>AoG</w:t>
      </w:r>
      <w:proofErr w:type="spellEnd"/>
      <w:r w:rsidR="00AC3944">
        <w:rPr>
          <w:rFonts w:ascii="Arial" w:hAnsi="Arial"/>
          <w:sz w:val="22"/>
          <w:szCs w:val="22"/>
        </w:rPr>
        <w:t xml:space="preserve"> and the CSB, the training module</w:t>
      </w:r>
      <w:r w:rsidR="00CA73A8">
        <w:rPr>
          <w:rFonts w:ascii="Arial" w:hAnsi="Arial"/>
          <w:sz w:val="22"/>
          <w:szCs w:val="22"/>
        </w:rPr>
        <w:t xml:space="preserve"> became part of all policy unit</w:t>
      </w:r>
      <w:r w:rsidR="00AC3944">
        <w:rPr>
          <w:rFonts w:ascii="Arial" w:hAnsi="Arial"/>
          <w:sz w:val="22"/>
          <w:szCs w:val="22"/>
        </w:rPr>
        <w:t xml:space="preserve"> staff training plans. The training is not mandatory as of this time but a</w:t>
      </w:r>
      <w:r>
        <w:rPr>
          <w:rFonts w:ascii="Arial" w:hAnsi="Arial"/>
          <w:sz w:val="22"/>
          <w:szCs w:val="22"/>
        </w:rPr>
        <w:t>ll new unit entrants have to take the course and personnel must take the course every 3years.</w:t>
      </w:r>
    </w:p>
    <w:p w14:paraId="2B9AC7EA" w14:textId="77777777" w:rsidR="00DA63E1" w:rsidRDefault="00DA63E1" w:rsidP="00F0563B">
      <w:pPr>
        <w:jc w:val="both"/>
        <w:rPr>
          <w:rFonts w:ascii="Arial" w:hAnsi="Arial"/>
          <w:sz w:val="22"/>
          <w:szCs w:val="22"/>
        </w:rPr>
      </w:pPr>
    </w:p>
    <w:p w14:paraId="5972F276" w14:textId="3491B583" w:rsidR="00CF2381" w:rsidRDefault="00DA63E1" w:rsidP="00F0563B">
      <w:pPr>
        <w:jc w:val="both"/>
        <w:rPr>
          <w:rFonts w:ascii="Arial" w:hAnsi="Arial"/>
          <w:sz w:val="22"/>
          <w:szCs w:val="22"/>
        </w:rPr>
      </w:pPr>
      <w:r>
        <w:rPr>
          <w:rFonts w:ascii="Arial" w:hAnsi="Arial"/>
          <w:sz w:val="22"/>
          <w:szCs w:val="22"/>
        </w:rPr>
        <w:t xml:space="preserve">With the UNDP Parliamentary Support project and </w:t>
      </w:r>
      <w:proofErr w:type="spellStart"/>
      <w:r>
        <w:rPr>
          <w:rFonts w:ascii="Arial" w:hAnsi="Arial"/>
          <w:sz w:val="22"/>
          <w:szCs w:val="22"/>
        </w:rPr>
        <w:t>AoG</w:t>
      </w:r>
      <w:proofErr w:type="spellEnd"/>
      <w:r w:rsidR="002C2066">
        <w:rPr>
          <w:rFonts w:ascii="Arial" w:hAnsi="Arial"/>
          <w:sz w:val="22"/>
          <w:szCs w:val="22"/>
        </w:rPr>
        <w:t>,</w:t>
      </w:r>
      <w:r>
        <w:rPr>
          <w:rFonts w:ascii="Arial" w:hAnsi="Arial"/>
          <w:sz w:val="22"/>
          <w:szCs w:val="22"/>
        </w:rPr>
        <w:t xml:space="preserve"> training was provided to Parliament to improve its policymaking and oversight functions using the new poli</w:t>
      </w:r>
      <w:r w:rsidR="00B528F2">
        <w:rPr>
          <w:rFonts w:ascii="Arial" w:hAnsi="Arial"/>
          <w:sz w:val="22"/>
          <w:szCs w:val="22"/>
        </w:rPr>
        <w:t>cy planning framework. The aim wa</w:t>
      </w:r>
      <w:r>
        <w:rPr>
          <w:rFonts w:ascii="Arial" w:hAnsi="Arial"/>
          <w:sz w:val="22"/>
          <w:szCs w:val="22"/>
        </w:rPr>
        <w:t xml:space="preserve">s to extend the use of the policy planning handbook to </w:t>
      </w:r>
      <w:proofErr w:type="gramStart"/>
      <w:r w:rsidR="00CA73A8">
        <w:rPr>
          <w:rFonts w:ascii="Arial" w:hAnsi="Arial"/>
          <w:sz w:val="22"/>
          <w:szCs w:val="22"/>
        </w:rPr>
        <w:t>Parliament</w:t>
      </w:r>
      <w:proofErr w:type="gramEnd"/>
      <w:r>
        <w:rPr>
          <w:rFonts w:ascii="Arial" w:hAnsi="Arial"/>
          <w:sz w:val="22"/>
          <w:szCs w:val="22"/>
        </w:rPr>
        <w:t xml:space="preserve"> so the</w:t>
      </w:r>
      <w:r w:rsidR="00B528F2">
        <w:rPr>
          <w:rFonts w:ascii="Arial" w:hAnsi="Arial"/>
          <w:sz w:val="22"/>
          <w:szCs w:val="22"/>
        </w:rPr>
        <w:t xml:space="preserve"> same guidelines are followed.</w:t>
      </w:r>
    </w:p>
    <w:p w14:paraId="12158AC6" w14:textId="77777777" w:rsidR="005C2360" w:rsidRDefault="005C2360" w:rsidP="00F0563B">
      <w:pPr>
        <w:jc w:val="both"/>
        <w:rPr>
          <w:rFonts w:ascii="Arial" w:hAnsi="Arial"/>
          <w:sz w:val="22"/>
          <w:szCs w:val="22"/>
        </w:rPr>
      </w:pPr>
    </w:p>
    <w:p w14:paraId="54CAB46A" w14:textId="60359458" w:rsidR="005C2360" w:rsidRDefault="00DA63E1" w:rsidP="00F0563B">
      <w:pPr>
        <w:jc w:val="both"/>
        <w:rPr>
          <w:rFonts w:ascii="Arial" w:hAnsi="Arial"/>
          <w:sz w:val="22"/>
          <w:szCs w:val="22"/>
        </w:rPr>
      </w:pPr>
      <w:r>
        <w:rPr>
          <w:rFonts w:ascii="Arial" w:hAnsi="Arial"/>
          <w:sz w:val="22"/>
          <w:szCs w:val="22"/>
        </w:rPr>
        <w:t>The project w</w:t>
      </w:r>
      <w:r w:rsidR="005C2360">
        <w:rPr>
          <w:rFonts w:ascii="Arial" w:hAnsi="Arial"/>
          <w:sz w:val="22"/>
          <w:szCs w:val="22"/>
        </w:rPr>
        <w:t xml:space="preserve">orked with </w:t>
      </w:r>
      <w:r>
        <w:rPr>
          <w:rFonts w:ascii="Arial" w:hAnsi="Arial"/>
          <w:sz w:val="22"/>
          <w:szCs w:val="22"/>
        </w:rPr>
        <w:t xml:space="preserve">the </w:t>
      </w:r>
      <w:r w:rsidR="005C2360">
        <w:rPr>
          <w:rFonts w:ascii="Arial" w:hAnsi="Arial"/>
          <w:sz w:val="22"/>
          <w:szCs w:val="22"/>
        </w:rPr>
        <w:t>UNDP</w:t>
      </w:r>
      <w:r w:rsidR="009B6398" w:rsidRPr="009B6398">
        <w:rPr>
          <w:rFonts w:ascii="Arial" w:hAnsi="Arial"/>
          <w:sz w:val="22"/>
          <w:szCs w:val="22"/>
        </w:rPr>
        <w:t xml:space="preserve"> </w:t>
      </w:r>
      <w:r w:rsidR="002C2066">
        <w:rPr>
          <w:rFonts w:ascii="Arial" w:hAnsi="Arial"/>
          <w:sz w:val="22"/>
          <w:szCs w:val="22"/>
        </w:rPr>
        <w:t xml:space="preserve">project </w:t>
      </w:r>
      <w:r w:rsidR="009B6398">
        <w:rPr>
          <w:rFonts w:ascii="Arial" w:hAnsi="Arial"/>
          <w:sz w:val="22"/>
          <w:szCs w:val="22"/>
        </w:rPr>
        <w:t>fostering decentralization and good governance at the local level</w:t>
      </w:r>
      <w:r w:rsidR="005C2360">
        <w:rPr>
          <w:rFonts w:ascii="Arial" w:hAnsi="Arial"/>
          <w:sz w:val="22"/>
          <w:szCs w:val="22"/>
        </w:rPr>
        <w:t xml:space="preserve"> </w:t>
      </w:r>
      <w:r w:rsidR="009B6398">
        <w:rPr>
          <w:rFonts w:ascii="Arial" w:hAnsi="Arial"/>
          <w:sz w:val="22"/>
          <w:szCs w:val="22"/>
        </w:rPr>
        <w:t>project to create</w:t>
      </w:r>
      <w:r w:rsidR="005C2360">
        <w:rPr>
          <w:rFonts w:ascii="Arial" w:hAnsi="Arial"/>
          <w:sz w:val="22"/>
          <w:szCs w:val="22"/>
        </w:rPr>
        <w:t xml:space="preserve"> a coherent approach in local and central government policy making. </w:t>
      </w:r>
      <w:r w:rsidR="009B6398">
        <w:rPr>
          <w:rFonts w:ascii="Arial" w:hAnsi="Arial"/>
          <w:sz w:val="22"/>
          <w:szCs w:val="22"/>
        </w:rPr>
        <w:t>A “</w:t>
      </w:r>
      <w:r w:rsidR="005C2360">
        <w:rPr>
          <w:rFonts w:ascii="Arial" w:hAnsi="Arial"/>
          <w:sz w:val="22"/>
          <w:szCs w:val="22"/>
        </w:rPr>
        <w:t>Policy Handbook on Municipal Development Documents</w:t>
      </w:r>
      <w:r w:rsidR="009B6398">
        <w:rPr>
          <w:rFonts w:ascii="Arial" w:hAnsi="Arial"/>
          <w:sz w:val="22"/>
          <w:szCs w:val="22"/>
        </w:rPr>
        <w:t>” was developed in conformity with the national policy planning handbook</w:t>
      </w:r>
      <w:r w:rsidR="00B528F2">
        <w:rPr>
          <w:rFonts w:ascii="Arial" w:hAnsi="Arial"/>
          <w:sz w:val="22"/>
          <w:szCs w:val="22"/>
        </w:rPr>
        <w:t>.</w:t>
      </w:r>
    </w:p>
    <w:p w14:paraId="26AB9241" w14:textId="77777777" w:rsidR="004A5148" w:rsidRDefault="004A5148" w:rsidP="00F0563B">
      <w:pPr>
        <w:jc w:val="both"/>
        <w:rPr>
          <w:rFonts w:ascii="Arial" w:hAnsi="Arial"/>
          <w:sz w:val="22"/>
          <w:szCs w:val="22"/>
        </w:rPr>
      </w:pPr>
    </w:p>
    <w:p w14:paraId="23E41CE2" w14:textId="4D9CFEEE" w:rsidR="009B6398" w:rsidRDefault="009B6398" w:rsidP="009B6398">
      <w:pPr>
        <w:jc w:val="both"/>
        <w:rPr>
          <w:rFonts w:ascii="Arial" w:hAnsi="Arial"/>
          <w:sz w:val="22"/>
          <w:szCs w:val="22"/>
        </w:rPr>
      </w:pPr>
      <w:r>
        <w:rPr>
          <w:rFonts w:ascii="Arial" w:hAnsi="Arial"/>
          <w:sz w:val="22"/>
          <w:szCs w:val="22"/>
        </w:rPr>
        <w:t xml:space="preserve">Up to </w:t>
      </w:r>
      <w:r w:rsidR="00D454F5">
        <w:rPr>
          <w:rFonts w:ascii="Arial" w:hAnsi="Arial"/>
          <w:sz w:val="22"/>
          <w:szCs w:val="22"/>
        </w:rPr>
        <w:t>35 strategic policy documents were pending adoption</w:t>
      </w:r>
      <w:r>
        <w:rPr>
          <w:rFonts w:ascii="Arial" w:hAnsi="Arial"/>
          <w:sz w:val="22"/>
          <w:szCs w:val="22"/>
        </w:rPr>
        <w:t>. However, a</w:t>
      </w:r>
      <w:r w:rsidR="00D454F5">
        <w:rPr>
          <w:rFonts w:ascii="Arial" w:hAnsi="Arial"/>
          <w:sz w:val="22"/>
          <w:szCs w:val="22"/>
        </w:rPr>
        <w:t xml:space="preserve">doption was slowed by the </w:t>
      </w:r>
      <w:r>
        <w:rPr>
          <w:rFonts w:ascii="Arial" w:hAnsi="Arial"/>
          <w:sz w:val="22"/>
          <w:szCs w:val="22"/>
        </w:rPr>
        <w:t xml:space="preserve">COVID-19 </w:t>
      </w:r>
      <w:r w:rsidR="00D454F5">
        <w:rPr>
          <w:rFonts w:ascii="Arial" w:hAnsi="Arial"/>
          <w:sz w:val="22"/>
          <w:szCs w:val="22"/>
        </w:rPr>
        <w:t xml:space="preserve">pandemic or changed due to changing priorities due to the pandemic. All </w:t>
      </w:r>
      <w:r>
        <w:rPr>
          <w:rFonts w:ascii="Arial" w:hAnsi="Arial"/>
          <w:sz w:val="22"/>
          <w:szCs w:val="22"/>
        </w:rPr>
        <w:lastRenderedPageBreak/>
        <w:t>national, sector an</w:t>
      </w:r>
      <w:r w:rsidR="008859AF">
        <w:rPr>
          <w:rFonts w:ascii="Arial" w:hAnsi="Arial"/>
          <w:sz w:val="22"/>
          <w:szCs w:val="22"/>
        </w:rPr>
        <w:t>d</w:t>
      </w:r>
      <w:r>
        <w:rPr>
          <w:rFonts w:ascii="Arial" w:hAnsi="Arial"/>
          <w:sz w:val="22"/>
          <w:szCs w:val="22"/>
        </w:rPr>
        <w:t xml:space="preserve"> institutional strategies were </w:t>
      </w:r>
      <w:r w:rsidR="00D454F5">
        <w:rPr>
          <w:rFonts w:ascii="Arial" w:hAnsi="Arial"/>
          <w:sz w:val="22"/>
          <w:szCs w:val="22"/>
        </w:rPr>
        <w:t>to be dr</w:t>
      </w:r>
      <w:r>
        <w:rPr>
          <w:rFonts w:ascii="Arial" w:hAnsi="Arial"/>
          <w:sz w:val="22"/>
          <w:szCs w:val="22"/>
        </w:rPr>
        <w:t xml:space="preserve">afted using the new policy planning handbook. The project supported </w:t>
      </w:r>
      <w:r w:rsidR="00AC3944">
        <w:rPr>
          <w:rFonts w:ascii="Arial" w:hAnsi="Arial"/>
          <w:sz w:val="22"/>
          <w:szCs w:val="22"/>
        </w:rPr>
        <w:t>4</w:t>
      </w:r>
      <w:r>
        <w:rPr>
          <w:rFonts w:ascii="Arial" w:hAnsi="Arial"/>
          <w:sz w:val="22"/>
          <w:szCs w:val="22"/>
        </w:rPr>
        <w:t xml:space="preserve"> national strategy documents:</w:t>
      </w:r>
      <w:r w:rsidR="008D41DD">
        <w:rPr>
          <w:rFonts w:ascii="Arial" w:hAnsi="Arial"/>
          <w:sz w:val="22"/>
          <w:szCs w:val="22"/>
        </w:rPr>
        <w:t xml:space="preserve"> E-Governance Strategy of the DG</w:t>
      </w:r>
      <w:r>
        <w:rPr>
          <w:rFonts w:ascii="Arial" w:hAnsi="Arial"/>
          <w:sz w:val="22"/>
          <w:szCs w:val="22"/>
        </w:rPr>
        <w:t>A, PAR Stra</w:t>
      </w:r>
      <w:r w:rsidR="008D41DD">
        <w:rPr>
          <w:rFonts w:ascii="Arial" w:hAnsi="Arial"/>
          <w:sz w:val="22"/>
          <w:szCs w:val="22"/>
        </w:rPr>
        <w:t>tegy and Action Plan 2021-2024;</w:t>
      </w:r>
      <w:r>
        <w:rPr>
          <w:rFonts w:ascii="Arial" w:hAnsi="Arial"/>
          <w:sz w:val="22"/>
          <w:szCs w:val="22"/>
        </w:rPr>
        <w:t xml:space="preserve"> </w:t>
      </w:r>
      <w:r w:rsidR="002310EA">
        <w:rPr>
          <w:rFonts w:ascii="Arial" w:hAnsi="Arial"/>
          <w:sz w:val="22"/>
          <w:szCs w:val="22"/>
        </w:rPr>
        <w:t xml:space="preserve">Maritime Transport Strategy; </w:t>
      </w:r>
      <w:r>
        <w:rPr>
          <w:rFonts w:ascii="Arial" w:hAnsi="Arial"/>
          <w:sz w:val="22"/>
          <w:szCs w:val="22"/>
        </w:rPr>
        <w:t xml:space="preserve">and Public Service Design and Delivery Policy </w:t>
      </w:r>
      <w:r w:rsidR="008859AF">
        <w:rPr>
          <w:rFonts w:ascii="Arial" w:hAnsi="Arial"/>
          <w:sz w:val="22"/>
          <w:szCs w:val="22"/>
        </w:rPr>
        <w:t>d</w:t>
      </w:r>
      <w:r>
        <w:rPr>
          <w:rFonts w:ascii="Arial" w:hAnsi="Arial"/>
          <w:sz w:val="22"/>
          <w:szCs w:val="22"/>
        </w:rPr>
        <w:t xml:space="preserve">ocument. </w:t>
      </w:r>
      <w:r w:rsidR="008D41DD">
        <w:rPr>
          <w:rFonts w:ascii="Arial" w:hAnsi="Arial"/>
          <w:sz w:val="22"/>
          <w:szCs w:val="22"/>
        </w:rPr>
        <w:t>As of this time, the f</w:t>
      </w:r>
      <w:r>
        <w:rPr>
          <w:rFonts w:ascii="Arial" w:hAnsi="Arial"/>
          <w:sz w:val="22"/>
          <w:szCs w:val="22"/>
        </w:rPr>
        <w:t xml:space="preserve">irst two are in planning phase and </w:t>
      </w:r>
      <w:r w:rsidR="00CA73A8">
        <w:rPr>
          <w:rFonts w:ascii="Arial" w:hAnsi="Arial"/>
          <w:sz w:val="22"/>
          <w:szCs w:val="22"/>
        </w:rPr>
        <w:t>the last two are finalized</w:t>
      </w:r>
      <w:r>
        <w:rPr>
          <w:rFonts w:ascii="Arial" w:hAnsi="Arial"/>
          <w:sz w:val="22"/>
          <w:szCs w:val="22"/>
        </w:rPr>
        <w:t xml:space="preserve">. </w:t>
      </w:r>
    </w:p>
    <w:p w14:paraId="03A44E7A" w14:textId="5DB55F13" w:rsidR="00D454F5" w:rsidRDefault="00D454F5" w:rsidP="00F0563B">
      <w:pPr>
        <w:jc w:val="both"/>
        <w:rPr>
          <w:rFonts w:ascii="Arial" w:hAnsi="Arial"/>
          <w:sz w:val="22"/>
          <w:szCs w:val="22"/>
        </w:rPr>
      </w:pPr>
    </w:p>
    <w:p w14:paraId="35FD9BCE" w14:textId="586DAF1F" w:rsidR="00DA63E1" w:rsidRDefault="008D41DD" w:rsidP="00DA63E1">
      <w:pPr>
        <w:jc w:val="both"/>
        <w:rPr>
          <w:rFonts w:ascii="Arial" w:hAnsi="Arial"/>
          <w:sz w:val="22"/>
          <w:szCs w:val="22"/>
        </w:rPr>
      </w:pPr>
      <w:r>
        <w:rPr>
          <w:rFonts w:ascii="Arial" w:hAnsi="Arial"/>
          <w:sz w:val="22"/>
          <w:szCs w:val="22"/>
        </w:rPr>
        <w:t xml:space="preserve">The PAR Council did hold a meeting </w:t>
      </w:r>
      <w:r w:rsidR="002310EA">
        <w:rPr>
          <w:rFonts w:ascii="Arial" w:hAnsi="Arial"/>
          <w:sz w:val="22"/>
          <w:szCs w:val="22"/>
        </w:rPr>
        <w:t xml:space="preserve">in 2019 </w:t>
      </w:r>
      <w:r>
        <w:rPr>
          <w:rFonts w:ascii="Arial" w:hAnsi="Arial"/>
          <w:sz w:val="22"/>
          <w:szCs w:val="22"/>
        </w:rPr>
        <w:t xml:space="preserve">and </w:t>
      </w:r>
      <w:r w:rsidR="00DA63E1">
        <w:rPr>
          <w:rFonts w:ascii="Arial" w:hAnsi="Arial"/>
          <w:sz w:val="22"/>
          <w:szCs w:val="22"/>
        </w:rPr>
        <w:t xml:space="preserve">CSOs </w:t>
      </w:r>
      <w:r>
        <w:rPr>
          <w:rFonts w:ascii="Arial" w:hAnsi="Arial"/>
          <w:sz w:val="22"/>
          <w:szCs w:val="22"/>
        </w:rPr>
        <w:t xml:space="preserve">were </w:t>
      </w:r>
      <w:r w:rsidR="00DA63E1">
        <w:rPr>
          <w:rFonts w:ascii="Arial" w:hAnsi="Arial"/>
          <w:sz w:val="22"/>
          <w:szCs w:val="22"/>
        </w:rPr>
        <w:t xml:space="preserve">included. Topics included a review of PAR Roadmap </w:t>
      </w:r>
      <w:r>
        <w:rPr>
          <w:rFonts w:ascii="Arial" w:hAnsi="Arial"/>
          <w:sz w:val="22"/>
          <w:szCs w:val="22"/>
        </w:rPr>
        <w:t>2016-</w:t>
      </w:r>
      <w:r w:rsidR="00DA63E1">
        <w:rPr>
          <w:rFonts w:ascii="Arial" w:hAnsi="Arial"/>
          <w:sz w:val="22"/>
          <w:szCs w:val="22"/>
        </w:rPr>
        <w:t xml:space="preserve">2020, development of </w:t>
      </w:r>
      <w:r w:rsidR="008859AF">
        <w:rPr>
          <w:rFonts w:ascii="Arial" w:hAnsi="Arial"/>
          <w:sz w:val="22"/>
          <w:szCs w:val="22"/>
        </w:rPr>
        <w:t xml:space="preserve">the </w:t>
      </w:r>
      <w:r w:rsidR="00DA63E1">
        <w:rPr>
          <w:rFonts w:ascii="Arial" w:hAnsi="Arial"/>
          <w:sz w:val="22"/>
          <w:szCs w:val="22"/>
        </w:rPr>
        <w:t>2021-</w:t>
      </w:r>
      <w:r>
        <w:rPr>
          <w:rFonts w:ascii="Arial" w:hAnsi="Arial"/>
          <w:sz w:val="22"/>
          <w:szCs w:val="22"/>
        </w:rPr>
        <w:t>2024 PAR Roadmap</w:t>
      </w:r>
      <w:r w:rsidR="00DA63E1">
        <w:rPr>
          <w:rFonts w:ascii="Arial" w:hAnsi="Arial"/>
          <w:sz w:val="22"/>
          <w:szCs w:val="22"/>
        </w:rPr>
        <w:t xml:space="preserve"> and Action Plan, and the role of civil society in PAR.  </w:t>
      </w:r>
      <w:r>
        <w:rPr>
          <w:rFonts w:ascii="Arial" w:hAnsi="Arial"/>
          <w:sz w:val="22"/>
          <w:szCs w:val="22"/>
        </w:rPr>
        <w:t>The project had provided</w:t>
      </w:r>
      <w:r w:rsidR="002C2066">
        <w:rPr>
          <w:rFonts w:ascii="Arial" w:hAnsi="Arial"/>
          <w:sz w:val="22"/>
          <w:szCs w:val="22"/>
        </w:rPr>
        <w:t xml:space="preserve"> support to </w:t>
      </w:r>
      <w:proofErr w:type="spellStart"/>
      <w:r w:rsidR="002C2066">
        <w:rPr>
          <w:rFonts w:ascii="Arial" w:hAnsi="Arial"/>
          <w:sz w:val="22"/>
          <w:szCs w:val="22"/>
        </w:rPr>
        <w:t>AoG</w:t>
      </w:r>
      <w:proofErr w:type="spellEnd"/>
      <w:r w:rsidR="002C2066">
        <w:rPr>
          <w:rFonts w:ascii="Arial" w:hAnsi="Arial"/>
          <w:sz w:val="22"/>
          <w:szCs w:val="22"/>
        </w:rPr>
        <w:t xml:space="preserve"> for the </w:t>
      </w:r>
      <w:r w:rsidR="00DA63E1">
        <w:rPr>
          <w:rFonts w:ascii="Arial" w:hAnsi="Arial"/>
          <w:sz w:val="22"/>
          <w:szCs w:val="22"/>
        </w:rPr>
        <w:t xml:space="preserve">2020 </w:t>
      </w:r>
      <w:r>
        <w:rPr>
          <w:rFonts w:ascii="Arial" w:hAnsi="Arial"/>
          <w:sz w:val="22"/>
          <w:szCs w:val="22"/>
        </w:rPr>
        <w:t xml:space="preserve">Roadmap </w:t>
      </w:r>
      <w:r w:rsidR="00DA63E1">
        <w:rPr>
          <w:rFonts w:ascii="Arial" w:hAnsi="Arial"/>
          <w:sz w:val="22"/>
          <w:szCs w:val="22"/>
        </w:rPr>
        <w:t>re</w:t>
      </w:r>
      <w:r>
        <w:rPr>
          <w:rFonts w:ascii="Arial" w:hAnsi="Arial"/>
          <w:sz w:val="22"/>
          <w:szCs w:val="22"/>
        </w:rPr>
        <w:t>view</w:t>
      </w:r>
      <w:r w:rsidR="00DA63E1">
        <w:rPr>
          <w:rFonts w:ascii="Arial" w:hAnsi="Arial"/>
          <w:sz w:val="22"/>
          <w:szCs w:val="22"/>
        </w:rPr>
        <w:t xml:space="preserve"> to be an input in the design of the new PAR strategy document.</w:t>
      </w:r>
      <w:r w:rsidR="009B6398">
        <w:rPr>
          <w:rFonts w:ascii="Arial" w:hAnsi="Arial"/>
          <w:sz w:val="22"/>
          <w:szCs w:val="22"/>
        </w:rPr>
        <w:t xml:space="preserve"> </w:t>
      </w:r>
      <w:r>
        <w:rPr>
          <w:rFonts w:ascii="Arial" w:hAnsi="Arial"/>
          <w:sz w:val="22"/>
          <w:szCs w:val="22"/>
        </w:rPr>
        <w:t>And, it has been providing support to the new Roadmap’s formulation.</w:t>
      </w:r>
    </w:p>
    <w:p w14:paraId="67968BD3" w14:textId="77777777" w:rsidR="00D454F5" w:rsidRDefault="00D454F5" w:rsidP="00F0563B">
      <w:pPr>
        <w:jc w:val="both"/>
        <w:rPr>
          <w:rFonts w:ascii="Arial" w:hAnsi="Arial"/>
          <w:sz w:val="22"/>
          <w:szCs w:val="22"/>
        </w:rPr>
      </w:pPr>
    </w:p>
    <w:p w14:paraId="68AAB796" w14:textId="0B1EE860" w:rsidR="00F368A0" w:rsidRDefault="008D41DD" w:rsidP="00F0563B">
      <w:pPr>
        <w:jc w:val="both"/>
        <w:rPr>
          <w:rFonts w:ascii="Arial" w:hAnsi="Arial"/>
          <w:sz w:val="22"/>
          <w:szCs w:val="22"/>
        </w:rPr>
      </w:pPr>
      <w:r>
        <w:rPr>
          <w:rFonts w:ascii="Arial" w:hAnsi="Arial"/>
          <w:sz w:val="22"/>
          <w:szCs w:val="22"/>
        </w:rPr>
        <w:t xml:space="preserve">The </w:t>
      </w:r>
      <w:r w:rsidR="009B6398">
        <w:rPr>
          <w:rFonts w:ascii="Arial" w:hAnsi="Arial"/>
          <w:sz w:val="22"/>
          <w:szCs w:val="22"/>
        </w:rPr>
        <w:t>PAR Communica</w:t>
      </w:r>
      <w:r>
        <w:rPr>
          <w:rFonts w:ascii="Arial" w:hAnsi="Arial"/>
          <w:sz w:val="22"/>
          <w:szCs w:val="22"/>
        </w:rPr>
        <w:t xml:space="preserve">tion Strategy was </w:t>
      </w:r>
      <w:r w:rsidR="009B6398">
        <w:rPr>
          <w:rFonts w:ascii="Arial" w:hAnsi="Arial"/>
          <w:sz w:val="22"/>
          <w:szCs w:val="22"/>
        </w:rPr>
        <w:t xml:space="preserve">presented but not approved. </w:t>
      </w:r>
    </w:p>
    <w:p w14:paraId="356B34E9" w14:textId="18E3CFBE" w:rsidR="00F0563B" w:rsidRDefault="00677012" w:rsidP="00F0563B">
      <w:pPr>
        <w:pStyle w:val="Heading4"/>
      </w:pPr>
      <w:bookmarkStart w:id="19" w:name="_Toc478138870"/>
      <w:r>
        <w:t>2.</w:t>
      </w:r>
      <w:r>
        <w:tab/>
      </w:r>
      <w:r w:rsidR="00F0563B">
        <w:t>Conclusions</w:t>
      </w:r>
      <w:bookmarkEnd w:id="19"/>
    </w:p>
    <w:p w14:paraId="7226C29B" w14:textId="77777777" w:rsidR="00C045E3" w:rsidRDefault="00C045E3" w:rsidP="00F0563B"/>
    <w:p w14:paraId="54049723" w14:textId="768112EF" w:rsidR="00C045E3" w:rsidRDefault="00C045E3" w:rsidP="00971D6E">
      <w:pPr>
        <w:jc w:val="both"/>
        <w:rPr>
          <w:rFonts w:ascii="Arial" w:hAnsi="Arial" w:cs="Arial"/>
          <w:sz w:val="22"/>
          <w:szCs w:val="22"/>
        </w:rPr>
      </w:pPr>
      <w:r>
        <w:rPr>
          <w:rFonts w:ascii="Arial" w:hAnsi="Arial" w:cs="Arial"/>
          <w:sz w:val="22"/>
          <w:szCs w:val="22"/>
        </w:rPr>
        <w:t xml:space="preserve">The </w:t>
      </w:r>
      <w:r w:rsidR="00B874AE">
        <w:rPr>
          <w:rFonts w:ascii="Arial" w:hAnsi="Arial" w:cs="Arial"/>
          <w:sz w:val="22"/>
          <w:szCs w:val="22"/>
        </w:rPr>
        <w:t>policy development and coordination outcome area was effective in improving processes, human resources and actual applications to the reformed policy planning, managemen</w:t>
      </w:r>
      <w:r w:rsidR="002C2066">
        <w:rPr>
          <w:rFonts w:ascii="Arial" w:hAnsi="Arial" w:cs="Arial"/>
          <w:sz w:val="22"/>
          <w:szCs w:val="22"/>
        </w:rPr>
        <w:t>t, monitoring and evaluation</w:t>
      </w:r>
      <w:r w:rsidR="00B874AE">
        <w:rPr>
          <w:rFonts w:ascii="Arial" w:hAnsi="Arial" w:cs="Arial"/>
          <w:sz w:val="22"/>
          <w:szCs w:val="22"/>
        </w:rPr>
        <w:t xml:space="preserve"> framework. </w:t>
      </w:r>
    </w:p>
    <w:p w14:paraId="220BE26C" w14:textId="77777777" w:rsidR="00B874AE" w:rsidRDefault="00B874AE" w:rsidP="00971D6E">
      <w:pPr>
        <w:jc w:val="both"/>
        <w:rPr>
          <w:rFonts w:ascii="Arial" w:hAnsi="Arial" w:cs="Arial"/>
          <w:sz w:val="22"/>
          <w:szCs w:val="22"/>
        </w:rPr>
      </w:pPr>
    </w:p>
    <w:p w14:paraId="600CC502" w14:textId="50C03F4D" w:rsidR="00B874AE" w:rsidRDefault="00B874AE" w:rsidP="00971D6E">
      <w:pPr>
        <w:jc w:val="both"/>
        <w:rPr>
          <w:rFonts w:ascii="Arial" w:hAnsi="Arial" w:cs="Arial"/>
          <w:sz w:val="22"/>
          <w:szCs w:val="22"/>
        </w:rPr>
      </w:pPr>
      <w:r>
        <w:rPr>
          <w:rFonts w:ascii="Arial" w:hAnsi="Arial" w:cs="Arial"/>
          <w:sz w:val="22"/>
          <w:szCs w:val="22"/>
        </w:rPr>
        <w:t>The project team took a step-by-step parti</w:t>
      </w:r>
      <w:r w:rsidR="00C30729">
        <w:rPr>
          <w:rFonts w:ascii="Arial" w:hAnsi="Arial" w:cs="Arial"/>
          <w:sz w:val="22"/>
          <w:szCs w:val="22"/>
        </w:rPr>
        <w:t>cipatory approach working mainl</w:t>
      </w:r>
      <w:r>
        <w:rPr>
          <w:rFonts w:ascii="Arial" w:hAnsi="Arial" w:cs="Arial"/>
          <w:sz w:val="22"/>
          <w:szCs w:val="22"/>
        </w:rPr>
        <w:t xml:space="preserve">y with the </w:t>
      </w:r>
      <w:proofErr w:type="spellStart"/>
      <w:r>
        <w:rPr>
          <w:rFonts w:ascii="Arial" w:hAnsi="Arial" w:cs="Arial"/>
          <w:sz w:val="22"/>
          <w:szCs w:val="22"/>
        </w:rPr>
        <w:t>AoG</w:t>
      </w:r>
      <w:proofErr w:type="spellEnd"/>
      <w:r>
        <w:rPr>
          <w:rFonts w:ascii="Arial" w:hAnsi="Arial" w:cs="Arial"/>
          <w:sz w:val="22"/>
          <w:szCs w:val="22"/>
        </w:rPr>
        <w:t xml:space="preserve"> and the policy and planning units of the ministries and agencies. A whole-of-government approach was taken fr</w:t>
      </w:r>
      <w:r w:rsidR="002C2066">
        <w:rPr>
          <w:rFonts w:ascii="Arial" w:hAnsi="Arial" w:cs="Arial"/>
          <w:sz w:val="22"/>
          <w:szCs w:val="22"/>
        </w:rPr>
        <w:t>o</w:t>
      </w:r>
      <w:r>
        <w:rPr>
          <w:rFonts w:ascii="Arial" w:hAnsi="Arial" w:cs="Arial"/>
          <w:sz w:val="22"/>
          <w:szCs w:val="22"/>
        </w:rPr>
        <w:t>m the beginning. And, the project was aligned at the very beginning with government interests and priorities.</w:t>
      </w:r>
    </w:p>
    <w:p w14:paraId="401FE6EB" w14:textId="77777777" w:rsidR="00B874AE" w:rsidRDefault="00B874AE" w:rsidP="00971D6E">
      <w:pPr>
        <w:jc w:val="both"/>
        <w:rPr>
          <w:rFonts w:ascii="Arial" w:hAnsi="Arial" w:cs="Arial"/>
          <w:sz w:val="22"/>
          <w:szCs w:val="22"/>
        </w:rPr>
      </w:pPr>
    </w:p>
    <w:p w14:paraId="3127DB08" w14:textId="7E1FAB61" w:rsidR="00A27AF1" w:rsidRDefault="00B874AE" w:rsidP="00971D6E">
      <w:pPr>
        <w:jc w:val="both"/>
        <w:rPr>
          <w:rFonts w:ascii="Arial" w:hAnsi="Arial" w:cs="Arial"/>
          <w:sz w:val="22"/>
          <w:szCs w:val="22"/>
        </w:rPr>
      </w:pPr>
      <w:r>
        <w:rPr>
          <w:rFonts w:ascii="Arial" w:hAnsi="Arial" w:cs="Arial"/>
          <w:sz w:val="22"/>
          <w:szCs w:val="22"/>
        </w:rPr>
        <w:t xml:space="preserve">Training, expertise and advocacy were </w:t>
      </w:r>
      <w:r w:rsidR="00A27AF1">
        <w:rPr>
          <w:rFonts w:ascii="Arial" w:hAnsi="Arial" w:cs="Arial"/>
          <w:sz w:val="22"/>
          <w:szCs w:val="22"/>
        </w:rPr>
        <w:t xml:space="preserve">applied as needed to help keep the changes ongoing. At times the involvement of </w:t>
      </w:r>
      <w:proofErr w:type="spellStart"/>
      <w:r w:rsidR="00A27AF1">
        <w:rPr>
          <w:rFonts w:ascii="Arial" w:hAnsi="Arial" w:cs="Arial"/>
          <w:sz w:val="22"/>
          <w:szCs w:val="22"/>
        </w:rPr>
        <w:t>AoG</w:t>
      </w:r>
      <w:proofErr w:type="spellEnd"/>
      <w:r w:rsidR="00A27AF1">
        <w:rPr>
          <w:rFonts w:ascii="Arial" w:hAnsi="Arial" w:cs="Arial"/>
          <w:sz w:val="22"/>
          <w:szCs w:val="22"/>
        </w:rPr>
        <w:t xml:space="preserve"> units or that of senior government seemed to have waivered mainly because of a changing political climate, changes of leadership and human resources at </w:t>
      </w:r>
      <w:proofErr w:type="spellStart"/>
      <w:r w:rsidR="00A27AF1">
        <w:rPr>
          <w:rFonts w:ascii="Arial" w:hAnsi="Arial" w:cs="Arial"/>
          <w:sz w:val="22"/>
          <w:szCs w:val="22"/>
        </w:rPr>
        <w:t>AoG</w:t>
      </w:r>
      <w:proofErr w:type="spellEnd"/>
      <w:r w:rsidR="00A27AF1">
        <w:rPr>
          <w:rFonts w:ascii="Arial" w:hAnsi="Arial" w:cs="Arial"/>
          <w:sz w:val="22"/>
          <w:szCs w:val="22"/>
        </w:rPr>
        <w:t xml:space="preserve">, and then the impact of the COVID-19 pandemic. However, given these hurdles, the project was able to adjust in line </w:t>
      </w:r>
      <w:r w:rsidR="0093405C">
        <w:rPr>
          <w:rFonts w:ascii="Arial" w:hAnsi="Arial" w:cs="Arial"/>
          <w:sz w:val="22"/>
          <w:szCs w:val="22"/>
        </w:rPr>
        <w:t>with the outcome area stakehold</w:t>
      </w:r>
      <w:r w:rsidR="00CA73A8">
        <w:rPr>
          <w:rFonts w:ascii="Arial" w:hAnsi="Arial" w:cs="Arial"/>
          <w:sz w:val="22"/>
          <w:szCs w:val="22"/>
        </w:rPr>
        <w:t>ers to advance</w:t>
      </w:r>
      <w:r w:rsidR="00A27AF1">
        <w:rPr>
          <w:rFonts w:ascii="Arial" w:hAnsi="Arial" w:cs="Arial"/>
          <w:sz w:val="22"/>
          <w:szCs w:val="22"/>
        </w:rPr>
        <w:t xml:space="preserve"> proj</w:t>
      </w:r>
      <w:r w:rsidR="0093405C">
        <w:rPr>
          <w:rFonts w:ascii="Arial" w:hAnsi="Arial" w:cs="Arial"/>
          <w:sz w:val="22"/>
          <w:szCs w:val="22"/>
        </w:rPr>
        <w:t>e</w:t>
      </w:r>
      <w:r w:rsidR="00CA73A8">
        <w:rPr>
          <w:rFonts w:ascii="Arial" w:hAnsi="Arial" w:cs="Arial"/>
          <w:sz w:val="22"/>
          <w:szCs w:val="22"/>
        </w:rPr>
        <w:t>ct activity</w:t>
      </w:r>
      <w:r w:rsidR="00A27AF1">
        <w:rPr>
          <w:rFonts w:ascii="Arial" w:hAnsi="Arial" w:cs="Arial"/>
          <w:sz w:val="22"/>
          <w:szCs w:val="22"/>
        </w:rPr>
        <w:t>.</w:t>
      </w:r>
    </w:p>
    <w:p w14:paraId="6B204CEF" w14:textId="77777777" w:rsidR="00A27AF1" w:rsidRDefault="00A27AF1" w:rsidP="00971D6E">
      <w:pPr>
        <w:jc w:val="both"/>
        <w:rPr>
          <w:rFonts w:ascii="Arial" w:hAnsi="Arial" w:cs="Arial"/>
          <w:sz w:val="22"/>
          <w:szCs w:val="22"/>
        </w:rPr>
      </w:pPr>
    </w:p>
    <w:p w14:paraId="43AF2C72" w14:textId="1330F804" w:rsidR="00A27AF1" w:rsidRDefault="002C2066" w:rsidP="00971D6E">
      <w:pPr>
        <w:jc w:val="both"/>
        <w:rPr>
          <w:rFonts w:ascii="Arial" w:hAnsi="Arial" w:cs="Arial"/>
          <w:sz w:val="22"/>
          <w:szCs w:val="22"/>
        </w:rPr>
      </w:pPr>
      <w:r>
        <w:rPr>
          <w:rFonts w:ascii="Arial" w:hAnsi="Arial" w:cs="Arial"/>
          <w:sz w:val="22"/>
          <w:szCs w:val="22"/>
        </w:rPr>
        <w:t>The</w:t>
      </w:r>
      <w:r w:rsidR="00A27AF1">
        <w:rPr>
          <w:rFonts w:ascii="Arial" w:hAnsi="Arial" w:cs="Arial"/>
          <w:sz w:val="22"/>
          <w:szCs w:val="22"/>
        </w:rPr>
        <w:t xml:space="preserve"> preparation, approval and implementation of the policy </w:t>
      </w:r>
      <w:r w:rsidR="0093405C">
        <w:rPr>
          <w:rFonts w:ascii="Arial" w:hAnsi="Arial" w:cs="Arial"/>
          <w:sz w:val="22"/>
          <w:szCs w:val="22"/>
        </w:rPr>
        <w:t>planning handbook is a major ac</w:t>
      </w:r>
      <w:r w:rsidR="00A27AF1">
        <w:rPr>
          <w:rFonts w:ascii="Arial" w:hAnsi="Arial" w:cs="Arial"/>
          <w:sz w:val="22"/>
          <w:szCs w:val="22"/>
        </w:rPr>
        <w:t xml:space="preserve">hievement. The active implementation by </w:t>
      </w:r>
      <w:proofErr w:type="spellStart"/>
      <w:r w:rsidR="00A27AF1">
        <w:rPr>
          <w:rFonts w:ascii="Arial" w:hAnsi="Arial" w:cs="Arial"/>
          <w:sz w:val="22"/>
          <w:szCs w:val="22"/>
        </w:rPr>
        <w:t>AoG</w:t>
      </w:r>
      <w:proofErr w:type="spellEnd"/>
      <w:r w:rsidR="00A27AF1">
        <w:rPr>
          <w:rFonts w:ascii="Arial" w:hAnsi="Arial" w:cs="Arial"/>
          <w:sz w:val="22"/>
          <w:szCs w:val="22"/>
        </w:rPr>
        <w:t xml:space="preserve"> and the training and use of the processes by ministries and agencies are already showing benefits. </w:t>
      </w:r>
      <w:r w:rsidR="00CA73A8">
        <w:rPr>
          <w:rFonts w:ascii="Arial" w:hAnsi="Arial" w:cs="Arial"/>
          <w:sz w:val="22"/>
          <w:szCs w:val="22"/>
        </w:rPr>
        <w:t>A more recent OECD SIGMA assessment found a more adequate policy development and coordination process.</w:t>
      </w:r>
      <w:r w:rsidR="00CA73A8">
        <w:rPr>
          <w:rStyle w:val="FootnoteReference"/>
          <w:rFonts w:ascii="Arial" w:hAnsi="Arial" w:cs="Arial"/>
          <w:sz w:val="22"/>
          <w:szCs w:val="22"/>
        </w:rPr>
        <w:footnoteReference w:id="36"/>
      </w:r>
      <w:r w:rsidR="00CA73A8">
        <w:rPr>
          <w:rFonts w:ascii="Arial" w:hAnsi="Arial" w:cs="Arial"/>
          <w:sz w:val="22"/>
          <w:szCs w:val="22"/>
        </w:rPr>
        <w:t xml:space="preserve"> T</w:t>
      </w:r>
      <w:r w:rsidR="00A27AF1">
        <w:rPr>
          <w:rFonts w:ascii="Arial" w:hAnsi="Arial" w:cs="Arial"/>
          <w:sz w:val="22"/>
          <w:szCs w:val="22"/>
        </w:rPr>
        <w:t>here will most likely be refinements needed and training will need to be continuous- the mandating of the trainin</w:t>
      </w:r>
      <w:r w:rsidR="00CA73A8">
        <w:rPr>
          <w:rFonts w:ascii="Arial" w:hAnsi="Arial" w:cs="Arial"/>
          <w:sz w:val="22"/>
          <w:szCs w:val="22"/>
        </w:rPr>
        <w:t>g would be</w:t>
      </w:r>
      <w:r w:rsidR="00A27AF1">
        <w:rPr>
          <w:rFonts w:ascii="Arial" w:hAnsi="Arial" w:cs="Arial"/>
          <w:sz w:val="22"/>
          <w:szCs w:val="22"/>
        </w:rPr>
        <w:t xml:space="preserve"> a</w:t>
      </w:r>
      <w:r w:rsidR="00CA73A8">
        <w:rPr>
          <w:rFonts w:ascii="Arial" w:hAnsi="Arial" w:cs="Arial"/>
          <w:sz w:val="22"/>
          <w:szCs w:val="22"/>
        </w:rPr>
        <w:t>n</w:t>
      </w:r>
      <w:r w:rsidR="00A27AF1">
        <w:rPr>
          <w:rFonts w:ascii="Arial" w:hAnsi="Arial" w:cs="Arial"/>
          <w:sz w:val="22"/>
          <w:szCs w:val="22"/>
        </w:rPr>
        <w:t xml:space="preserve"> achievement. While the development</w:t>
      </w:r>
      <w:r w:rsidR="0093405C">
        <w:rPr>
          <w:rFonts w:ascii="Arial" w:hAnsi="Arial" w:cs="Arial"/>
          <w:sz w:val="22"/>
          <w:szCs w:val="22"/>
        </w:rPr>
        <w:t xml:space="preserve"> of the accompany</w:t>
      </w:r>
      <w:r w:rsidR="00A27AF1">
        <w:rPr>
          <w:rFonts w:ascii="Arial" w:hAnsi="Arial" w:cs="Arial"/>
          <w:sz w:val="22"/>
          <w:szCs w:val="22"/>
        </w:rPr>
        <w:t>ing unified e-system platform was delayed and won’t be in place until 2021, the effort</w:t>
      </w:r>
      <w:r w:rsidR="0093405C">
        <w:rPr>
          <w:rFonts w:ascii="Arial" w:hAnsi="Arial" w:cs="Arial"/>
          <w:sz w:val="22"/>
          <w:szCs w:val="22"/>
        </w:rPr>
        <w:t xml:space="preserve"> is well underway and will help</w:t>
      </w:r>
      <w:r w:rsidR="00A27AF1">
        <w:rPr>
          <w:rFonts w:ascii="Arial" w:hAnsi="Arial" w:cs="Arial"/>
          <w:sz w:val="22"/>
          <w:szCs w:val="22"/>
        </w:rPr>
        <w:t xml:space="preserve"> to instill</w:t>
      </w:r>
      <w:r w:rsidR="0093405C">
        <w:rPr>
          <w:rFonts w:ascii="Arial" w:hAnsi="Arial" w:cs="Arial"/>
          <w:sz w:val="22"/>
          <w:szCs w:val="22"/>
        </w:rPr>
        <w:t xml:space="preserve"> a formalized process that is o</w:t>
      </w:r>
      <w:r w:rsidR="00A27AF1">
        <w:rPr>
          <w:rFonts w:ascii="Arial" w:hAnsi="Arial" w:cs="Arial"/>
          <w:sz w:val="22"/>
          <w:szCs w:val="22"/>
        </w:rPr>
        <w:t>ng</w:t>
      </w:r>
      <w:r w:rsidR="0093405C">
        <w:rPr>
          <w:rFonts w:ascii="Arial" w:hAnsi="Arial" w:cs="Arial"/>
          <w:sz w:val="22"/>
          <w:szCs w:val="22"/>
        </w:rPr>
        <w:t>o</w:t>
      </w:r>
      <w:r w:rsidR="00A27AF1">
        <w:rPr>
          <w:rFonts w:ascii="Arial" w:hAnsi="Arial" w:cs="Arial"/>
          <w:sz w:val="22"/>
          <w:szCs w:val="22"/>
        </w:rPr>
        <w:t xml:space="preserve">ing </w:t>
      </w:r>
      <w:r>
        <w:rPr>
          <w:rFonts w:ascii="Arial" w:hAnsi="Arial" w:cs="Arial"/>
          <w:sz w:val="22"/>
          <w:szCs w:val="22"/>
        </w:rPr>
        <w:t xml:space="preserve">within </w:t>
      </w:r>
      <w:r w:rsidR="00A27AF1">
        <w:rPr>
          <w:rFonts w:ascii="Arial" w:hAnsi="Arial" w:cs="Arial"/>
          <w:sz w:val="22"/>
          <w:szCs w:val="22"/>
        </w:rPr>
        <w:t xml:space="preserve">government. </w:t>
      </w:r>
      <w:r w:rsidR="008859AF">
        <w:rPr>
          <w:rFonts w:ascii="Arial" w:hAnsi="Arial" w:cs="Arial"/>
          <w:sz w:val="22"/>
          <w:szCs w:val="22"/>
        </w:rPr>
        <w:t>M</w:t>
      </w:r>
      <w:r>
        <w:rPr>
          <w:rFonts w:ascii="Arial" w:hAnsi="Arial" w:cs="Arial"/>
          <w:sz w:val="22"/>
          <w:szCs w:val="22"/>
        </w:rPr>
        <w:t>aking the policy–related training an e-course available on</w:t>
      </w:r>
      <w:r w:rsidR="002310EA">
        <w:rPr>
          <w:rFonts w:ascii="Arial" w:hAnsi="Arial" w:cs="Arial"/>
          <w:sz w:val="22"/>
          <w:szCs w:val="22"/>
        </w:rPr>
        <w:t>-</w:t>
      </w:r>
      <w:r>
        <w:rPr>
          <w:rFonts w:ascii="Arial" w:hAnsi="Arial" w:cs="Arial"/>
          <w:sz w:val="22"/>
          <w:szCs w:val="22"/>
        </w:rPr>
        <w:t>line will help training provision though this should be monitored to make sure the training has the intended effect. Also, as applied in the civil service outcome, networking of policy planning managers and staff should be at l</w:t>
      </w:r>
      <w:r w:rsidR="008859AF">
        <w:rPr>
          <w:rFonts w:ascii="Arial" w:hAnsi="Arial" w:cs="Arial"/>
          <w:sz w:val="22"/>
          <w:szCs w:val="22"/>
        </w:rPr>
        <w:t xml:space="preserve">east initially facilitated </w:t>
      </w:r>
      <w:r>
        <w:rPr>
          <w:rFonts w:ascii="Arial" w:hAnsi="Arial" w:cs="Arial"/>
          <w:sz w:val="22"/>
          <w:szCs w:val="22"/>
        </w:rPr>
        <w:t>to help ingrain the handbook’s processes, apply the training, and share information and experiences. Such networks benefit system application.</w:t>
      </w:r>
    </w:p>
    <w:p w14:paraId="329E2C7A" w14:textId="77777777" w:rsidR="00A27AF1" w:rsidRDefault="00A27AF1" w:rsidP="00971D6E">
      <w:pPr>
        <w:jc w:val="both"/>
        <w:rPr>
          <w:rFonts w:ascii="Arial" w:hAnsi="Arial" w:cs="Arial"/>
          <w:sz w:val="22"/>
          <w:szCs w:val="22"/>
        </w:rPr>
      </w:pPr>
    </w:p>
    <w:p w14:paraId="36B330A7" w14:textId="2B7871DF" w:rsidR="00B874AE" w:rsidRDefault="0093405C" w:rsidP="00971D6E">
      <w:pPr>
        <w:jc w:val="both"/>
        <w:rPr>
          <w:rFonts w:ascii="Arial" w:hAnsi="Arial" w:cs="Arial"/>
          <w:sz w:val="22"/>
          <w:szCs w:val="22"/>
        </w:rPr>
      </w:pPr>
      <w:r>
        <w:rPr>
          <w:rFonts w:ascii="Arial" w:hAnsi="Arial" w:cs="Arial"/>
          <w:sz w:val="22"/>
          <w:szCs w:val="22"/>
        </w:rPr>
        <w:t>The</w:t>
      </w:r>
      <w:r w:rsidR="00A27AF1">
        <w:rPr>
          <w:rFonts w:ascii="Arial" w:hAnsi="Arial" w:cs="Arial"/>
          <w:sz w:val="22"/>
          <w:szCs w:val="22"/>
        </w:rPr>
        <w:t xml:space="preserve"> activities</w:t>
      </w:r>
      <w:r>
        <w:rPr>
          <w:rFonts w:ascii="Arial" w:hAnsi="Arial" w:cs="Arial"/>
          <w:sz w:val="22"/>
          <w:szCs w:val="22"/>
        </w:rPr>
        <w:t xml:space="preserve"> and results contribute directly to strengthening</w:t>
      </w:r>
      <w:r w:rsidR="00A27AF1">
        <w:rPr>
          <w:rFonts w:ascii="Arial" w:hAnsi="Arial" w:cs="Arial"/>
          <w:sz w:val="22"/>
          <w:szCs w:val="22"/>
        </w:rPr>
        <w:t xml:space="preserve"> more evidence</w:t>
      </w:r>
      <w:r w:rsidR="00222569">
        <w:rPr>
          <w:rFonts w:ascii="Arial" w:hAnsi="Arial" w:cs="Arial"/>
          <w:sz w:val="22"/>
          <w:szCs w:val="22"/>
        </w:rPr>
        <w:t>-based</w:t>
      </w:r>
      <w:r w:rsidR="00CA73A8">
        <w:rPr>
          <w:rFonts w:ascii="Arial" w:hAnsi="Arial" w:cs="Arial"/>
          <w:sz w:val="22"/>
          <w:szCs w:val="22"/>
        </w:rPr>
        <w:t xml:space="preserve"> policy-making. The methodology</w:t>
      </w:r>
      <w:r w:rsidR="008859AF">
        <w:rPr>
          <w:rFonts w:ascii="Arial" w:hAnsi="Arial" w:cs="Arial"/>
          <w:sz w:val="22"/>
          <w:szCs w:val="22"/>
        </w:rPr>
        <w:t xml:space="preserve"> </w:t>
      </w:r>
      <w:r w:rsidR="00A27AF1">
        <w:rPr>
          <w:rFonts w:ascii="Arial" w:hAnsi="Arial" w:cs="Arial"/>
          <w:sz w:val="22"/>
          <w:szCs w:val="22"/>
        </w:rPr>
        <w:t>itself is not a panacea to say all policy will be evidence-based but it is a major step in the right direction. As well, the system and methodology has built in civil society mechanisms. This is at the planning stage as well as at the implementation</w:t>
      </w:r>
      <w:r w:rsidR="00222569">
        <w:rPr>
          <w:rFonts w:ascii="Arial" w:hAnsi="Arial" w:cs="Arial"/>
          <w:sz w:val="22"/>
          <w:szCs w:val="22"/>
        </w:rPr>
        <w:t xml:space="preserve"> stage</w:t>
      </w:r>
      <w:r w:rsidR="00A27AF1">
        <w:rPr>
          <w:rFonts w:ascii="Arial" w:hAnsi="Arial" w:cs="Arial"/>
          <w:sz w:val="22"/>
          <w:szCs w:val="22"/>
        </w:rPr>
        <w:t xml:space="preserve">. It is reported that some ministries and agencies have had difficulty seeking civil society </w:t>
      </w:r>
      <w:r>
        <w:rPr>
          <w:rFonts w:ascii="Arial" w:hAnsi="Arial" w:cs="Arial"/>
          <w:sz w:val="22"/>
          <w:szCs w:val="22"/>
        </w:rPr>
        <w:t xml:space="preserve">input into plans. </w:t>
      </w:r>
      <w:r w:rsidR="002310EA">
        <w:rPr>
          <w:rFonts w:ascii="Arial" w:hAnsi="Arial" w:cs="Arial"/>
          <w:sz w:val="22"/>
          <w:szCs w:val="22"/>
        </w:rPr>
        <w:t>The difficulty of obtaining civil society input</w:t>
      </w:r>
      <w:r w:rsidR="00A27AF1">
        <w:rPr>
          <w:rFonts w:ascii="Arial" w:hAnsi="Arial" w:cs="Arial"/>
          <w:sz w:val="22"/>
          <w:szCs w:val="22"/>
        </w:rPr>
        <w:t xml:space="preserve"> should not be seen as a negative</w:t>
      </w:r>
      <w:r w:rsidR="002310EA">
        <w:rPr>
          <w:rFonts w:ascii="Arial" w:hAnsi="Arial" w:cs="Arial"/>
          <w:sz w:val="22"/>
          <w:szCs w:val="22"/>
        </w:rPr>
        <w:t>. It should be</w:t>
      </w:r>
      <w:r w:rsidR="00A27AF1">
        <w:rPr>
          <w:rFonts w:ascii="Arial" w:hAnsi="Arial" w:cs="Arial"/>
          <w:sz w:val="22"/>
          <w:szCs w:val="22"/>
        </w:rPr>
        <w:t xml:space="preserve"> seen as an area that may need further development </w:t>
      </w:r>
      <w:r w:rsidR="002310EA">
        <w:rPr>
          <w:rFonts w:ascii="Arial" w:hAnsi="Arial" w:cs="Arial"/>
          <w:sz w:val="22"/>
          <w:szCs w:val="22"/>
        </w:rPr>
        <w:t>since both sets of participants (government entity and civil society representatives)</w:t>
      </w:r>
      <w:r w:rsidR="00A27AF1">
        <w:rPr>
          <w:rFonts w:ascii="Arial" w:hAnsi="Arial" w:cs="Arial"/>
          <w:sz w:val="22"/>
          <w:szCs w:val="22"/>
        </w:rPr>
        <w:t xml:space="preserve"> have to determine their role</w:t>
      </w:r>
      <w:r w:rsidR="002310EA">
        <w:rPr>
          <w:rFonts w:ascii="Arial" w:hAnsi="Arial" w:cs="Arial"/>
          <w:sz w:val="22"/>
          <w:szCs w:val="22"/>
        </w:rPr>
        <w:t xml:space="preserve">, relationships and input/output avenues of communication. </w:t>
      </w:r>
      <w:r w:rsidR="00A27AF1">
        <w:rPr>
          <w:rFonts w:ascii="Arial" w:hAnsi="Arial" w:cs="Arial"/>
          <w:sz w:val="22"/>
          <w:szCs w:val="22"/>
        </w:rPr>
        <w:t xml:space="preserve">Also, civil society </w:t>
      </w:r>
      <w:r>
        <w:rPr>
          <w:rFonts w:ascii="Arial" w:hAnsi="Arial" w:cs="Arial"/>
          <w:sz w:val="22"/>
          <w:szCs w:val="22"/>
        </w:rPr>
        <w:t>input or feedback is allowed in the monitoring and evaluation framework. With a human rights-based approach ingrained in the policy planning handbook m</w:t>
      </w:r>
      <w:r w:rsidR="008859AF">
        <w:rPr>
          <w:rFonts w:ascii="Arial" w:hAnsi="Arial" w:cs="Arial"/>
          <w:sz w:val="22"/>
          <w:szCs w:val="22"/>
        </w:rPr>
        <w:t xml:space="preserve">ethodology, more </w:t>
      </w:r>
      <w:r w:rsidR="002310EA">
        <w:rPr>
          <w:rFonts w:ascii="Arial" w:hAnsi="Arial" w:cs="Arial"/>
          <w:sz w:val="22"/>
          <w:szCs w:val="22"/>
        </w:rPr>
        <w:t>societal</w:t>
      </w:r>
      <w:r>
        <w:rPr>
          <w:rFonts w:ascii="Arial" w:hAnsi="Arial" w:cs="Arial"/>
          <w:sz w:val="22"/>
          <w:szCs w:val="22"/>
        </w:rPr>
        <w:t xml:space="preserve"> needs will be better reflected in strategies. </w:t>
      </w:r>
    </w:p>
    <w:p w14:paraId="46217049" w14:textId="77777777" w:rsidR="0093405C" w:rsidRDefault="0093405C" w:rsidP="00971D6E">
      <w:pPr>
        <w:jc w:val="both"/>
        <w:rPr>
          <w:rFonts w:ascii="Arial" w:hAnsi="Arial" w:cs="Arial"/>
          <w:sz w:val="22"/>
          <w:szCs w:val="22"/>
        </w:rPr>
      </w:pPr>
    </w:p>
    <w:p w14:paraId="73ADF5B0" w14:textId="48EAC655" w:rsidR="008A6CBC" w:rsidRPr="0093405C" w:rsidRDefault="0093405C" w:rsidP="00971D6E">
      <w:pPr>
        <w:jc w:val="both"/>
        <w:rPr>
          <w:rFonts w:ascii="Arial" w:hAnsi="Arial" w:cs="Arial"/>
          <w:sz w:val="22"/>
          <w:szCs w:val="22"/>
        </w:rPr>
      </w:pPr>
      <w:r>
        <w:rPr>
          <w:rFonts w:ascii="Arial" w:hAnsi="Arial" w:cs="Arial"/>
          <w:sz w:val="22"/>
          <w:szCs w:val="22"/>
        </w:rPr>
        <w:t xml:space="preserve">The success of the outcome area will depend on how the systems and processes are applied. It will take cycles of activity and practice. </w:t>
      </w:r>
      <w:proofErr w:type="spellStart"/>
      <w:r>
        <w:rPr>
          <w:rFonts w:ascii="Arial" w:hAnsi="Arial" w:cs="Arial"/>
          <w:sz w:val="22"/>
          <w:szCs w:val="22"/>
        </w:rPr>
        <w:t>AoG</w:t>
      </w:r>
      <w:proofErr w:type="spellEnd"/>
      <w:r>
        <w:rPr>
          <w:rFonts w:ascii="Arial" w:hAnsi="Arial" w:cs="Arial"/>
          <w:sz w:val="22"/>
          <w:szCs w:val="22"/>
        </w:rPr>
        <w:t xml:space="preserve"> and the PAR Council should monitor implementation at least yearly to stay ahead of any problems or issues that may develop. Also, the lack of approval of the PAR Communications Strategy could be hindering the </w:t>
      </w:r>
      <w:r w:rsidR="008859AF">
        <w:rPr>
          <w:rFonts w:ascii="Arial" w:hAnsi="Arial" w:cs="Arial"/>
          <w:sz w:val="22"/>
          <w:szCs w:val="22"/>
        </w:rPr>
        <w:t xml:space="preserve">civil service and </w:t>
      </w:r>
      <w:r>
        <w:rPr>
          <w:rFonts w:ascii="Arial" w:hAnsi="Arial" w:cs="Arial"/>
          <w:sz w:val="22"/>
          <w:szCs w:val="22"/>
        </w:rPr>
        <w:t>public’s perception of PAR as shown in the 2019 mid-term perception survey. Attention is needed to the approval and implementation of the strategy.</w:t>
      </w:r>
    </w:p>
    <w:p w14:paraId="36125F5A" w14:textId="73ED183C" w:rsidR="008A6CBC" w:rsidRDefault="008A6CBC" w:rsidP="003060EE">
      <w:pPr>
        <w:pStyle w:val="Heading2"/>
        <w:numPr>
          <w:ilvl w:val="0"/>
          <w:numId w:val="3"/>
        </w:numPr>
      </w:pPr>
      <w:bookmarkStart w:id="20" w:name="_Toc478138871"/>
      <w:r>
        <w:t>Outcome 2: Civil Service Reform and Human Resource Management</w:t>
      </w:r>
      <w:bookmarkEnd w:id="20"/>
    </w:p>
    <w:p w14:paraId="79E0C719" w14:textId="77777777" w:rsidR="008A6CBC" w:rsidRPr="00934177" w:rsidRDefault="008A6CBC" w:rsidP="008A6CBC">
      <w:pPr>
        <w:pStyle w:val="Heading4"/>
      </w:pPr>
      <w:bookmarkStart w:id="21" w:name="_Toc478138872"/>
      <w:r>
        <w:t>1.</w:t>
      </w:r>
      <w:r w:rsidRPr="00F0563B">
        <w:tab/>
        <w:t>Background and Major Results</w:t>
      </w:r>
      <w:bookmarkEnd w:id="21"/>
    </w:p>
    <w:p w14:paraId="3F430E42" w14:textId="77777777" w:rsidR="008A6CBC" w:rsidRDefault="008A6CBC" w:rsidP="008A6CBC">
      <w:pPr>
        <w:jc w:val="both"/>
        <w:rPr>
          <w:rFonts w:ascii="Arial" w:hAnsi="Arial"/>
          <w:sz w:val="22"/>
          <w:szCs w:val="22"/>
        </w:rPr>
      </w:pPr>
    </w:p>
    <w:p w14:paraId="0568740A" w14:textId="626A94A7" w:rsidR="00C30729" w:rsidRDefault="00C30729" w:rsidP="00971D6E">
      <w:pPr>
        <w:jc w:val="both"/>
        <w:rPr>
          <w:rFonts w:ascii="Arial" w:hAnsi="Arial"/>
          <w:sz w:val="22"/>
          <w:szCs w:val="22"/>
        </w:rPr>
      </w:pPr>
      <w:r>
        <w:rPr>
          <w:rFonts w:ascii="Arial" w:hAnsi="Arial"/>
          <w:sz w:val="22"/>
          <w:szCs w:val="22"/>
        </w:rPr>
        <w:t xml:space="preserve">Outcome </w:t>
      </w:r>
      <w:r w:rsidR="008E3017">
        <w:rPr>
          <w:rFonts w:ascii="Arial" w:hAnsi="Arial"/>
          <w:sz w:val="22"/>
          <w:szCs w:val="22"/>
        </w:rPr>
        <w:t>2</w:t>
      </w:r>
      <w:r>
        <w:rPr>
          <w:rFonts w:ascii="Arial" w:hAnsi="Arial"/>
          <w:sz w:val="22"/>
          <w:szCs w:val="22"/>
        </w:rPr>
        <w:t xml:space="preserve"> is aimed at the performance </w:t>
      </w:r>
      <w:r w:rsidR="00971D6E">
        <w:rPr>
          <w:rFonts w:ascii="Arial" w:hAnsi="Arial"/>
          <w:sz w:val="22"/>
          <w:szCs w:val="22"/>
        </w:rPr>
        <w:t xml:space="preserve">of </w:t>
      </w:r>
      <w:r w:rsidR="00D777C7">
        <w:rPr>
          <w:rFonts w:ascii="Arial" w:hAnsi="Arial"/>
          <w:sz w:val="22"/>
          <w:szCs w:val="22"/>
        </w:rPr>
        <w:t xml:space="preserve">the </w:t>
      </w:r>
      <w:r w:rsidR="00971D6E">
        <w:rPr>
          <w:rFonts w:ascii="Arial" w:hAnsi="Arial"/>
          <w:sz w:val="22"/>
          <w:szCs w:val="22"/>
        </w:rPr>
        <w:t>civil service and supporting efforts to make it</w:t>
      </w:r>
      <w:r>
        <w:rPr>
          <w:rFonts w:ascii="Arial" w:hAnsi="Arial"/>
          <w:sz w:val="22"/>
          <w:szCs w:val="22"/>
        </w:rPr>
        <w:t xml:space="preserve"> </w:t>
      </w:r>
      <w:r w:rsidR="00971D6E">
        <w:rPr>
          <w:rFonts w:ascii="Arial" w:hAnsi="Arial"/>
          <w:sz w:val="22"/>
          <w:szCs w:val="22"/>
        </w:rPr>
        <w:t xml:space="preserve">more </w:t>
      </w:r>
      <w:r>
        <w:rPr>
          <w:rFonts w:ascii="Arial" w:hAnsi="Arial"/>
          <w:sz w:val="22"/>
          <w:szCs w:val="22"/>
        </w:rPr>
        <w:t>professional and effective.</w:t>
      </w:r>
      <w:r w:rsidR="00971D6E">
        <w:rPr>
          <w:rFonts w:ascii="Arial" w:hAnsi="Arial"/>
          <w:sz w:val="22"/>
          <w:szCs w:val="22"/>
        </w:rPr>
        <w:t xml:space="preserve"> The main work is with the CSB. Extensive work is also with the line ministries and agencies. Within the ministries and agencies, the work has been done with the personnel or human resource management departments. The work focused on further developing civil service education and training as well as conducting training, applying the civil service reform law, and aiding the implementation of several of its by-laws. The Civil Servants</w:t>
      </w:r>
      <w:r w:rsidR="007272B2">
        <w:rPr>
          <w:rFonts w:ascii="Arial" w:hAnsi="Arial"/>
          <w:sz w:val="22"/>
          <w:szCs w:val="22"/>
        </w:rPr>
        <w:t>’</w:t>
      </w:r>
      <w:r w:rsidR="00971D6E">
        <w:rPr>
          <w:rFonts w:ascii="Arial" w:hAnsi="Arial"/>
          <w:sz w:val="22"/>
          <w:szCs w:val="22"/>
        </w:rPr>
        <w:t xml:space="preserve"> Forum was coordinated wit</w:t>
      </w:r>
      <w:r w:rsidR="00222569">
        <w:rPr>
          <w:rFonts w:ascii="Arial" w:hAnsi="Arial"/>
          <w:sz w:val="22"/>
          <w:szCs w:val="22"/>
        </w:rPr>
        <w:t>h project support to</w:t>
      </w:r>
      <w:r w:rsidR="00971D6E">
        <w:rPr>
          <w:rFonts w:ascii="Arial" w:hAnsi="Arial"/>
          <w:sz w:val="22"/>
          <w:szCs w:val="22"/>
        </w:rPr>
        <w:t xml:space="preserve"> advance civil service reform in general, and several of the project’s outputs, in particular. Coordination was evident with the policy development and public service delivery outcomes. </w:t>
      </w:r>
    </w:p>
    <w:p w14:paraId="2FCB27FF" w14:textId="77777777" w:rsidR="00C30729" w:rsidRDefault="00C30729" w:rsidP="00C30729">
      <w:pPr>
        <w:jc w:val="both"/>
        <w:rPr>
          <w:rFonts w:ascii="Arial" w:hAnsi="Arial"/>
          <w:sz w:val="22"/>
          <w:szCs w:val="22"/>
        </w:rPr>
      </w:pPr>
    </w:p>
    <w:p w14:paraId="1FCA2CA4" w14:textId="67C8DA25" w:rsidR="00C30729" w:rsidRDefault="00222569" w:rsidP="00C30729">
      <w:pPr>
        <w:jc w:val="both"/>
        <w:rPr>
          <w:rFonts w:ascii="Arial" w:hAnsi="Arial"/>
          <w:sz w:val="22"/>
          <w:szCs w:val="22"/>
        </w:rPr>
      </w:pPr>
      <w:r w:rsidRPr="00222569">
        <w:rPr>
          <w:rFonts w:ascii="Arial" w:hAnsi="Arial"/>
          <w:sz w:val="22"/>
          <w:szCs w:val="22"/>
        </w:rPr>
        <w:t>Table 6</w:t>
      </w:r>
      <w:r w:rsidR="00C30729" w:rsidRPr="00222569">
        <w:rPr>
          <w:rFonts w:ascii="Arial" w:hAnsi="Arial"/>
          <w:sz w:val="22"/>
          <w:szCs w:val="22"/>
        </w:rPr>
        <w:t xml:space="preserve"> provides the main results and status. The informati</w:t>
      </w:r>
      <w:r w:rsidR="000945A9">
        <w:rPr>
          <w:rFonts w:ascii="Arial" w:hAnsi="Arial"/>
          <w:sz w:val="22"/>
          <w:szCs w:val="22"/>
        </w:rPr>
        <w:t>on is abstracted from the RRF as</w:t>
      </w:r>
      <w:r w:rsidR="00C30729" w:rsidRPr="00222569">
        <w:rPr>
          <w:rFonts w:ascii="Arial" w:hAnsi="Arial"/>
          <w:sz w:val="22"/>
          <w:szCs w:val="22"/>
        </w:rPr>
        <w:t xml:space="preserve"> provided as </w:t>
      </w:r>
      <w:r w:rsidR="003D5173">
        <w:rPr>
          <w:rFonts w:ascii="Arial" w:hAnsi="Arial"/>
          <w:sz w:val="22"/>
          <w:szCs w:val="22"/>
        </w:rPr>
        <w:t>Annex</w:t>
      </w:r>
      <w:r w:rsidRPr="00222569">
        <w:rPr>
          <w:rFonts w:ascii="Arial" w:hAnsi="Arial"/>
          <w:sz w:val="22"/>
          <w:szCs w:val="22"/>
        </w:rPr>
        <w:t xml:space="preserve"> E</w:t>
      </w:r>
      <w:r w:rsidR="00C30729" w:rsidRPr="00222569">
        <w:rPr>
          <w:rFonts w:ascii="Arial" w:hAnsi="Arial"/>
          <w:sz w:val="22"/>
          <w:szCs w:val="22"/>
        </w:rPr>
        <w:t>.</w:t>
      </w:r>
    </w:p>
    <w:p w14:paraId="2A1F629A" w14:textId="77777777" w:rsidR="00C30729" w:rsidRDefault="00C30729" w:rsidP="00C30729">
      <w:pPr>
        <w:jc w:val="both"/>
        <w:rPr>
          <w:rFonts w:ascii="Arial" w:hAnsi="Arial"/>
          <w:sz w:val="22"/>
          <w:szCs w:val="22"/>
        </w:rPr>
      </w:pPr>
    </w:p>
    <w:p w14:paraId="11166B51" w14:textId="10BF0491" w:rsidR="00C30729" w:rsidRPr="007A765D" w:rsidRDefault="00222569" w:rsidP="00C30729">
      <w:pPr>
        <w:jc w:val="center"/>
        <w:rPr>
          <w:rFonts w:ascii="Arial" w:hAnsi="Arial"/>
          <w:b/>
          <w:sz w:val="22"/>
          <w:szCs w:val="22"/>
        </w:rPr>
      </w:pPr>
      <w:r>
        <w:rPr>
          <w:rFonts w:ascii="Arial" w:hAnsi="Arial"/>
          <w:b/>
          <w:sz w:val="22"/>
          <w:szCs w:val="22"/>
        </w:rPr>
        <w:t>Table 6</w:t>
      </w:r>
      <w:r w:rsidR="00C30729">
        <w:rPr>
          <w:rFonts w:ascii="Arial" w:hAnsi="Arial"/>
          <w:b/>
          <w:sz w:val="22"/>
          <w:szCs w:val="22"/>
        </w:rPr>
        <w:t xml:space="preserve"> Outcome 2: Civil Service Reform and Human Resource Management Main Re</w:t>
      </w:r>
      <w:r w:rsidR="00ED0358">
        <w:rPr>
          <w:rFonts w:ascii="Arial" w:hAnsi="Arial"/>
          <w:b/>
          <w:sz w:val="22"/>
          <w:szCs w:val="22"/>
        </w:rPr>
        <w:t>s</w:t>
      </w:r>
      <w:r w:rsidR="00C30729">
        <w:rPr>
          <w:rFonts w:ascii="Arial" w:hAnsi="Arial"/>
          <w:b/>
          <w:sz w:val="22"/>
          <w:szCs w:val="22"/>
        </w:rPr>
        <w:t>ults</w:t>
      </w:r>
    </w:p>
    <w:p w14:paraId="241FACD6" w14:textId="77777777" w:rsidR="00C30729" w:rsidRDefault="00C30729" w:rsidP="00C30729">
      <w:pPr>
        <w:jc w:val="both"/>
        <w:rPr>
          <w:rFonts w:ascii="Arial" w:hAnsi="Arial"/>
          <w:sz w:val="22"/>
          <w:szCs w:val="22"/>
        </w:rPr>
      </w:pPr>
    </w:p>
    <w:tbl>
      <w:tblPr>
        <w:tblStyle w:val="LightGrid-Accent1"/>
        <w:tblW w:w="0" w:type="auto"/>
        <w:tblLook w:val="04A0" w:firstRow="1" w:lastRow="0" w:firstColumn="1" w:lastColumn="0" w:noHBand="0" w:noVBand="1"/>
      </w:tblPr>
      <w:tblGrid>
        <w:gridCol w:w="3389"/>
        <w:gridCol w:w="1206"/>
        <w:gridCol w:w="4981"/>
      </w:tblGrid>
      <w:tr w:rsidR="002310EA" w:rsidRPr="00B43437" w14:paraId="033B5895" w14:textId="77777777" w:rsidTr="00FE6A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4" w:type="dxa"/>
          </w:tcPr>
          <w:p w14:paraId="6E36603C" w14:textId="77777777" w:rsidR="002310EA" w:rsidRPr="00B43437" w:rsidRDefault="002310EA" w:rsidP="00C30729">
            <w:pPr>
              <w:jc w:val="center"/>
              <w:rPr>
                <w:rFonts w:ascii="Arial" w:hAnsi="Arial"/>
                <w:sz w:val="20"/>
                <w:szCs w:val="20"/>
              </w:rPr>
            </w:pPr>
            <w:r w:rsidRPr="00B43437">
              <w:rPr>
                <w:rFonts w:ascii="Arial" w:hAnsi="Arial"/>
                <w:sz w:val="20"/>
                <w:szCs w:val="20"/>
              </w:rPr>
              <w:t>Result</w:t>
            </w:r>
          </w:p>
        </w:tc>
        <w:tc>
          <w:tcPr>
            <w:tcW w:w="1084" w:type="dxa"/>
          </w:tcPr>
          <w:p w14:paraId="33B1F217" w14:textId="04B614FF" w:rsidR="002310EA" w:rsidRPr="00B43437" w:rsidRDefault="002310EA" w:rsidP="00C30729">
            <w:pPr>
              <w:jc w:val="cente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B43437">
              <w:rPr>
                <w:rFonts w:ascii="Arial" w:hAnsi="Arial"/>
                <w:sz w:val="20"/>
                <w:szCs w:val="20"/>
              </w:rPr>
              <w:t>Target</w:t>
            </w:r>
          </w:p>
        </w:tc>
        <w:tc>
          <w:tcPr>
            <w:tcW w:w="5058" w:type="dxa"/>
          </w:tcPr>
          <w:p w14:paraId="3716DD7A" w14:textId="1B8E0DBE" w:rsidR="002310EA" w:rsidRPr="00B43437" w:rsidRDefault="002310EA" w:rsidP="00C30729">
            <w:pPr>
              <w:jc w:val="cente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B43437">
              <w:rPr>
                <w:rFonts w:ascii="Arial" w:hAnsi="Arial"/>
                <w:sz w:val="20"/>
                <w:szCs w:val="20"/>
              </w:rPr>
              <w:t>Status, Issues or Next Steps</w:t>
            </w:r>
          </w:p>
        </w:tc>
      </w:tr>
      <w:tr w:rsidR="002310EA" w:rsidRPr="00B43437" w14:paraId="5EEBC01E"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16C1F5A4" w14:textId="1E4E64BE" w:rsidR="002310EA" w:rsidRPr="00B43437" w:rsidRDefault="002310EA" w:rsidP="00C30729">
            <w:pPr>
              <w:rPr>
                <w:rFonts w:ascii="Arial" w:hAnsi="Arial"/>
                <w:b w:val="0"/>
                <w:sz w:val="20"/>
                <w:szCs w:val="20"/>
              </w:rPr>
            </w:pPr>
            <w:r w:rsidRPr="00B43437">
              <w:rPr>
                <w:rFonts w:ascii="Arial" w:hAnsi="Arial"/>
                <w:b w:val="0"/>
                <w:sz w:val="20"/>
                <w:szCs w:val="20"/>
              </w:rPr>
              <w:t>1. Performance plans are in line with organizational goals/objectives</w:t>
            </w:r>
          </w:p>
        </w:tc>
        <w:tc>
          <w:tcPr>
            <w:tcW w:w="1084" w:type="dxa"/>
          </w:tcPr>
          <w:p w14:paraId="5BA6BC01" w14:textId="5B0099F2" w:rsidR="002310EA" w:rsidRPr="00B43437" w:rsidRDefault="002310EA"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80%</w:t>
            </w:r>
          </w:p>
        </w:tc>
        <w:tc>
          <w:tcPr>
            <w:tcW w:w="5058" w:type="dxa"/>
          </w:tcPr>
          <w:p w14:paraId="3BC5591B" w14:textId="55E11810"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Work is ongoing with the three target ministries.</w:t>
            </w:r>
            <w:r w:rsidRPr="00B43437">
              <w:rPr>
                <w:rStyle w:val="FootnoteReference"/>
                <w:rFonts w:ascii="Arial" w:hAnsi="Arial"/>
                <w:sz w:val="20"/>
                <w:szCs w:val="20"/>
              </w:rPr>
              <w:footnoteReference w:id="37"/>
            </w:r>
            <w:r w:rsidRPr="00B43437">
              <w:rPr>
                <w:rFonts w:ascii="Arial" w:hAnsi="Arial"/>
                <w:sz w:val="20"/>
                <w:szCs w:val="20"/>
              </w:rPr>
              <w:t xml:space="preserve"> Progress was delayed due to COVID-19. Male/Female data will be available in March 2021.</w:t>
            </w:r>
          </w:p>
          <w:p w14:paraId="29F9602F" w14:textId="21DB52BF"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2310EA" w:rsidRPr="00B43437" w14:paraId="5468D731"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15361EF6" w14:textId="192761CC" w:rsidR="002310EA" w:rsidRPr="00B43437" w:rsidRDefault="002310EA" w:rsidP="00C30729">
            <w:pPr>
              <w:rPr>
                <w:rFonts w:ascii="Arial" w:hAnsi="Arial"/>
                <w:b w:val="0"/>
                <w:sz w:val="20"/>
                <w:szCs w:val="20"/>
              </w:rPr>
            </w:pPr>
            <w:r w:rsidRPr="00B43437">
              <w:rPr>
                <w:rFonts w:ascii="Arial" w:hAnsi="Arial"/>
                <w:b w:val="0"/>
                <w:sz w:val="20"/>
                <w:szCs w:val="20"/>
              </w:rPr>
              <w:lastRenderedPageBreak/>
              <w:t>2. Share of civil servants satisfied with individual performance plans</w:t>
            </w:r>
          </w:p>
        </w:tc>
        <w:tc>
          <w:tcPr>
            <w:tcW w:w="1084" w:type="dxa"/>
          </w:tcPr>
          <w:p w14:paraId="31748231" w14:textId="37650511" w:rsidR="002310EA" w:rsidRPr="00B43437" w:rsidRDefault="002310EA"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70%</w:t>
            </w:r>
          </w:p>
        </w:tc>
        <w:tc>
          <w:tcPr>
            <w:tcW w:w="5058" w:type="dxa"/>
          </w:tcPr>
          <w:p w14:paraId="1CF83D6C" w14:textId="02C6546D"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Related to #1, Male/Female data to be available in March 2021.</w:t>
            </w:r>
          </w:p>
          <w:p w14:paraId="584E7199" w14:textId="578EF1B3"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2310EA" w:rsidRPr="00B43437" w14:paraId="01395937"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5514601F" w14:textId="3998BE5C" w:rsidR="002310EA" w:rsidRPr="00B43437" w:rsidRDefault="002310EA" w:rsidP="00C30729">
            <w:pPr>
              <w:rPr>
                <w:rFonts w:ascii="Arial" w:hAnsi="Arial"/>
                <w:b w:val="0"/>
                <w:sz w:val="20"/>
                <w:szCs w:val="20"/>
              </w:rPr>
            </w:pPr>
            <w:r w:rsidRPr="00B43437">
              <w:rPr>
                <w:rFonts w:ascii="Arial" w:hAnsi="Arial"/>
                <w:b w:val="0"/>
                <w:sz w:val="20"/>
                <w:szCs w:val="20"/>
              </w:rPr>
              <w:t xml:space="preserve">3. Performance plans meet quality standards </w:t>
            </w:r>
          </w:p>
        </w:tc>
        <w:tc>
          <w:tcPr>
            <w:tcW w:w="1084" w:type="dxa"/>
          </w:tcPr>
          <w:p w14:paraId="43C88BB2" w14:textId="0DA19E29" w:rsidR="002310EA" w:rsidRPr="00B43437" w:rsidRDefault="002310EA"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90%</w:t>
            </w:r>
          </w:p>
        </w:tc>
        <w:tc>
          <w:tcPr>
            <w:tcW w:w="5058" w:type="dxa"/>
          </w:tcPr>
          <w:p w14:paraId="7A591F30" w14:textId="25B6BDDE"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Related to #1. Data to be available in March 2021.</w:t>
            </w:r>
          </w:p>
          <w:p w14:paraId="09B85FA1" w14:textId="33CB9269"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2310EA" w:rsidRPr="00B43437" w14:paraId="4CC35802"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10204F87" w14:textId="7BA2CEDF" w:rsidR="002310EA" w:rsidRPr="00B43437" w:rsidRDefault="002310EA" w:rsidP="00C30729">
            <w:pPr>
              <w:rPr>
                <w:rFonts w:ascii="Arial" w:hAnsi="Arial"/>
                <w:b w:val="0"/>
                <w:sz w:val="20"/>
                <w:szCs w:val="20"/>
              </w:rPr>
            </w:pPr>
            <w:r w:rsidRPr="00B43437">
              <w:rPr>
                <w:rFonts w:ascii="Arial" w:hAnsi="Arial"/>
                <w:b w:val="0"/>
                <w:sz w:val="20"/>
                <w:szCs w:val="20"/>
              </w:rPr>
              <w:t>4. 76% of civil servants support project-relevant civil servant reform changes</w:t>
            </w:r>
          </w:p>
        </w:tc>
        <w:tc>
          <w:tcPr>
            <w:tcW w:w="1084" w:type="dxa"/>
          </w:tcPr>
          <w:p w14:paraId="5106E7F5" w14:textId="6E9EBB7F" w:rsidR="002310EA" w:rsidRPr="00B43437" w:rsidRDefault="002310EA"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70%</w:t>
            </w:r>
          </w:p>
        </w:tc>
        <w:tc>
          <w:tcPr>
            <w:tcW w:w="5058" w:type="dxa"/>
          </w:tcPr>
          <w:p w14:paraId="437B6857" w14:textId="77777777" w:rsidR="002310EA" w:rsidRPr="00B43437" w:rsidRDefault="002310EA" w:rsidP="002310EA">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96% appear aware of key civil service reform issues; 76% think changes are definitely (more or less) positive.</w:t>
            </w:r>
          </w:p>
          <w:p w14:paraId="42979887" w14:textId="450748AA" w:rsidR="002310EA" w:rsidRPr="00B43437" w:rsidRDefault="002310EA" w:rsidP="002310EA">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2310EA" w:rsidRPr="00B43437" w14:paraId="339EA746"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0963C127" w14:textId="7594CCD4" w:rsidR="002310EA" w:rsidRPr="00B43437" w:rsidRDefault="002310EA" w:rsidP="00C30729">
            <w:pPr>
              <w:rPr>
                <w:rFonts w:ascii="Arial" w:hAnsi="Arial"/>
                <w:b w:val="0"/>
                <w:sz w:val="20"/>
                <w:szCs w:val="20"/>
              </w:rPr>
            </w:pPr>
            <w:r w:rsidRPr="00B43437">
              <w:rPr>
                <w:rFonts w:ascii="Arial" w:hAnsi="Arial"/>
                <w:b w:val="0"/>
                <w:sz w:val="20"/>
                <w:szCs w:val="20"/>
              </w:rPr>
              <w:t>5. Training underway in 3 ministries of managers trained in elaboration of professional development plans</w:t>
            </w:r>
          </w:p>
        </w:tc>
        <w:tc>
          <w:tcPr>
            <w:tcW w:w="1084" w:type="dxa"/>
          </w:tcPr>
          <w:p w14:paraId="6B28353D" w14:textId="705EAF7D" w:rsidR="002310EA" w:rsidRPr="00B43437" w:rsidRDefault="002310EA"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90%</w:t>
            </w:r>
          </w:p>
        </w:tc>
        <w:tc>
          <w:tcPr>
            <w:tcW w:w="5058" w:type="dxa"/>
          </w:tcPr>
          <w:p w14:paraId="52F59D41" w14:textId="7B7F3F19" w:rsidR="002310EA" w:rsidRPr="00B43437" w:rsidRDefault="002310EA" w:rsidP="002310EA">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 xml:space="preserve">Training underway in 3 target ministries identified above. Not yet measured. </w:t>
            </w:r>
          </w:p>
        </w:tc>
      </w:tr>
      <w:tr w:rsidR="002310EA" w:rsidRPr="00B43437" w14:paraId="215D8052"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6883E80B" w14:textId="3AEE913F" w:rsidR="002310EA" w:rsidRPr="00B43437" w:rsidRDefault="002310EA" w:rsidP="00C30729">
            <w:pPr>
              <w:rPr>
                <w:rFonts w:ascii="Arial" w:hAnsi="Arial"/>
                <w:b w:val="0"/>
                <w:sz w:val="20"/>
                <w:szCs w:val="20"/>
              </w:rPr>
            </w:pPr>
            <w:r w:rsidRPr="00B43437">
              <w:rPr>
                <w:rFonts w:ascii="Arial" w:hAnsi="Arial"/>
                <w:b w:val="0"/>
                <w:sz w:val="20"/>
                <w:szCs w:val="20"/>
              </w:rPr>
              <w:t>6. Civil servants have professional development plans</w:t>
            </w:r>
          </w:p>
        </w:tc>
        <w:tc>
          <w:tcPr>
            <w:tcW w:w="1084" w:type="dxa"/>
          </w:tcPr>
          <w:p w14:paraId="137EE898" w14:textId="5BA4A97A" w:rsidR="002310EA" w:rsidRPr="00B43437" w:rsidRDefault="002310EA"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70%</w:t>
            </w:r>
          </w:p>
        </w:tc>
        <w:tc>
          <w:tcPr>
            <w:tcW w:w="5058" w:type="dxa"/>
          </w:tcPr>
          <w:p w14:paraId="183CEC63" w14:textId="77777777" w:rsidR="002310EA" w:rsidRPr="00B43437" w:rsidRDefault="002310EA" w:rsidP="002310EA">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Results to be measured as the process of preparing the plans are completed. Expected March 2021.</w:t>
            </w:r>
          </w:p>
          <w:p w14:paraId="2769D001" w14:textId="31C97291" w:rsidR="002310EA" w:rsidRPr="00B43437" w:rsidRDefault="002310EA" w:rsidP="002310EA">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2310EA" w:rsidRPr="00B43437" w14:paraId="255341A2"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1B1087FB" w14:textId="006F998F" w:rsidR="002310EA" w:rsidRPr="00B43437" w:rsidRDefault="00FE6A23" w:rsidP="00C30729">
            <w:pPr>
              <w:rPr>
                <w:rFonts w:ascii="Arial" w:hAnsi="Arial"/>
                <w:b w:val="0"/>
                <w:sz w:val="20"/>
                <w:szCs w:val="20"/>
              </w:rPr>
            </w:pPr>
            <w:r w:rsidRPr="00B43437">
              <w:rPr>
                <w:rFonts w:ascii="Arial" w:hAnsi="Arial"/>
                <w:b w:val="0"/>
                <w:sz w:val="20"/>
                <w:szCs w:val="20"/>
              </w:rPr>
              <w:t xml:space="preserve">7. 11 </w:t>
            </w:r>
            <w:r w:rsidR="002310EA" w:rsidRPr="00B43437">
              <w:rPr>
                <w:rFonts w:ascii="Arial" w:hAnsi="Arial"/>
                <w:b w:val="0"/>
                <w:sz w:val="20"/>
                <w:szCs w:val="20"/>
              </w:rPr>
              <w:t>training programs accredited</w:t>
            </w:r>
          </w:p>
        </w:tc>
        <w:tc>
          <w:tcPr>
            <w:tcW w:w="1084" w:type="dxa"/>
          </w:tcPr>
          <w:p w14:paraId="537D5F0D" w14:textId="74453EEB" w:rsidR="002310EA" w:rsidRPr="00B43437" w:rsidRDefault="002310EA"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10</w:t>
            </w:r>
          </w:p>
        </w:tc>
        <w:tc>
          <w:tcPr>
            <w:tcW w:w="5058" w:type="dxa"/>
          </w:tcPr>
          <w:p w14:paraId="5064A827" w14:textId="5F660964"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The project is evaluating existing legislation to determine if accreditation procedures can be improved. More training program to be accredited.</w:t>
            </w:r>
          </w:p>
          <w:p w14:paraId="643D78E1" w14:textId="2BA3659C"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2310EA" w:rsidRPr="00B43437" w14:paraId="60F53C94"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06099AED" w14:textId="6163D3FB" w:rsidR="002310EA" w:rsidRPr="00B43437" w:rsidRDefault="002310EA" w:rsidP="00C30729">
            <w:pPr>
              <w:rPr>
                <w:rFonts w:ascii="Arial" w:hAnsi="Arial"/>
                <w:b w:val="0"/>
                <w:sz w:val="20"/>
                <w:szCs w:val="20"/>
              </w:rPr>
            </w:pPr>
            <w:r w:rsidRPr="00B43437">
              <w:rPr>
                <w:rFonts w:ascii="Arial" w:hAnsi="Arial"/>
                <w:b w:val="0"/>
                <w:sz w:val="20"/>
                <w:szCs w:val="20"/>
              </w:rPr>
              <w:t>8. 1,510 civil servants receive accredited course training</w:t>
            </w:r>
          </w:p>
        </w:tc>
        <w:tc>
          <w:tcPr>
            <w:tcW w:w="1084" w:type="dxa"/>
          </w:tcPr>
          <w:p w14:paraId="21A32EC3" w14:textId="2CD5CDF6" w:rsidR="002310EA" w:rsidRPr="00B43437" w:rsidRDefault="002310EA"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100</w:t>
            </w:r>
          </w:p>
        </w:tc>
        <w:tc>
          <w:tcPr>
            <w:tcW w:w="5058" w:type="dxa"/>
          </w:tcPr>
          <w:p w14:paraId="0078B7B4" w14:textId="5B9F3D45"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Trained through accredited professional development programs. Data not sex disaggregated.</w:t>
            </w:r>
          </w:p>
          <w:p w14:paraId="39893CFB" w14:textId="4093C852"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2310EA" w:rsidRPr="00B43437" w14:paraId="41A34948"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3B21D9F9" w14:textId="0DBDD85C" w:rsidR="002310EA" w:rsidRPr="00B43437" w:rsidRDefault="002310EA" w:rsidP="00C30729">
            <w:pPr>
              <w:rPr>
                <w:rFonts w:ascii="Arial" w:hAnsi="Arial"/>
                <w:b w:val="0"/>
                <w:sz w:val="20"/>
                <w:szCs w:val="20"/>
              </w:rPr>
            </w:pPr>
            <w:r w:rsidRPr="00B43437">
              <w:rPr>
                <w:rFonts w:ascii="Arial" w:hAnsi="Arial"/>
                <w:b w:val="0"/>
                <w:sz w:val="20"/>
                <w:szCs w:val="20"/>
              </w:rPr>
              <w:t>9. Civil servants use unified e-learning platform</w:t>
            </w:r>
          </w:p>
        </w:tc>
        <w:tc>
          <w:tcPr>
            <w:tcW w:w="1084" w:type="dxa"/>
          </w:tcPr>
          <w:p w14:paraId="67458587" w14:textId="144257D7" w:rsidR="002310EA" w:rsidRPr="00B43437" w:rsidRDefault="00FE6A23"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15% using platform</w:t>
            </w:r>
          </w:p>
        </w:tc>
        <w:tc>
          <w:tcPr>
            <w:tcW w:w="5058" w:type="dxa"/>
          </w:tcPr>
          <w:p w14:paraId="322C1390" w14:textId="12B8B523"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Technical side of the e-learning platform will be finalized in April. Work on integration with the e-</w:t>
            </w:r>
            <w:r w:rsidR="00B43437">
              <w:rPr>
                <w:rFonts w:ascii="Arial" w:hAnsi="Arial"/>
                <w:sz w:val="20"/>
                <w:szCs w:val="20"/>
              </w:rPr>
              <w:t>HR MS</w:t>
            </w:r>
            <w:r w:rsidRPr="00B43437">
              <w:rPr>
                <w:rFonts w:ascii="Arial" w:hAnsi="Arial"/>
                <w:sz w:val="20"/>
                <w:szCs w:val="20"/>
              </w:rPr>
              <w:t xml:space="preserve"> is ongoing and both systems to be integrated by April 2021. </w:t>
            </w:r>
          </w:p>
          <w:p w14:paraId="1CB407FD" w14:textId="0E62493B"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2310EA" w:rsidRPr="00B43437" w14:paraId="2B60E68D"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303F16DD" w14:textId="36DD6685" w:rsidR="002310EA" w:rsidRPr="00B43437" w:rsidRDefault="002310EA" w:rsidP="00C30729">
            <w:pPr>
              <w:rPr>
                <w:rFonts w:ascii="Arial" w:hAnsi="Arial"/>
                <w:b w:val="0"/>
                <w:sz w:val="20"/>
                <w:szCs w:val="20"/>
              </w:rPr>
            </w:pPr>
            <w:r w:rsidRPr="00B43437">
              <w:rPr>
                <w:rFonts w:ascii="Arial" w:hAnsi="Arial"/>
                <w:b w:val="0"/>
                <w:sz w:val="20"/>
                <w:szCs w:val="20"/>
              </w:rPr>
              <w:t xml:space="preserve">10. 1,388 civil servants participate in Civil Servants’ Forum meetings </w:t>
            </w:r>
          </w:p>
        </w:tc>
        <w:tc>
          <w:tcPr>
            <w:tcW w:w="1084" w:type="dxa"/>
          </w:tcPr>
          <w:p w14:paraId="032ADE31" w14:textId="2C5DC484" w:rsidR="002310EA" w:rsidRPr="00B43437" w:rsidRDefault="00FE6A23"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700</w:t>
            </w:r>
          </w:p>
        </w:tc>
        <w:tc>
          <w:tcPr>
            <w:tcW w:w="5058" w:type="dxa"/>
          </w:tcPr>
          <w:p w14:paraId="5FF7445E" w14:textId="71206761"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CSB arranged 21 thematic Civil Servants’ Forums. Most were done on-line so gender information was not collected but will in future. Forums to continue.</w:t>
            </w:r>
          </w:p>
          <w:p w14:paraId="7F5CEF9A" w14:textId="4B63087B"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2310EA" w:rsidRPr="00B43437" w14:paraId="03DD579D"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3F796F96" w14:textId="184A3EF7" w:rsidR="002310EA" w:rsidRPr="00B43437" w:rsidRDefault="002310EA" w:rsidP="00C30729">
            <w:pPr>
              <w:rPr>
                <w:rFonts w:ascii="Arial" w:hAnsi="Arial"/>
                <w:b w:val="0"/>
                <w:sz w:val="20"/>
                <w:szCs w:val="20"/>
              </w:rPr>
            </w:pPr>
            <w:r w:rsidRPr="00B43437">
              <w:rPr>
                <w:rFonts w:ascii="Arial" w:hAnsi="Arial"/>
                <w:b w:val="0"/>
                <w:sz w:val="20"/>
                <w:szCs w:val="20"/>
              </w:rPr>
              <w:t>11. 93% of civil servants report satisfaction with Civil Servants’ Forum meetings</w:t>
            </w:r>
          </w:p>
        </w:tc>
        <w:tc>
          <w:tcPr>
            <w:tcW w:w="1084" w:type="dxa"/>
          </w:tcPr>
          <w:p w14:paraId="2EA9CCD1" w14:textId="7495E689" w:rsidR="002310EA" w:rsidRPr="00B43437" w:rsidRDefault="00FE6A23"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80%</w:t>
            </w:r>
          </w:p>
        </w:tc>
        <w:tc>
          <w:tcPr>
            <w:tcW w:w="5058" w:type="dxa"/>
          </w:tcPr>
          <w:p w14:paraId="0DF4B08F" w14:textId="1E9AAB49"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93% of participants reported meetings were at least “useful” based on a CSB 2020 study</w:t>
            </w:r>
          </w:p>
          <w:p w14:paraId="30BAA875" w14:textId="70D74811"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2310EA" w:rsidRPr="00B43437" w14:paraId="5A624086"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1BD4E454" w14:textId="36994273" w:rsidR="002310EA" w:rsidRPr="00B43437" w:rsidRDefault="002310EA" w:rsidP="00C30729">
            <w:pPr>
              <w:rPr>
                <w:rFonts w:ascii="Arial" w:hAnsi="Arial"/>
                <w:b w:val="0"/>
                <w:sz w:val="20"/>
                <w:szCs w:val="20"/>
              </w:rPr>
            </w:pPr>
            <w:r w:rsidRPr="00B43437">
              <w:rPr>
                <w:rFonts w:ascii="Arial" w:hAnsi="Arial"/>
                <w:b w:val="0"/>
                <w:sz w:val="20"/>
                <w:szCs w:val="20"/>
              </w:rPr>
              <w:t>12. 330 managers trained in management and civil service reform-related issues</w:t>
            </w:r>
          </w:p>
        </w:tc>
        <w:tc>
          <w:tcPr>
            <w:tcW w:w="1084" w:type="dxa"/>
          </w:tcPr>
          <w:p w14:paraId="36D09210" w14:textId="35B9FE98" w:rsidR="002310EA" w:rsidRPr="00B43437" w:rsidRDefault="00FE6A23"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300</w:t>
            </w:r>
          </w:p>
        </w:tc>
        <w:tc>
          <w:tcPr>
            <w:tcW w:w="5058" w:type="dxa"/>
          </w:tcPr>
          <w:p w14:paraId="1819C81A" w14:textId="3B68EB8E"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CSB took ownership of training and plans to continue training</w:t>
            </w:r>
          </w:p>
          <w:p w14:paraId="51483691" w14:textId="2C06B350"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2310EA" w:rsidRPr="00B43437" w14:paraId="1F319406"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36CFFA77" w14:textId="580F91E2" w:rsidR="002310EA" w:rsidRPr="00B43437" w:rsidRDefault="002310EA" w:rsidP="00C30729">
            <w:pPr>
              <w:rPr>
                <w:rFonts w:ascii="Arial" w:hAnsi="Arial"/>
                <w:b w:val="0"/>
                <w:sz w:val="20"/>
                <w:szCs w:val="20"/>
              </w:rPr>
            </w:pPr>
            <w:r w:rsidRPr="00B43437">
              <w:rPr>
                <w:rFonts w:ascii="Arial" w:hAnsi="Arial"/>
                <w:b w:val="0"/>
                <w:sz w:val="20"/>
                <w:szCs w:val="20"/>
              </w:rPr>
              <w:t>13. 6 Human Resource Forums held on key civil service reform issues</w:t>
            </w:r>
          </w:p>
        </w:tc>
        <w:tc>
          <w:tcPr>
            <w:tcW w:w="1084" w:type="dxa"/>
          </w:tcPr>
          <w:p w14:paraId="26937D79" w14:textId="4321745D" w:rsidR="002310EA" w:rsidRPr="00B43437" w:rsidRDefault="00FE6A23"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7</w:t>
            </w:r>
          </w:p>
        </w:tc>
        <w:tc>
          <w:tcPr>
            <w:tcW w:w="5058" w:type="dxa"/>
          </w:tcPr>
          <w:p w14:paraId="301E3E3A" w14:textId="1F054A06" w:rsidR="002310EA" w:rsidRPr="00B43437" w:rsidRDefault="00FE6A23"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Next meeting was planned for</w:t>
            </w:r>
            <w:r w:rsidR="002310EA" w:rsidRPr="00B43437">
              <w:rPr>
                <w:rFonts w:ascii="Arial" w:hAnsi="Arial"/>
                <w:sz w:val="20"/>
                <w:szCs w:val="20"/>
              </w:rPr>
              <w:t xml:space="preserve"> April 2021</w:t>
            </w:r>
          </w:p>
          <w:p w14:paraId="63C888B6" w14:textId="00E97368"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2310EA" w:rsidRPr="00B43437" w14:paraId="43E7B2A1"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4249BC08" w14:textId="6CE2A120" w:rsidR="002310EA" w:rsidRPr="00B43437" w:rsidRDefault="002310EA" w:rsidP="00C30729">
            <w:pPr>
              <w:rPr>
                <w:rFonts w:ascii="Arial" w:hAnsi="Arial"/>
                <w:b w:val="0"/>
                <w:sz w:val="20"/>
                <w:szCs w:val="20"/>
              </w:rPr>
            </w:pPr>
            <w:r w:rsidRPr="00B43437">
              <w:rPr>
                <w:rFonts w:ascii="Arial" w:hAnsi="Arial"/>
                <w:b w:val="0"/>
                <w:sz w:val="20"/>
                <w:szCs w:val="20"/>
              </w:rPr>
              <w:t xml:space="preserve">14. E-human resource management platform (e-HRMS) enhanced </w:t>
            </w:r>
          </w:p>
        </w:tc>
        <w:tc>
          <w:tcPr>
            <w:tcW w:w="1084" w:type="dxa"/>
          </w:tcPr>
          <w:p w14:paraId="70F0FB86" w14:textId="77777777" w:rsidR="002310EA" w:rsidRPr="00B43437" w:rsidRDefault="00FE6A23"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e-HRMS</w:t>
            </w:r>
          </w:p>
          <w:p w14:paraId="7994B387" w14:textId="67EE295B" w:rsidR="00FE6A23" w:rsidRPr="00B43437" w:rsidRDefault="00FE6A23"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operational</w:t>
            </w:r>
          </w:p>
        </w:tc>
        <w:tc>
          <w:tcPr>
            <w:tcW w:w="5058" w:type="dxa"/>
          </w:tcPr>
          <w:p w14:paraId="1345F411" w14:textId="4D4C27C9"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The project supported adding 4 modules to the platform (performance appraisal, professional development, self-service modules, and smart analytical module). The platform is operational</w:t>
            </w:r>
            <w:r w:rsidR="00FE6A23" w:rsidRPr="00B43437">
              <w:rPr>
                <w:rFonts w:ascii="Arial" w:hAnsi="Arial"/>
                <w:sz w:val="20"/>
                <w:szCs w:val="20"/>
              </w:rPr>
              <w:t xml:space="preserve"> as of October 2020</w:t>
            </w:r>
            <w:r w:rsidRPr="00B43437">
              <w:rPr>
                <w:rFonts w:ascii="Arial" w:hAnsi="Arial"/>
                <w:sz w:val="20"/>
                <w:szCs w:val="20"/>
              </w:rPr>
              <w:t xml:space="preserve">. </w:t>
            </w:r>
          </w:p>
          <w:p w14:paraId="21BF5334" w14:textId="183CADC4"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2310EA" w:rsidRPr="00B43437" w14:paraId="1F225A54" w14:textId="77777777" w:rsidTr="00FE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2ABCA1EE" w14:textId="2F1E1692" w:rsidR="002310EA" w:rsidRPr="00B43437" w:rsidRDefault="002310EA" w:rsidP="00C30729">
            <w:pPr>
              <w:rPr>
                <w:rFonts w:ascii="Arial" w:hAnsi="Arial"/>
                <w:b w:val="0"/>
                <w:sz w:val="20"/>
                <w:szCs w:val="20"/>
              </w:rPr>
            </w:pPr>
            <w:r w:rsidRPr="00B43437">
              <w:rPr>
                <w:rFonts w:ascii="Arial" w:hAnsi="Arial"/>
                <w:b w:val="0"/>
                <w:sz w:val="20"/>
                <w:szCs w:val="20"/>
              </w:rPr>
              <w:t>15. 86 civil servants trained in dispute settlement</w:t>
            </w:r>
          </w:p>
        </w:tc>
        <w:tc>
          <w:tcPr>
            <w:tcW w:w="1084" w:type="dxa"/>
          </w:tcPr>
          <w:p w14:paraId="2D9EECE9" w14:textId="7D9F17DE" w:rsidR="002310EA" w:rsidRPr="00B43437" w:rsidRDefault="00FE6A23"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100</w:t>
            </w:r>
          </w:p>
        </w:tc>
        <w:tc>
          <w:tcPr>
            <w:tcW w:w="5058" w:type="dxa"/>
          </w:tcPr>
          <w:p w14:paraId="7DB0DE1A" w14:textId="46063766"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43437">
              <w:rPr>
                <w:rFonts w:ascii="Arial" w:hAnsi="Arial"/>
                <w:sz w:val="20"/>
                <w:szCs w:val="20"/>
              </w:rPr>
              <w:t xml:space="preserve">Research and various meeting/discussions took place to develop an appropriate dispute settlement approach. A </w:t>
            </w:r>
            <w:r w:rsidR="00180358" w:rsidRPr="00B43437">
              <w:rPr>
                <w:rFonts w:ascii="Arial" w:hAnsi="Arial"/>
                <w:sz w:val="20"/>
                <w:szCs w:val="20"/>
              </w:rPr>
              <w:t xml:space="preserve">March 2021 </w:t>
            </w:r>
            <w:r w:rsidRPr="00B43437">
              <w:rPr>
                <w:rFonts w:ascii="Arial" w:hAnsi="Arial"/>
                <w:sz w:val="20"/>
                <w:szCs w:val="20"/>
              </w:rPr>
              <w:t xml:space="preserve">decision to pilot mediation includes developing guidelines on mediation, training </w:t>
            </w:r>
            <w:r w:rsidRPr="00B43437">
              <w:rPr>
                <w:rFonts w:ascii="Arial" w:hAnsi="Arial"/>
                <w:sz w:val="20"/>
                <w:szCs w:val="20"/>
              </w:rPr>
              <w:lastRenderedPageBreak/>
              <w:t>of mediators on civil service-related workplace disputes</w:t>
            </w:r>
            <w:r w:rsidR="00180358" w:rsidRPr="00B43437">
              <w:rPr>
                <w:rFonts w:ascii="Arial" w:hAnsi="Arial"/>
                <w:sz w:val="20"/>
                <w:szCs w:val="20"/>
              </w:rPr>
              <w:t>,</w:t>
            </w:r>
            <w:r w:rsidRPr="00B43437">
              <w:rPr>
                <w:rFonts w:ascii="Arial" w:hAnsi="Arial"/>
                <w:sz w:val="20"/>
                <w:szCs w:val="20"/>
              </w:rPr>
              <w:t xml:space="preserve"> and equi</w:t>
            </w:r>
            <w:r w:rsidR="00180358" w:rsidRPr="00B43437">
              <w:rPr>
                <w:rFonts w:ascii="Arial" w:hAnsi="Arial"/>
                <w:sz w:val="20"/>
                <w:szCs w:val="20"/>
              </w:rPr>
              <w:t>pping human resource units with relevant knowledge. At</w:t>
            </w:r>
            <w:r w:rsidRPr="00B43437">
              <w:rPr>
                <w:rFonts w:ascii="Arial" w:hAnsi="Arial"/>
                <w:sz w:val="20"/>
                <w:szCs w:val="20"/>
              </w:rPr>
              <w:t xml:space="preserve"> a later stage, mediation-related topics </w:t>
            </w:r>
            <w:r w:rsidR="00180358" w:rsidRPr="00B43437">
              <w:rPr>
                <w:rFonts w:ascii="Arial" w:hAnsi="Arial"/>
                <w:sz w:val="20"/>
                <w:szCs w:val="20"/>
              </w:rPr>
              <w:t>will be integrated into the training</w:t>
            </w:r>
            <w:r w:rsidRPr="00B43437">
              <w:rPr>
                <w:rFonts w:ascii="Arial" w:hAnsi="Arial"/>
                <w:sz w:val="20"/>
                <w:szCs w:val="20"/>
              </w:rPr>
              <w:t xml:space="preserve"> program</w:t>
            </w:r>
            <w:r w:rsidR="00180358" w:rsidRPr="00B43437">
              <w:rPr>
                <w:rFonts w:ascii="Arial" w:hAnsi="Arial"/>
                <w:sz w:val="20"/>
                <w:szCs w:val="20"/>
              </w:rPr>
              <w:t xml:space="preserve"> for managers</w:t>
            </w:r>
            <w:r w:rsidRPr="00B43437">
              <w:rPr>
                <w:rFonts w:ascii="Arial" w:hAnsi="Arial"/>
                <w:sz w:val="20"/>
                <w:szCs w:val="20"/>
              </w:rPr>
              <w:t>.</w:t>
            </w:r>
          </w:p>
          <w:p w14:paraId="219D0054" w14:textId="25E71CE8" w:rsidR="002310EA" w:rsidRPr="00B43437" w:rsidRDefault="002310EA" w:rsidP="00C30729">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2310EA" w:rsidRPr="00B43437" w14:paraId="6EFD69C3" w14:textId="77777777" w:rsidTr="00FE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4" w:type="dxa"/>
          </w:tcPr>
          <w:p w14:paraId="03F00AC2" w14:textId="589F8F4D" w:rsidR="002310EA" w:rsidRPr="00B43437" w:rsidRDefault="002310EA" w:rsidP="00C30729">
            <w:pPr>
              <w:rPr>
                <w:rFonts w:ascii="Arial" w:hAnsi="Arial"/>
                <w:b w:val="0"/>
                <w:sz w:val="20"/>
                <w:szCs w:val="20"/>
              </w:rPr>
            </w:pPr>
            <w:r w:rsidRPr="00B43437">
              <w:rPr>
                <w:rFonts w:ascii="Arial" w:hAnsi="Arial"/>
                <w:b w:val="0"/>
                <w:sz w:val="20"/>
                <w:szCs w:val="20"/>
              </w:rPr>
              <w:lastRenderedPageBreak/>
              <w:t>16. 24 CSOs provide evidence-based inputs for future policy decisions</w:t>
            </w:r>
          </w:p>
        </w:tc>
        <w:tc>
          <w:tcPr>
            <w:tcW w:w="1084" w:type="dxa"/>
          </w:tcPr>
          <w:p w14:paraId="4B785386" w14:textId="1579320F" w:rsidR="002310EA" w:rsidRPr="00B43437" w:rsidRDefault="00A21262"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1</w:t>
            </w:r>
            <w:r w:rsidR="00180358" w:rsidRPr="00B43437">
              <w:rPr>
                <w:rFonts w:ascii="Arial" w:hAnsi="Arial"/>
                <w:sz w:val="20"/>
                <w:szCs w:val="20"/>
              </w:rPr>
              <w:t>0</w:t>
            </w:r>
          </w:p>
        </w:tc>
        <w:tc>
          <w:tcPr>
            <w:tcW w:w="5058" w:type="dxa"/>
          </w:tcPr>
          <w:p w14:paraId="2AD95778" w14:textId="611FB9C2" w:rsidR="002310EA" w:rsidRPr="00B43437" w:rsidRDefault="002310EA" w:rsidP="00C30729">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B43437">
              <w:rPr>
                <w:rFonts w:ascii="Arial" w:hAnsi="Arial"/>
                <w:sz w:val="20"/>
                <w:szCs w:val="20"/>
              </w:rPr>
              <w:t xml:space="preserve">The project, through the small grants scheme funded a variety of research and other grants to advance different topics related to PAR. The project conducted two evaluations of the grants and a third is scheduled for completion by March 2021. </w:t>
            </w:r>
          </w:p>
        </w:tc>
      </w:tr>
    </w:tbl>
    <w:p w14:paraId="5309C09A" w14:textId="77777777" w:rsidR="00B43437" w:rsidRDefault="00B43437" w:rsidP="008A6CBC">
      <w:pPr>
        <w:jc w:val="both"/>
        <w:rPr>
          <w:rFonts w:ascii="Arial" w:hAnsi="Arial"/>
          <w:sz w:val="22"/>
          <w:szCs w:val="22"/>
        </w:rPr>
      </w:pPr>
    </w:p>
    <w:p w14:paraId="5870EBD6" w14:textId="055B8620" w:rsidR="00C30612" w:rsidRDefault="00062070" w:rsidP="008A6CBC">
      <w:pPr>
        <w:jc w:val="both"/>
        <w:rPr>
          <w:rFonts w:ascii="Arial" w:hAnsi="Arial"/>
          <w:sz w:val="22"/>
          <w:szCs w:val="22"/>
        </w:rPr>
      </w:pPr>
      <w:r>
        <w:rPr>
          <w:rFonts w:ascii="Arial" w:hAnsi="Arial"/>
          <w:sz w:val="22"/>
          <w:szCs w:val="22"/>
        </w:rPr>
        <w:t xml:space="preserve">In 2016, work began with the CSB, first with a review of the </w:t>
      </w:r>
      <w:r w:rsidR="00180358">
        <w:rPr>
          <w:rFonts w:ascii="Arial" w:hAnsi="Arial"/>
          <w:sz w:val="22"/>
          <w:szCs w:val="22"/>
        </w:rPr>
        <w:t xml:space="preserve">civil service reform and human resource management </w:t>
      </w:r>
      <w:r>
        <w:rPr>
          <w:rFonts w:ascii="Arial" w:hAnsi="Arial"/>
          <w:sz w:val="22"/>
          <w:szCs w:val="22"/>
        </w:rPr>
        <w:t>outcome and its related outputs and activities. As noted above, the change management plan for civil service reform was switched from outcome 1 to outcome 2. The activity</w:t>
      </w:r>
      <w:r w:rsidR="00AD523B">
        <w:rPr>
          <w:rFonts w:ascii="Arial" w:hAnsi="Arial"/>
          <w:sz w:val="22"/>
          <w:szCs w:val="22"/>
        </w:rPr>
        <w:t xml:space="preserve"> was refined to result</w:t>
      </w:r>
      <w:r w:rsidR="00C30612">
        <w:rPr>
          <w:rFonts w:ascii="Arial" w:hAnsi="Arial"/>
          <w:sz w:val="22"/>
          <w:szCs w:val="22"/>
        </w:rPr>
        <w:t xml:space="preserve"> in a c</w:t>
      </w:r>
      <w:r w:rsidR="00AD523B">
        <w:rPr>
          <w:rFonts w:ascii="Arial" w:hAnsi="Arial"/>
          <w:sz w:val="22"/>
          <w:szCs w:val="22"/>
        </w:rPr>
        <w:t>h</w:t>
      </w:r>
      <w:r w:rsidR="00C30612">
        <w:rPr>
          <w:rFonts w:ascii="Arial" w:hAnsi="Arial"/>
          <w:sz w:val="22"/>
          <w:szCs w:val="22"/>
        </w:rPr>
        <w:t xml:space="preserve">ange management plan implemented through </w:t>
      </w:r>
      <w:r>
        <w:rPr>
          <w:rFonts w:ascii="Arial" w:hAnsi="Arial"/>
          <w:sz w:val="22"/>
          <w:szCs w:val="22"/>
        </w:rPr>
        <w:t>“</w:t>
      </w:r>
      <w:r w:rsidR="00C30612">
        <w:rPr>
          <w:rFonts w:ascii="Arial" w:hAnsi="Arial"/>
          <w:sz w:val="22"/>
          <w:szCs w:val="22"/>
        </w:rPr>
        <w:t xml:space="preserve">expert </w:t>
      </w:r>
      <w:r w:rsidR="00AD523B">
        <w:rPr>
          <w:rFonts w:ascii="Arial" w:hAnsi="Arial"/>
          <w:sz w:val="22"/>
          <w:szCs w:val="22"/>
        </w:rPr>
        <w:t>and methodologi</w:t>
      </w:r>
      <w:r w:rsidR="00C30612">
        <w:rPr>
          <w:rFonts w:ascii="Arial" w:hAnsi="Arial"/>
          <w:sz w:val="22"/>
          <w:szCs w:val="22"/>
        </w:rPr>
        <w:t>cal support and c</w:t>
      </w:r>
      <w:r w:rsidR="00AD523B">
        <w:rPr>
          <w:rFonts w:ascii="Arial" w:hAnsi="Arial"/>
          <w:sz w:val="22"/>
          <w:szCs w:val="22"/>
        </w:rPr>
        <w:t>h</w:t>
      </w:r>
      <w:r w:rsidR="00C30612">
        <w:rPr>
          <w:rFonts w:ascii="Arial" w:hAnsi="Arial"/>
          <w:sz w:val="22"/>
          <w:szCs w:val="22"/>
        </w:rPr>
        <w:t xml:space="preserve">ange readiness feedback incorporated in </w:t>
      </w:r>
      <w:r>
        <w:rPr>
          <w:rFonts w:ascii="Arial" w:hAnsi="Arial"/>
          <w:sz w:val="22"/>
          <w:szCs w:val="22"/>
        </w:rPr>
        <w:t xml:space="preserve">the </w:t>
      </w:r>
      <w:r w:rsidR="00C30612">
        <w:rPr>
          <w:rFonts w:ascii="Arial" w:hAnsi="Arial"/>
          <w:sz w:val="22"/>
          <w:szCs w:val="22"/>
        </w:rPr>
        <w:t>monitoring and evalua</w:t>
      </w:r>
      <w:r w:rsidR="00AD523B">
        <w:rPr>
          <w:rFonts w:ascii="Arial" w:hAnsi="Arial"/>
          <w:sz w:val="22"/>
          <w:szCs w:val="22"/>
        </w:rPr>
        <w:t xml:space="preserve">tion </w:t>
      </w:r>
      <w:r w:rsidR="00C30612">
        <w:rPr>
          <w:rFonts w:ascii="Arial" w:hAnsi="Arial"/>
          <w:sz w:val="22"/>
          <w:szCs w:val="22"/>
        </w:rPr>
        <w:t>loop.”</w:t>
      </w:r>
      <w:r w:rsidR="00AD523B">
        <w:rPr>
          <w:rStyle w:val="FootnoteReference"/>
          <w:rFonts w:ascii="Arial" w:hAnsi="Arial"/>
          <w:sz w:val="22"/>
          <w:szCs w:val="22"/>
        </w:rPr>
        <w:footnoteReference w:id="38"/>
      </w:r>
      <w:r>
        <w:rPr>
          <w:rFonts w:ascii="Arial" w:hAnsi="Arial"/>
          <w:sz w:val="22"/>
          <w:szCs w:val="22"/>
        </w:rPr>
        <w:t xml:space="preserve"> A change readiness a</w:t>
      </w:r>
      <w:r w:rsidR="00AD523B">
        <w:rPr>
          <w:rFonts w:ascii="Arial" w:hAnsi="Arial"/>
          <w:sz w:val="22"/>
          <w:szCs w:val="22"/>
        </w:rPr>
        <w:t>ssessment was to be c</w:t>
      </w:r>
      <w:r>
        <w:rPr>
          <w:rFonts w:ascii="Arial" w:hAnsi="Arial"/>
          <w:sz w:val="22"/>
          <w:szCs w:val="22"/>
        </w:rPr>
        <w:t>onducted and a change management p</w:t>
      </w:r>
      <w:r w:rsidR="00AD523B">
        <w:rPr>
          <w:rFonts w:ascii="Arial" w:hAnsi="Arial"/>
          <w:sz w:val="22"/>
          <w:szCs w:val="22"/>
        </w:rPr>
        <w:t>lan prepared by a contractor</w:t>
      </w:r>
      <w:r>
        <w:rPr>
          <w:rFonts w:ascii="Arial" w:hAnsi="Arial"/>
          <w:sz w:val="22"/>
          <w:szCs w:val="22"/>
        </w:rPr>
        <w:t>. The implementation was to be reviewed periodically and training and advisor</w:t>
      </w:r>
      <w:r w:rsidR="00455A07">
        <w:rPr>
          <w:rFonts w:ascii="Arial" w:hAnsi="Arial"/>
          <w:sz w:val="22"/>
          <w:szCs w:val="22"/>
        </w:rPr>
        <w:t>y services were to be provided.</w:t>
      </w:r>
    </w:p>
    <w:p w14:paraId="783A7AC4" w14:textId="77777777" w:rsidR="00AD523B" w:rsidRDefault="00AD523B" w:rsidP="008A6CBC">
      <w:pPr>
        <w:jc w:val="both"/>
        <w:rPr>
          <w:rFonts w:ascii="Arial" w:hAnsi="Arial"/>
          <w:sz w:val="22"/>
          <w:szCs w:val="22"/>
        </w:rPr>
      </w:pPr>
    </w:p>
    <w:p w14:paraId="64E7FA75" w14:textId="52BE853E" w:rsidR="00AD523B" w:rsidRDefault="000E03D6" w:rsidP="008A6CBC">
      <w:pPr>
        <w:jc w:val="both"/>
        <w:rPr>
          <w:rFonts w:ascii="Arial" w:hAnsi="Arial"/>
          <w:sz w:val="22"/>
          <w:szCs w:val="22"/>
        </w:rPr>
      </w:pPr>
      <w:r>
        <w:rPr>
          <w:rFonts w:ascii="Arial" w:hAnsi="Arial"/>
          <w:sz w:val="22"/>
          <w:szCs w:val="22"/>
        </w:rPr>
        <w:t xml:space="preserve">During this time, the </w:t>
      </w:r>
      <w:r w:rsidR="00AD523B">
        <w:rPr>
          <w:rFonts w:ascii="Arial" w:hAnsi="Arial"/>
          <w:sz w:val="22"/>
          <w:szCs w:val="22"/>
        </w:rPr>
        <w:t>CSB was revising the draft p</w:t>
      </w:r>
      <w:r>
        <w:rPr>
          <w:rFonts w:ascii="Arial" w:hAnsi="Arial"/>
          <w:sz w:val="22"/>
          <w:szCs w:val="22"/>
        </w:rPr>
        <w:t>erformance appraisal regulation</w:t>
      </w:r>
      <w:r w:rsidR="00AD523B">
        <w:rPr>
          <w:rFonts w:ascii="Arial" w:hAnsi="Arial"/>
          <w:sz w:val="22"/>
          <w:szCs w:val="22"/>
        </w:rPr>
        <w:t xml:space="preserve"> th</w:t>
      </w:r>
      <w:r>
        <w:rPr>
          <w:rFonts w:ascii="Arial" w:hAnsi="Arial"/>
          <w:sz w:val="22"/>
          <w:szCs w:val="22"/>
        </w:rPr>
        <w:t>at was being</w:t>
      </w:r>
      <w:r w:rsidR="00C45FA6">
        <w:rPr>
          <w:rFonts w:ascii="Arial" w:hAnsi="Arial"/>
          <w:sz w:val="22"/>
          <w:szCs w:val="22"/>
        </w:rPr>
        <w:t xml:space="preserve"> drafted in accordance with</w:t>
      </w:r>
      <w:r w:rsidR="00AD523B">
        <w:rPr>
          <w:rFonts w:ascii="Arial" w:hAnsi="Arial"/>
          <w:sz w:val="22"/>
          <w:szCs w:val="22"/>
        </w:rPr>
        <w:t xml:space="preserve"> the </w:t>
      </w:r>
      <w:r>
        <w:rPr>
          <w:rFonts w:ascii="Arial" w:hAnsi="Arial"/>
          <w:sz w:val="22"/>
          <w:szCs w:val="22"/>
        </w:rPr>
        <w:t xml:space="preserve">civil service law. </w:t>
      </w:r>
      <w:proofErr w:type="gramStart"/>
      <w:r>
        <w:rPr>
          <w:rFonts w:ascii="Arial" w:hAnsi="Arial"/>
          <w:sz w:val="22"/>
          <w:szCs w:val="22"/>
        </w:rPr>
        <w:t>And,</w:t>
      </w:r>
      <w:proofErr w:type="gramEnd"/>
      <w:r>
        <w:rPr>
          <w:rFonts w:ascii="Arial" w:hAnsi="Arial"/>
          <w:sz w:val="22"/>
          <w:szCs w:val="22"/>
        </w:rPr>
        <w:t xml:space="preserve"> the e</w:t>
      </w:r>
      <w:r w:rsidR="00AD523B">
        <w:rPr>
          <w:rFonts w:ascii="Arial" w:hAnsi="Arial"/>
          <w:sz w:val="22"/>
          <w:szCs w:val="22"/>
        </w:rPr>
        <w:t xml:space="preserve">ntry level certification program for aspiring civil servants was completed. </w:t>
      </w:r>
    </w:p>
    <w:p w14:paraId="328040C8" w14:textId="77777777" w:rsidR="00AD523B" w:rsidRDefault="00AD523B" w:rsidP="008A6CBC">
      <w:pPr>
        <w:jc w:val="both"/>
        <w:rPr>
          <w:rFonts w:ascii="Arial" w:hAnsi="Arial"/>
          <w:sz w:val="22"/>
          <w:szCs w:val="22"/>
        </w:rPr>
      </w:pPr>
    </w:p>
    <w:p w14:paraId="6397030D" w14:textId="5A7FA6B5" w:rsidR="00AD523B" w:rsidRDefault="000E03D6" w:rsidP="008A6CBC">
      <w:pPr>
        <w:jc w:val="both"/>
        <w:rPr>
          <w:rFonts w:ascii="Arial" w:hAnsi="Arial"/>
          <w:sz w:val="22"/>
          <w:szCs w:val="22"/>
        </w:rPr>
      </w:pPr>
      <w:r>
        <w:rPr>
          <w:rFonts w:ascii="Arial" w:hAnsi="Arial"/>
          <w:sz w:val="22"/>
          <w:szCs w:val="22"/>
        </w:rPr>
        <w:t>The approach to civil service training was adjusted</w:t>
      </w:r>
      <w:r w:rsidR="00D96C2A">
        <w:rPr>
          <w:rFonts w:ascii="Arial" w:hAnsi="Arial"/>
          <w:sz w:val="22"/>
          <w:szCs w:val="22"/>
        </w:rPr>
        <w:t xml:space="preserve"> resulting in a change to the</w:t>
      </w:r>
      <w:r w:rsidR="00AD523B">
        <w:rPr>
          <w:rFonts w:ascii="Arial" w:hAnsi="Arial"/>
          <w:sz w:val="22"/>
          <w:szCs w:val="22"/>
        </w:rPr>
        <w:t xml:space="preserve"> </w:t>
      </w:r>
      <w:r>
        <w:rPr>
          <w:rFonts w:ascii="Arial" w:hAnsi="Arial"/>
          <w:sz w:val="22"/>
          <w:szCs w:val="22"/>
        </w:rPr>
        <w:t>approach in t</w:t>
      </w:r>
      <w:r w:rsidR="00455A07">
        <w:rPr>
          <w:rFonts w:ascii="Arial" w:hAnsi="Arial"/>
          <w:sz w:val="22"/>
          <w:szCs w:val="22"/>
        </w:rPr>
        <w:t>he project document</w:t>
      </w:r>
      <w:r>
        <w:rPr>
          <w:rFonts w:ascii="Arial" w:hAnsi="Arial"/>
          <w:sz w:val="22"/>
          <w:szCs w:val="22"/>
        </w:rPr>
        <w:t>.</w:t>
      </w:r>
      <w:r w:rsidR="00AD523B">
        <w:rPr>
          <w:rFonts w:ascii="Arial" w:hAnsi="Arial"/>
          <w:sz w:val="22"/>
          <w:szCs w:val="22"/>
        </w:rPr>
        <w:t xml:space="preserve"> CSB was </w:t>
      </w:r>
      <w:r w:rsidR="00D96C2A">
        <w:rPr>
          <w:rFonts w:ascii="Arial" w:hAnsi="Arial"/>
          <w:sz w:val="22"/>
          <w:szCs w:val="22"/>
        </w:rPr>
        <w:t xml:space="preserve">originally </w:t>
      </w:r>
      <w:r w:rsidR="00AD523B">
        <w:rPr>
          <w:rFonts w:ascii="Arial" w:hAnsi="Arial"/>
          <w:sz w:val="22"/>
          <w:szCs w:val="22"/>
        </w:rPr>
        <w:t xml:space="preserve">responsible for the development of the </w:t>
      </w:r>
      <w:r w:rsidR="005B2672">
        <w:rPr>
          <w:rFonts w:ascii="Arial" w:hAnsi="Arial"/>
          <w:sz w:val="22"/>
          <w:szCs w:val="22"/>
        </w:rPr>
        <w:t xml:space="preserve">unified </w:t>
      </w:r>
      <w:r w:rsidR="00AD523B">
        <w:rPr>
          <w:rFonts w:ascii="Arial" w:hAnsi="Arial"/>
          <w:sz w:val="22"/>
          <w:szCs w:val="22"/>
        </w:rPr>
        <w:t>civil service training system. In February 2017</w:t>
      </w:r>
      <w:r>
        <w:rPr>
          <w:rFonts w:ascii="Arial" w:hAnsi="Arial"/>
          <w:sz w:val="22"/>
          <w:szCs w:val="22"/>
        </w:rPr>
        <w:t>,</w:t>
      </w:r>
      <w:r w:rsidR="00AD523B">
        <w:rPr>
          <w:rFonts w:ascii="Arial" w:hAnsi="Arial"/>
          <w:sz w:val="22"/>
          <w:szCs w:val="22"/>
        </w:rPr>
        <w:t xml:space="preserve"> the I</w:t>
      </w:r>
      <w:r>
        <w:rPr>
          <w:rFonts w:ascii="Arial" w:hAnsi="Arial"/>
          <w:sz w:val="22"/>
          <w:szCs w:val="22"/>
        </w:rPr>
        <w:t>nternational Education Center of Georgia (IEC)</w:t>
      </w:r>
      <w:r w:rsidR="008211D8">
        <w:rPr>
          <w:rFonts w:ascii="Arial" w:hAnsi="Arial"/>
          <w:sz w:val="22"/>
          <w:szCs w:val="22"/>
        </w:rPr>
        <w:t xml:space="preserve"> was tasked to </w:t>
      </w:r>
      <w:r w:rsidR="00EF11E6">
        <w:rPr>
          <w:rFonts w:ascii="Arial" w:hAnsi="Arial"/>
          <w:sz w:val="22"/>
          <w:szCs w:val="22"/>
        </w:rPr>
        <w:t>support</w:t>
      </w:r>
      <w:r w:rsidR="00AD523B">
        <w:rPr>
          <w:rFonts w:ascii="Arial" w:hAnsi="Arial"/>
          <w:sz w:val="22"/>
          <w:szCs w:val="22"/>
        </w:rPr>
        <w:t xml:space="preserve"> </w:t>
      </w:r>
      <w:r>
        <w:rPr>
          <w:rFonts w:ascii="Arial" w:hAnsi="Arial"/>
          <w:sz w:val="22"/>
          <w:szCs w:val="22"/>
        </w:rPr>
        <w:t xml:space="preserve">the </w:t>
      </w:r>
      <w:r w:rsidR="00EF11E6">
        <w:rPr>
          <w:rFonts w:ascii="Arial" w:hAnsi="Arial"/>
          <w:sz w:val="22"/>
          <w:szCs w:val="22"/>
        </w:rPr>
        <w:t xml:space="preserve">CSB in the </w:t>
      </w:r>
      <w:r w:rsidR="008211D8">
        <w:rPr>
          <w:rFonts w:ascii="Arial" w:hAnsi="Arial"/>
          <w:sz w:val="22"/>
          <w:szCs w:val="22"/>
        </w:rPr>
        <w:t>develop</w:t>
      </w:r>
      <w:r w:rsidR="00EF11E6">
        <w:rPr>
          <w:rFonts w:ascii="Arial" w:hAnsi="Arial"/>
          <w:sz w:val="22"/>
          <w:szCs w:val="22"/>
        </w:rPr>
        <w:t>ment</w:t>
      </w:r>
      <w:r w:rsidR="008211D8">
        <w:rPr>
          <w:rFonts w:ascii="Arial" w:hAnsi="Arial"/>
          <w:sz w:val="22"/>
          <w:szCs w:val="22"/>
        </w:rPr>
        <w:t xml:space="preserve"> and im</w:t>
      </w:r>
      <w:r w:rsidR="00AD523B">
        <w:rPr>
          <w:rFonts w:ascii="Arial" w:hAnsi="Arial"/>
          <w:sz w:val="22"/>
          <w:szCs w:val="22"/>
        </w:rPr>
        <w:t>plement</w:t>
      </w:r>
      <w:r w:rsidR="00EF11E6">
        <w:rPr>
          <w:rFonts w:ascii="Arial" w:hAnsi="Arial"/>
          <w:sz w:val="22"/>
          <w:szCs w:val="22"/>
        </w:rPr>
        <w:t>ation of</w:t>
      </w:r>
      <w:r w:rsidR="00AD523B">
        <w:rPr>
          <w:rFonts w:ascii="Arial" w:hAnsi="Arial"/>
          <w:sz w:val="22"/>
          <w:szCs w:val="22"/>
        </w:rPr>
        <w:t xml:space="preserve"> </w:t>
      </w:r>
      <w:r>
        <w:rPr>
          <w:rFonts w:ascii="Arial" w:hAnsi="Arial"/>
          <w:sz w:val="22"/>
          <w:szCs w:val="22"/>
        </w:rPr>
        <w:t xml:space="preserve">the </w:t>
      </w:r>
      <w:r w:rsidR="00593FE5">
        <w:rPr>
          <w:rFonts w:ascii="Arial" w:hAnsi="Arial"/>
          <w:sz w:val="22"/>
          <w:szCs w:val="22"/>
        </w:rPr>
        <w:t xml:space="preserve">unified </w:t>
      </w:r>
      <w:r w:rsidR="00AD523B">
        <w:rPr>
          <w:rFonts w:ascii="Arial" w:hAnsi="Arial"/>
          <w:sz w:val="22"/>
          <w:szCs w:val="22"/>
        </w:rPr>
        <w:t xml:space="preserve">civil service training system. </w:t>
      </w:r>
      <w:r w:rsidR="00100220">
        <w:rPr>
          <w:rFonts w:ascii="Arial" w:hAnsi="Arial"/>
          <w:sz w:val="22"/>
          <w:szCs w:val="22"/>
        </w:rPr>
        <w:t xml:space="preserve">However, later </w:t>
      </w:r>
      <w:r w:rsidR="00593FE5">
        <w:rPr>
          <w:rFonts w:ascii="Arial" w:hAnsi="Arial"/>
          <w:sz w:val="22"/>
          <w:szCs w:val="22"/>
        </w:rPr>
        <w:t>with change</w:t>
      </w:r>
      <w:r w:rsidR="009866CE">
        <w:rPr>
          <w:rFonts w:ascii="Arial" w:hAnsi="Arial"/>
          <w:sz w:val="22"/>
          <w:szCs w:val="22"/>
        </w:rPr>
        <w:t>s</w:t>
      </w:r>
      <w:r w:rsidR="00593FE5">
        <w:rPr>
          <w:rFonts w:ascii="Arial" w:hAnsi="Arial"/>
          <w:sz w:val="22"/>
          <w:szCs w:val="22"/>
        </w:rPr>
        <w:t xml:space="preserve"> in the </w:t>
      </w:r>
      <w:proofErr w:type="spellStart"/>
      <w:r w:rsidR="00180358">
        <w:rPr>
          <w:rFonts w:ascii="Arial" w:hAnsi="Arial"/>
          <w:sz w:val="22"/>
          <w:szCs w:val="22"/>
        </w:rPr>
        <w:t>AoG</w:t>
      </w:r>
      <w:proofErr w:type="spellEnd"/>
      <w:r w:rsidR="00593FE5">
        <w:rPr>
          <w:rFonts w:ascii="Arial" w:hAnsi="Arial"/>
          <w:sz w:val="22"/>
          <w:szCs w:val="22"/>
        </w:rPr>
        <w:t xml:space="preserve">, </w:t>
      </w:r>
      <w:r w:rsidR="00100220">
        <w:rPr>
          <w:rFonts w:ascii="Arial" w:hAnsi="Arial"/>
          <w:sz w:val="22"/>
          <w:szCs w:val="22"/>
        </w:rPr>
        <w:t xml:space="preserve">a different approach was selected </w:t>
      </w:r>
      <w:r w:rsidR="00593FE5">
        <w:rPr>
          <w:rFonts w:ascii="Arial" w:hAnsi="Arial"/>
          <w:sz w:val="22"/>
          <w:szCs w:val="22"/>
        </w:rPr>
        <w:t xml:space="preserve">by the CSB </w:t>
      </w:r>
      <w:r w:rsidR="00100220">
        <w:rPr>
          <w:rFonts w:ascii="Arial" w:hAnsi="Arial"/>
          <w:sz w:val="22"/>
          <w:szCs w:val="22"/>
        </w:rPr>
        <w:t xml:space="preserve">and </w:t>
      </w:r>
      <w:r w:rsidR="00AD523B">
        <w:rPr>
          <w:rFonts w:ascii="Arial" w:hAnsi="Arial"/>
          <w:sz w:val="22"/>
          <w:szCs w:val="22"/>
        </w:rPr>
        <w:t xml:space="preserve">a </w:t>
      </w:r>
      <w:r w:rsidR="005B2672">
        <w:rPr>
          <w:rFonts w:ascii="Arial" w:hAnsi="Arial"/>
          <w:sz w:val="22"/>
          <w:szCs w:val="22"/>
        </w:rPr>
        <w:t>semi-</w:t>
      </w:r>
      <w:r w:rsidR="00AD523B">
        <w:rPr>
          <w:rFonts w:ascii="Arial" w:hAnsi="Arial"/>
          <w:sz w:val="22"/>
          <w:szCs w:val="22"/>
        </w:rPr>
        <w:t xml:space="preserve">decentralized model </w:t>
      </w:r>
      <w:r w:rsidR="00100220">
        <w:rPr>
          <w:rFonts w:ascii="Arial" w:hAnsi="Arial"/>
          <w:sz w:val="22"/>
          <w:szCs w:val="22"/>
        </w:rPr>
        <w:t>was introduced</w:t>
      </w:r>
      <w:r w:rsidR="00B96876">
        <w:rPr>
          <w:rFonts w:ascii="Arial" w:hAnsi="Arial"/>
          <w:sz w:val="22"/>
          <w:szCs w:val="22"/>
        </w:rPr>
        <w:t xml:space="preserve">. </w:t>
      </w:r>
    </w:p>
    <w:p w14:paraId="318FBDFE" w14:textId="77777777" w:rsidR="008211D8" w:rsidRDefault="008211D8" w:rsidP="008A6CBC">
      <w:pPr>
        <w:jc w:val="both"/>
        <w:rPr>
          <w:rFonts w:ascii="Arial" w:hAnsi="Arial"/>
          <w:sz w:val="22"/>
          <w:szCs w:val="22"/>
        </w:rPr>
      </w:pPr>
    </w:p>
    <w:p w14:paraId="67DBDAB1" w14:textId="7837DBDC" w:rsidR="008211D8" w:rsidRDefault="00180358" w:rsidP="008A6CBC">
      <w:pPr>
        <w:jc w:val="both"/>
        <w:rPr>
          <w:rFonts w:ascii="Arial" w:hAnsi="Arial"/>
          <w:sz w:val="22"/>
          <w:szCs w:val="22"/>
        </w:rPr>
      </w:pPr>
      <w:r>
        <w:rPr>
          <w:rFonts w:ascii="Arial" w:hAnsi="Arial"/>
          <w:sz w:val="22"/>
          <w:szCs w:val="22"/>
        </w:rPr>
        <w:t xml:space="preserve">For dispute resolution, the </w:t>
      </w:r>
      <w:r w:rsidR="00B43437">
        <w:rPr>
          <w:rFonts w:ascii="Arial" w:hAnsi="Arial"/>
          <w:sz w:val="22"/>
          <w:szCs w:val="22"/>
        </w:rPr>
        <w:t>project conducted</w:t>
      </w:r>
      <w:r w:rsidR="000E03D6">
        <w:rPr>
          <w:rFonts w:ascii="Arial" w:hAnsi="Arial"/>
          <w:sz w:val="22"/>
          <w:szCs w:val="22"/>
        </w:rPr>
        <w:t xml:space="preserve"> research on different dispute reso</w:t>
      </w:r>
      <w:r>
        <w:rPr>
          <w:rFonts w:ascii="Arial" w:hAnsi="Arial"/>
          <w:sz w:val="22"/>
          <w:szCs w:val="22"/>
        </w:rPr>
        <w:t>lution models, including presenting</w:t>
      </w:r>
      <w:r w:rsidR="000E03D6">
        <w:rPr>
          <w:rFonts w:ascii="Arial" w:hAnsi="Arial"/>
          <w:sz w:val="22"/>
          <w:szCs w:val="22"/>
        </w:rPr>
        <w:t xml:space="preserve"> international, regional and </w:t>
      </w:r>
      <w:r>
        <w:rPr>
          <w:rFonts w:ascii="Arial" w:hAnsi="Arial"/>
          <w:sz w:val="22"/>
          <w:szCs w:val="22"/>
        </w:rPr>
        <w:t xml:space="preserve">the </w:t>
      </w:r>
      <w:r w:rsidR="000E03D6">
        <w:rPr>
          <w:rFonts w:ascii="Arial" w:hAnsi="Arial"/>
          <w:sz w:val="22"/>
          <w:szCs w:val="22"/>
        </w:rPr>
        <w:t xml:space="preserve">Georgian </w:t>
      </w:r>
      <w:r w:rsidR="00A369DD">
        <w:rPr>
          <w:rFonts w:ascii="Arial" w:hAnsi="Arial"/>
          <w:sz w:val="22"/>
          <w:szCs w:val="22"/>
        </w:rPr>
        <w:t>experience</w:t>
      </w:r>
      <w:r w:rsidR="000E03D6">
        <w:rPr>
          <w:rFonts w:ascii="Arial" w:hAnsi="Arial"/>
          <w:sz w:val="22"/>
          <w:szCs w:val="22"/>
        </w:rPr>
        <w:t xml:space="preserve">. No conclusion </w:t>
      </w:r>
      <w:r>
        <w:rPr>
          <w:rFonts w:ascii="Arial" w:hAnsi="Arial"/>
          <w:sz w:val="22"/>
          <w:szCs w:val="22"/>
        </w:rPr>
        <w:t xml:space="preserve">or official decision </w:t>
      </w:r>
      <w:r w:rsidR="000E03D6">
        <w:rPr>
          <w:rFonts w:ascii="Arial" w:hAnsi="Arial"/>
          <w:sz w:val="22"/>
          <w:szCs w:val="22"/>
        </w:rPr>
        <w:t>was made and the project’s efforts continued</w:t>
      </w:r>
      <w:r w:rsidR="00534538">
        <w:rPr>
          <w:rFonts w:ascii="Arial" w:hAnsi="Arial"/>
          <w:sz w:val="22"/>
          <w:szCs w:val="22"/>
        </w:rPr>
        <w:t xml:space="preserve"> on the subject</w:t>
      </w:r>
      <w:r w:rsidR="000F2890">
        <w:rPr>
          <w:rFonts w:ascii="Arial" w:hAnsi="Arial"/>
          <w:sz w:val="22"/>
          <w:szCs w:val="22"/>
        </w:rPr>
        <w:t xml:space="preserve">. </w:t>
      </w:r>
    </w:p>
    <w:p w14:paraId="6E1A7165" w14:textId="77777777" w:rsidR="008A6CBC" w:rsidRDefault="008A6CBC" w:rsidP="008A6CBC">
      <w:pPr>
        <w:jc w:val="both"/>
        <w:rPr>
          <w:rFonts w:ascii="Arial" w:hAnsi="Arial"/>
          <w:sz w:val="22"/>
          <w:szCs w:val="22"/>
        </w:rPr>
      </w:pPr>
    </w:p>
    <w:p w14:paraId="7A7BCADE" w14:textId="590C87EF" w:rsidR="00534538" w:rsidRDefault="00B94446" w:rsidP="00534538">
      <w:pPr>
        <w:jc w:val="both"/>
        <w:rPr>
          <w:rFonts w:ascii="Arial" w:hAnsi="Arial"/>
          <w:sz w:val="22"/>
          <w:szCs w:val="22"/>
        </w:rPr>
      </w:pPr>
      <w:r>
        <w:rPr>
          <w:rFonts w:ascii="Arial" w:hAnsi="Arial"/>
          <w:sz w:val="22"/>
          <w:szCs w:val="22"/>
        </w:rPr>
        <w:t>In 2017</w:t>
      </w:r>
      <w:r w:rsidR="0051599B">
        <w:rPr>
          <w:rFonts w:ascii="Arial" w:hAnsi="Arial"/>
          <w:sz w:val="22"/>
          <w:szCs w:val="22"/>
        </w:rPr>
        <w:t xml:space="preserve">, the Change Management </w:t>
      </w:r>
      <w:r w:rsidR="00534538">
        <w:rPr>
          <w:rFonts w:ascii="Arial" w:hAnsi="Arial"/>
          <w:sz w:val="22"/>
          <w:szCs w:val="22"/>
        </w:rPr>
        <w:t>P</w:t>
      </w:r>
      <w:r w:rsidR="007727E7">
        <w:rPr>
          <w:rFonts w:ascii="Arial" w:hAnsi="Arial"/>
          <w:sz w:val="22"/>
          <w:szCs w:val="22"/>
        </w:rPr>
        <w:t>l</w:t>
      </w:r>
      <w:r w:rsidR="00534538">
        <w:rPr>
          <w:rFonts w:ascii="Arial" w:hAnsi="Arial"/>
          <w:sz w:val="22"/>
          <w:szCs w:val="22"/>
        </w:rPr>
        <w:t xml:space="preserve">an was completed with the cooperation </w:t>
      </w:r>
      <w:r w:rsidR="00D96C2A">
        <w:rPr>
          <w:rFonts w:ascii="Arial" w:hAnsi="Arial"/>
          <w:sz w:val="22"/>
          <w:szCs w:val="22"/>
        </w:rPr>
        <w:t xml:space="preserve">of </w:t>
      </w:r>
      <w:r w:rsidR="00534538">
        <w:rPr>
          <w:rFonts w:ascii="Arial" w:hAnsi="Arial"/>
          <w:sz w:val="22"/>
          <w:szCs w:val="22"/>
        </w:rPr>
        <w:t xml:space="preserve">the </w:t>
      </w:r>
      <w:proofErr w:type="spellStart"/>
      <w:r w:rsidR="00534538">
        <w:rPr>
          <w:rFonts w:ascii="Arial" w:hAnsi="Arial"/>
          <w:sz w:val="22"/>
          <w:szCs w:val="22"/>
        </w:rPr>
        <w:t>AoG</w:t>
      </w:r>
      <w:proofErr w:type="spellEnd"/>
      <w:r w:rsidR="00534538">
        <w:rPr>
          <w:rFonts w:ascii="Arial" w:hAnsi="Arial"/>
          <w:sz w:val="22"/>
          <w:szCs w:val="22"/>
        </w:rPr>
        <w:t xml:space="preserve"> and CSB. An overall plan was prepared with individual plans for 9 ministries. The number was reduced to 8 when the number of ministries was changed.</w:t>
      </w:r>
      <w:r w:rsidR="00534538">
        <w:rPr>
          <w:rStyle w:val="FootnoteReference"/>
          <w:rFonts w:ascii="Arial" w:hAnsi="Arial"/>
          <w:sz w:val="22"/>
          <w:szCs w:val="22"/>
        </w:rPr>
        <w:footnoteReference w:id="39"/>
      </w:r>
      <w:r w:rsidR="00534538">
        <w:rPr>
          <w:rFonts w:ascii="Arial" w:hAnsi="Arial"/>
          <w:sz w:val="22"/>
          <w:szCs w:val="22"/>
        </w:rPr>
        <w:t xml:space="preserve"> An associated Communication Strategy and Action Plan was prepared. Training was conducted and ministry leadership was engaged to help implement the plans. The PAR Council reviewed the plans in 2018.</w:t>
      </w:r>
    </w:p>
    <w:p w14:paraId="2651C556" w14:textId="77777777" w:rsidR="00534538" w:rsidRDefault="00534538" w:rsidP="008A6CBC">
      <w:pPr>
        <w:jc w:val="both"/>
        <w:rPr>
          <w:rFonts w:ascii="Arial" w:hAnsi="Arial"/>
          <w:sz w:val="22"/>
          <w:szCs w:val="22"/>
        </w:rPr>
      </w:pPr>
    </w:p>
    <w:p w14:paraId="3B063126" w14:textId="4DB8EBA4" w:rsidR="0051599B" w:rsidRDefault="0051599B" w:rsidP="008A6CBC">
      <w:pPr>
        <w:jc w:val="both"/>
        <w:rPr>
          <w:rFonts w:ascii="Arial" w:hAnsi="Arial"/>
          <w:sz w:val="22"/>
          <w:szCs w:val="22"/>
        </w:rPr>
      </w:pPr>
      <w:r>
        <w:rPr>
          <w:rFonts w:ascii="Arial" w:hAnsi="Arial"/>
          <w:sz w:val="22"/>
          <w:szCs w:val="22"/>
        </w:rPr>
        <w:lastRenderedPageBreak/>
        <w:t xml:space="preserve">The CSB prioritized the development and implementation of the </w:t>
      </w:r>
      <w:r w:rsidR="00B43437">
        <w:rPr>
          <w:rFonts w:ascii="Arial" w:hAnsi="Arial"/>
          <w:sz w:val="22"/>
          <w:szCs w:val="22"/>
        </w:rPr>
        <w:t xml:space="preserve">civil service </w:t>
      </w:r>
      <w:r>
        <w:rPr>
          <w:rFonts w:ascii="Arial" w:hAnsi="Arial"/>
          <w:sz w:val="22"/>
          <w:szCs w:val="22"/>
        </w:rPr>
        <w:t>performance appraisal</w:t>
      </w:r>
      <w:r w:rsidR="00B43437">
        <w:rPr>
          <w:rFonts w:ascii="Arial" w:hAnsi="Arial"/>
          <w:sz w:val="22"/>
          <w:szCs w:val="22"/>
        </w:rPr>
        <w:t>s</w:t>
      </w:r>
      <w:r>
        <w:rPr>
          <w:rFonts w:ascii="Arial" w:hAnsi="Arial"/>
          <w:sz w:val="22"/>
          <w:szCs w:val="22"/>
        </w:rPr>
        <w:t xml:space="preserve"> in accordance with the civil service law and respective by-law. The CSB set minimum standards and procedures and </w:t>
      </w:r>
      <w:r w:rsidR="00B43437">
        <w:rPr>
          <w:rFonts w:ascii="Arial" w:hAnsi="Arial"/>
          <w:sz w:val="22"/>
          <w:szCs w:val="22"/>
        </w:rPr>
        <w:t>the line ministries</w:t>
      </w:r>
      <w:r>
        <w:rPr>
          <w:rFonts w:ascii="Arial" w:hAnsi="Arial"/>
          <w:sz w:val="22"/>
          <w:szCs w:val="22"/>
        </w:rPr>
        <w:t xml:space="preserve"> were tasked with determining the specific performance appraisal formats and procedures. </w:t>
      </w:r>
      <w:r w:rsidR="007727E7">
        <w:rPr>
          <w:rFonts w:ascii="Arial" w:hAnsi="Arial"/>
          <w:sz w:val="22"/>
          <w:szCs w:val="22"/>
        </w:rPr>
        <w:t>In 2017-2018, p</w:t>
      </w:r>
      <w:r>
        <w:rPr>
          <w:rFonts w:ascii="Arial" w:hAnsi="Arial"/>
          <w:sz w:val="22"/>
          <w:szCs w:val="22"/>
        </w:rPr>
        <w:t>erformance appraisal systems were supported in 6 partner ministries.</w:t>
      </w:r>
      <w:r>
        <w:rPr>
          <w:rStyle w:val="FootnoteReference"/>
          <w:rFonts w:ascii="Arial" w:hAnsi="Arial"/>
          <w:sz w:val="22"/>
          <w:szCs w:val="22"/>
        </w:rPr>
        <w:footnoteReference w:id="40"/>
      </w:r>
      <w:r>
        <w:rPr>
          <w:rFonts w:ascii="Arial" w:hAnsi="Arial"/>
          <w:sz w:val="22"/>
          <w:szCs w:val="22"/>
        </w:rPr>
        <w:t xml:space="preserve"> A comprehensive analysis of the respective institutional context and needs</w:t>
      </w:r>
      <w:r w:rsidR="000D7548">
        <w:rPr>
          <w:rFonts w:ascii="Arial" w:hAnsi="Arial"/>
          <w:sz w:val="22"/>
          <w:szCs w:val="22"/>
        </w:rPr>
        <w:t xml:space="preserve"> was also conducted</w:t>
      </w:r>
      <w:r>
        <w:rPr>
          <w:rFonts w:ascii="Arial" w:hAnsi="Arial"/>
          <w:sz w:val="22"/>
          <w:szCs w:val="22"/>
        </w:rPr>
        <w:t xml:space="preserve">. </w:t>
      </w:r>
      <w:r w:rsidR="000D7548">
        <w:rPr>
          <w:rFonts w:ascii="Arial" w:hAnsi="Arial"/>
          <w:sz w:val="22"/>
          <w:szCs w:val="22"/>
        </w:rPr>
        <w:t xml:space="preserve">Training was provided to build the capacity of key ministry staff. </w:t>
      </w:r>
      <w:r w:rsidR="007727E7">
        <w:rPr>
          <w:rFonts w:ascii="Arial" w:hAnsi="Arial"/>
          <w:sz w:val="22"/>
          <w:szCs w:val="22"/>
        </w:rPr>
        <w:t>In 2018-2020, the project cooperate</w:t>
      </w:r>
      <w:r w:rsidR="00D23286">
        <w:rPr>
          <w:rFonts w:ascii="Arial" w:hAnsi="Arial"/>
          <w:sz w:val="22"/>
          <w:szCs w:val="22"/>
        </w:rPr>
        <w:t>d</w:t>
      </w:r>
      <w:r w:rsidR="007727E7">
        <w:rPr>
          <w:rFonts w:ascii="Arial" w:hAnsi="Arial"/>
          <w:sz w:val="22"/>
          <w:szCs w:val="22"/>
        </w:rPr>
        <w:t xml:space="preserve"> with the existing partners to enhance their performance appraisal models and also supported new partner agencies (such as </w:t>
      </w:r>
      <w:proofErr w:type="spellStart"/>
      <w:r w:rsidR="007727E7">
        <w:rPr>
          <w:rFonts w:ascii="Arial" w:hAnsi="Arial"/>
          <w:sz w:val="22"/>
          <w:szCs w:val="22"/>
        </w:rPr>
        <w:t>AoG</w:t>
      </w:r>
      <w:proofErr w:type="spellEnd"/>
      <w:r w:rsidR="007727E7">
        <w:rPr>
          <w:rFonts w:ascii="Arial" w:hAnsi="Arial"/>
          <w:sz w:val="22"/>
          <w:szCs w:val="22"/>
        </w:rPr>
        <w:t xml:space="preserve">). </w:t>
      </w:r>
    </w:p>
    <w:p w14:paraId="4A34CC91" w14:textId="77777777" w:rsidR="00B43437" w:rsidRDefault="00B43437" w:rsidP="008A6CBC">
      <w:pPr>
        <w:jc w:val="both"/>
        <w:rPr>
          <w:rFonts w:ascii="Arial" w:hAnsi="Arial"/>
          <w:sz w:val="22"/>
          <w:szCs w:val="22"/>
        </w:rPr>
      </w:pPr>
    </w:p>
    <w:p w14:paraId="155B0615" w14:textId="7CCCC506" w:rsidR="003E2E7C" w:rsidRDefault="0051599B" w:rsidP="008A6CBC">
      <w:pPr>
        <w:jc w:val="both"/>
        <w:rPr>
          <w:rFonts w:ascii="Arial" w:hAnsi="Arial"/>
          <w:sz w:val="22"/>
          <w:szCs w:val="22"/>
        </w:rPr>
      </w:pPr>
      <w:r>
        <w:rPr>
          <w:rFonts w:ascii="Arial" w:hAnsi="Arial"/>
          <w:sz w:val="22"/>
          <w:szCs w:val="22"/>
        </w:rPr>
        <w:t xml:space="preserve">The </w:t>
      </w:r>
      <w:r w:rsidR="00C14764">
        <w:rPr>
          <w:rFonts w:ascii="Arial" w:hAnsi="Arial"/>
          <w:sz w:val="22"/>
          <w:szCs w:val="22"/>
        </w:rPr>
        <w:t xml:space="preserve">project contributed to </w:t>
      </w:r>
      <w:r>
        <w:rPr>
          <w:rFonts w:ascii="Arial" w:hAnsi="Arial"/>
          <w:sz w:val="22"/>
          <w:szCs w:val="22"/>
        </w:rPr>
        <w:t xml:space="preserve">the </w:t>
      </w:r>
      <w:r w:rsidR="00C14764">
        <w:rPr>
          <w:rFonts w:ascii="Arial" w:hAnsi="Arial"/>
          <w:sz w:val="22"/>
          <w:szCs w:val="22"/>
        </w:rPr>
        <w:t xml:space="preserve">draft Decree on Professional Development </w:t>
      </w:r>
      <w:r>
        <w:rPr>
          <w:rFonts w:ascii="Arial" w:hAnsi="Arial"/>
          <w:sz w:val="22"/>
          <w:szCs w:val="22"/>
        </w:rPr>
        <w:t xml:space="preserve">of Civil Servants. </w:t>
      </w:r>
      <w:r w:rsidR="00D96C2A">
        <w:rPr>
          <w:rFonts w:ascii="Arial" w:hAnsi="Arial"/>
          <w:sz w:val="22"/>
          <w:szCs w:val="22"/>
        </w:rPr>
        <w:t xml:space="preserve">The decree </w:t>
      </w:r>
      <w:r w:rsidR="00B43437">
        <w:rPr>
          <w:rFonts w:ascii="Arial" w:hAnsi="Arial"/>
          <w:sz w:val="22"/>
          <w:szCs w:val="22"/>
        </w:rPr>
        <w:t>included standards to</w:t>
      </w:r>
      <w:r w:rsidR="003E2E7C">
        <w:rPr>
          <w:rFonts w:ascii="Arial" w:hAnsi="Arial"/>
          <w:sz w:val="22"/>
          <w:szCs w:val="22"/>
        </w:rPr>
        <w:t xml:space="preserve"> </w:t>
      </w:r>
      <w:r w:rsidR="00B43437">
        <w:rPr>
          <w:rFonts w:ascii="Arial" w:hAnsi="Arial"/>
          <w:sz w:val="22"/>
          <w:szCs w:val="22"/>
        </w:rPr>
        <w:t>identify and plan</w:t>
      </w:r>
      <w:r w:rsidR="00C60724">
        <w:rPr>
          <w:rFonts w:ascii="Arial" w:hAnsi="Arial"/>
          <w:sz w:val="22"/>
          <w:szCs w:val="22"/>
        </w:rPr>
        <w:t xml:space="preserve"> professional development opportunities for civil servants</w:t>
      </w:r>
      <w:r w:rsidR="00D65CA8">
        <w:rPr>
          <w:rFonts w:ascii="Arial" w:hAnsi="Arial"/>
          <w:sz w:val="22"/>
          <w:szCs w:val="22"/>
        </w:rPr>
        <w:t xml:space="preserve">. </w:t>
      </w:r>
      <w:r>
        <w:rPr>
          <w:rFonts w:ascii="Arial" w:hAnsi="Arial"/>
          <w:sz w:val="22"/>
          <w:szCs w:val="22"/>
        </w:rPr>
        <w:t xml:space="preserve">The </w:t>
      </w:r>
      <w:r w:rsidR="000A5EB1">
        <w:rPr>
          <w:rFonts w:ascii="Arial" w:hAnsi="Arial"/>
          <w:sz w:val="22"/>
          <w:szCs w:val="22"/>
        </w:rPr>
        <w:t xml:space="preserve">draft also established the requirement for </w:t>
      </w:r>
      <w:r>
        <w:rPr>
          <w:rFonts w:ascii="Arial" w:hAnsi="Arial"/>
          <w:sz w:val="22"/>
          <w:szCs w:val="22"/>
        </w:rPr>
        <w:t xml:space="preserve">a </w:t>
      </w:r>
      <w:r w:rsidR="003E2E7C">
        <w:rPr>
          <w:rFonts w:ascii="Arial" w:hAnsi="Arial"/>
          <w:sz w:val="22"/>
          <w:szCs w:val="22"/>
        </w:rPr>
        <w:t xml:space="preserve">mandatory </w:t>
      </w:r>
      <w:r w:rsidR="007C6FA4">
        <w:rPr>
          <w:rFonts w:ascii="Arial" w:hAnsi="Arial"/>
          <w:sz w:val="22"/>
          <w:szCs w:val="22"/>
        </w:rPr>
        <w:t xml:space="preserve">basic </w:t>
      </w:r>
      <w:r w:rsidR="003E2E7C">
        <w:rPr>
          <w:rFonts w:ascii="Arial" w:hAnsi="Arial"/>
          <w:sz w:val="22"/>
          <w:szCs w:val="22"/>
        </w:rPr>
        <w:t xml:space="preserve">program and additional professional development programs. Changes were made to the education approach due to the </w:t>
      </w:r>
      <w:r w:rsidR="00B43437">
        <w:rPr>
          <w:rFonts w:ascii="Arial" w:hAnsi="Arial"/>
          <w:sz w:val="22"/>
          <w:szCs w:val="22"/>
        </w:rPr>
        <w:t>determination to have decentralization</w:t>
      </w:r>
      <w:r w:rsidR="003E2E7C">
        <w:rPr>
          <w:rFonts w:ascii="Arial" w:hAnsi="Arial"/>
          <w:sz w:val="22"/>
          <w:szCs w:val="22"/>
        </w:rPr>
        <w:t xml:space="preserve"> training delivery. </w:t>
      </w:r>
    </w:p>
    <w:p w14:paraId="1B9BDC21" w14:textId="77777777" w:rsidR="003E2E7C" w:rsidRDefault="003E2E7C" w:rsidP="008A6CBC">
      <w:pPr>
        <w:jc w:val="both"/>
        <w:rPr>
          <w:rFonts w:ascii="Arial" w:hAnsi="Arial"/>
          <w:sz w:val="22"/>
          <w:szCs w:val="22"/>
        </w:rPr>
      </w:pPr>
    </w:p>
    <w:p w14:paraId="083CE758" w14:textId="4D688DD6" w:rsidR="00A103F2" w:rsidRDefault="000D7548" w:rsidP="008A6CBC">
      <w:pPr>
        <w:jc w:val="both"/>
        <w:rPr>
          <w:rFonts w:ascii="Arial" w:hAnsi="Arial"/>
          <w:sz w:val="22"/>
          <w:szCs w:val="22"/>
        </w:rPr>
      </w:pPr>
      <w:r>
        <w:rPr>
          <w:rFonts w:ascii="Arial" w:hAnsi="Arial"/>
          <w:sz w:val="22"/>
          <w:szCs w:val="22"/>
        </w:rPr>
        <w:t xml:space="preserve">The </w:t>
      </w:r>
      <w:r w:rsidR="00A103F2">
        <w:rPr>
          <w:rFonts w:ascii="Arial" w:hAnsi="Arial"/>
          <w:sz w:val="22"/>
          <w:szCs w:val="22"/>
        </w:rPr>
        <w:t>alternative dispute resolution mechanism</w:t>
      </w:r>
      <w:r>
        <w:rPr>
          <w:rFonts w:ascii="Arial" w:hAnsi="Arial"/>
          <w:sz w:val="22"/>
          <w:szCs w:val="22"/>
        </w:rPr>
        <w:t xml:space="preserve"> remained under discussion. Research was planned for 2018 to be conducted by local and international specialists on </w:t>
      </w:r>
      <w:r w:rsidR="00256EBF">
        <w:rPr>
          <w:rFonts w:ascii="Arial" w:hAnsi="Arial"/>
          <w:sz w:val="22"/>
          <w:szCs w:val="22"/>
        </w:rPr>
        <w:t>suitable alternat</w:t>
      </w:r>
      <w:r w:rsidR="00A103F2">
        <w:rPr>
          <w:rFonts w:ascii="Arial" w:hAnsi="Arial"/>
          <w:sz w:val="22"/>
          <w:szCs w:val="22"/>
        </w:rPr>
        <w:t>i</w:t>
      </w:r>
      <w:r>
        <w:rPr>
          <w:rFonts w:ascii="Arial" w:hAnsi="Arial"/>
          <w:sz w:val="22"/>
          <w:szCs w:val="22"/>
        </w:rPr>
        <w:t>ve dispute resolution models.</w:t>
      </w:r>
    </w:p>
    <w:p w14:paraId="292369CB" w14:textId="77777777" w:rsidR="003E2E7C" w:rsidRDefault="003E2E7C" w:rsidP="008A6CBC">
      <w:pPr>
        <w:jc w:val="both"/>
        <w:rPr>
          <w:rFonts w:ascii="Arial" w:hAnsi="Arial"/>
          <w:sz w:val="22"/>
          <w:szCs w:val="22"/>
        </w:rPr>
      </w:pPr>
    </w:p>
    <w:p w14:paraId="3AEBCA94" w14:textId="768C834C" w:rsidR="000D7548" w:rsidRDefault="00AA75AB" w:rsidP="000D7548">
      <w:pPr>
        <w:jc w:val="both"/>
        <w:rPr>
          <w:rFonts w:ascii="Arial" w:hAnsi="Arial"/>
          <w:sz w:val="22"/>
          <w:szCs w:val="22"/>
        </w:rPr>
      </w:pPr>
      <w:r>
        <w:rPr>
          <w:rFonts w:ascii="Arial" w:hAnsi="Arial"/>
          <w:sz w:val="22"/>
          <w:szCs w:val="22"/>
        </w:rPr>
        <w:t>In 2018</w:t>
      </w:r>
      <w:r w:rsidR="000D7548">
        <w:rPr>
          <w:rFonts w:ascii="Arial" w:hAnsi="Arial"/>
          <w:sz w:val="22"/>
          <w:szCs w:val="22"/>
        </w:rPr>
        <w:t xml:space="preserve">, </w:t>
      </w:r>
      <w:r w:rsidR="008D7C13">
        <w:rPr>
          <w:rFonts w:ascii="Arial" w:hAnsi="Arial"/>
          <w:sz w:val="22"/>
          <w:szCs w:val="22"/>
        </w:rPr>
        <w:t xml:space="preserve">the </w:t>
      </w:r>
      <w:r w:rsidR="00B43437">
        <w:rPr>
          <w:rFonts w:ascii="Arial" w:hAnsi="Arial"/>
          <w:sz w:val="22"/>
          <w:szCs w:val="22"/>
        </w:rPr>
        <w:t xml:space="preserve">project supported </w:t>
      </w:r>
      <w:r w:rsidR="008D7C13">
        <w:rPr>
          <w:rFonts w:ascii="Arial" w:hAnsi="Arial"/>
          <w:sz w:val="22"/>
          <w:szCs w:val="22"/>
        </w:rPr>
        <w:t>change ma</w:t>
      </w:r>
      <w:r w:rsidR="00B43437">
        <w:rPr>
          <w:rFonts w:ascii="Arial" w:hAnsi="Arial"/>
          <w:sz w:val="22"/>
          <w:szCs w:val="22"/>
        </w:rPr>
        <w:t>nagement team</w:t>
      </w:r>
      <w:r w:rsidR="008D7C13">
        <w:rPr>
          <w:rFonts w:ascii="Arial" w:hAnsi="Arial"/>
          <w:sz w:val="22"/>
          <w:szCs w:val="22"/>
        </w:rPr>
        <w:t xml:space="preserve"> continued working with line ministries. The Human Resources Managers’ Forum, also </w:t>
      </w:r>
      <w:r w:rsidR="00B43437">
        <w:rPr>
          <w:rFonts w:ascii="Arial" w:hAnsi="Arial"/>
          <w:sz w:val="22"/>
          <w:szCs w:val="22"/>
        </w:rPr>
        <w:t>project supported</w:t>
      </w:r>
      <w:r w:rsidR="00D1226D">
        <w:rPr>
          <w:rFonts w:ascii="Arial" w:hAnsi="Arial"/>
          <w:sz w:val="22"/>
          <w:szCs w:val="22"/>
        </w:rPr>
        <w:t>,</w:t>
      </w:r>
      <w:r w:rsidR="008D7C13">
        <w:rPr>
          <w:rFonts w:ascii="Arial" w:hAnsi="Arial"/>
          <w:sz w:val="22"/>
          <w:szCs w:val="22"/>
        </w:rPr>
        <w:t xml:space="preserve"> was </w:t>
      </w:r>
      <w:r w:rsidR="00D1226D">
        <w:rPr>
          <w:rFonts w:ascii="Arial" w:hAnsi="Arial"/>
          <w:sz w:val="22"/>
          <w:szCs w:val="22"/>
        </w:rPr>
        <w:t xml:space="preserve">established and </w:t>
      </w:r>
      <w:r w:rsidR="008D7C13">
        <w:rPr>
          <w:rFonts w:ascii="Arial" w:hAnsi="Arial"/>
          <w:sz w:val="22"/>
          <w:szCs w:val="22"/>
        </w:rPr>
        <w:t xml:space="preserve">becoming </w:t>
      </w:r>
      <w:r w:rsidR="00D96C2A">
        <w:rPr>
          <w:rFonts w:ascii="Arial" w:hAnsi="Arial"/>
          <w:sz w:val="22"/>
          <w:szCs w:val="22"/>
        </w:rPr>
        <w:t xml:space="preserve">a </w:t>
      </w:r>
      <w:r w:rsidR="000D7548">
        <w:rPr>
          <w:rFonts w:ascii="Arial" w:hAnsi="Arial"/>
          <w:sz w:val="22"/>
          <w:szCs w:val="22"/>
        </w:rPr>
        <w:t xml:space="preserve">change management instrument for </w:t>
      </w:r>
      <w:r w:rsidR="008D7C13">
        <w:rPr>
          <w:rFonts w:ascii="Arial" w:hAnsi="Arial"/>
          <w:sz w:val="22"/>
          <w:szCs w:val="22"/>
        </w:rPr>
        <w:t xml:space="preserve">the </w:t>
      </w:r>
      <w:r w:rsidR="000D7548">
        <w:rPr>
          <w:rFonts w:ascii="Arial" w:hAnsi="Arial"/>
          <w:sz w:val="22"/>
          <w:szCs w:val="22"/>
        </w:rPr>
        <w:t xml:space="preserve">CSB. </w:t>
      </w:r>
      <w:r w:rsidR="008D7C13">
        <w:rPr>
          <w:rFonts w:ascii="Arial" w:hAnsi="Arial"/>
          <w:sz w:val="22"/>
          <w:szCs w:val="22"/>
        </w:rPr>
        <w:t xml:space="preserve">Awareness of the Change Management Plan continued with the implementation of the plan’s </w:t>
      </w:r>
      <w:r w:rsidR="000D7548">
        <w:rPr>
          <w:rFonts w:ascii="Arial" w:hAnsi="Arial"/>
          <w:sz w:val="22"/>
          <w:szCs w:val="22"/>
        </w:rPr>
        <w:t>communications strategy.</w:t>
      </w:r>
    </w:p>
    <w:p w14:paraId="0664A950" w14:textId="1F164CC5" w:rsidR="00AA75AB" w:rsidRDefault="00AA75AB" w:rsidP="008A6CBC">
      <w:pPr>
        <w:jc w:val="both"/>
        <w:rPr>
          <w:rFonts w:ascii="Arial" w:hAnsi="Arial"/>
          <w:sz w:val="22"/>
          <w:szCs w:val="22"/>
        </w:rPr>
      </w:pPr>
    </w:p>
    <w:p w14:paraId="364AFB12" w14:textId="7B3CEDFC" w:rsidR="000D7548" w:rsidRDefault="008D7C13" w:rsidP="000D7548">
      <w:pPr>
        <w:jc w:val="both"/>
        <w:rPr>
          <w:rFonts w:ascii="Arial" w:hAnsi="Arial"/>
          <w:sz w:val="22"/>
          <w:szCs w:val="22"/>
        </w:rPr>
      </w:pPr>
      <w:r>
        <w:rPr>
          <w:rFonts w:ascii="Arial" w:hAnsi="Arial"/>
          <w:sz w:val="22"/>
          <w:szCs w:val="22"/>
        </w:rPr>
        <w:t>S</w:t>
      </w:r>
      <w:r w:rsidR="000D7548">
        <w:rPr>
          <w:rFonts w:ascii="Arial" w:hAnsi="Arial"/>
          <w:sz w:val="22"/>
          <w:szCs w:val="22"/>
        </w:rPr>
        <w:t xml:space="preserve">upport </w:t>
      </w:r>
      <w:r>
        <w:rPr>
          <w:rFonts w:ascii="Arial" w:hAnsi="Arial"/>
          <w:sz w:val="22"/>
          <w:szCs w:val="22"/>
        </w:rPr>
        <w:t>was provided to the</w:t>
      </w:r>
      <w:r w:rsidR="000D7548">
        <w:rPr>
          <w:rFonts w:ascii="Arial" w:hAnsi="Arial"/>
          <w:sz w:val="22"/>
          <w:szCs w:val="22"/>
        </w:rPr>
        <w:t xml:space="preserve"> selected performance appraisal models in </w:t>
      </w:r>
      <w:r>
        <w:rPr>
          <w:rFonts w:ascii="Arial" w:hAnsi="Arial"/>
          <w:sz w:val="22"/>
          <w:szCs w:val="22"/>
        </w:rPr>
        <w:t xml:space="preserve">6 </w:t>
      </w:r>
      <w:r w:rsidR="000D7548">
        <w:rPr>
          <w:rFonts w:ascii="Arial" w:hAnsi="Arial"/>
          <w:sz w:val="22"/>
          <w:szCs w:val="22"/>
        </w:rPr>
        <w:t>new ministries</w:t>
      </w:r>
      <w:r>
        <w:rPr>
          <w:rFonts w:ascii="Arial" w:hAnsi="Arial"/>
          <w:sz w:val="22"/>
          <w:szCs w:val="22"/>
        </w:rPr>
        <w:t xml:space="preserve"> that had </w:t>
      </w:r>
      <w:r w:rsidR="000D7548">
        <w:rPr>
          <w:rFonts w:ascii="Arial" w:hAnsi="Arial"/>
          <w:sz w:val="22"/>
          <w:szCs w:val="22"/>
        </w:rPr>
        <w:t xml:space="preserve">developed compliant performance appraisal systems. </w:t>
      </w:r>
      <w:r>
        <w:rPr>
          <w:rFonts w:ascii="Arial" w:hAnsi="Arial"/>
          <w:sz w:val="22"/>
          <w:szCs w:val="22"/>
        </w:rPr>
        <w:t>A Handbook of Performance A</w:t>
      </w:r>
      <w:r w:rsidR="000D7548">
        <w:rPr>
          <w:rFonts w:ascii="Arial" w:hAnsi="Arial"/>
          <w:sz w:val="22"/>
          <w:szCs w:val="22"/>
        </w:rPr>
        <w:t>ppraisal System in the Civil Service</w:t>
      </w:r>
      <w:r>
        <w:rPr>
          <w:rFonts w:ascii="Arial" w:hAnsi="Arial"/>
          <w:sz w:val="22"/>
          <w:szCs w:val="22"/>
        </w:rPr>
        <w:t xml:space="preserve"> was prepared along with</w:t>
      </w:r>
      <w:r w:rsidR="000D7548">
        <w:rPr>
          <w:rFonts w:ascii="Arial" w:hAnsi="Arial"/>
          <w:sz w:val="22"/>
          <w:szCs w:val="22"/>
        </w:rPr>
        <w:t xml:space="preserve"> a guide on self-evalu</w:t>
      </w:r>
      <w:r>
        <w:rPr>
          <w:rFonts w:ascii="Arial" w:hAnsi="Arial"/>
          <w:sz w:val="22"/>
          <w:szCs w:val="22"/>
        </w:rPr>
        <w:t>ation techniques</w:t>
      </w:r>
      <w:r w:rsidR="00D1226D">
        <w:rPr>
          <w:rFonts w:ascii="Arial" w:hAnsi="Arial"/>
          <w:sz w:val="22"/>
          <w:szCs w:val="22"/>
        </w:rPr>
        <w:t xml:space="preserve"> and a video </w:t>
      </w:r>
      <w:r w:rsidR="00D96C2A">
        <w:rPr>
          <w:rFonts w:ascii="Arial" w:hAnsi="Arial"/>
          <w:sz w:val="22"/>
          <w:szCs w:val="22"/>
        </w:rPr>
        <w:t xml:space="preserve">on the </w:t>
      </w:r>
      <w:r w:rsidR="000D7548">
        <w:rPr>
          <w:rFonts w:ascii="Arial" w:hAnsi="Arial"/>
          <w:sz w:val="22"/>
          <w:szCs w:val="22"/>
        </w:rPr>
        <w:t>goals and major stages of the performance appraisal process.</w:t>
      </w:r>
    </w:p>
    <w:p w14:paraId="358BD591" w14:textId="77777777" w:rsidR="000D7548" w:rsidRDefault="000D7548" w:rsidP="008A6CBC">
      <w:pPr>
        <w:jc w:val="both"/>
        <w:rPr>
          <w:rFonts w:ascii="Arial" w:hAnsi="Arial"/>
          <w:sz w:val="22"/>
          <w:szCs w:val="22"/>
        </w:rPr>
      </w:pPr>
    </w:p>
    <w:p w14:paraId="4D4B0932" w14:textId="73E52A14" w:rsidR="001F1C44" w:rsidRDefault="00D1226D" w:rsidP="008A6CBC">
      <w:pPr>
        <w:jc w:val="both"/>
        <w:rPr>
          <w:rFonts w:ascii="Arial" w:hAnsi="Arial"/>
          <w:sz w:val="22"/>
          <w:szCs w:val="22"/>
        </w:rPr>
      </w:pPr>
      <w:r>
        <w:rPr>
          <w:rFonts w:ascii="Arial" w:hAnsi="Arial"/>
          <w:sz w:val="22"/>
          <w:szCs w:val="22"/>
        </w:rPr>
        <w:t>The civil service</w:t>
      </w:r>
      <w:r w:rsidR="008D7C13">
        <w:rPr>
          <w:rFonts w:ascii="Arial" w:hAnsi="Arial"/>
          <w:sz w:val="22"/>
          <w:szCs w:val="22"/>
        </w:rPr>
        <w:t xml:space="preserve"> by-law “On Assessment of Professional Capacities, Professional Development Standards and Rules for Professional Development of the Career Civil Serva</w:t>
      </w:r>
      <w:r>
        <w:rPr>
          <w:rFonts w:ascii="Arial" w:hAnsi="Arial"/>
          <w:sz w:val="22"/>
          <w:szCs w:val="22"/>
        </w:rPr>
        <w:t xml:space="preserve">nts” was approved in May 2018. It was determined that the National Centre of Educational Quality </w:t>
      </w:r>
      <w:r w:rsidR="007C6FA4">
        <w:rPr>
          <w:rFonts w:ascii="Arial" w:hAnsi="Arial"/>
          <w:sz w:val="22"/>
          <w:szCs w:val="22"/>
        </w:rPr>
        <w:t xml:space="preserve">Enhancement </w:t>
      </w:r>
      <w:r>
        <w:rPr>
          <w:rFonts w:ascii="Arial" w:hAnsi="Arial"/>
          <w:sz w:val="22"/>
          <w:szCs w:val="22"/>
        </w:rPr>
        <w:t>(QEC), operating as an LEPL under the Mini</w:t>
      </w:r>
      <w:r w:rsidR="00D96C2A">
        <w:rPr>
          <w:rFonts w:ascii="Arial" w:hAnsi="Arial"/>
          <w:sz w:val="22"/>
          <w:szCs w:val="22"/>
        </w:rPr>
        <w:t>stry of Education and Science, would be</w:t>
      </w:r>
      <w:r>
        <w:rPr>
          <w:rFonts w:ascii="Arial" w:hAnsi="Arial"/>
          <w:sz w:val="22"/>
          <w:szCs w:val="22"/>
        </w:rPr>
        <w:t xml:space="preserve"> the accreditation </w:t>
      </w:r>
      <w:r w:rsidR="00D96C2A">
        <w:rPr>
          <w:rFonts w:ascii="Arial" w:hAnsi="Arial"/>
          <w:sz w:val="22"/>
          <w:szCs w:val="22"/>
        </w:rPr>
        <w:t>body for</w:t>
      </w:r>
      <w:r>
        <w:rPr>
          <w:rFonts w:ascii="Arial" w:hAnsi="Arial"/>
          <w:sz w:val="22"/>
          <w:szCs w:val="22"/>
        </w:rPr>
        <w:t xml:space="preserve"> civil service training programs. </w:t>
      </w:r>
      <w:r w:rsidR="008D7C13">
        <w:rPr>
          <w:rFonts w:ascii="Arial" w:hAnsi="Arial"/>
          <w:sz w:val="22"/>
          <w:szCs w:val="22"/>
        </w:rPr>
        <w:t xml:space="preserve">The CSB </w:t>
      </w:r>
      <w:r>
        <w:rPr>
          <w:rFonts w:ascii="Arial" w:hAnsi="Arial"/>
          <w:sz w:val="22"/>
          <w:szCs w:val="22"/>
        </w:rPr>
        <w:t>role wo</w:t>
      </w:r>
      <w:r w:rsidR="00D96C2A">
        <w:rPr>
          <w:rFonts w:ascii="Arial" w:hAnsi="Arial"/>
          <w:sz w:val="22"/>
          <w:szCs w:val="22"/>
        </w:rPr>
        <w:t>uld be to implement</w:t>
      </w:r>
      <w:r>
        <w:rPr>
          <w:rFonts w:ascii="Arial" w:hAnsi="Arial"/>
          <w:sz w:val="22"/>
          <w:szCs w:val="22"/>
        </w:rPr>
        <w:t xml:space="preserve"> the decree, develop</w:t>
      </w:r>
      <w:r w:rsidR="008D7C13">
        <w:rPr>
          <w:rFonts w:ascii="Arial" w:hAnsi="Arial"/>
          <w:sz w:val="22"/>
          <w:szCs w:val="22"/>
        </w:rPr>
        <w:t xml:space="preserve"> trai</w:t>
      </w:r>
      <w:r>
        <w:rPr>
          <w:rFonts w:ascii="Arial" w:hAnsi="Arial"/>
          <w:sz w:val="22"/>
          <w:szCs w:val="22"/>
        </w:rPr>
        <w:t>ning needs assessment tools,</w:t>
      </w:r>
      <w:r w:rsidR="008D7C13">
        <w:rPr>
          <w:rFonts w:ascii="Arial" w:hAnsi="Arial"/>
          <w:sz w:val="22"/>
          <w:szCs w:val="22"/>
        </w:rPr>
        <w:t xml:space="preserve"> </w:t>
      </w:r>
      <w:r>
        <w:rPr>
          <w:rFonts w:ascii="Arial" w:hAnsi="Arial"/>
          <w:sz w:val="22"/>
          <w:szCs w:val="22"/>
        </w:rPr>
        <w:t>and</w:t>
      </w:r>
      <w:r w:rsidR="008D7C13">
        <w:rPr>
          <w:rFonts w:ascii="Arial" w:hAnsi="Arial"/>
          <w:sz w:val="22"/>
          <w:szCs w:val="22"/>
        </w:rPr>
        <w:t xml:space="preserve"> participate in the accreditation process. </w:t>
      </w:r>
      <w:r>
        <w:rPr>
          <w:rFonts w:ascii="Arial" w:hAnsi="Arial"/>
          <w:sz w:val="22"/>
          <w:szCs w:val="22"/>
        </w:rPr>
        <w:t xml:space="preserve">The change in the accreditation process and delivery of training did cause some adjustments in the project. However, the project was involved in the transition process. With the CSB, the project created </w:t>
      </w:r>
      <w:r w:rsidR="00B43437">
        <w:rPr>
          <w:rFonts w:ascii="Arial" w:hAnsi="Arial"/>
          <w:sz w:val="22"/>
          <w:szCs w:val="22"/>
        </w:rPr>
        <w:t>a training needs assessment</w:t>
      </w:r>
      <w:r>
        <w:rPr>
          <w:rFonts w:ascii="Arial" w:hAnsi="Arial"/>
          <w:sz w:val="22"/>
          <w:szCs w:val="22"/>
        </w:rPr>
        <w:t xml:space="preserve"> system and the associated Handbook on Professional Needs Assessment. The assessment was followed up with training. The a</w:t>
      </w:r>
      <w:r w:rsidR="001F1C44">
        <w:rPr>
          <w:rFonts w:ascii="Arial" w:hAnsi="Arial"/>
          <w:sz w:val="22"/>
          <w:szCs w:val="22"/>
        </w:rPr>
        <w:t>ccredi</w:t>
      </w:r>
      <w:r>
        <w:rPr>
          <w:rFonts w:ascii="Arial" w:hAnsi="Arial"/>
          <w:sz w:val="22"/>
          <w:szCs w:val="22"/>
        </w:rPr>
        <w:t>tation experts’ h</w:t>
      </w:r>
      <w:r w:rsidR="00812D23">
        <w:rPr>
          <w:rFonts w:ascii="Arial" w:hAnsi="Arial"/>
          <w:sz w:val="22"/>
          <w:szCs w:val="22"/>
        </w:rPr>
        <w:t>i</w:t>
      </w:r>
      <w:r w:rsidR="001F1C44">
        <w:rPr>
          <w:rFonts w:ascii="Arial" w:hAnsi="Arial"/>
          <w:sz w:val="22"/>
          <w:szCs w:val="22"/>
        </w:rPr>
        <w:t>ring</w:t>
      </w:r>
      <w:r>
        <w:rPr>
          <w:rFonts w:ascii="Arial" w:hAnsi="Arial"/>
          <w:sz w:val="22"/>
          <w:szCs w:val="22"/>
        </w:rPr>
        <w:t>/f</w:t>
      </w:r>
      <w:r w:rsidR="00812D23">
        <w:rPr>
          <w:rFonts w:ascii="Arial" w:hAnsi="Arial"/>
          <w:sz w:val="22"/>
          <w:szCs w:val="22"/>
        </w:rPr>
        <w:t>iri</w:t>
      </w:r>
      <w:r>
        <w:rPr>
          <w:rFonts w:ascii="Arial" w:hAnsi="Arial"/>
          <w:sz w:val="22"/>
          <w:szCs w:val="22"/>
        </w:rPr>
        <w:t>ng procedures, s</w:t>
      </w:r>
      <w:r w:rsidR="001F1C44">
        <w:rPr>
          <w:rFonts w:ascii="Arial" w:hAnsi="Arial"/>
          <w:sz w:val="22"/>
          <w:szCs w:val="22"/>
        </w:rPr>
        <w:t>cope</w:t>
      </w:r>
      <w:r w:rsidR="00782BAA">
        <w:rPr>
          <w:rFonts w:ascii="Arial" w:hAnsi="Arial"/>
          <w:sz w:val="22"/>
          <w:szCs w:val="22"/>
        </w:rPr>
        <w:t>,</w:t>
      </w:r>
      <w:r w:rsidR="001F1C44">
        <w:rPr>
          <w:rFonts w:ascii="Arial" w:hAnsi="Arial"/>
          <w:sz w:val="22"/>
          <w:szCs w:val="22"/>
        </w:rPr>
        <w:t xml:space="preserve"> and compen</w:t>
      </w:r>
      <w:r w:rsidR="00812D23">
        <w:rPr>
          <w:rFonts w:ascii="Arial" w:hAnsi="Arial"/>
          <w:sz w:val="22"/>
          <w:szCs w:val="22"/>
        </w:rPr>
        <w:t>sa</w:t>
      </w:r>
      <w:r w:rsidR="001F1C44">
        <w:rPr>
          <w:rFonts w:ascii="Arial" w:hAnsi="Arial"/>
          <w:sz w:val="22"/>
          <w:szCs w:val="22"/>
        </w:rPr>
        <w:t>ti</w:t>
      </w:r>
      <w:r w:rsidR="00812D23">
        <w:rPr>
          <w:rFonts w:ascii="Arial" w:hAnsi="Arial"/>
          <w:sz w:val="22"/>
          <w:szCs w:val="22"/>
        </w:rPr>
        <w:t>on r</w:t>
      </w:r>
      <w:r w:rsidR="001F1C44">
        <w:rPr>
          <w:rFonts w:ascii="Arial" w:hAnsi="Arial"/>
          <w:sz w:val="22"/>
          <w:szCs w:val="22"/>
        </w:rPr>
        <w:t xml:space="preserve">ules </w:t>
      </w:r>
      <w:r>
        <w:rPr>
          <w:rFonts w:ascii="Arial" w:hAnsi="Arial"/>
          <w:sz w:val="22"/>
          <w:szCs w:val="22"/>
        </w:rPr>
        <w:t xml:space="preserve">were </w:t>
      </w:r>
      <w:r w:rsidR="001F1C44">
        <w:rPr>
          <w:rFonts w:ascii="Arial" w:hAnsi="Arial"/>
          <w:sz w:val="22"/>
          <w:szCs w:val="22"/>
        </w:rPr>
        <w:t>developed</w:t>
      </w:r>
      <w:r w:rsidR="00812D23">
        <w:rPr>
          <w:rFonts w:ascii="Arial" w:hAnsi="Arial"/>
          <w:sz w:val="22"/>
          <w:szCs w:val="22"/>
        </w:rPr>
        <w:t xml:space="preserve">. </w:t>
      </w:r>
    </w:p>
    <w:p w14:paraId="436E7FB9" w14:textId="77777777" w:rsidR="00812D23" w:rsidRDefault="00812D23" w:rsidP="008A6CBC">
      <w:pPr>
        <w:jc w:val="both"/>
        <w:rPr>
          <w:rFonts w:ascii="Arial" w:hAnsi="Arial"/>
          <w:sz w:val="22"/>
          <w:szCs w:val="22"/>
        </w:rPr>
      </w:pPr>
    </w:p>
    <w:p w14:paraId="57653078" w14:textId="3DC94B0D" w:rsidR="00FF7A71" w:rsidRDefault="00FF7A71" w:rsidP="008A6CBC">
      <w:pPr>
        <w:jc w:val="both"/>
        <w:rPr>
          <w:rFonts w:ascii="Arial" w:hAnsi="Arial"/>
          <w:sz w:val="22"/>
          <w:szCs w:val="22"/>
        </w:rPr>
      </w:pPr>
      <w:r>
        <w:rPr>
          <w:rFonts w:ascii="Arial" w:hAnsi="Arial"/>
          <w:sz w:val="22"/>
          <w:szCs w:val="22"/>
        </w:rPr>
        <w:t>On</w:t>
      </w:r>
      <w:r w:rsidR="0071751C">
        <w:rPr>
          <w:rFonts w:ascii="Arial" w:hAnsi="Arial"/>
          <w:sz w:val="22"/>
          <w:szCs w:val="22"/>
        </w:rPr>
        <w:t xml:space="preserve"> alterna</w:t>
      </w:r>
      <w:r>
        <w:rPr>
          <w:rFonts w:ascii="Arial" w:hAnsi="Arial"/>
          <w:sz w:val="22"/>
          <w:szCs w:val="22"/>
        </w:rPr>
        <w:t>tive dispute resolution,</w:t>
      </w:r>
      <w:r w:rsidR="0071751C">
        <w:rPr>
          <w:rFonts w:ascii="Arial" w:hAnsi="Arial"/>
          <w:sz w:val="22"/>
          <w:szCs w:val="22"/>
        </w:rPr>
        <w:t xml:space="preserve"> the UK-based Centre for Effective Dispute Re</w:t>
      </w:r>
      <w:r>
        <w:rPr>
          <w:rFonts w:ascii="Arial" w:hAnsi="Arial"/>
          <w:sz w:val="22"/>
          <w:szCs w:val="22"/>
        </w:rPr>
        <w:t>solution was selected to help in</w:t>
      </w:r>
      <w:r w:rsidR="0071751C">
        <w:rPr>
          <w:rFonts w:ascii="Arial" w:hAnsi="Arial"/>
          <w:sz w:val="22"/>
          <w:szCs w:val="22"/>
        </w:rPr>
        <w:t xml:space="preserve"> the design and use of a resolution mechanism. </w:t>
      </w:r>
      <w:r>
        <w:rPr>
          <w:rFonts w:ascii="Arial" w:hAnsi="Arial"/>
          <w:sz w:val="22"/>
          <w:szCs w:val="22"/>
        </w:rPr>
        <w:t xml:space="preserve">Also an assessment of current alternative dispute resolution practices in Georgia was conducted. Meetings and discussions were held using the documents to help advance the issue. </w:t>
      </w:r>
    </w:p>
    <w:p w14:paraId="64DA86D8" w14:textId="77777777" w:rsidR="006940FB" w:rsidRDefault="006940FB" w:rsidP="008A6CBC">
      <w:pPr>
        <w:jc w:val="both"/>
        <w:rPr>
          <w:rFonts w:ascii="Arial" w:hAnsi="Arial"/>
          <w:sz w:val="22"/>
          <w:szCs w:val="22"/>
        </w:rPr>
      </w:pPr>
    </w:p>
    <w:p w14:paraId="483894A7" w14:textId="2C9A77D3" w:rsidR="004B6D80" w:rsidRDefault="006940FB" w:rsidP="004B6D80">
      <w:pPr>
        <w:jc w:val="both"/>
        <w:rPr>
          <w:rFonts w:ascii="Arial" w:hAnsi="Arial"/>
          <w:sz w:val="22"/>
          <w:szCs w:val="22"/>
        </w:rPr>
      </w:pPr>
      <w:r>
        <w:rPr>
          <w:rFonts w:ascii="Arial" w:hAnsi="Arial"/>
          <w:sz w:val="22"/>
          <w:szCs w:val="22"/>
        </w:rPr>
        <w:t>In 2019</w:t>
      </w:r>
      <w:r w:rsidR="004B6D80">
        <w:rPr>
          <w:rFonts w:ascii="Arial" w:hAnsi="Arial"/>
          <w:sz w:val="22"/>
          <w:szCs w:val="22"/>
        </w:rPr>
        <w:t>,</w:t>
      </w:r>
      <w:r w:rsidR="00CF785B">
        <w:rPr>
          <w:rFonts w:ascii="Arial" w:hAnsi="Arial"/>
          <w:sz w:val="22"/>
          <w:szCs w:val="22"/>
        </w:rPr>
        <w:t xml:space="preserve"> </w:t>
      </w:r>
      <w:r w:rsidR="004B6D80">
        <w:rPr>
          <w:rFonts w:ascii="Arial" w:hAnsi="Arial"/>
          <w:sz w:val="22"/>
          <w:szCs w:val="22"/>
        </w:rPr>
        <w:t>the Human Resources Managers’ Forum was becoming more established as a network of civil servants to assist in implementing change management and transforming the organizational culture. A</w:t>
      </w:r>
      <w:r w:rsidR="00FF7A71">
        <w:rPr>
          <w:rFonts w:ascii="Arial" w:hAnsi="Arial"/>
          <w:sz w:val="22"/>
          <w:szCs w:val="22"/>
        </w:rPr>
        <w:t xml:space="preserve"> Forum </w:t>
      </w:r>
      <w:r w:rsidR="004B6D80">
        <w:rPr>
          <w:rFonts w:ascii="Arial" w:hAnsi="Arial"/>
          <w:sz w:val="22"/>
          <w:szCs w:val="22"/>
        </w:rPr>
        <w:t xml:space="preserve">meeting </w:t>
      </w:r>
      <w:r w:rsidR="00CF785B">
        <w:rPr>
          <w:rFonts w:ascii="Arial" w:hAnsi="Arial"/>
          <w:sz w:val="22"/>
          <w:szCs w:val="22"/>
        </w:rPr>
        <w:t xml:space="preserve">was held </w:t>
      </w:r>
      <w:r w:rsidR="00FF7A71">
        <w:rPr>
          <w:rFonts w:ascii="Arial" w:hAnsi="Arial"/>
          <w:sz w:val="22"/>
          <w:szCs w:val="22"/>
        </w:rPr>
        <w:t>on performance appraisal</w:t>
      </w:r>
      <w:r w:rsidR="004B6D80">
        <w:rPr>
          <w:rFonts w:ascii="Arial" w:hAnsi="Arial"/>
          <w:sz w:val="22"/>
          <w:szCs w:val="22"/>
        </w:rPr>
        <w:t>, motivation and professional de</w:t>
      </w:r>
      <w:r w:rsidR="00CF785B">
        <w:rPr>
          <w:rFonts w:ascii="Arial" w:hAnsi="Arial"/>
          <w:sz w:val="22"/>
          <w:szCs w:val="22"/>
        </w:rPr>
        <w:t>velopment</w:t>
      </w:r>
      <w:r w:rsidR="00FF7A71">
        <w:rPr>
          <w:rFonts w:ascii="Arial" w:hAnsi="Arial"/>
          <w:sz w:val="22"/>
          <w:szCs w:val="22"/>
        </w:rPr>
        <w:t xml:space="preserve">. </w:t>
      </w:r>
      <w:r w:rsidR="004B6D80">
        <w:rPr>
          <w:rFonts w:ascii="Arial" w:hAnsi="Arial"/>
          <w:sz w:val="22"/>
          <w:szCs w:val="22"/>
        </w:rPr>
        <w:t>In the Ministry of Economy, 50 managers were trained on performance appraisal. Work wa</w:t>
      </w:r>
      <w:r w:rsidR="004E3DD0">
        <w:rPr>
          <w:rFonts w:ascii="Arial" w:hAnsi="Arial"/>
          <w:sz w:val="22"/>
          <w:szCs w:val="22"/>
        </w:rPr>
        <w:t>s also done with the Ministry of</w:t>
      </w:r>
      <w:r w:rsidR="004B6D80">
        <w:rPr>
          <w:rFonts w:ascii="Arial" w:hAnsi="Arial"/>
          <w:sz w:val="22"/>
          <w:szCs w:val="22"/>
        </w:rPr>
        <w:t xml:space="preserve"> Agriculture and Environmental Protection on performance appraisal with 60 managers trained, coaching of the human resources unit conducted, and 4 </w:t>
      </w:r>
      <w:r w:rsidR="001E3D19">
        <w:rPr>
          <w:rFonts w:ascii="Arial" w:hAnsi="Arial"/>
          <w:sz w:val="22"/>
          <w:szCs w:val="22"/>
        </w:rPr>
        <w:t xml:space="preserve">staff </w:t>
      </w:r>
      <w:r w:rsidR="004B6D80">
        <w:rPr>
          <w:rFonts w:ascii="Arial" w:hAnsi="Arial"/>
          <w:sz w:val="22"/>
          <w:szCs w:val="22"/>
        </w:rPr>
        <w:t>awareness meetings conducted. And, 6 video tutorials on performance appraisal were prepared.</w:t>
      </w:r>
    </w:p>
    <w:p w14:paraId="6851D5AB" w14:textId="720EC22E" w:rsidR="00CF785B" w:rsidRDefault="00CF785B" w:rsidP="00FF7A71">
      <w:pPr>
        <w:jc w:val="both"/>
        <w:rPr>
          <w:rFonts w:ascii="Arial" w:hAnsi="Arial"/>
          <w:sz w:val="22"/>
          <w:szCs w:val="22"/>
        </w:rPr>
      </w:pPr>
    </w:p>
    <w:p w14:paraId="0FE47E1E" w14:textId="68C6BE98" w:rsidR="00AB3CCE" w:rsidRDefault="004E3DD0" w:rsidP="00FF7A71">
      <w:pPr>
        <w:jc w:val="both"/>
        <w:rPr>
          <w:rFonts w:ascii="Arial" w:hAnsi="Arial"/>
          <w:sz w:val="22"/>
          <w:szCs w:val="22"/>
        </w:rPr>
      </w:pPr>
      <w:r>
        <w:rPr>
          <w:rFonts w:ascii="Arial" w:hAnsi="Arial"/>
          <w:sz w:val="22"/>
          <w:szCs w:val="22"/>
        </w:rPr>
        <w:t>The decree on a</w:t>
      </w:r>
      <w:r w:rsidR="00AB3CCE">
        <w:rPr>
          <w:rFonts w:ascii="Arial" w:hAnsi="Arial"/>
          <w:sz w:val="22"/>
          <w:szCs w:val="22"/>
        </w:rPr>
        <w:t>ccreditation</w:t>
      </w:r>
      <w:r w:rsidR="004B6D80">
        <w:rPr>
          <w:rFonts w:ascii="Arial" w:hAnsi="Arial"/>
          <w:sz w:val="22"/>
          <w:szCs w:val="22"/>
        </w:rPr>
        <w:t xml:space="preserve"> </w:t>
      </w:r>
      <w:r w:rsidR="00AB3CCE">
        <w:rPr>
          <w:rFonts w:ascii="Arial" w:hAnsi="Arial"/>
          <w:sz w:val="22"/>
          <w:szCs w:val="22"/>
        </w:rPr>
        <w:t xml:space="preserve">was adopted </w:t>
      </w:r>
      <w:r w:rsidR="004B6D80">
        <w:rPr>
          <w:rFonts w:ascii="Arial" w:hAnsi="Arial"/>
          <w:sz w:val="22"/>
          <w:szCs w:val="22"/>
        </w:rPr>
        <w:t xml:space="preserve">with </w:t>
      </w:r>
      <w:r w:rsidR="00AB3CCE">
        <w:rPr>
          <w:rFonts w:ascii="Arial" w:hAnsi="Arial"/>
          <w:sz w:val="22"/>
          <w:szCs w:val="22"/>
        </w:rPr>
        <w:t>the</w:t>
      </w:r>
      <w:r w:rsidR="004B6D80">
        <w:rPr>
          <w:rFonts w:ascii="Arial" w:hAnsi="Arial"/>
          <w:sz w:val="22"/>
          <w:szCs w:val="22"/>
        </w:rPr>
        <w:t xml:space="preserve"> Statute of the Accreditation Council and associated by-laws.</w:t>
      </w:r>
      <w:r w:rsidR="00AB3CCE">
        <w:rPr>
          <w:rFonts w:ascii="Arial" w:hAnsi="Arial"/>
          <w:sz w:val="22"/>
          <w:szCs w:val="22"/>
        </w:rPr>
        <w:t xml:space="preserve"> The pr</w:t>
      </w:r>
      <w:r>
        <w:rPr>
          <w:rFonts w:ascii="Arial" w:hAnsi="Arial"/>
          <w:sz w:val="22"/>
          <w:szCs w:val="22"/>
        </w:rPr>
        <w:t>oject worked with the QEC to develop</w:t>
      </w:r>
      <w:r w:rsidR="00AB3CCE">
        <w:rPr>
          <w:rFonts w:ascii="Arial" w:hAnsi="Arial"/>
          <w:sz w:val="22"/>
          <w:szCs w:val="22"/>
        </w:rPr>
        <w:t xml:space="preserve"> the curriculum outlines and handbooks for two courses: Effective Communication and Effective Service Delivery. Also, the project worked on an agreement between the</w:t>
      </w:r>
      <w:r w:rsidR="004B6D80">
        <w:rPr>
          <w:rFonts w:ascii="Arial" w:hAnsi="Arial"/>
          <w:sz w:val="22"/>
          <w:szCs w:val="22"/>
        </w:rPr>
        <w:t xml:space="preserve"> </w:t>
      </w:r>
      <w:r w:rsidR="00AB3CCE">
        <w:rPr>
          <w:rFonts w:ascii="Arial" w:hAnsi="Arial"/>
          <w:sz w:val="22"/>
          <w:szCs w:val="22"/>
        </w:rPr>
        <w:t xml:space="preserve">CSB and </w:t>
      </w:r>
      <w:r w:rsidR="004B6D80">
        <w:rPr>
          <w:rFonts w:ascii="Arial" w:hAnsi="Arial"/>
          <w:sz w:val="22"/>
          <w:szCs w:val="22"/>
        </w:rPr>
        <w:t xml:space="preserve">DEA </w:t>
      </w:r>
      <w:r w:rsidR="00AB3CCE">
        <w:rPr>
          <w:rFonts w:ascii="Arial" w:hAnsi="Arial"/>
          <w:sz w:val="22"/>
          <w:szCs w:val="22"/>
        </w:rPr>
        <w:t>(now DGA) to develop a unified e-</w:t>
      </w:r>
      <w:r w:rsidR="004B6D80">
        <w:rPr>
          <w:rFonts w:ascii="Arial" w:hAnsi="Arial"/>
          <w:sz w:val="22"/>
          <w:szCs w:val="22"/>
        </w:rPr>
        <w:t>learning platform where info on professional development program e-cou</w:t>
      </w:r>
      <w:r w:rsidR="00AB3CCE">
        <w:rPr>
          <w:rFonts w:ascii="Arial" w:hAnsi="Arial"/>
          <w:sz w:val="22"/>
          <w:szCs w:val="22"/>
        </w:rPr>
        <w:t>rses and knowledge resources would be</w:t>
      </w:r>
      <w:r w:rsidR="004B6D80">
        <w:rPr>
          <w:rFonts w:ascii="Arial" w:hAnsi="Arial"/>
          <w:sz w:val="22"/>
          <w:szCs w:val="22"/>
        </w:rPr>
        <w:t xml:space="preserve"> available. </w:t>
      </w:r>
      <w:r w:rsidR="00AB3CCE">
        <w:rPr>
          <w:rFonts w:ascii="Arial" w:hAnsi="Arial"/>
          <w:sz w:val="22"/>
          <w:szCs w:val="22"/>
        </w:rPr>
        <w:t xml:space="preserve">The </w:t>
      </w:r>
      <w:r w:rsidR="00FF7A71">
        <w:rPr>
          <w:rFonts w:ascii="Arial" w:hAnsi="Arial"/>
          <w:sz w:val="22"/>
          <w:szCs w:val="22"/>
        </w:rPr>
        <w:t xml:space="preserve">first two meetings of Accreditation Council </w:t>
      </w:r>
      <w:r w:rsidR="00AB3CCE">
        <w:rPr>
          <w:rFonts w:ascii="Arial" w:hAnsi="Arial"/>
          <w:sz w:val="22"/>
          <w:szCs w:val="22"/>
        </w:rPr>
        <w:t xml:space="preserve">took place </w:t>
      </w:r>
      <w:r w:rsidR="00FF7A71">
        <w:rPr>
          <w:rFonts w:ascii="Arial" w:hAnsi="Arial"/>
          <w:sz w:val="22"/>
          <w:szCs w:val="22"/>
        </w:rPr>
        <w:t xml:space="preserve">and 9 mandatory programs for civil servants </w:t>
      </w:r>
      <w:r w:rsidR="00AB3CCE">
        <w:rPr>
          <w:rFonts w:ascii="Arial" w:hAnsi="Arial"/>
          <w:sz w:val="22"/>
          <w:szCs w:val="22"/>
        </w:rPr>
        <w:t xml:space="preserve">were </w:t>
      </w:r>
      <w:r w:rsidR="00FF7A71">
        <w:rPr>
          <w:rFonts w:ascii="Arial" w:hAnsi="Arial"/>
          <w:sz w:val="22"/>
          <w:szCs w:val="22"/>
        </w:rPr>
        <w:t xml:space="preserve">accredited. </w:t>
      </w:r>
    </w:p>
    <w:p w14:paraId="70922CB1" w14:textId="77777777" w:rsidR="00AB3CCE" w:rsidRDefault="00AB3CCE" w:rsidP="00FF7A71">
      <w:pPr>
        <w:jc w:val="both"/>
        <w:rPr>
          <w:rFonts w:ascii="Arial" w:hAnsi="Arial"/>
          <w:sz w:val="22"/>
          <w:szCs w:val="22"/>
        </w:rPr>
      </w:pPr>
    </w:p>
    <w:p w14:paraId="07F1D9C8" w14:textId="0584AA98" w:rsidR="00FF7A71" w:rsidRDefault="00AB3CCE" w:rsidP="008A6CBC">
      <w:pPr>
        <w:jc w:val="both"/>
        <w:rPr>
          <w:rFonts w:ascii="Arial" w:hAnsi="Arial"/>
          <w:sz w:val="22"/>
          <w:szCs w:val="22"/>
        </w:rPr>
      </w:pPr>
      <w:r>
        <w:rPr>
          <w:rFonts w:ascii="Arial" w:hAnsi="Arial"/>
          <w:sz w:val="22"/>
          <w:szCs w:val="22"/>
        </w:rPr>
        <w:t>Up to 2019, 1,325 civil serv</w:t>
      </w:r>
      <w:r w:rsidR="004E3DD0">
        <w:rPr>
          <w:rFonts w:ascii="Arial" w:hAnsi="Arial"/>
          <w:sz w:val="22"/>
          <w:szCs w:val="22"/>
        </w:rPr>
        <w:t>ants were trained on the civil s</w:t>
      </w:r>
      <w:r>
        <w:rPr>
          <w:rFonts w:ascii="Arial" w:hAnsi="Arial"/>
          <w:sz w:val="22"/>
          <w:szCs w:val="22"/>
        </w:rPr>
        <w:t xml:space="preserve">ervice law and associated by-laws. </w:t>
      </w:r>
    </w:p>
    <w:p w14:paraId="57DC041A" w14:textId="77777777" w:rsidR="004A24C8" w:rsidRDefault="004A24C8" w:rsidP="008A6CBC">
      <w:pPr>
        <w:jc w:val="both"/>
        <w:rPr>
          <w:rFonts w:ascii="Arial" w:hAnsi="Arial"/>
          <w:sz w:val="22"/>
          <w:szCs w:val="22"/>
        </w:rPr>
      </w:pPr>
    </w:p>
    <w:p w14:paraId="3B3E6D0C" w14:textId="3CF398BE" w:rsidR="00AB3CCE" w:rsidRDefault="004A24C8" w:rsidP="00AB3CCE">
      <w:pPr>
        <w:jc w:val="both"/>
        <w:rPr>
          <w:rFonts w:ascii="Arial" w:hAnsi="Arial"/>
          <w:sz w:val="22"/>
          <w:szCs w:val="22"/>
        </w:rPr>
      </w:pPr>
      <w:r>
        <w:rPr>
          <w:rFonts w:ascii="Arial" w:hAnsi="Arial"/>
          <w:sz w:val="22"/>
          <w:szCs w:val="22"/>
        </w:rPr>
        <w:t xml:space="preserve">On </w:t>
      </w:r>
      <w:r w:rsidR="00AB3CCE">
        <w:rPr>
          <w:rFonts w:ascii="Arial" w:hAnsi="Arial"/>
          <w:sz w:val="22"/>
          <w:szCs w:val="22"/>
        </w:rPr>
        <w:t xml:space="preserve">the </w:t>
      </w:r>
      <w:r>
        <w:rPr>
          <w:rFonts w:ascii="Arial" w:hAnsi="Arial"/>
          <w:sz w:val="22"/>
          <w:szCs w:val="22"/>
        </w:rPr>
        <w:t xml:space="preserve">alternative dispute resolution mechanism, </w:t>
      </w:r>
      <w:r w:rsidR="00AB3CCE">
        <w:rPr>
          <w:rFonts w:ascii="Arial" w:hAnsi="Arial"/>
          <w:sz w:val="22"/>
          <w:szCs w:val="22"/>
        </w:rPr>
        <w:t xml:space="preserve">following on the research conducted by local and international consultants, no </w:t>
      </w:r>
      <w:r w:rsidR="00AF61F4">
        <w:rPr>
          <w:rFonts w:ascii="Arial" w:hAnsi="Arial"/>
          <w:sz w:val="22"/>
          <w:szCs w:val="22"/>
        </w:rPr>
        <w:t xml:space="preserve">model was selected. </w:t>
      </w:r>
      <w:r w:rsidR="00AB3CCE">
        <w:rPr>
          <w:rFonts w:ascii="Arial" w:hAnsi="Arial"/>
          <w:sz w:val="22"/>
          <w:szCs w:val="22"/>
        </w:rPr>
        <w:t>The p</w:t>
      </w:r>
      <w:r w:rsidR="00AF61F4">
        <w:rPr>
          <w:rFonts w:ascii="Arial" w:hAnsi="Arial"/>
          <w:sz w:val="22"/>
          <w:szCs w:val="22"/>
        </w:rPr>
        <w:t xml:space="preserve">roject </w:t>
      </w:r>
      <w:r w:rsidR="00AB3CCE">
        <w:rPr>
          <w:rFonts w:ascii="Arial" w:hAnsi="Arial"/>
          <w:sz w:val="22"/>
          <w:szCs w:val="22"/>
        </w:rPr>
        <w:t>moved forward by addressing  “managing difficult conversations” in the workplace. The project sponsored</w:t>
      </w:r>
      <w:r w:rsidR="00AF61F4">
        <w:rPr>
          <w:rFonts w:ascii="Arial" w:hAnsi="Arial"/>
          <w:sz w:val="22"/>
          <w:szCs w:val="22"/>
        </w:rPr>
        <w:t xml:space="preserve"> coaching sessions</w:t>
      </w:r>
      <w:r w:rsidR="00AB3CCE">
        <w:rPr>
          <w:rFonts w:ascii="Arial" w:hAnsi="Arial"/>
          <w:sz w:val="22"/>
          <w:szCs w:val="22"/>
        </w:rPr>
        <w:t>, training</w:t>
      </w:r>
      <w:r w:rsidR="00AF61F4">
        <w:rPr>
          <w:rFonts w:ascii="Arial" w:hAnsi="Arial"/>
          <w:sz w:val="22"/>
          <w:szCs w:val="22"/>
        </w:rPr>
        <w:t xml:space="preserve"> and preparation of a manager’s Guide for Difficult Conversations. </w:t>
      </w:r>
      <w:r w:rsidR="002B05FC">
        <w:rPr>
          <w:rFonts w:ascii="Arial" w:hAnsi="Arial"/>
          <w:sz w:val="22"/>
          <w:szCs w:val="22"/>
        </w:rPr>
        <w:t xml:space="preserve">15 </w:t>
      </w:r>
      <w:r w:rsidR="008D2225">
        <w:rPr>
          <w:rFonts w:ascii="Arial" w:hAnsi="Arial"/>
          <w:sz w:val="22"/>
          <w:szCs w:val="22"/>
        </w:rPr>
        <w:t>human resource managers and CSB officials were trained on the subject.</w:t>
      </w:r>
    </w:p>
    <w:p w14:paraId="1B201078" w14:textId="77777777" w:rsidR="008D2225" w:rsidRDefault="008D2225" w:rsidP="00AB3CCE">
      <w:pPr>
        <w:jc w:val="both"/>
        <w:rPr>
          <w:rFonts w:ascii="Arial" w:hAnsi="Arial"/>
          <w:sz w:val="22"/>
          <w:szCs w:val="22"/>
        </w:rPr>
      </w:pPr>
    </w:p>
    <w:p w14:paraId="6D36CFAC" w14:textId="30F533D6" w:rsidR="008D2225" w:rsidRDefault="008D2225" w:rsidP="00AB3CCE">
      <w:pPr>
        <w:jc w:val="both"/>
        <w:rPr>
          <w:rFonts w:ascii="Arial" w:hAnsi="Arial"/>
          <w:sz w:val="22"/>
          <w:szCs w:val="22"/>
        </w:rPr>
      </w:pPr>
      <w:r>
        <w:rPr>
          <w:rFonts w:ascii="Arial" w:hAnsi="Arial"/>
          <w:sz w:val="22"/>
          <w:szCs w:val="22"/>
        </w:rPr>
        <w:t>The PAR perception survey of civil servants and the public was conducted</w:t>
      </w:r>
      <w:r w:rsidR="00A17F27">
        <w:rPr>
          <w:rFonts w:ascii="Arial" w:hAnsi="Arial"/>
          <w:sz w:val="22"/>
          <w:szCs w:val="22"/>
        </w:rPr>
        <w:t xml:space="preserve"> in 2019</w:t>
      </w:r>
      <w:r>
        <w:rPr>
          <w:rFonts w:ascii="Arial" w:hAnsi="Arial"/>
          <w:sz w:val="22"/>
          <w:szCs w:val="22"/>
        </w:rPr>
        <w:t>. The survey a</w:t>
      </w:r>
      <w:r w:rsidR="00A566E3">
        <w:rPr>
          <w:rFonts w:ascii="Arial" w:hAnsi="Arial"/>
          <w:sz w:val="22"/>
          <w:szCs w:val="22"/>
        </w:rPr>
        <w:t>llowed some comparisons with a similar survey</w:t>
      </w:r>
      <w:r>
        <w:rPr>
          <w:rFonts w:ascii="Arial" w:hAnsi="Arial"/>
          <w:sz w:val="22"/>
          <w:szCs w:val="22"/>
        </w:rPr>
        <w:t xml:space="preserve"> conducted in 2016. As indicated in other places of this report, the results were mixed in regard to civil servant and public opinion regarding PAR and civil service reform. </w:t>
      </w:r>
      <w:r w:rsidR="00A17F27">
        <w:rPr>
          <w:rFonts w:ascii="Arial" w:hAnsi="Arial"/>
          <w:sz w:val="22"/>
          <w:szCs w:val="22"/>
        </w:rPr>
        <w:t>With project support, a</w:t>
      </w:r>
      <w:r>
        <w:rPr>
          <w:rFonts w:ascii="Arial" w:hAnsi="Arial"/>
          <w:sz w:val="22"/>
          <w:szCs w:val="22"/>
        </w:rPr>
        <w:t xml:space="preserve"> </w:t>
      </w:r>
      <w:r w:rsidR="00A566E3">
        <w:rPr>
          <w:rFonts w:ascii="Arial" w:hAnsi="Arial"/>
          <w:sz w:val="22"/>
          <w:szCs w:val="22"/>
        </w:rPr>
        <w:t>further survey is being conducted and resul</w:t>
      </w:r>
      <w:r>
        <w:rPr>
          <w:rFonts w:ascii="Arial" w:hAnsi="Arial"/>
          <w:sz w:val="22"/>
          <w:szCs w:val="22"/>
        </w:rPr>
        <w:t>ts should be known in March 2021.</w:t>
      </w:r>
    </w:p>
    <w:p w14:paraId="6AFCAC66" w14:textId="222FC0CC" w:rsidR="001F1C44" w:rsidRDefault="001F1C44" w:rsidP="008A6CBC">
      <w:pPr>
        <w:jc w:val="both"/>
        <w:rPr>
          <w:rFonts w:ascii="Arial" w:hAnsi="Arial"/>
          <w:sz w:val="22"/>
          <w:szCs w:val="22"/>
        </w:rPr>
      </w:pPr>
    </w:p>
    <w:p w14:paraId="4F8DF072" w14:textId="4D9136C6" w:rsidR="00A566E3" w:rsidRDefault="008D2225" w:rsidP="008A6CBC">
      <w:pPr>
        <w:jc w:val="both"/>
        <w:rPr>
          <w:rFonts w:ascii="Arial" w:hAnsi="Arial"/>
          <w:sz w:val="22"/>
          <w:szCs w:val="22"/>
        </w:rPr>
      </w:pPr>
      <w:r>
        <w:rPr>
          <w:rFonts w:ascii="Arial" w:hAnsi="Arial"/>
          <w:sz w:val="22"/>
          <w:szCs w:val="22"/>
        </w:rPr>
        <w:t>For 2020</w:t>
      </w:r>
      <w:r w:rsidR="00A566E3">
        <w:rPr>
          <w:rFonts w:ascii="Arial" w:hAnsi="Arial"/>
          <w:sz w:val="22"/>
          <w:szCs w:val="22"/>
        </w:rPr>
        <w:t>-2021</w:t>
      </w:r>
      <w:r>
        <w:rPr>
          <w:rFonts w:ascii="Arial" w:hAnsi="Arial"/>
          <w:sz w:val="22"/>
          <w:szCs w:val="22"/>
        </w:rPr>
        <w:t>, with the impact of COVID-19, support to the outcome had to be adjusted. The activities are very training and person-to-person oriented</w:t>
      </w:r>
      <w:r w:rsidR="00A566E3">
        <w:rPr>
          <w:rFonts w:ascii="Arial" w:hAnsi="Arial"/>
          <w:sz w:val="22"/>
          <w:szCs w:val="22"/>
        </w:rPr>
        <w:t xml:space="preserve"> so the modalities had to change</w:t>
      </w:r>
      <w:r>
        <w:rPr>
          <w:rFonts w:ascii="Arial" w:hAnsi="Arial"/>
          <w:sz w:val="22"/>
          <w:szCs w:val="22"/>
        </w:rPr>
        <w:t>. For instance</w:t>
      </w:r>
      <w:r w:rsidR="004E3DD0">
        <w:rPr>
          <w:rFonts w:ascii="Arial" w:hAnsi="Arial"/>
          <w:sz w:val="22"/>
          <w:szCs w:val="22"/>
        </w:rPr>
        <w:t>,</w:t>
      </w:r>
      <w:r>
        <w:rPr>
          <w:rFonts w:ascii="Arial" w:hAnsi="Arial"/>
          <w:sz w:val="22"/>
          <w:szCs w:val="22"/>
        </w:rPr>
        <w:t xml:space="preserve"> training and Human Resource Managers’ Forum meetings had to transition to on-line provision. </w:t>
      </w:r>
      <w:r w:rsidR="00A566E3">
        <w:rPr>
          <w:rFonts w:ascii="Arial" w:hAnsi="Arial"/>
          <w:sz w:val="22"/>
          <w:szCs w:val="22"/>
        </w:rPr>
        <w:t>Advisory services had to transition on-line as well.</w:t>
      </w:r>
    </w:p>
    <w:p w14:paraId="0430CAC7" w14:textId="77777777" w:rsidR="00A566E3" w:rsidRDefault="00A566E3" w:rsidP="008A6CBC">
      <w:pPr>
        <w:jc w:val="both"/>
        <w:rPr>
          <w:rFonts w:ascii="Arial" w:hAnsi="Arial"/>
          <w:sz w:val="22"/>
          <w:szCs w:val="22"/>
        </w:rPr>
      </w:pPr>
    </w:p>
    <w:p w14:paraId="04500FD5" w14:textId="53A196F6" w:rsidR="000C4100" w:rsidRDefault="00A566E3" w:rsidP="008A6CBC">
      <w:pPr>
        <w:jc w:val="both"/>
        <w:rPr>
          <w:rFonts w:ascii="Arial" w:hAnsi="Arial"/>
          <w:sz w:val="22"/>
          <w:szCs w:val="22"/>
        </w:rPr>
      </w:pPr>
      <w:r>
        <w:rPr>
          <w:rFonts w:ascii="Arial" w:hAnsi="Arial"/>
          <w:sz w:val="22"/>
          <w:szCs w:val="22"/>
        </w:rPr>
        <w:t>Performance evaluation capacities were further developed to bring the total numbe</w:t>
      </w:r>
      <w:r w:rsidR="00B43437">
        <w:rPr>
          <w:rFonts w:ascii="Arial" w:hAnsi="Arial"/>
          <w:sz w:val="22"/>
          <w:szCs w:val="22"/>
        </w:rPr>
        <w:t>r to 9 ministries. Combining</w:t>
      </w:r>
      <w:r>
        <w:rPr>
          <w:rFonts w:ascii="Arial" w:hAnsi="Arial"/>
          <w:sz w:val="22"/>
          <w:szCs w:val="22"/>
        </w:rPr>
        <w:t xml:space="preserve"> performance appraisal and professional deve</w:t>
      </w:r>
      <w:r w:rsidR="00782BAA">
        <w:rPr>
          <w:rFonts w:ascii="Arial" w:hAnsi="Arial"/>
          <w:sz w:val="22"/>
          <w:szCs w:val="22"/>
        </w:rPr>
        <w:t>lopment began to be applied in 4</w:t>
      </w:r>
      <w:r>
        <w:rPr>
          <w:rFonts w:ascii="Arial" w:hAnsi="Arial"/>
          <w:sz w:val="22"/>
          <w:szCs w:val="22"/>
        </w:rPr>
        <w:t xml:space="preserve"> ministries and the </w:t>
      </w:r>
      <w:proofErr w:type="spellStart"/>
      <w:r>
        <w:rPr>
          <w:rFonts w:ascii="Arial" w:hAnsi="Arial"/>
          <w:sz w:val="22"/>
          <w:szCs w:val="22"/>
        </w:rPr>
        <w:t>AoG</w:t>
      </w:r>
      <w:proofErr w:type="spellEnd"/>
      <w:r>
        <w:rPr>
          <w:rFonts w:ascii="Arial" w:hAnsi="Arial"/>
          <w:sz w:val="22"/>
          <w:szCs w:val="22"/>
        </w:rPr>
        <w:t>.</w:t>
      </w:r>
      <w:r>
        <w:rPr>
          <w:rStyle w:val="FootnoteReference"/>
          <w:rFonts w:ascii="Arial" w:hAnsi="Arial"/>
          <w:sz w:val="22"/>
          <w:szCs w:val="22"/>
        </w:rPr>
        <w:footnoteReference w:id="41"/>
      </w:r>
      <w:r w:rsidR="000C4100">
        <w:rPr>
          <w:rFonts w:ascii="Arial" w:hAnsi="Arial"/>
          <w:sz w:val="22"/>
          <w:szCs w:val="22"/>
        </w:rPr>
        <w:t xml:space="preserve"> The aim is to support improving performance appraisals and aligning them to strategic goals of the institution and improve the linkage to professional development. A Study of Perceptions of Civil Servants regarding the Performance Appraisal System was finalized by Ilia State University. Findings showed the need for improved use and better understanding of performance appraisals.</w:t>
      </w:r>
    </w:p>
    <w:p w14:paraId="4AAA3168" w14:textId="77777777" w:rsidR="00CF2381" w:rsidRDefault="00CF2381" w:rsidP="008A6CBC">
      <w:pPr>
        <w:jc w:val="both"/>
        <w:rPr>
          <w:rFonts w:ascii="Arial" w:hAnsi="Arial"/>
          <w:sz w:val="22"/>
          <w:szCs w:val="22"/>
        </w:rPr>
      </w:pPr>
    </w:p>
    <w:p w14:paraId="2F620DC0" w14:textId="2A2D6453" w:rsidR="004514D3" w:rsidRDefault="00A566E3" w:rsidP="004A5148">
      <w:pPr>
        <w:jc w:val="both"/>
        <w:rPr>
          <w:rFonts w:ascii="Arial" w:hAnsi="Arial"/>
          <w:sz w:val="22"/>
          <w:szCs w:val="22"/>
        </w:rPr>
      </w:pPr>
      <w:r>
        <w:rPr>
          <w:rFonts w:ascii="Arial" w:hAnsi="Arial"/>
          <w:sz w:val="22"/>
          <w:szCs w:val="22"/>
        </w:rPr>
        <w:t>A total of 11 mandatory training courses were accredited by early 2021 and implemented by QEC</w:t>
      </w:r>
      <w:r w:rsidR="003D17EB">
        <w:rPr>
          <w:rFonts w:ascii="Arial" w:hAnsi="Arial"/>
          <w:sz w:val="22"/>
          <w:szCs w:val="22"/>
        </w:rPr>
        <w:t>.</w:t>
      </w:r>
      <w:r w:rsidR="00D23286">
        <w:rPr>
          <w:rFonts w:ascii="Arial" w:hAnsi="Arial"/>
          <w:sz w:val="22"/>
          <w:szCs w:val="22"/>
        </w:rPr>
        <w:t xml:space="preserve"> </w:t>
      </w:r>
      <w:r w:rsidR="003D17EB">
        <w:rPr>
          <w:rFonts w:ascii="Arial" w:hAnsi="Arial"/>
          <w:sz w:val="22"/>
          <w:szCs w:val="22"/>
        </w:rPr>
        <w:t>The project supported the development of standard syllabus for two programs “Effective Communication” and “Service Delivery”</w:t>
      </w:r>
      <w:r w:rsidR="004E3DD0">
        <w:rPr>
          <w:rFonts w:ascii="Arial" w:hAnsi="Arial"/>
          <w:sz w:val="22"/>
          <w:szCs w:val="22"/>
        </w:rPr>
        <w:t xml:space="preserve">. </w:t>
      </w:r>
      <w:r w:rsidR="0017315E">
        <w:rPr>
          <w:rFonts w:ascii="Arial" w:hAnsi="Arial"/>
          <w:sz w:val="22"/>
          <w:szCs w:val="22"/>
        </w:rPr>
        <w:t xml:space="preserve">Please see Annex G for a list of the project-supported courses. </w:t>
      </w:r>
      <w:r w:rsidR="004E3DD0">
        <w:rPr>
          <w:rFonts w:ascii="Arial" w:hAnsi="Arial"/>
          <w:sz w:val="22"/>
          <w:szCs w:val="22"/>
        </w:rPr>
        <w:t>A</w:t>
      </w:r>
      <w:r>
        <w:rPr>
          <w:rFonts w:ascii="Arial" w:hAnsi="Arial"/>
          <w:sz w:val="22"/>
          <w:szCs w:val="22"/>
        </w:rPr>
        <w:t>bout 1,510</w:t>
      </w:r>
      <w:r w:rsidR="00CF2381">
        <w:rPr>
          <w:rFonts w:ascii="Arial" w:hAnsi="Arial"/>
          <w:sz w:val="22"/>
          <w:szCs w:val="22"/>
        </w:rPr>
        <w:t xml:space="preserve"> civil servants participated in the mandatory training programs</w:t>
      </w:r>
      <w:r w:rsidR="003D17EB">
        <w:rPr>
          <w:rFonts w:ascii="Arial" w:hAnsi="Arial"/>
          <w:sz w:val="22"/>
          <w:szCs w:val="22"/>
        </w:rPr>
        <w:t xml:space="preserve"> in 2019-2021</w:t>
      </w:r>
      <w:r w:rsidR="00CF2381">
        <w:rPr>
          <w:rFonts w:ascii="Arial" w:hAnsi="Arial"/>
          <w:sz w:val="22"/>
          <w:szCs w:val="22"/>
        </w:rPr>
        <w:t>.</w:t>
      </w:r>
      <w:r>
        <w:rPr>
          <w:rFonts w:ascii="Arial" w:hAnsi="Arial"/>
          <w:sz w:val="22"/>
          <w:szCs w:val="22"/>
        </w:rPr>
        <w:t xml:space="preserve"> </w:t>
      </w:r>
    </w:p>
    <w:p w14:paraId="7126ADE3" w14:textId="77777777" w:rsidR="004514D3" w:rsidRDefault="004514D3" w:rsidP="004A5148">
      <w:pPr>
        <w:jc w:val="both"/>
        <w:rPr>
          <w:rFonts w:ascii="Arial" w:hAnsi="Arial"/>
          <w:sz w:val="22"/>
          <w:szCs w:val="22"/>
        </w:rPr>
      </w:pPr>
    </w:p>
    <w:p w14:paraId="3699646C" w14:textId="2A6E984C" w:rsidR="004514D3" w:rsidRDefault="004514D3" w:rsidP="004514D3">
      <w:pPr>
        <w:jc w:val="both"/>
        <w:rPr>
          <w:rFonts w:ascii="Arial" w:hAnsi="Arial"/>
          <w:sz w:val="22"/>
          <w:szCs w:val="22"/>
        </w:rPr>
      </w:pPr>
      <w:r>
        <w:rPr>
          <w:rFonts w:ascii="Arial" w:hAnsi="Arial"/>
          <w:sz w:val="22"/>
          <w:szCs w:val="22"/>
        </w:rPr>
        <w:t xml:space="preserve">A handbook on Management and Leadership in Civil Service was developed by CSB and </w:t>
      </w:r>
      <w:r w:rsidR="00CE06EE" w:rsidRPr="00CE06EE">
        <w:rPr>
          <w:rFonts w:ascii="Arial" w:hAnsi="Arial"/>
          <w:sz w:val="22"/>
          <w:szCs w:val="22"/>
        </w:rPr>
        <w:t xml:space="preserve">330 </w:t>
      </w:r>
      <w:r>
        <w:rPr>
          <w:rFonts w:ascii="Arial" w:hAnsi="Arial"/>
          <w:sz w:val="22"/>
          <w:szCs w:val="22"/>
        </w:rPr>
        <w:t xml:space="preserve">senior civil servants </w:t>
      </w:r>
      <w:r w:rsidR="00782BAA">
        <w:rPr>
          <w:rFonts w:ascii="Arial" w:hAnsi="Arial"/>
          <w:sz w:val="22"/>
          <w:szCs w:val="22"/>
        </w:rPr>
        <w:t xml:space="preserve">were </w:t>
      </w:r>
      <w:r>
        <w:rPr>
          <w:rFonts w:ascii="Arial" w:hAnsi="Arial"/>
          <w:sz w:val="22"/>
          <w:szCs w:val="22"/>
        </w:rPr>
        <w:t xml:space="preserve">trained </w:t>
      </w:r>
      <w:r w:rsidR="00782BAA">
        <w:rPr>
          <w:rFonts w:ascii="Arial" w:hAnsi="Arial"/>
          <w:sz w:val="22"/>
          <w:szCs w:val="22"/>
        </w:rPr>
        <w:t>on the use of</w:t>
      </w:r>
      <w:r>
        <w:rPr>
          <w:rFonts w:ascii="Arial" w:hAnsi="Arial"/>
          <w:sz w:val="22"/>
          <w:szCs w:val="22"/>
        </w:rPr>
        <w:t xml:space="preserve"> the handbook.</w:t>
      </w:r>
    </w:p>
    <w:p w14:paraId="69910C24" w14:textId="77777777" w:rsidR="004514D3" w:rsidRDefault="004514D3" w:rsidP="004A5148">
      <w:pPr>
        <w:jc w:val="both"/>
        <w:rPr>
          <w:rFonts w:ascii="Arial" w:hAnsi="Arial"/>
          <w:sz w:val="22"/>
          <w:szCs w:val="22"/>
        </w:rPr>
      </w:pPr>
    </w:p>
    <w:p w14:paraId="169A0ED1" w14:textId="4C3E17AC" w:rsidR="004514D3" w:rsidRDefault="004514D3" w:rsidP="004514D3">
      <w:pPr>
        <w:jc w:val="both"/>
        <w:rPr>
          <w:rFonts w:ascii="Arial" w:hAnsi="Arial"/>
          <w:sz w:val="22"/>
          <w:szCs w:val="22"/>
        </w:rPr>
      </w:pPr>
      <w:r>
        <w:rPr>
          <w:rFonts w:ascii="Arial" w:hAnsi="Arial"/>
          <w:sz w:val="22"/>
          <w:szCs w:val="22"/>
        </w:rPr>
        <w:t xml:space="preserve">An international expert started work on the development of the concept for a unified e-learning platform for civil servants. </w:t>
      </w:r>
      <w:r w:rsidR="005F1269">
        <w:rPr>
          <w:rFonts w:ascii="Arial" w:hAnsi="Arial"/>
          <w:sz w:val="22"/>
          <w:szCs w:val="22"/>
        </w:rPr>
        <w:t xml:space="preserve">Based on the recommendations, the local expert in cooperation with the CSB and </w:t>
      </w:r>
      <w:r w:rsidR="0036325B">
        <w:rPr>
          <w:rFonts w:ascii="Arial" w:hAnsi="Arial"/>
          <w:sz w:val="22"/>
          <w:szCs w:val="22"/>
        </w:rPr>
        <w:t xml:space="preserve">an information technology </w:t>
      </w:r>
      <w:r w:rsidR="005F1269">
        <w:rPr>
          <w:rFonts w:ascii="Arial" w:hAnsi="Arial"/>
          <w:sz w:val="22"/>
          <w:szCs w:val="22"/>
        </w:rPr>
        <w:t xml:space="preserve">team prepared the </w:t>
      </w:r>
      <w:r w:rsidR="0036325B">
        <w:rPr>
          <w:rFonts w:ascii="Arial" w:hAnsi="Arial"/>
          <w:sz w:val="22"/>
          <w:szCs w:val="22"/>
        </w:rPr>
        <w:t>platform’s design</w:t>
      </w:r>
      <w:r w:rsidR="005F1269">
        <w:rPr>
          <w:rFonts w:ascii="Arial" w:hAnsi="Arial"/>
          <w:sz w:val="22"/>
          <w:szCs w:val="22"/>
        </w:rPr>
        <w:t>. Technical work was initiated in January 2021 and will be completed in April. Also</w:t>
      </w:r>
      <w:r>
        <w:rPr>
          <w:rFonts w:ascii="Arial" w:hAnsi="Arial"/>
          <w:sz w:val="22"/>
          <w:szCs w:val="22"/>
        </w:rPr>
        <w:t xml:space="preserve">, </w:t>
      </w:r>
      <w:r w:rsidR="00A20D4A">
        <w:rPr>
          <w:rFonts w:ascii="Arial" w:hAnsi="Arial"/>
          <w:sz w:val="22"/>
          <w:szCs w:val="22"/>
        </w:rPr>
        <w:t>in 2020 a</w:t>
      </w:r>
      <w:r>
        <w:rPr>
          <w:rFonts w:ascii="Arial" w:hAnsi="Arial"/>
          <w:sz w:val="22"/>
          <w:szCs w:val="22"/>
        </w:rPr>
        <w:t xml:space="preserve"> business process descript</w:t>
      </w:r>
      <w:r w:rsidR="00782BAA">
        <w:rPr>
          <w:rFonts w:ascii="Arial" w:hAnsi="Arial"/>
          <w:sz w:val="22"/>
          <w:szCs w:val="22"/>
        </w:rPr>
        <w:t xml:space="preserve">ion of 4 new modules of the </w:t>
      </w:r>
      <w:r>
        <w:rPr>
          <w:rFonts w:ascii="Arial" w:hAnsi="Arial"/>
          <w:sz w:val="22"/>
          <w:szCs w:val="22"/>
        </w:rPr>
        <w:t>e</w:t>
      </w:r>
      <w:r w:rsidR="00782BAA">
        <w:rPr>
          <w:rFonts w:ascii="Arial" w:hAnsi="Arial"/>
          <w:sz w:val="22"/>
          <w:szCs w:val="22"/>
        </w:rPr>
        <w:t>-HRMS</w:t>
      </w:r>
      <w:r>
        <w:rPr>
          <w:rFonts w:ascii="Arial" w:hAnsi="Arial"/>
          <w:sz w:val="22"/>
          <w:szCs w:val="22"/>
        </w:rPr>
        <w:t xml:space="preserve"> was completed. The modules included performance appraisal module; professional development module; integration mechanism with similar HR electronic tools in public agencies; and reporting and analytical tools. </w:t>
      </w:r>
      <w:r w:rsidR="0036325B">
        <w:rPr>
          <w:rFonts w:ascii="Arial" w:hAnsi="Arial"/>
          <w:sz w:val="22"/>
          <w:szCs w:val="22"/>
        </w:rPr>
        <w:t xml:space="preserve">Work on the e-HRMS was completed in October 2020. </w:t>
      </w:r>
      <w:r>
        <w:rPr>
          <w:rFonts w:ascii="Arial" w:hAnsi="Arial"/>
          <w:sz w:val="22"/>
          <w:szCs w:val="22"/>
        </w:rPr>
        <w:t xml:space="preserve">The </w:t>
      </w:r>
      <w:r w:rsidR="0036325B">
        <w:rPr>
          <w:rFonts w:ascii="Arial" w:hAnsi="Arial"/>
          <w:sz w:val="22"/>
          <w:szCs w:val="22"/>
        </w:rPr>
        <w:t>remaining task is</w:t>
      </w:r>
      <w:r>
        <w:rPr>
          <w:rFonts w:ascii="Arial" w:hAnsi="Arial"/>
          <w:sz w:val="22"/>
          <w:szCs w:val="22"/>
        </w:rPr>
        <w:t xml:space="preserve"> to link the </w:t>
      </w:r>
      <w:r w:rsidR="0036325B">
        <w:rPr>
          <w:rFonts w:ascii="Arial" w:hAnsi="Arial"/>
          <w:sz w:val="22"/>
          <w:szCs w:val="22"/>
        </w:rPr>
        <w:t xml:space="preserve">fully functioning </w:t>
      </w:r>
      <w:r>
        <w:rPr>
          <w:rFonts w:ascii="Arial" w:hAnsi="Arial"/>
          <w:sz w:val="22"/>
          <w:szCs w:val="22"/>
        </w:rPr>
        <w:t>e</w:t>
      </w:r>
      <w:r w:rsidR="00B03A89">
        <w:rPr>
          <w:rFonts w:ascii="Arial" w:hAnsi="Arial"/>
          <w:sz w:val="22"/>
          <w:szCs w:val="22"/>
        </w:rPr>
        <w:t>-</w:t>
      </w:r>
      <w:r>
        <w:rPr>
          <w:rFonts w:ascii="Arial" w:hAnsi="Arial"/>
          <w:sz w:val="22"/>
          <w:szCs w:val="22"/>
        </w:rPr>
        <w:t xml:space="preserve">HRMS with the on-line learning platform. </w:t>
      </w:r>
    </w:p>
    <w:p w14:paraId="351D624D" w14:textId="77777777" w:rsidR="00EA2788" w:rsidRDefault="00EA2788" w:rsidP="004A5148">
      <w:pPr>
        <w:jc w:val="both"/>
        <w:rPr>
          <w:rFonts w:ascii="Arial" w:hAnsi="Arial"/>
          <w:sz w:val="22"/>
          <w:szCs w:val="22"/>
        </w:rPr>
      </w:pPr>
    </w:p>
    <w:p w14:paraId="13F533F2" w14:textId="2400E681" w:rsidR="00EA2788" w:rsidRDefault="00F66546" w:rsidP="004A5148">
      <w:pPr>
        <w:jc w:val="both"/>
        <w:rPr>
          <w:rFonts w:ascii="Arial" w:hAnsi="Arial"/>
          <w:sz w:val="22"/>
          <w:szCs w:val="22"/>
        </w:rPr>
      </w:pPr>
      <w:r>
        <w:rPr>
          <w:rFonts w:ascii="Arial" w:hAnsi="Arial"/>
          <w:sz w:val="22"/>
          <w:szCs w:val="22"/>
        </w:rPr>
        <w:t>A total of 6 Civil Service Forum</w:t>
      </w:r>
      <w:r w:rsidR="00EA2788">
        <w:rPr>
          <w:rFonts w:ascii="Arial" w:hAnsi="Arial"/>
          <w:sz w:val="22"/>
          <w:szCs w:val="22"/>
        </w:rPr>
        <w:t xml:space="preserve"> meetings were organized, engaging more than 300 civil servants</w:t>
      </w:r>
      <w:r w:rsidR="004514D3">
        <w:rPr>
          <w:rFonts w:ascii="Arial" w:hAnsi="Arial"/>
          <w:sz w:val="22"/>
          <w:szCs w:val="22"/>
        </w:rPr>
        <w:t xml:space="preserve"> in 2020. D</w:t>
      </w:r>
      <w:r w:rsidR="00EA2788">
        <w:rPr>
          <w:rFonts w:ascii="Arial" w:hAnsi="Arial"/>
          <w:sz w:val="22"/>
          <w:szCs w:val="22"/>
        </w:rPr>
        <w:t xml:space="preserve">iscussions </w:t>
      </w:r>
      <w:r w:rsidR="004514D3">
        <w:rPr>
          <w:rFonts w:ascii="Arial" w:hAnsi="Arial"/>
          <w:sz w:val="22"/>
          <w:szCs w:val="22"/>
        </w:rPr>
        <w:t>were also held on introducing civil service coaching and m</w:t>
      </w:r>
      <w:r w:rsidR="00EA2788">
        <w:rPr>
          <w:rFonts w:ascii="Arial" w:hAnsi="Arial"/>
          <w:sz w:val="22"/>
          <w:szCs w:val="22"/>
        </w:rPr>
        <w:t>entoring practices and pilot ministries selected.</w:t>
      </w:r>
    </w:p>
    <w:p w14:paraId="179F9CC9" w14:textId="71A38BD7" w:rsidR="00EA2788" w:rsidRDefault="00EA2788" w:rsidP="004A5148">
      <w:pPr>
        <w:jc w:val="both"/>
        <w:rPr>
          <w:rFonts w:ascii="Arial" w:hAnsi="Arial"/>
          <w:sz w:val="22"/>
          <w:szCs w:val="22"/>
        </w:rPr>
      </w:pPr>
    </w:p>
    <w:p w14:paraId="6247E2C7" w14:textId="38D40F5B" w:rsidR="004514D3" w:rsidRDefault="004514D3" w:rsidP="004514D3">
      <w:pPr>
        <w:jc w:val="both"/>
        <w:rPr>
          <w:rFonts w:ascii="Arial" w:hAnsi="Arial"/>
          <w:sz w:val="22"/>
          <w:szCs w:val="22"/>
        </w:rPr>
      </w:pPr>
      <w:r w:rsidRPr="004E3DD0">
        <w:rPr>
          <w:rFonts w:ascii="Arial" w:hAnsi="Arial"/>
          <w:sz w:val="22"/>
          <w:szCs w:val="22"/>
        </w:rPr>
        <w:t xml:space="preserve">CSB, human resource units, and internal oversight unit representatives reviewed alternative dispute resolution models. </w:t>
      </w:r>
      <w:r w:rsidR="004E3DD0">
        <w:rPr>
          <w:rFonts w:ascii="Arial" w:hAnsi="Arial"/>
          <w:sz w:val="22"/>
          <w:szCs w:val="22"/>
        </w:rPr>
        <w:t>CSB, with project support,</w:t>
      </w:r>
      <w:r w:rsidR="004E3DD0" w:rsidRPr="004E3DD0">
        <w:rPr>
          <w:rFonts w:ascii="Arial" w:hAnsi="Arial"/>
          <w:sz w:val="22"/>
          <w:szCs w:val="22"/>
        </w:rPr>
        <w:t xml:space="preserve"> is currently implementing a plan consisting of formulating detailed guidelines on mediation</w:t>
      </w:r>
      <w:r w:rsidR="00B43437">
        <w:rPr>
          <w:rFonts w:ascii="Arial" w:hAnsi="Arial"/>
          <w:sz w:val="22"/>
          <w:szCs w:val="22"/>
        </w:rPr>
        <w:t>, cooperating</w:t>
      </w:r>
      <w:r w:rsidR="00CE0C0E">
        <w:rPr>
          <w:rFonts w:ascii="Arial" w:hAnsi="Arial"/>
          <w:sz w:val="22"/>
          <w:szCs w:val="22"/>
        </w:rPr>
        <w:t xml:space="preserve"> with the </w:t>
      </w:r>
      <w:r w:rsidR="00D23286">
        <w:rPr>
          <w:rFonts w:ascii="Arial" w:hAnsi="Arial"/>
          <w:sz w:val="22"/>
          <w:szCs w:val="22"/>
        </w:rPr>
        <w:t>Association</w:t>
      </w:r>
      <w:r w:rsidR="00CE0C0E">
        <w:rPr>
          <w:rFonts w:ascii="Arial" w:hAnsi="Arial"/>
          <w:sz w:val="22"/>
          <w:szCs w:val="22"/>
        </w:rPr>
        <w:t xml:space="preserve"> of Mediators</w:t>
      </w:r>
      <w:r w:rsidR="00103C63">
        <w:rPr>
          <w:rFonts w:ascii="Sylfaen" w:hAnsi="Sylfaen"/>
          <w:sz w:val="22"/>
          <w:szCs w:val="22"/>
          <w:lang w:val="ka-GE"/>
        </w:rPr>
        <w:t>,</w:t>
      </w:r>
      <w:r w:rsidR="004E3DD0" w:rsidRPr="004E3DD0">
        <w:rPr>
          <w:rFonts w:ascii="Arial" w:hAnsi="Arial"/>
          <w:sz w:val="22"/>
          <w:szCs w:val="22"/>
        </w:rPr>
        <w:t xml:space="preserve"> and </w:t>
      </w:r>
      <w:r w:rsidR="00CE0C0E">
        <w:rPr>
          <w:rFonts w:ascii="Arial" w:hAnsi="Arial"/>
          <w:sz w:val="22"/>
          <w:szCs w:val="22"/>
        </w:rPr>
        <w:t>building capacities of HRs in</w:t>
      </w:r>
      <w:r w:rsidR="004E3DD0" w:rsidRPr="004E3DD0">
        <w:rPr>
          <w:rFonts w:ascii="Arial" w:hAnsi="Arial"/>
          <w:sz w:val="22"/>
          <w:szCs w:val="22"/>
        </w:rPr>
        <w:t xml:space="preserve"> conflict management techniques</w:t>
      </w:r>
      <w:r w:rsidR="004E3DD0">
        <w:rPr>
          <w:rFonts w:ascii="Arial" w:hAnsi="Arial"/>
          <w:sz w:val="22"/>
          <w:szCs w:val="22"/>
        </w:rPr>
        <w:t>. A</w:t>
      </w:r>
      <w:r w:rsidR="004E3DD0" w:rsidRPr="004E3DD0">
        <w:rPr>
          <w:rFonts w:ascii="Arial" w:hAnsi="Arial"/>
          <w:sz w:val="22"/>
          <w:szCs w:val="22"/>
        </w:rPr>
        <w:t xml:space="preserve"> group of human resource personnel and other civil servants </w:t>
      </w:r>
      <w:r w:rsidR="004E3DD0">
        <w:rPr>
          <w:rFonts w:ascii="Arial" w:hAnsi="Arial"/>
          <w:sz w:val="22"/>
          <w:szCs w:val="22"/>
        </w:rPr>
        <w:t>will be trained on the guidelines and techniques.</w:t>
      </w:r>
      <w:r w:rsidR="004E3DD0" w:rsidRPr="004E3DD0">
        <w:rPr>
          <w:rFonts w:ascii="Arial" w:hAnsi="Arial"/>
          <w:sz w:val="22"/>
          <w:szCs w:val="22"/>
        </w:rPr>
        <w:t xml:space="preserve"> A </w:t>
      </w:r>
      <w:r w:rsidR="00F67005">
        <w:rPr>
          <w:rFonts w:ascii="Arial" w:hAnsi="Arial"/>
          <w:sz w:val="22"/>
          <w:szCs w:val="22"/>
        </w:rPr>
        <w:t>M</w:t>
      </w:r>
      <w:r w:rsidR="004E3DD0" w:rsidRPr="004E3DD0">
        <w:rPr>
          <w:rFonts w:ascii="Arial" w:hAnsi="Arial"/>
          <w:sz w:val="22"/>
          <w:szCs w:val="22"/>
        </w:rPr>
        <w:t>emo</w:t>
      </w:r>
      <w:r w:rsidR="006D1601">
        <w:rPr>
          <w:rFonts w:ascii="Arial" w:hAnsi="Arial"/>
          <w:sz w:val="22"/>
          <w:szCs w:val="22"/>
        </w:rPr>
        <w:t>randu</w:t>
      </w:r>
      <w:r w:rsidR="00D23286">
        <w:rPr>
          <w:rFonts w:ascii="Arial" w:hAnsi="Arial"/>
          <w:sz w:val="22"/>
          <w:szCs w:val="22"/>
        </w:rPr>
        <w:t>m</w:t>
      </w:r>
      <w:r w:rsidR="004E3DD0" w:rsidRPr="004E3DD0">
        <w:rPr>
          <w:rFonts w:ascii="Arial" w:hAnsi="Arial"/>
          <w:sz w:val="22"/>
          <w:szCs w:val="22"/>
        </w:rPr>
        <w:t xml:space="preserve"> </w:t>
      </w:r>
      <w:r w:rsidR="00F67005">
        <w:rPr>
          <w:rFonts w:ascii="Arial" w:hAnsi="Arial"/>
          <w:sz w:val="22"/>
          <w:szCs w:val="22"/>
        </w:rPr>
        <w:t>of Understanding</w:t>
      </w:r>
      <w:r w:rsidR="004E3DD0" w:rsidRPr="004E3DD0">
        <w:rPr>
          <w:rFonts w:ascii="Arial" w:hAnsi="Arial"/>
          <w:sz w:val="22"/>
          <w:szCs w:val="22"/>
        </w:rPr>
        <w:t xml:space="preserve"> with the Ass</w:t>
      </w:r>
      <w:r w:rsidR="004E3DD0">
        <w:rPr>
          <w:rFonts w:ascii="Arial" w:hAnsi="Arial"/>
          <w:sz w:val="22"/>
          <w:szCs w:val="22"/>
        </w:rPr>
        <w:t xml:space="preserve">ociation of </w:t>
      </w:r>
      <w:r w:rsidR="00F67005">
        <w:rPr>
          <w:rFonts w:ascii="Arial" w:hAnsi="Arial"/>
          <w:sz w:val="22"/>
          <w:szCs w:val="22"/>
        </w:rPr>
        <w:t xml:space="preserve">Mediators of </w:t>
      </w:r>
      <w:r w:rsidR="004E3DD0">
        <w:rPr>
          <w:rFonts w:ascii="Arial" w:hAnsi="Arial"/>
          <w:sz w:val="22"/>
          <w:szCs w:val="22"/>
        </w:rPr>
        <w:t>Georgia will</w:t>
      </w:r>
      <w:r w:rsidR="004E3DD0" w:rsidRPr="004E3DD0">
        <w:rPr>
          <w:rFonts w:ascii="Arial" w:hAnsi="Arial"/>
          <w:sz w:val="22"/>
          <w:szCs w:val="22"/>
        </w:rPr>
        <w:t xml:space="preserve"> be signed to allow civil servants to engage in e</w:t>
      </w:r>
      <w:r w:rsidR="003A7259">
        <w:rPr>
          <w:rFonts w:ascii="Arial" w:hAnsi="Arial"/>
          <w:sz w:val="22"/>
          <w:szCs w:val="22"/>
        </w:rPr>
        <w:t>xternal mediation.</w:t>
      </w:r>
    </w:p>
    <w:p w14:paraId="59790A80" w14:textId="77777777" w:rsidR="00EA2788" w:rsidRDefault="00EA2788" w:rsidP="004A5148">
      <w:pPr>
        <w:jc w:val="both"/>
        <w:rPr>
          <w:rFonts w:ascii="Arial" w:hAnsi="Arial"/>
          <w:sz w:val="22"/>
          <w:szCs w:val="22"/>
        </w:rPr>
      </w:pPr>
    </w:p>
    <w:p w14:paraId="640ED888" w14:textId="178ACA31" w:rsidR="000C4100" w:rsidRPr="000C4100" w:rsidRDefault="000C4100" w:rsidP="004A5148">
      <w:pPr>
        <w:jc w:val="both"/>
        <w:rPr>
          <w:rFonts w:ascii="Arial" w:hAnsi="Arial"/>
          <w:b/>
          <w:sz w:val="22"/>
          <w:szCs w:val="22"/>
          <w:u w:val="single"/>
        </w:rPr>
      </w:pPr>
      <w:r w:rsidRPr="000C4100">
        <w:rPr>
          <w:rFonts w:ascii="Arial" w:hAnsi="Arial"/>
          <w:b/>
          <w:sz w:val="22"/>
          <w:szCs w:val="22"/>
          <w:u w:val="single"/>
        </w:rPr>
        <w:t>Emerging Needs Projects</w:t>
      </w:r>
    </w:p>
    <w:p w14:paraId="2895D7F6" w14:textId="77777777" w:rsidR="000C4100" w:rsidRDefault="000C4100" w:rsidP="004A5148">
      <w:pPr>
        <w:jc w:val="both"/>
        <w:rPr>
          <w:rFonts w:ascii="Arial" w:hAnsi="Arial"/>
          <w:sz w:val="22"/>
          <w:szCs w:val="22"/>
        </w:rPr>
      </w:pPr>
    </w:p>
    <w:p w14:paraId="74E4C623" w14:textId="449DA86D" w:rsidR="000C4100" w:rsidRDefault="000C4100" w:rsidP="004A5148">
      <w:pPr>
        <w:jc w:val="both"/>
        <w:rPr>
          <w:rFonts w:ascii="Arial" w:hAnsi="Arial"/>
          <w:sz w:val="22"/>
          <w:szCs w:val="22"/>
        </w:rPr>
      </w:pPr>
      <w:r>
        <w:rPr>
          <w:rFonts w:ascii="Arial" w:hAnsi="Arial"/>
          <w:sz w:val="22"/>
          <w:szCs w:val="22"/>
        </w:rPr>
        <w:t>For the life of the project, there was a set of “Emerging Needs</w:t>
      </w:r>
      <w:r w:rsidR="003A7259">
        <w:rPr>
          <w:rFonts w:ascii="Arial" w:hAnsi="Arial"/>
          <w:sz w:val="22"/>
          <w:szCs w:val="22"/>
        </w:rPr>
        <w:t>” subprojects.</w:t>
      </w:r>
      <w:r>
        <w:rPr>
          <w:rFonts w:ascii="Arial" w:hAnsi="Arial"/>
          <w:sz w:val="22"/>
          <w:szCs w:val="22"/>
        </w:rPr>
        <w:t xml:space="preserve"> These subprojects were funded by the project to address specifi</w:t>
      </w:r>
      <w:r w:rsidR="00F80046">
        <w:rPr>
          <w:rFonts w:ascii="Arial" w:hAnsi="Arial"/>
          <w:sz w:val="22"/>
          <w:szCs w:val="22"/>
        </w:rPr>
        <w:t>c topics or issue that were related to</w:t>
      </w:r>
      <w:r>
        <w:rPr>
          <w:rFonts w:ascii="Arial" w:hAnsi="Arial"/>
          <w:sz w:val="22"/>
          <w:szCs w:val="22"/>
        </w:rPr>
        <w:t xml:space="preserve"> one of the p</w:t>
      </w:r>
      <w:r w:rsidR="0017315E">
        <w:rPr>
          <w:rFonts w:ascii="Arial" w:hAnsi="Arial"/>
          <w:sz w:val="22"/>
          <w:szCs w:val="22"/>
        </w:rPr>
        <w:t xml:space="preserve">roject’s outcomes. There were </w:t>
      </w:r>
      <w:r w:rsidR="00F80046">
        <w:rPr>
          <w:rFonts w:ascii="Arial" w:hAnsi="Arial"/>
          <w:sz w:val="22"/>
          <w:szCs w:val="22"/>
        </w:rPr>
        <w:t>7</w:t>
      </w:r>
      <w:r>
        <w:rPr>
          <w:rFonts w:ascii="Arial" w:hAnsi="Arial"/>
          <w:sz w:val="22"/>
          <w:szCs w:val="22"/>
        </w:rPr>
        <w:t xml:space="preserve"> of these </w:t>
      </w:r>
      <w:r w:rsidR="003A7259">
        <w:rPr>
          <w:rFonts w:ascii="Arial" w:hAnsi="Arial"/>
          <w:sz w:val="22"/>
          <w:szCs w:val="22"/>
        </w:rPr>
        <w:t>sub</w:t>
      </w:r>
      <w:r>
        <w:rPr>
          <w:rFonts w:ascii="Arial" w:hAnsi="Arial"/>
          <w:sz w:val="22"/>
          <w:szCs w:val="22"/>
        </w:rPr>
        <w:t xml:space="preserve">projects. </w:t>
      </w:r>
      <w:r w:rsidR="00F80046">
        <w:rPr>
          <w:rFonts w:ascii="Arial" w:hAnsi="Arial"/>
          <w:sz w:val="22"/>
          <w:szCs w:val="22"/>
        </w:rPr>
        <w:t xml:space="preserve">There were also 6 subprojects that were not considered emerging needs but were directly responsive to project outcomes. </w:t>
      </w:r>
      <w:r>
        <w:rPr>
          <w:rFonts w:ascii="Arial" w:hAnsi="Arial"/>
          <w:sz w:val="22"/>
          <w:szCs w:val="22"/>
        </w:rPr>
        <w:t xml:space="preserve">The subject, description, partner and result or next steps are summarized </w:t>
      </w:r>
      <w:r w:rsidRPr="0017315E">
        <w:rPr>
          <w:rFonts w:ascii="Arial" w:hAnsi="Arial"/>
          <w:sz w:val="22"/>
          <w:szCs w:val="22"/>
        </w:rPr>
        <w:t xml:space="preserve">in </w:t>
      </w:r>
      <w:r w:rsidR="0017315E" w:rsidRPr="0017315E">
        <w:rPr>
          <w:rFonts w:ascii="Arial" w:hAnsi="Arial"/>
          <w:sz w:val="22"/>
          <w:szCs w:val="22"/>
        </w:rPr>
        <w:t>Annex I</w:t>
      </w:r>
      <w:r w:rsidRPr="0017315E">
        <w:rPr>
          <w:rFonts w:ascii="Arial" w:hAnsi="Arial"/>
          <w:sz w:val="22"/>
          <w:szCs w:val="22"/>
        </w:rPr>
        <w:t>.</w:t>
      </w:r>
      <w:r>
        <w:rPr>
          <w:rFonts w:ascii="Arial" w:hAnsi="Arial"/>
          <w:sz w:val="22"/>
          <w:szCs w:val="22"/>
        </w:rPr>
        <w:t xml:space="preserve"> </w:t>
      </w:r>
    </w:p>
    <w:p w14:paraId="0AE0E701" w14:textId="77777777" w:rsidR="000C4100" w:rsidRDefault="000C4100" w:rsidP="004A5148">
      <w:pPr>
        <w:jc w:val="both"/>
        <w:rPr>
          <w:rFonts w:ascii="Arial" w:hAnsi="Arial"/>
          <w:sz w:val="22"/>
          <w:szCs w:val="22"/>
        </w:rPr>
      </w:pPr>
    </w:p>
    <w:p w14:paraId="1B3703C5" w14:textId="572ADF38" w:rsidR="000C4100" w:rsidRDefault="000C4100" w:rsidP="004A5148">
      <w:pPr>
        <w:jc w:val="both"/>
        <w:rPr>
          <w:rFonts w:ascii="Arial" w:hAnsi="Arial"/>
          <w:sz w:val="22"/>
          <w:szCs w:val="22"/>
        </w:rPr>
      </w:pPr>
      <w:r>
        <w:rPr>
          <w:rFonts w:ascii="Arial" w:hAnsi="Arial"/>
          <w:sz w:val="22"/>
          <w:szCs w:val="22"/>
        </w:rPr>
        <w:t xml:space="preserve">There were a total of </w:t>
      </w:r>
      <w:r w:rsidRPr="00D23286">
        <w:rPr>
          <w:rFonts w:ascii="Arial" w:hAnsi="Arial"/>
          <w:sz w:val="22"/>
          <w:szCs w:val="22"/>
        </w:rPr>
        <w:t>5</w:t>
      </w:r>
      <w:r>
        <w:rPr>
          <w:rFonts w:ascii="Arial" w:hAnsi="Arial"/>
          <w:sz w:val="22"/>
          <w:szCs w:val="22"/>
        </w:rPr>
        <w:t xml:space="preserve"> subprojects under civil service reform and human resource development. These included </w:t>
      </w:r>
      <w:r w:rsidR="0065508C">
        <w:rPr>
          <w:rFonts w:ascii="Arial" w:hAnsi="Arial"/>
          <w:sz w:val="22"/>
          <w:szCs w:val="22"/>
        </w:rPr>
        <w:t>support to issue topic</w:t>
      </w:r>
      <w:r w:rsidR="0017315E">
        <w:rPr>
          <w:rFonts w:ascii="Arial" w:hAnsi="Arial"/>
          <w:sz w:val="22"/>
          <w:szCs w:val="22"/>
        </w:rPr>
        <w:t>s</w:t>
      </w:r>
      <w:r w:rsidR="0065508C">
        <w:rPr>
          <w:rFonts w:ascii="Arial" w:hAnsi="Arial"/>
          <w:sz w:val="22"/>
          <w:szCs w:val="22"/>
        </w:rPr>
        <w:t xml:space="preserve"> or issue areas under that component to include anticorruption, communications about the civil service law, </w:t>
      </w:r>
      <w:r w:rsidR="0017315E">
        <w:rPr>
          <w:rFonts w:ascii="Arial" w:hAnsi="Arial"/>
          <w:sz w:val="22"/>
          <w:szCs w:val="22"/>
        </w:rPr>
        <w:t xml:space="preserve">and </w:t>
      </w:r>
      <w:r w:rsidR="0065508C">
        <w:rPr>
          <w:rFonts w:ascii="Arial" w:hAnsi="Arial"/>
          <w:sz w:val="22"/>
          <w:szCs w:val="22"/>
        </w:rPr>
        <w:t>the e</w:t>
      </w:r>
      <w:r w:rsidR="005D3F44">
        <w:rPr>
          <w:rFonts w:ascii="Arial" w:hAnsi="Arial"/>
          <w:sz w:val="22"/>
          <w:szCs w:val="22"/>
        </w:rPr>
        <w:t>-</w:t>
      </w:r>
      <w:r w:rsidR="0065508C">
        <w:rPr>
          <w:rFonts w:ascii="Arial" w:hAnsi="Arial"/>
          <w:sz w:val="22"/>
          <w:szCs w:val="22"/>
        </w:rPr>
        <w:t xml:space="preserve">HRMS. There were also 2 subprojects with </w:t>
      </w:r>
      <w:proofErr w:type="spellStart"/>
      <w:r w:rsidR="0065508C">
        <w:rPr>
          <w:rFonts w:ascii="Arial" w:hAnsi="Arial"/>
          <w:sz w:val="22"/>
          <w:szCs w:val="22"/>
        </w:rPr>
        <w:t>Ajara</w:t>
      </w:r>
      <w:proofErr w:type="spellEnd"/>
      <w:r w:rsidR="0065508C">
        <w:rPr>
          <w:rFonts w:ascii="Arial" w:hAnsi="Arial"/>
          <w:sz w:val="22"/>
          <w:szCs w:val="22"/>
        </w:rPr>
        <w:t>: Ministry of Education, Culture and Sport and Ministry of Finance and Economy. These subproject</w:t>
      </w:r>
      <w:r w:rsidR="00051342">
        <w:rPr>
          <w:rFonts w:ascii="Arial" w:hAnsi="Arial"/>
          <w:sz w:val="22"/>
          <w:szCs w:val="22"/>
        </w:rPr>
        <w:t>s reviewed the organizational s</w:t>
      </w:r>
      <w:r w:rsidR="0065508C">
        <w:rPr>
          <w:rFonts w:ascii="Arial" w:hAnsi="Arial"/>
          <w:sz w:val="22"/>
          <w:szCs w:val="22"/>
        </w:rPr>
        <w:t>tructure, policy planning, and human r</w:t>
      </w:r>
      <w:r w:rsidR="0017315E">
        <w:rPr>
          <w:rFonts w:ascii="Arial" w:hAnsi="Arial"/>
          <w:sz w:val="22"/>
          <w:szCs w:val="22"/>
        </w:rPr>
        <w:t>esource</w:t>
      </w:r>
      <w:r w:rsidR="00051342">
        <w:rPr>
          <w:rFonts w:ascii="Arial" w:hAnsi="Arial"/>
          <w:sz w:val="22"/>
          <w:szCs w:val="22"/>
        </w:rPr>
        <w:t xml:space="preserve"> practices of the minis</w:t>
      </w:r>
      <w:r w:rsidR="0065508C">
        <w:rPr>
          <w:rFonts w:ascii="Arial" w:hAnsi="Arial"/>
          <w:sz w:val="22"/>
          <w:szCs w:val="22"/>
        </w:rPr>
        <w:t>tries and worked with them to make the appropriate changes.</w:t>
      </w:r>
    </w:p>
    <w:p w14:paraId="79823551" w14:textId="77777777" w:rsidR="0065508C" w:rsidRDefault="0065508C" w:rsidP="004A5148">
      <w:pPr>
        <w:jc w:val="both"/>
        <w:rPr>
          <w:rFonts w:ascii="Arial" w:hAnsi="Arial"/>
          <w:sz w:val="22"/>
          <w:szCs w:val="22"/>
        </w:rPr>
      </w:pPr>
    </w:p>
    <w:p w14:paraId="3E1AF12C" w14:textId="49226151" w:rsidR="0065508C" w:rsidRPr="0065508C" w:rsidRDefault="0065508C" w:rsidP="004A5148">
      <w:pPr>
        <w:jc w:val="both"/>
        <w:rPr>
          <w:rFonts w:ascii="Arial" w:hAnsi="Arial"/>
          <w:b/>
          <w:sz w:val="22"/>
          <w:szCs w:val="22"/>
          <w:u w:val="single"/>
        </w:rPr>
      </w:pPr>
      <w:r w:rsidRPr="0065508C">
        <w:rPr>
          <w:rFonts w:ascii="Arial" w:hAnsi="Arial"/>
          <w:b/>
          <w:sz w:val="22"/>
          <w:szCs w:val="22"/>
          <w:u w:val="single"/>
        </w:rPr>
        <w:t>CSO and Research Grants</w:t>
      </w:r>
    </w:p>
    <w:p w14:paraId="75A28EE8" w14:textId="77777777" w:rsidR="000C4100" w:rsidRDefault="000C4100" w:rsidP="004A5148">
      <w:pPr>
        <w:jc w:val="both"/>
        <w:rPr>
          <w:rFonts w:ascii="Arial" w:hAnsi="Arial"/>
          <w:sz w:val="22"/>
          <w:szCs w:val="22"/>
        </w:rPr>
      </w:pPr>
    </w:p>
    <w:p w14:paraId="37FCC1B0" w14:textId="5197BA27" w:rsidR="00734612" w:rsidRDefault="0065508C" w:rsidP="008A6CBC">
      <w:pPr>
        <w:jc w:val="both"/>
        <w:rPr>
          <w:rFonts w:ascii="Arial" w:hAnsi="Arial"/>
          <w:sz w:val="22"/>
          <w:szCs w:val="22"/>
        </w:rPr>
      </w:pPr>
      <w:r>
        <w:rPr>
          <w:rFonts w:ascii="Arial" w:hAnsi="Arial"/>
          <w:sz w:val="22"/>
          <w:szCs w:val="22"/>
        </w:rPr>
        <w:lastRenderedPageBreak/>
        <w:t>As part of the effort to build the capacity for and input into PAR, the project’s small grant scheme had several cycles of gr</w:t>
      </w:r>
      <w:r w:rsidR="00051342">
        <w:rPr>
          <w:rFonts w:ascii="Arial" w:hAnsi="Arial"/>
          <w:sz w:val="22"/>
          <w:szCs w:val="22"/>
        </w:rPr>
        <w:t>ant awards. The initiatives also contributed to providing research, support, feedbac</w:t>
      </w:r>
      <w:r w:rsidR="0017315E">
        <w:rPr>
          <w:rFonts w:ascii="Arial" w:hAnsi="Arial"/>
          <w:sz w:val="22"/>
          <w:szCs w:val="22"/>
        </w:rPr>
        <w:t>k and direction to the all three</w:t>
      </w:r>
      <w:r w:rsidR="00051342">
        <w:rPr>
          <w:rFonts w:ascii="Arial" w:hAnsi="Arial"/>
          <w:sz w:val="22"/>
          <w:szCs w:val="22"/>
        </w:rPr>
        <w:t xml:space="preserve"> outcome areas. These grant initiatives are identified</w:t>
      </w:r>
      <w:r>
        <w:rPr>
          <w:rFonts w:ascii="Arial" w:hAnsi="Arial"/>
          <w:sz w:val="22"/>
          <w:szCs w:val="22"/>
        </w:rPr>
        <w:t xml:space="preserve"> in </w:t>
      </w:r>
      <w:r w:rsidR="0017315E">
        <w:rPr>
          <w:rFonts w:ascii="Arial" w:hAnsi="Arial"/>
          <w:sz w:val="22"/>
          <w:szCs w:val="22"/>
        </w:rPr>
        <w:t>Annex</w:t>
      </w:r>
      <w:r w:rsidR="0017315E" w:rsidRPr="0017315E">
        <w:rPr>
          <w:rFonts w:ascii="Arial" w:hAnsi="Arial"/>
          <w:sz w:val="22"/>
          <w:szCs w:val="22"/>
        </w:rPr>
        <w:t xml:space="preserve"> K</w:t>
      </w:r>
      <w:r w:rsidR="00051342" w:rsidRPr="0017315E">
        <w:rPr>
          <w:rFonts w:ascii="Arial" w:hAnsi="Arial"/>
          <w:sz w:val="22"/>
          <w:szCs w:val="22"/>
        </w:rPr>
        <w:t>.</w:t>
      </w:r>
      <w:r>
        <w:rPr>
          <w:rFonts w:ascii="Arial" w:hAnsi="Arial"/>
          <w:sz w:val="22"/>
          <w:szCs w:val="22"/>
        </w:rPr>
        <w:t xml:space="preserve"> Two evaluati</w:t>
      </w:r>
      <w:r w:rsidR="00051342">
        <w:rPr>
          <w:rFonts w:ascii="Arial" w:hAnsi="Arial"/>
          <w:sz w:val="22"/>
          <w:szCs w:val="22"/>
        </w:rPr>
        <w:t>o</w:t>
      </w:r>
      <w:r>
        <w:rPr>
          <w:rFonts w:ascii="Arial" w:hAnsi="Arial"/>
          <w:sz w:val="22"/>
          <w:szCs w:val="22"/>
        </w:rPr>
        <w:t>ns were conducted of the previous cycles in 2019 and 2020.</w:t>
      </w:r>
      <w:r>
        <w:rPr>
          <w:rStyle w:val="FootnoteReference"/>
          <w:rFonts w:ascii="Arial" w:hAnsi="Arial"/>
          <w:sz w:val="22"/>
          <w:szCs w:val="22"/>
        </w:rPr>
        <w:footnoteReference w:id="42"/>
      </w:r>
      <w:r w:rsidR="00051342">
        <w:rPr>
          <w:rFonts w:ascii="Arial" w:hAnsi="Arial"/>
          <w:sz w:val="22"/>
          <w:szCs w:val="22"/>
        </w:rPr>
        <w:t xml:space="preserve"> An</w:t>
      </w:r>
      <w:r>
        <w:rPr>
          <w:rFonts w:ascii="Arial" w:hAnsi="Arial"/>
          <w:sz w:val="22"/>
          <w:szCs w:val="22"/>
        </w:rPr>
        <w:t xml:space="preserve"> evaluation of t</w:t>
      </w:r>
      <w:r w:rsidR="00051342">
        <w:rPr>
          <w:rFonts w:ascii="Arial" w:hAnsi="Arial"/>
          <w:sz w:val="22"/>
          <w:szCs w:val="22"/>
        </w:rPr>
        <w:t xml:space="preserve">he last group of initiatives should be completed in March 2021. </w:t>
      </w:r>
    </w:p>
    <w:p w14:paraId="077D11C7" w14:textId="678B0D91" w:rsidR="008A6CBC" w:rsidRDefault="00677012" w:rsidP="008A6CBC">
      <w:pPr>
        <w:pStyle w:val="Heading4"/>
      </w:pPr>
      <w:bookmarkStart w:id="22" w:name="_Toc478138873"/>
      <w:r>
        <w:t>2.</w:t>
      </w:r>
      <w:r>
        <w:tab/>
      </w:r>
      <w:r w:rsidR="008A6CBC">
        <w:t>Conclusions</w:t>
      </w:r>
      <w:bookmarkEnd w:id="22"/>
    </w:p>
    <w:p w14:paraId="641FA9ED" w14:textId="77777777" w:rsidR="008A6CBC" w:rsidRDefault="008A6CBC" w:rsidP="008A6CBC"/>
    <w:p w14:paraId="1EA203CF" w14:textId="5AB855B7" w:rsidR="008D2225" w:rsidRDefault="00C45E91" w:rsidP="008D2225">
      <w:pPr>
        <w:jc w:val="both"/>
        <w:rPr>
          <w:rFonts w:ascii="Arial" w:hAnsi="Arial"/>
          <w:sz w:val="22"/>
          <w:szCs w:val="22"/>
        </w:rPr>
      </w:pPr>
      <w:r>
        <w:rPr>
          <w:rFonts w:ascii="Arial" w:hAnsi="Arial"/>
          <w:sz w:val="22"/>
          <w:szCs w:val="22"/>
        </w:rPr>
        <w:t>T</w:t>
      </w:r>
      <w:r w:rsidR="008D2225">
        <w:rPr>
          <w:rFonts w:ascii="Arial" w:hAnsi="Arial"/>
          <w:sz w:val="22"/>
          <w:szCs w:val="22"/>
        </w:rPr>
        <w:t>he results have shown the ability of the project to tangibly promote the concepts of professionalization and political independence of the civil service that helped to advance performance appraisals, furthered a system for civil service education and training</w:t>
      </w:r>
      <w:r w:rsidR="0017315E">
        <w:rPr>
          <w:rFonts w:ascii="Arial" w:hAnsi="Arial"/>
          <w:sz w:val="22"/>
          <w:szCs w:val="22"/>
        </w:rPr>
        <w:t>,</w:t>
      </w:r>
      <w:r w:rsidR="008D2225">
        <w:rPr>
          <w:rFonts w:ascii="Arial" w:hAnsi="Arial"/>
          <w:sz w:val="22"/>
          <w:szCs w:val="22"/>
        </w:rPr>
        <w:t xml:space="preserve"> and helped to </w:t>
      </w:r>
      <w:r w:rsidR="00F80046">
        <w:rPr>
          <w:rFonts w:ascii="Arial" w:hAnsi="Arial"/>
          <w:sz w:val="22"/>
          <w:szCs w:val="22"/>
        </w:rPr>
        <w:t>establish the groundwork and a possible approach to dispute resolution</w:t>
      </w:r>
      <w:r w:rsidR="008D2225">
        <w:rPr>
          <w:rFonts w:ascii="Arial" w:hAnsi="Arial"/>
          <w:sz w:val="22"/>
          <w:szCs w:val="22"/>
        </w:rPr>
        <w:t>.</w:t>
      </w:r>
    </w:p>
    <w:p w14:paraId="4878E88D" w14:textId="77777777" w:rsidR="008D2225" w:rsidRDefault="008D2225" w:rsidP="008D2225">
      <w:pPr>
        <w:jc w:val="both"/>
        <w:rPr>
          <w:rFonts w:ascii="Arial" w:hAnsi="Arial"/>
          <w:sz w:val="22"/>
          <w:szCs w:val="22"/>
        </w:rPr>
      </w:pPr>
    </w:p>
    <w:p w14:paraId="3768E21A" w14:textId="6E0CFBCC" w:rsidR="00C45E91" w:rsidRDefault="00C45E91" w:rsidP="008D2225">
      <w:pPr>
        <w:jc w:val="both"/>
        <w:rPr>
          <w:rFonts w:ascii="Arial" w:hAnsi="Arial"/>
          <w:sz w:val="22"/>
          <w:szCs w:val="22"/>
        </w:rPr>
      </w:pPr>
      <w:r>
        <w:rPr>
          <w:rFonts w:ascii="Arial" w:hAnsi="Arial"/>
          <w:sz w:val="22"/>
          <w:szCs w:val="22"/>
        </w:rPr>
        <w:t>The legal/regulatory framework consisting of the civil</w:t>
      </w:r>
      <w:r w:rsidR="0017315E">
        <w:rPr>
          <w:rFonts w:ascii="Arial" w:hAnsi="Arial"/>
          <w:sz w:val="22"/>
          <w:szCs w:val="22"/>
        </w:rPr>
        <w:t xml:space="preserve"> service law and its by-laws is </w:t>
      </w:r>
      <w:r>
        <w:rPr>
          <w:rFonts w:ascii="Arial" w:hAnsi="Arial"/>
          <w:sz w:val="22"/>
          <w:szCs w:val="22"/>
        </w:rPr>
        <w:t>in place. The project has directly helped in advancing this frame</w:t>
      </w:r>
      <w:r w:rsidR="00847D1A">
        <w:rPr>
          <w:rFonts w:ascii="Arial" w:hAnsi="Arial"/>
          <w:sz w:val="22"/>
          <w:szCs w:val="22"/>
        </w:rPr>
        <w:t>work</w:t>
      </w:r>
      <w:r>
        <w:rPr>
          <w:rFonts w:ascii="Arial" w:hAnsi="Arial"/>
          <w:sz w:val="22"/>
          <w:szCs w:val="22"/>
        </w:rPr>
        <w:t xml:space="preserve"> by having discrete interventi</w:t>
      </w:r>
      <w:r w:rsidR="00847D1A">
        <w:rPr>
          <w:rFonts w:ascii="Arial" w:hAnsi="Arial"/>
          <w:sz w:val="22"/>
          <w:szCs w:val="22"/>
        </w:rPr>
        <w:t>o</w:t>
      </w:r>
      <w:r>
        <w:rPr>
          <w:rFonts w:ascii="Arial" w:hAnsi="Arial"/>
          <w:sz w:val="22"/>
          <w:szCs w:val="22"/>
        </w:rPr>
        <w:t>ns in several of the areas. The CSB has proven to be a reliable partner and</w:t>
      </w:r>
      <w:r w:rsidR="00847D1A">
        <w:rPr>
          <w:rFonts w:ascii="Arial" w:hAnsi="Arial"/>
          <w:sz w:val="22"/>
          <w:szCs w:val="22"/>
        </w:rPr>
        <w:t xml:space="preserve"> has taken on the role of civi</w:t>
      </w:r>
      <w:r>
        <w:rPr>
          <w:rFonts w:ascii="Arial" w:hAnsi="Arial"/>
          <w:sz w:val="22"/>
          <w:szCs w:val="22"/>
        </w:rPr>
        <w:t>l servi</w:t>
      </w:r>
      <w:r w:rsidR="00847D1A">
        <w:rPr>
          <w:rFonts w:ascii="Arial" w:hAnsi="Arial"/>
          <w:sz w:val="22"/>
          <w:szCs w:val="22"/>
        </w:rPr>
        <w:t>c</w:t>
      </w:r>
      <w:r>
        <w:rPr>
          <w:rFonts w:ascii="Arial" w:hAnsi="Arial"/>
          <w:sz w:val="22"/>
          <w:szCs w:val="22"/>
        </w:rPr>
        <w:t xml:space="preserve">e reform coordinator and has an interest to monitor implementation. </w:t>
      </w:r>
    </w:p>
    <w:p w14:paraId="76D24432" w14:textId="77777777" w:rsidR="00C45E91" w:rsidRDefault="00C45E91" w:rsidP="008D2225">
      <w:pPr>
        <w:jc w:val="both"/>
        <w:rPr>
          <w:rFonts w:ascii="Arial" w:hAnsi="Arial"/>
          <w:sz w:val="22"/>
          <w:szCs w:val="22"/>
        </w:rPr>
      </w:pPr>
    </w:p>
    <w:p w14:paraId="541F8236" w14:textId="28E6AC91" w:rsidR="00C45E91" w:rsidRDefault="00C45E91" w:rsidP="008D2225">
      <w:pPr>
        <w:jc w:val="both"/>
        <w:rPr>
          <w:rFonts w:ascii="Arial" w:hAnsi="Arial"/>
          <w:sz w:val="22"/>
          <w:szCs w:val="22"/>
        </w:rPr>
      </w:pPr>
      <w:r>
        <w:rPr>
          <w:rFonts w:ascii="Arial" w:hAnsi="Arial"/>
          <w:sz w:val="22"/>
          <w:szCs w:val="22"/>
        </w:rPr>
        <w:t>A whole-of-government approach was undertaken and there is some success</w:t>
      </w:r>
      <w:r w:rsidR="00F66546">
        <w:rPr>
          <w:rFonts w:ascii="Arial" w:hAnsi="Arial"/>
          <w:sz w:val="22"/>
          <w:szCs w:val="22"/>
        </w:rPr>
        <w:t xml:space="preserve">. The work on </w:t>
      </w:r>
      <w:r>
        <w:rPr>
          <w:rFonts w:ascii="Arial" w:hAnsi="Arial"/>
          <w:sz w:val="22"/>
          <w:szCs w:val="22"/>
        </w:rPr>
        <w:t>performance appraisals and improving the quality</w:t>
      </w:r>
      <w:r w:rsidR="00F66546">
        <w:rPr>
          <w:rFonts w:ascii="Arial" w:hAnsi="Arial"/>
          <w:sz w:val="22"/>
          <w:szCs w:val="22"/>
        </w:rPr>
        <w:t xml:space="preserve"> of the appraisals is</w:t>
      </w:r>
      <w:r w:rsidR="00A17F27">
        <w:rPr>
          <w:rFonts w:ascii="Arial" w:hAnsi="Arial"/>
          <w:sz w:val="22"/>
          <w:szCs w:val="22"/>
        </w:rPr>
        <w:t xml:space="preserve"> being brought government-wide.</w:t>
      </w:r>
      <w:r w:rsidR="00A17F27">
        <w:rPr>
          <w:rStyle w:val="FootnoteReference"/>
          <w:rFonts w:ascii="Arial" w:hAnsi="Arial"/>
          <w:sz w:val="22"/>
          <w:szCs w:val="22"/>
        </w:rPr>
        <w:footnoteReference w:id="43"/>
      </w:r>
      <w:r w:rsidR="00A17F27">
        <w:rPr>
          <w:rFonts w:ascii="Arial" w:hAnsi="Arial"/>
          <w:sz w:val="22"/>
          <w:szCs w:val="22"/>
        </w:rPr>
        <w:t xml:space="preserve"> </w:t>
      </w:r>
      <w:r w:rsidR="00F66546">
        <w:rPr>
          <w:rFonts w:ascii="Arial" w:hAnsi="Arial"/>
          <w:sz w:val="22"/>
          <w:szCs w:val="22"/>
        </w:rPr>
        <w:t xml:space="preserve">Civil service training is a more formal process with </w:t>
      </w:r>
      <w:r w:rsidR="005D3F44">
        <w:rPr>
          <w:rFonts w:ascii="Arial" w:hAnsi="Arial"/>
          <w:sz w:val="22"/>
          <w:szCs w:val="22"/>
        </w:rPr>
        <w:t>an agreed</w:t>
      </w:r>
      <w:r w:rsidR="00F66546">
        <w:rPr>
          <w:rFonts w:ascii="Arial" w:hAnsi="Arial"/>
          <w:sz w:val="22"/>
          <w:szCs w:val="22"/>
        </w:rPr>
        <w:t xml:space="preserve"> structure to include I</w:t>
      </w:r>
      <w:r w:rsidR="00847D1A">
        <w:rPr>
          <w:rFonts w:ascii="Arial" w:hAnsi="Arial"/>
          <w:sz w:val="22"/>
          <w:szCs w:val="22"/>
        </w:rPr>
        <w:t>dentifying and implementing mandatory training</w:t>
      </w:r>
      <w:r w:rsidR="00F66546">
        <w:rPr>
          <w:rFonts w:ascii="Arial" w:hAnsi="Arial"/>
          <w:sz w:val="22"/>
          <w:szCs w:val="22"/>
        </w:rPr>
        <w:t xml:space="preserve"> with an</w:t>
      </w:r>
      <w:r w:rsidR="00847D1A">
        <w:rPr>
          <w:rFonts w:ascii="Arial" w:hAnsi="Arial"/>
          <w:sz w:val="22"/>
          <w:szCs w:val="22"/>
        </w:rPr>
        <w:t xml:space="preserve"> accreditation process</w:t>
      </w:r>
      <w:r w:rsidR="00F66546">
        <w:rPr>
          <w:rFonts w:ascii="Arial" w:hAnsi="Arial"/>
          <w:sz w:val="22"/>
          <w:szCs w:val="22"/>
        </w:rPr>
        <w:t>.</w:t>
      </w:r>
      <w:r w:rsidR="00847D1A">
        <w:rPr>
          <w:rFonts w:ascii="Arial" w:hAnsi="Arial"/>
          <w:sz w:val="22"/>
          <w:szCs w:val="22"/>
        </w:rPr>
        <w:t xml:space="preserve"> The project has been catalytic in these areas. However, work remains to be done in these two areas. For the performance appraisals, work is now being done to connect appraisals with human resource development plans. For civil servant training, further work on the curriculum and facilitating access to all civil servants will continue to need attention. Reportedly some ministries and agencies don’t have access to the training since they don’t have their own training centers or do not have financing to attend the courses. The development of the e-HRMS and e-training platform will help to address these needs. What is developing is full circle of human resource development to create a more </w:t>
      </w:r>
      <w:r w:rsidR="007E428D">
        <w:rPr>
          <w:rFonts w:ascii="Arial" w:hAnsi="Arial"/>
          <w:sz w:val="22"/>
          <w:szCs w:val="22"/>
        </w:rPr>
        <w:t xml:space="preserve">merit-based competent </w:t>
      </w:r>
      <w:r w:rsidR="00847D1A">
        <w:rPr>
          <w:rFonts w:ascii="Arial" w:hAnsi="Arial"/>
          <w:sz w:val="22"/>
          <w:szCs w:val="22"/>
        </w:rPr>
        <w:t xml:space="preserve">professional civil service. The project contributed to this development yet more work needs to be done and it appears there is some capacity for the CSB and line ministries to take on more of the implementation themselves. But, this does not eliminate the need </w:t>
      </w:r>
      <w:r w:rsidR="0017315E">
        <w:rPr>
          <w:rFonts w:ascii="Arial" w:hAnsi="Arial"/>
          <w:sz w:val="22"/>
          <w:szCs w:val="22"/>
        </w:rPr>
        <w:t>for further development partner</w:t>
      </w:r>
      <w:r w:rsidR="00847D1A">
        <w:rPr>
          <w:rFonts w:ascii="Arial" w:hAnsi="Arial"/>
          <w:sz w:val="22"/>
          <w:szCs w:val="22"/>
        </w:rPr>
        <w:t xml:space="preserve"> support.</w:t>
      </w:r>
    </w:p>
    <w:p w14:paraId="0693AB02" w14:textId="77777777" w:rsidR="00D77B67" w:rsidRDefault="00D77B67" w:rsidP="008D2225">
      <w:pPr>
        <w:jc w:val="both"/>
        <w:rPr>
          <w:rFonts w:ascii="Arial" w:hAnsi="Arial"/>
          <w:sz w:val="22"/>
          <w:szCs w:val="22"/>
        </w:rPr>
      </w:pPr>
    </w:p>
    <w:p w14:paraId="6A140FEA" w14:textId="7CE633CC" w:rsidR="00D77B67" w:rsidRDefault="00D77B67" w:rsidP="008D2225">
      <w:pPr>
        <w:jc w:val="both"/>
        <w:rPr>
          <w:rFonts w:ascii="Arial" w:hAnsi="Arial"/>
          <w:sz w:val="22"/>
          <w:szCs w:val="22"/>
        </w:rPr>
      </w:pPr>
      <w:r>
        <w:rPr>
          <w:rFonts w:ascii="Arial" w:hAnsi="Arial"/>
          <w:sz w:val="22"/>
          <w:szCs w:val="22"/>
        </w:rPr>
        <w:t>Efforts at alternative</w:t>
      </w:r>
      <w:r w:rsidR="0017315E">
        <w:rPr>
          <w:rFonts w:ascii="Arial" w:hAnsi="Arial"/>
          <w:sz w:val="22"/>
          <w:szCs w:val="22"/>
        </w:rPr>
        <w:t xml:space="preserve"> dispute resolution made som</w:t>
      </w:r>
      <w:r>
        <w:rPr>
          <w:rFonts w:ascii="Arial" w:hAnsi="Arial"/>
          <w:sz w:val="22"/>
          <w:szCs w:val="22"/>
        </w:rPr>
        <w:t xml:space="preserve">e progress </w:t>
      </w:r>
      <w:r w:rsidR="0017315E">
        <w:rPr>
          <w:rFonts w:ascii="Arial" w:hAnsi="Arial"/>
          <w:sz w:val="22"/>
          <w:szCs w:val="22"/>
        </w:rPr>
        <w:t xml:space="preserve">but not as much </w:t>
      </w:r>
      <w:r>
        <w:rPr>
          <w:rFonts w:ascii="Arial" w:hAnsi="Arial"/>
          <w:sz w:val="22"/>
          <w:szCs w:val="22"/>
        </w:rPr>
        <w:t>as o</w:t>
      </w:r>
      <w:r w:rsidR="005D3F44">
        <w:rPr>
          <w:rFonts w:ascii="Arial" w:hAnsi="Arial"/>
          <w:sz w:val="22"/>
          <w:szCs w:val="22"/>
        </w:rPr>
        <w:t>riginally envisioned. T</w:t>
      </w:r>
      <w:r>
        <w:rPr>
          <w:rFonts w:ascii="Arial" w:hAnsi="Arial"/>
          <w:sz w:val="22"/>
          <w:szCs w:val="22"/>
        </w:rPr>
        <w:t>he project tried various avenues to help advance the issue. There is some consolidation of views at this time and with CSB and ministr</w:t>
      </w:r>
      <w:r w:rsidR="00AF129C">
        <w:rPr>
          <w:rFonts w:ascii="Arial" w:hAnsi="Arial"/>
          <w:sz w:val="22"/>
          <w:szCs w:val="22"/>
        </w:rPr>
        <w:t>ies’</w:t>
      </w:r>
      <w:r>
        <w:rPr>
          <w:rFonts w:ascii="Arial" w:hAnsi="Arial"/>
          <w:sz w:val="22"/>
          <w:szCs w:val="22"/>
        </w:rPr>
        <w:t xml:space="preserve"> human resource departments to work more on elements of dispute resolution such as mediation and how to manage difficult situations. Addre</w:t>
      </w:r>
      <w:r w:rsidR="005D3F44">
        <w:rPr>
          <w:rFonts w:ascii="Arial" w:hAnsi="Arial"/>
          <w:sz w:val="22"/>
          <w:szCs w:val="22"/>
        </w:rPr>
        <w:t>ssing this issue will</w:t>
      </w:r>
      <w:r>
        <w:rPr>
          <w:rFonts w:ascii="Arial" w:hAnsi="Arial"/>
          <w:sz w:val="22"/>
          <w:szCs w:val="22"/>
        </w:rPr>
        <w:t xml:space="preserve"> mature with or without development partner assistance. As some interviewees said, there must be found a “Georgian way.”</w:t>
      </w:r>
    </w:p>
    <w:p w14:paraId="4B286EF6" w14:textId="77777777" w:rsidR="00847D1A" w:rsidRDefault="00847D1A" w:rsidP="008D2225">
      <w:pPr>
        <w:jc w:val="both"/>
        <w:rPr>
          <w:rFonts w:ascii="Arial" w:hAnsi="Arial"/>
          <w:sz w:val="22"/>
          <w:szCs w:val="22"/>
        </w:rPr>
      </w:pPr>
    </w:p>
    <w:p w14:paraId="4E4EBA6B" w14:textId="18F0047F" w:rsidR="008D2225" w:rsidRDefault="00847D1A" w:rsidP="008A6CBC">
      <w:pPr>
        <w:jc w:val="both"/>
        <w:rPr>
          <w:rFonts w:ascii="Arial" w:hAnsi="Arial"/>
          <w:sz w:val="22"/>
          <w:szCs w:val="22"/>
        </w:rPr>
      </w:pPr>
      <w:r>
        <w:rPr>
          <w:rFonts w:ascii="Arial" w:hAnsi="Arial"/>
          <w:sz w:val="22"/>
          <w:szCs w:val="22"/>
        </w:rPr>
        <w:lastRenderedPageBreak/>
        <w:t xml:space="preserve">The independence of the civil service remains a priority and also remains an issue. </w:t>
      </w:r>
      <w:r w:rsidR="00A87D3C">
        <w:rPr>
          <w:rFonts w:ascii="Arial" w:hAnsi="Arial"/>
          <w:sz w:val="22"/>
          <w:szCs w:val="22"/>
        </w:rPr>
        <w:t xml:space="preserve">The civil service law and by-laws help to further this independence. But, the leadership structures in place and the institutional make-up between political leadership and civil servants </w:t>
      </w:r>
      <w:r w:rsidR="000A4A00">
        <w:rPr>
          <w:rFonts w:ascii="Arial" w:hAnsi="Arial"/>
          <w:sz w:val="22"/>
          <w:szCs w:val="22"/>
        </w:rPr>
        <w:t>remains problematic</w:t>
      </w:r>
      <w:r w:rsidR="00A87D3C">
        <w:rPr>
          <w:rFonts w:ascii="Arial" w:hAnsi="Arial"/>
          <w:sz w:val="22"/>
          <w:szCs w:val="22"/>
        </w:rPr>
        <w:t xml:space="preserve">. The </w:t>
      </w:r>
      <w:r w:rsidR="00F66546">
        <w:rPr>
          <w:rFonts w:ascii="Arial" w:hAnsi="Arial"/>
          <w:sz w:val="22"/>
          <w:szCs w:val="22"/>
        </w:rPr>
        <w:t xml:space="preserve">constant </w:t>
      </w:r>
      <w:r w:rsidR="00A87D3C">
        <w:rPr>
          <w:rFonts w:ascii="Arial" w:hAnsi="Arial"/>
          <w:sz w:val="22"/>
          <w:szCs w:val="22"/>
        </w:rPr>
        <w:t xml:space="preserve">changes in government make for a more destabilizing work environment. While there were no direct outputs tied to ‘independence’ or changes in leadership structures, </w:t>
      </w:r>
      <w:r w:rsidR="000A4A00">
        <w:rPr>
          <w:rFonts w:ascii="Arial" w:hAnsi="Arial"/>
          <w:sz w:val="22"/>
          <w:szCs w:val="22"/>
        </w:rPr>
        <w:t>there was research done in regard to</w:t>
      </w:r>
      <w:r w:rsidR="00A87D3C">
        <w:rPr>
          <w:rFonts w:ascii="Arial" w:hAnsi="Arial"/>
          <w:sz w:val="22"/>
          <w:szCs w:val="22"/>
        </w:rPr>
        <w:t xml:space="preserve"> having a</w:t>
      </w:r>
      <w:r w:rsidR="00F80046">
        <w:rPr>
          <w:rFonts w:ascii="Arial" w:hAnsi="Arial"/>
          <w:sz w:val="22"/>
          <w:szCs w:val="22"/>
        </w:rPr>
        <w:t xml:space="preserve"> Senior Civil Servant or Executive Secretary</w:t>
      </w:r>
      <w:r w:rsidR="00A87D3C">
        <w:rPr>
          <w:rFonts w:ascii="Arial" w:hAnsi="Arial"/>
          <w:sz w:val="22"/>
          <w:szCs w:val="22"/>
        </w:rPr>
        <w:t xml:space="preserve"> in ministries and agencies. While this may not be the answer, the political leadership/civil servant dichotomy seem</w:t>
      </w:r>
      <w:r w:rsidR="000A4A00">
        <w:rPr>
          <w:rFonts w:ascii="Arial" w:hAnsi="Arial"/>
          <w:sz w:val="22"/>
          <w:szCs w:val="22"/>
        </w:rPr>
        <w:t>s to need attention to</w:t>
      </w:r>
      <w:r w:rsidR="00A87D3C">
        <w:rPr>
          <w:rFonts w:ascii="Arial" w:hAnsi="Arial"/>
          <w:sz w:val="22"/>
          <w:szCs w:val="22"/>
        </w:rPr>
        <w:t xml:space="preserve"> further civil service reform</w:t>
      </w:r>
      <w:r w:rsidR="000A4A00">
        <w:rPr>
          <w:rFonts w:ascii="Arial" w:hAnsi="Arial"/>
          <w:sz w:val="22"/>
          <w:szCs w:val="22"/>
        </w:rPr>
        <w:t xml:space="preserve"> and a professional merit-based civil service that is more independent from political control</w:t>
      </w:r>
      <w:r w:rsidR="00A87D3C">
        <w:rPr>
          <w:rFonts w:ascii="Arial" w:hAnsi="Arial"/>
          <w:sz w:val="22"/>
          <w:szCs w:val="22"/>
        </w:rPr>
        <w:t>.</w:t>
      </w:r>
    </w:p>
    <w:p w14:paraId="7DE4DBFC" w14:textId="77777777" w:rsidR="00A87D3C" w:rsidRDefault="00A87D3C" w:rsidP="008A6CBC">
      <w:pPr>
        <w:jc w:val="both"/>
        <w:rPr>
          <w:rFonts w:ascii="Arial" w:hAnsi="Arial"/>
          <w:sz w:val="22"/>
          <w:szCs w:val="22"/>
        </w:rPr>
      </w:pPr>
    </w:p>
    <w:p w14:paraId="39B783C8" w14:textId="4AE929FE" w:rsidR="00A87D3C" w:rsidRDefault="00A87D3C" w:rsidP="008A6CBC">
      <w:pPr>
        <w:jc w:val="both"/>
        <w:rPr>
          <w:rFonts w:ascii="Arial" w:hAnsi="Arial"/>
          <w:sz w:val="22"/>
          <w:szCs w:val="22"/>
        </w:rPr>
      </w:pPr>
      <w:r>
        <w:rPr>
          <w:rFonts w:ascii="Arial" w:hAnsi="Arial"/>
          <w:sz w:val="22"/>
          <w:szCs w:val="22"/>
        </w:rPr>
        <w:t xml:space="preserve">The outcome of the 2019 PAR civil servant and public perception survey showed mixed results. </w:t>
      </w:r>
      <w:r w:rsidR="009E4AC6">
        <w:rPr>
          <w:rFonts w:ascii="Arial" w:hAnsi="Arial"/>
          <w:sz w:val="22"/>
          <w:szCs w:val="22"/>
        </w:rPr>
        <w:t xml:space="preserve">The feedback provided by the survey gave government direct information on how the reform effort is perceived and understood by the two groups of stakeholders. The survey results also provided input to the project team and other development partners to better target resources as well as to communicate in a more effective manner. </w:t>
      </w:r>
      <w:r>
        <w:rPr>
          <w:rFonts w:ascii="Arial" w:hAnsi="Arial"/>
          <w:sz w:val="22"/>
          <w:szCs w:val="22"/>
        </w:rPr>
        <w:t xml:space="preserve">The results of the 2021 survey should show further insights if any progress was made. The changes in government over recent years </w:t>
      </w:r>
      <w:r w:rsidR="000A4A00">
        <w:rPr>
          <w:rFonts w:ascii="Arial" w:hAnsi="Arial"/>
          <w:sz w:val="22"/>
          <w:szCs w:val="22"/>
        </w:rPr>
        <w:t xml:space="preserve">could </w:t>
      </w:r>
      <w:r>
        <w:rPr>
          <w:rFonts w:ascii="Arial" w:hAnsi="Arial"/>
          <w:sz w:val="22"/>
          <w:szCs w:val="22"/>
        </w:rPr>
        <w:t xml:space="preserve">cloud the perceptions. As well, the impact of </w:t>
      </w:r>
      <w:r w:rsidR="009E4AC6">
        <w:rPr>
          <w:rFonts w:ascii="Arial" w:hAnsi="Arial"/>
          <w:sz w:val="22"/>
          <w:szCs w:val="22"/>
        </w:rPr>
        <w:t>COVID-</w:t>
      </w:r>
      <w:r w:rsidR="003A36AA">
        <w:rPr>
          <w:rFonts w:ascii="Arial" w:hAnsi="Arial"/>
          <w:sz w:val="22"/>
          <w:szCs w:val="22"/>
        </w:rPr>
        <w:t xml:space="preserve">19 </w:t>
      </w:r>
      <w:r w:rsidR="009E4AC6">
        <w:rPr>
          <w:rFonts w:ascii="Arial" w:hAnsi="Arial"/>
          <w:sz w:val="22"/>
          <w:szCs w:val="22"/>
        </w:rPr>
        <w:t>may</w:t>
      </w:r>
      <w:r>
        <w:rPr>
          <w:rFonts w:ascii="Arial" w:hAnsi="Arial"/>
          <w:sz w:val="22"/>
          <w:szCs w:val="22"/>
        </w:rPr>
        <w:t xml:space="preserve"> further drive responses rather than the reforms themselves.</w:t>
      </w:r>
    </w:p>
    <w:p w14:paraId="79C57A79" w14:textId="77777777" w:rsidR="00A87D3C" w:rsidRDefault="00A87D3C" w:rsidP="008A6CBC">
      <w:pPr>
        <w:jc w:val="both"/>
        <w:rPr>
          <w:rFonts w:ascii="Arial" w:hAnsi="Arial"/>
          <w:sz w:val="22"/>
          <w:szCs w:val="22"/>
        </w:rPr>
      </w:pPr>
    </w:p>
    <w:p w14:paraId="7DFB03C3" w14:textId="5187C498" w:rsidR="00A87D3C" w:rsidRDefault="00A87D3C" w:rsidP="008A6CBC">
      <w:pPr>
        <w:jc w:val="both"/>
        <w:rPr>
          <w:rFonts w:ascii="Arial" w:hAnsi="Arial"/>
          <w:sz w:val="22"/>
          <w:szCs w:val="22"/>
        </w:rPr>
      </w:pPr>
      <w:r>
        <w:rPr>
          <w:rFonts w:ascii="Arial" w:hAnsi="Arial"/>
          <w:sz w:val="22"/>
          <w:szCs w:val="22"/>
        </w:rPr>
        <w:t xml:space="preserve">The emerging needs subprojects were valuable tools for the project to react to needs that were not specifically identified in the </w:t>
      </w:r>
      <w:r w:rsidR="00F80046">
        <w:rPr>
          <w:rFonts w:ascii="Arial" w:hAnsi="Arial"/>
          <w:sz w:val="22"/>
          <w:szCs w:val="22"/>
        </w:rPr>
        <w:t>project document. They</w:t>
      </w:r>
      <w:r>
        <w:rPr>
          <w:rFonts w:ascii="Arial" w:hAnsi="Arial"/>
          <w:sz w:val="22"/>
          <w:szCs w:val="22"/>
        </w:rPr>
        <w:t xml:space="preserve"> raise</w:t>
      </w:r>
      <w:r w:rsidR="00F80046">
        <w:rPr>
          <w:rFonts w:ascii="Arial" w:hAnsi="Arial"/>
          <w:sz w:val="22"/>
          <w:szCs w:val="22"/>
        </w:rPr>
        <w:t>d</w:t>
      </w:r>
      <w:r>
        <w:rPr>
          <w:rFonts w:ascii="Arial" w:hAnsi="Arial"/>
          <w:sz w:val="22"/>
          <w:szCs w:val="22"/>
        </w:rPr>
        <w:t xml:space="preserve"> the awareness of PAR, provide</w:t>
      </w:r>
      <w:r w:rsidR="005D3F44">
        <w:rPr>
          <w:rFonts w:ascii="Arial" w:hAnsi="Arial"/>
          <w:sz w:val="22"/>
          <w:szCs w:val="22"/>
        </w:rPr>
        <w:t>d</w:t>
      </w:r>
      <w:r>
        <w:rPr>
          <w:rFonts w:ascii="Arial" w:hAnsi="Arial"/>
          <w:sz w:val="22"/>
          <w:szCs w:val="22"/>
        </w:rPr>
        <w:t xml:space="preserve"> direct technical assistance to address some priorities, and provide</w:t>
      </w:r>
      <w:r w:rsidR="005D3F44">
        <w:rPr>
          <w:rFonts w:ascii="Arial" w:hAnsi="Arial"/>
          <w:sz w:val="22"/>
          <w:szCs w:val="22"/>
        </w:rPr>
        <w:t xml:space="preserve">d </w:t>
      </w:r>
      <w:r>
        <w:rPr>
          <w:rFonts w:ascii="Arial" w:hAnsi="Arial"/>
          <w:sz w:val="22"/>
          <w:szCs w:val="22"/>
        </w:rPr>
        <w:t>support to civil service reform and public service delivery</w:t>
      </w:r>
      <w:r w:rsidR="009E4AC6">
        <w:rPr>
          <w:rFonts w:ascii="Arial" w:hAnsi="Arial"/>
          <w:sz w:val="22"/>
          <w:szCs w:val="22"/>
        </w:rPr>
        <w:t>. The modalit</w:t>
      </w:r>
      <w:r>
        <w:rPr>
          <w:rFonts w:ascii="Arial" w:hAnsi="Arial"/>
          <w:sz w:val="22"/>
          <w:szCs w:val="22"/>
        </w:rPr>
        <w:t>y allowed the project to concentrate on its core outputs and activities while having another avenue of service delivery</w:t>
      </w:r>
      <w:r w:rsidR="009E4AC6">
        <w:rPr>
          <w:rFonts w:ascii="Arial" w:hAnsi="Arial"/>
          <w:sz w:val="22"/>
          <w:szCs w:val="22"/>
        </w:rPr>
        <w:t xml:space="preserve"> to address priority needs</w:t>
      </w:r>
      <w:r>
        <w:rPr>
          <w:rFonts w:ascii="Arial" w:hAnsi="Arial"/>
          <w:sz w:val="22"/>
          <w:szCs w:val="22"/>
        </w:rPr>
        <w:t>.</w:t>
      </w:r>
      <w:r w:rsidR="009E4AC6">
        <w:rPr>
          <w:rFonts w:ascii="Arial" w:hAnsi="Arial"/>
          <w:sz w:val="22"/>
          <w:szCs w:val="22"/>
        </w:rPr>
        <w:t xml:space="preserve"> The modality seemed appropriate given the length of the project as well as its wide breadth. </w:t>
      </w:r>
    </w:p>
    <w:p w14:paraId="148D86D3" w14:textId="77777777" w:rsidR="00A87D3C" w:rsidRDefault="00A87D3C" w:rsidP="008A6CBC">
      <w:pPr>
        <w:jc w:val="both"/>
        <w:rPr>
          <w:rFonts w:ascii="Arial" w:hAnsi="Arial"/>
          <w:sz w:val="22"/>
          <w:szCs w:val="22"/>
        </w:rPr>
      </w:pPr>
    </w:p>
    <w:p w14:paraId="4C47BA83" w14:textId="7A775CFA" w:rsidR="009E4AC6" w:rsidRDefault="009E4AC6" w:rsidP="008A6CBC">
      <w:pPr>
        <w:jc w:val="both"/>
        <w:rPr>
          <w:rFonts w:ascii="Arial" w:hAnsi="Arial"/>
          <w:sz w:val="22"/>
          <w:szCs w:val="22"/>
        </w:rPr>
      </w:pPr>
      <w:r>
        <w:rPr>
          <w:rFonts w:ascii="Arial" w:hAnsi="Arial"/>
          <w:sz w:val="22"/>
          <w:szCs w:val="22"/>
        </w:rPr>
        <w:t>The small grants scheme of CSO and research grants did facilitate CSO input and provided added research and support for PAR. The evaluations of these initiatives conducted to date and the one planned by March 2021 provide detailed evaluation information.  That information is not repeated in this evaluation.</w:t>
      </w:r>
    </w:p>
    <w:p w14:paraId="04413FFE" w14:textId="77777777" w:rsidR="009E4AC6" w:rsidRDefault="009E4AC6" w:rsidP="008A6CBC">
      <w:pPr>
        <w:jc w:val="both"/>
        <w:rPr>
          <w:rFonts w:ascii="Arial" w:hAnsi="Arial"/>
          <w:sz w:val="22"/>
          <w:szCs w:val="22"/>
        </w:rPr>
      </w:pPr>
    </w:p>
    <w:p w14:paraId="0B0A5140" w14:textId="6567FC72" w:rsidR="009E4AC6" w:rsidRDefault="009E4AC6" w:rsidP="008A6CBC">
      <w:pPr>
        <w:jc w:val="both"/>
        <w:rPr>
          <w:rFonts w:ascii="Arial" w:hAnsi="Arial"/>
          <w:sz w:val="22"/>
          <w:szCs w:val="22"/>
        </w:rPr>
      </w:pPr>
      <w:r>
        <w:rPr>
          <w:rFonts w:ascii="Arial" w:hAnsi="Arial"/>
          <w:sz w:val="22"/>
          <w:szCs w:val="22"/>
        </w:rPr>
        <w:t xml:space="preserve">Gender was a key element of </w:t>
      </w:r>
      <w:r w:rsidR="000A4A00">
        <w:rPr>
          <w:rFonts w:ascii="Arial" w:hAnsi="Arial"/>
          <w:sz w:val="22"/>
          <w:szCs w:val="22"/>
        </w:rPr>
        <w:t>this outcome</w:t>
      </w:r>
      <w:r>
        <w:rPr>
          <w:rFonts w:ascii="Arial" w:hAnsi="Arial"/>
          <w:sz w:val="22"/>
          <w:szCs w:val="22"/>
        </w:rPr>
        <w:t>. As mentioned</w:t>
      </w:r>
      <w:r w:rsidR="004D0B79">
        <w:rPr>
          <w:rFonts w:ascii="Arial" w:hAnsi="Arial"/>
          <w:sz w:val="22"/>
          <w:szCs w:val="22"/>
        </w:rPr>
        <w:t xml:space="preserve"> in the evaluation criter</w:t>
      </w:r>
      <w:r>
        <w:rPr>
          <w:rFonts w:ascii="Arial" w:hAnsi="Arial"/>
          <w:sz w:val="22"/>
          <w:szCs w:val="22"/>
        </w:rPr>
        <w:t>ia description above, women made up most of those who received trai</w:t>
      </w:r>
      <w:r w:rsidR="004D0B79">
        <w:rPr>
          <w:rFonts w:ascii="Arial" w:hAnsi="Arial"/>
          <w:sz w:val="22"/>
          <w:szCs w:val="22"/>
        </w:rPr>
        <w:t>ning. Unfortunatel</w:t>
      </w:r>
      <w:r>
        <w:rPr>
          <w:rFonts w:ascii="Arial" w:hAnsi="Arial"/>
          <w:sz w:val="22"/>
          <w:szCs w:val="22"/>
        </w:rPr>
        <w:t>y, not all of the training and some of the outputs indicated in the results table, above, provide</w:t>
      </w:r>
      <w:r w:rsidR="00F80046">
        <w:rPr>
          <w:rFonts w:ascii="Arial" w:hAnsi="Arial"/>
          <w:sz w:val="22"/>
          <w:szCs w:val="22"/>
        </w:rPr>
        <w:t>d</w:t>
      </w:r>
      <w:r>
        <w:rPr>
          <w:rFonts w:ascii="Arial" w:hAnsi="Arial"/>
          <w:sz w:val="22"/>
          <w:szCs w:val="22"/>
        </w:rPr>
        <w:t xml:space="preserve"> </w:t>
      </w:r>
      <w:r w:rsidR="004D0B79">
        <w:rPr>
          <w:rFonts w:ascii="Arial" w:hAnsi="Arial"/>
          <w:sz w:val="22"/>
          <w:szCs w:val="22"/>
        </w:rPr>
        <w:t>gender-disaggregated</w:t>
      </w:r>
      <w:r>
        <w:rPr>
          <w:rFonts w:ascii="Arial" w:hAnsi="Arial"/>
          <w:sz w:val="22"/>
          <w:szCs w:val="22"/>
        </w:rPr>
        <w:t xml:space="preserve"> data. Th</w:t>
      </w:r>
      <w:r w:rsidR="004D0B79">
        <w:rPr>
          <w:rFonts w:ascii="Arial" w:hAnsi="Arial"/>
          <w:sz w:val="22"/>
          <w:szCs w:val="22"/>
        </w:rPr>
        <w:t>is should be a priority to collect such information for future int</w:t>
      </w:r>
      <w:r w:rsidR="00542C62">
        <w:rPr>
          <w:rFonts w:ascii="Arial" w:hAnsi="Arial"/>
          <w:sz w:val="22"/>
          <w:szCs w:val="22"/>
        </w:rPr>
        <w:t>erventions. There was also a research study</w:t>
      </w:r>
      <w:r w:rsidR="004D0B79">
        <w:rPr>
          <w:rFonts w:ascii="Arial" w:hAnsi="Arial"/>
          <w:sz w:val="22"/>
          <w:szCs w:val="22"/>
        </w:rPr>
        <w:t xml:space="preserve"> to include: a career in civil service and gender equality. </w:t>
      </w:r>
      <w:r w:rsidR="00542C62">
        <w:rPr>
          <w:rFonts w:ascii="Arial" w:hAnsi="Arial"/>
          <w:sz w:val="22"/>
          <w:szCs w:val="22"/>
        </w:rPr>
        <w:t>The first two evaluations of the grant schemes stated that gender was reflected, for the most part, in terms of gender-related indicators and criteria yet not sufficiently mainstreamed in all research efforts. Gender factors were part of the criteria for the selection of the grants. Though, most of the projects did not have a gender or vulnerable group emphasis. This has been addressed in the last phase of the grants and will be reported on in the upcoming evaluation.</w:t>
      </w:r>
    </w:p>
    <w:p w14:paraId="398816DF" w14:textId="77777777" w:rsidR="009E4AC6" w:rsidRDefault="009E4AC6" w:rsidP="008A6CBC">
      <w:pPr>
        <w:jc w:val="both"/>
        <w:rPr>
          <w:rFonts w:ascii="Arial" w:hAnsi="Arial"/>
          <w:sz w:val="22"/>
          <w:szCs w:val="22"/>
        </w:rPr>
      </w:pPr>
    </w:p>
    <w:p w14:paraId="73B75C44" w14:textId="3F80A31A" w:rsidR="008A6CBC" w:rsidRDefault="00542C62" w:rsidP="008A6CBC">
      <w:pPr>
        <w:jc w:val="both"/>
        <w:rPr>
          <w:rFonts w:ascii="Arial" w:hAnsi="Arial"/>
          <w:sz w:val="22"/>
          <w:szCs w:val="22"/>
        </w:rPr>
      </w:pPr>
      <w:r>
        <w:rPr>
          <w:rFonts w:ascii="Arial" w:hAnsi="Arial"/>
          <w:sz w:val="22"/>
          <w:szCs w:val="22"/>
        </w:rPr>
        <w:t>There is evidence that there is momentum for civil service reform and improved human resource management. With a CSB that has clear direction and the support provided to date, that momentum must be supported so there is a more deep and wide whole-of-government approach. The civil service reform is now happening on a day-to-day basis. The COVID-19 pandemic may have benefited the realization of the needs for a professional public service rather than hindered its development</w:t>
      </w:r>
      <w:r w:rsidR="00F80046">
        <w:rPr>
          <w:rFonts w:ascii="Arial" w:hAnsi="Arial"/>
          <w:sz w:val="22"/>
          <w:szCs w:val="22"/>
        </w:rPr>
        <w:t xml:space="preserve">- more pubic services went on-line or adjustments made to continue services, civil service training continued to the extent possible, and ways of working </w:t>
      </w:r>
      <w:r w:rsidR="00F80046">
        <w:rPr>
          <w:rFonts w:ascii="Arial" w:hAnsi="Arial"/>
          <w:sz w:val="22"/>
          <w:szCs w:val="22"/>
        </w:rPr>
        <w:lastRenderedPageBreak/>
        <w:t xml:space="preserve">remotely conformed to the need to keep government functioning. </w:t>
      </w:r>
      <w:r>
        <w:rPr>
          <w:rFonts w:ascii="Arial" w:hAnsi="Arial"/>
          <w:sz w:val="22"/>
          <w:szCs w:val="22"/>
        </w:rPr>
        <w:t xml:space="preserve"> Development partner support is still needed but most likely in a more targeted manner so that the </w:t>
      </w:r>
      <w:proofErr w:type="spellStart"/>
      <w:r>
        <w:rPr>
          <w:rFonts w:ascii="Arial" w:hAnsi="Arial"/>
          <w:sz w:val="22"/>
          <w:szCs w:val="22"/>
        </w:rPr>
        <w:t>GoG</w:t>
      </w:r>
      <w:proofErr w:type="spellEnd"/>
      <w:r>
        <w:rPr>
          <w:rFonts w:ascii="Arial" w:hAnsi="Arial"/>
          <w:sz w:val="22"/>
          <w:szCs w:val="22"/>
        </w:rPr>
        <w:t xml:space="preserve"> takes on more of the change</w:t>
      </w:r>
      <w:r w:rsidR="00D77B67">
        <w:rPr>
          <w:rFonts w:ascii="Arial" w:hAnsi="Arial"/>
          <w:sz w:val="22"/>
          <w:szCs w:val="22"/>
        </w:rPr>
        <w:t xml:space="preserve"> and ownership. As well, political will is needed especi</w:t>
      </w:r>
      <w:r>
        <w:rPr>
          <w:rFonts w:ascii="Arial" w:hAnsi="Arial"/>
          <w:sz w:val="22"/>
          <w:szCs w:val="22"/>
        </w:rPr>
        <w:t xml:space="preserve">ally in regard to allowing professionalization </w:t>
      </w:r>
      <w:r w:rsidR="000A4A00">
        <w:rPr>
          <w:rFonts w:ascii="Arial" w:hAnsi="Arial"/>
          <w:sz w:val="22"/>
          <w:szCs w:val="22"/>
        </w:rPr>
        <w:t>and merit-based career development as well as allowing independence and a direct stake i</w:t>
      </w:r>
      <w:r w:rsidR="005D3F44">
        <w:rPr>
          <w:rFonts w:ascii="Arial" w:hAnsi="Arial"/>
          <w:sz w:val="22"/>
          <w:szCs w:val="22"/>
        </w:rPr>
        <w:t>n evidence-based policy making.</w:t>
      </w:r>
      <w:r w:rsidR="000A4A00">
        <w:rPr>
          <w:rFonts w:ascii="Arial" w:hAnsi="Arial"/>
          <w:sz w:val="22"/>
          <w:szCs w:val="22"/>
        </w:rPr>
        <w:t xml:space="preserve"> </w:t>
      </w:r>
      <w:r w:rsidR="00D77B67">
        <w:rPr>
          <w:rFonts w:ascii="Arial" w:hAnsi="Arial"/>
          <w:sz w:val="22"/>
          <w:szCs w:val="22"/>
        </w:rPr>
        <w:t>C</w:t>
      </w:r>
      <w:r w:rsidR="00182B5D">
        <w:rPr>
          <w:rFonts w:ascii="Arial" w:hAnsi="Arial"/>
          <w:sz w:val="22"/>
          <w:szCs w:val="22"/>
        </w:rPr>
        <w:t>ivil servants must be given “room” to implement reforms, learn from them</w:t>
      </w:r>
      <w:r w:rsidR="000A4A00">
        <w:rPr>
          <w:rFonts w:ascii="Arial" w:hAnsi="Arial"/>
          <w:sz w:val="22"/>
          <w:szCs w:val="22"/>
        </w:rPr>
        <w:t>,</w:t>
      </w:r>
      <w:r w:rsidR="00182B5D">
        <w:rPr>
          <w:rFonts w:ascii="Arial" w:hAnsi="Arial"/>
          <w:sz w:val="22"/>
          <w:szCs w:val="22"/>
        </w:rPr>
        <w:t xml:space="preserve"> and work with political leadership to affect change.</w:t>
      </w:r>
    </w:p>
    <w:p w14:paraId="52FE7CCA" w14:textId="708CB6B6" w:rsidR="008A6CBC" w:rsidRDefault="00ED0358" w:rsidP="003060EE">
      <w:pPr>
        <w:pStyle w:val="Heading2"/>
        <w:numPr>
          <w:ilvl w:val="0"/>
          <w:numId w:val="3"/>
        </w:numPr>
      </w:pPr>
      <w:bookmarkStart w:id="23" w:name="_Toc478138874"/>
      <w:r>
        <w:t>Outcome 3</w:t>
      </w:r>
      <w:r w:rsidR="008A6CBC">
        <w:t>: Public Service Delivery</w:t>
      </w:r>
      <w:bookmarkEnd w:id="23"/>
    </w:p>
    <w:p w14:paraId="080633D8" w14:textId="77777777" w:rsidR="008A6CBC" w:rsidRPr="00934177" w:rsidRDefault="008A6CBC" w:rsidP="008A6CBC">
      <w:pPr>
        <w:pStyle w:val="Heading4"/>
      </w:pPr>
      <w:bookmarkStart w:id="24" w:name="_Toc478138875"/>
      <w:r>
        <w:t>1.</w:t>
      </w:r>
      <w:r w:rsidRPr="00F0563B">
        <w:tab/>
        <w:t>Background and Major Results</w:t>
      </w:r>
      <w:bookmarkEnd w:id="24"/>
    </w:p>
    <w:p w14:paraId="70FF8C81" w14:textId="77777777" w:rsidR="008A6CBC" w:rsidRDefault="008A6CBC" w:rsidP="008A6CBC">
      <w:pPr>
        <w:jc w:val="both"/>
        <w:rPr>
          <w:rFonts w:ascii="Arial" w:hAnsi="Arial"/>
          <w:sz w:val="22"/>
          <w:szCs w:val="22"/>
        </w:rPr>
      </w:pPr>
    </w:p>
    <w:p w14:paraId="01C222E2" w14:textId="5BCA284C" w:rsidR="008E3017" w:rsidRDefault="00ED0358" w:rsidP="00ED0358">
      <w:pPr>
        <w:jc w:val="both"/>
        <w:rPr>
          <w:rFonts w:ascii="Arial" w:hAnsi="Arial"/>
          <w:sz w:val="22"/>
          <w:szCs w:val="22"/>
        </w:rPr>
      </w:pPr>
      <w:r>
        <w:rPr>
          <w:rFonts w:ascii="Arial" w:hAnsi="Arial"/>
          <w:sz w:val="22"/>
          <w:szCs w:val="22"/>
        </w:rPr>
        <w:t>Outcome 3</w:t>
      </w:r>
      <w:r w:rsidR="008E3017">
        <w:rPr>
          <w:rFonts w:ascii="Arial" w:hAnsi="Arial"/>
          <w:sz w:val="22"/>
          <w:szCs w:val="22"/>
        </w:rPr>
        <w:t xml:space="preserve"> is aimed</w:t>
      </w:r>
      <w:r>
        <w:rPr>
          <w:rFonts w:ascii="Arial" w:hAnsi="Arial"/>
          <w:sz w:val="22"/>
          <w:szCs w:val="22"/>
        </w:rPr>
        <w:t xml:space="preserve"> at developing</w:t>
      </w:r>
      <w:r w:rsidR="008E3017">
        <w:rPr>
          <w:rFonts w:ascii="Arial" w:hAnsi="Arial"/>
          <w:sz w:val="22"/>
          <w:szCs w:val="22"/>
        </w:rPr>
        <w:t xml:space="preserve"> </w:t>
      </w:r>
      <w:r>
        <w:rPr>
          <w:rFonts w:ascii="Arial" w:hAnsi="Arial"/>
          <w:sz w:val="22"/>
          <w:szCs w:val="22"/>
        </w:rPr>
        <w:t>the govern</w:t>
      </w:r>
      <w:r w:rsidR="000945A9">
        <w:rPr>
          <w:rFonts w:ascii="Arial" w:hAnsi="Arial"/>
          <w:sz w:val="22"/>
          <w:szCs w:val="22"/>
        </w:rPr>
        <w:t>ment’s ability to deliver improved</w:t>
      </w:r>
      <w:r>
        <w:rPr>
          <w:rFonts w:ascii="Arial" w:hAnsi="Arial"/>
          <w:sz w:val="22"/>
          <w:szCs w:val="22"/>
        </w:rPr>
        <w:t xml:space="preserve"> quality public services – in person and digitally so they are more accessible and inclusive to citizens. The main work is with the PSDA and the DGA (formerly DEA) as well as organizations that have sought to improve service delivery through the various project interventions. The work focused on developing common public service standards, applying those standards</w:t>
      </w:r>
      <w:r w:rsidR="0070796F">
        <w:rPr>
          <w:rFonts w:ascii="Arial" w:hAnsi="Arial"/>
          <w:sz w:val="22"/>
          <w:szCs w:val="22"/>
        </w:rPr>
        <w:t>,</w:t>
      </w:r>
      <w:r>
        <w:rPr>
          <w:rFonts w:ascii="Arial" w:hAnsi="Arial"/>
          <w:sz w:val="22"/>
          <w:szCs w:val="22"/>
        </w:rPr>
        <w:t xml:space="preserve"> and improving the numbe</w:t>
      </w:r>
      <w:r w:rsidR="000945A9">
        <w:rPr>
          <w:rFonts w:ascii="Arial" w:hAnsi="Arial"/>
          <w:sz w:val="22"/>
          <w:szCs w:val="22"/>
        </w:rPr>
        <w:t>r</w:t>
      </w:r>
      <w:r>
        <w:rPr>
          <w:rFonts w:ascii="Arial" w:hAnsi="Arial"/>
          <w:sz w:val="22"/>
          <w:szCs w:val="22"/>
        </w:rPr>
        <w:t xml:space="preserve"> and usage of e-services including those on my.gov.ge. </w:t>
      </w:r>
    </w:p>
    <w:p w14:paraId="0FC0DBB2" w14:textId="77777777" w:rsidR="008E3017" w:rsidRDefault="008E3017" w:rsidP="008E3017">
      <w:pPr>
        <w:jc w:val="both"/>
        <w:rPr>
          <w:rFonts w:ascii="Arial" w:hAnsi="Arial"/>
          <w:sz w:val="22"/>
          <w:szCs w:val="22"/>
        </w:rPr>
      </w:pPr>
    </w:p>
    <w:p w14:paraId="74B8F9DB" w14:textId="0FBF75FC" w:rsidR="008E3017" w:rsidRDefault="000A4A00" w:rsidP="008E3017">
      <w:pPr>
        <w:jc w:val="both"/>
        <w:rPr>
          <w:rFonts w:ascii="Arial" w:hAnsi="Arial"/>
          <w:sz w:val="22"/>
          <w:szCs w:val="22"/>
        </w:rPr>
      </w:pPr>
      <w:r w:rsidRPr="000945A9">
        <w:rPr>
          <w:rFonts w:ascii="Arial" w:hAnsi="Arial"/>
          <w:sz w:val="22"/>
          <w:szCs w:val="22"/>
        </w:rPr>
        <w:t>Table 7</w:t>
      </w:r>
      <w:r w:rsidR="008E3017" w:rsidRPr="000945A9">
        <w:rPr>
          <w:rFonts w:ascii="Arial" w:hAnsi="Arial"/>
          <w:sz w:val="22"/>
          <w:szCs w:val="22"/>
        </w:rPr>
        <w:t xml:space="preserve"> provides the main results and status. The informat</w:t>
      </w:r>
      <w:r w:rsidR="000945A9">
        <w:rPr>
          <w:rFonts w:ascii="Arial" w:hAnsi="Arial"/>
          <w:sz w:val="22"/>
          <w:szCs w:val="22"/>
        </w:rPr>
        <w:t>ion is abstracted from the RRF a</w:t>
      </w:r>
      <w:r w:rsidR="008E3017" w:rsidRPr="000945A9">
        <w:rPr>
          <w:rFonts w:ascii="Arial" w:hAnsi="Arial"/>
          <w:sz w:val="22"/>
          <w:szCs w:val="22"/>
        </w:rPr>
        <w:t xml:space="preserve">s provided as </w:t>
      </w:r>
      <w:r w:rsidR="000945A9" w:rsidRPr="000945A9">
        <w:rPr>
          <w:rFonts w:ascii="Arial" w:hAnsi="Arial"/>
          <w:sz w:val="22"/>
          <w:szCs w:val="22"/>
        </w:rPr>
        <w:t>Annex E</w:t>
      </w:r>
      <w:r w:rsidR="008E3017" w:rsidRPr="000945A9">
        <w:rPr>
          <w:rFonts w:ascii="Arial" w:hAnsi="Arial"/>
          <w:sz w:val="22"/>
          <w:szCs w:val="22"/>
        </w:rPr>
        <w:t>.</w:t>
      </w:r>
    </w:p>
    <w:p w14:paraId="77562E42" w14:textId="77777777" w:rsidR="008E3017" w:rsidRDefault="008E3017" w:rsidP="008E3017">
      <w:pPr>
        <w:jc w:val="both"/>
        <w:rPr>
          <w:rFonts w:ascii="Arial" w:hAnsi="Arial"/>
          <w:sz w:val="22"/>
          <w:szCs w:val="22"/>
        </w:rPr>
      </w:pPr>
    </w:p>
    <w:p w14:paraId="5C915245" w14:textId="77777777" w:rsidR="00314E6C" w:rsidRDefault="00314E6C" w:rsidP="008E3017">
      <w:pPr>
        <w:jc w:val="both"/>
        <w:rPr>
          <w:rFonts w:ascii="Arial" w:hAnsi="Arial"/>
          <w:sz w:val="22"/>
          <w:szCs w:val="22"/>
        </w:rPr>
      </w:pPr>
    </w:p>
    <w:p w14:paraId="403982CD" w14:textId="194BA51C" w:rsidR="008E3017" w:rsidRPr="007A765D" w:rsidRDefault="000A4A00" w:rsidP="008E3017">
      <w:pPr>
        <w:jc w:val="center"/>
        <w:rPr>
          <w:rFonts w:ascii="Arial" w:hAnsi="Arial"/>
          <w:b/>
          <w:sz w:val="22"/>
          <w:szCs w:val="22"/>
        </w:rPr>
      </w:pPr>
      <w:r>
        <w:rPr>
          <w:rFonts w:ascii="Arial" w:hAnsi="Arial"/>
          <w:b/>
          <w:sz w:val="22"/>
          <w:szCs w:val="22"/>
        </w:rPr>
        <w:t>Table 7</w:t>
      </w:r>
      <w:r w:rsidR="008E3017">
        <w:rPr>
          <w:rFonts w:ascii="Arial" w:hAnsi="Arial"/>
          <w:b/>
          <w:sz w:val="22"/>
          <w:szCs w:val="22"/>
        </w:rPr>
        <w:t xml:space="preserve"> Outcome</w:t>
      </w:r>
      <w:r w:rsidR="00ED0358">
        <w:rPr>
          <w:rFonts w:ascii="Arial" w:hAnsi="Arial"/>
          <w:b/>
          <w:sz w:val="22"/>
          <w:szCs w:val="22"/>
        </w:rPr>
        <w:t xml:space="preserve"> 3: Public Service Delivery</w:t>
      </w:r>
      <w:r w:rsidR="008E3017">
        <w:rPr>
          <w:rFonts w:ascii="Arial" w:hAnsi="Arial"/>
          <w:b/>
          <w:sz w:val="22"/>
          <w:szCs w:val="22"/>
        </w:rPr>
        <w:t xml:space="preserve"> Main Re</w:t>
      </w:r>
      <w:r w:rsidR="00ED0358">
        <w:rPr>
          <w:rFonts w:ascii="Arial" w:hAnsi="Arial"/>
          <w:b/>
          <w:sz w:val="22"/>
          <w:szCs w:val="22"/>
        </w:rPr>
        <w:t>s</w:t>
      </w:r>
      <w:r w:rsidR="008E3017">
        <w:rPr>
          <w:rFonts w:ascii="Arial" w:hAnsi="Arial"/>
          <w:b/>
          <w:sz w:val="22"/>
          <w:szCs w:val="22"/>
        </w:rPr>
        <w:t>ults</w:t>
      </w:r>
    </w:p>
    <w:p w14:paraId="795BD0CE" w14:textId="77777777" w:rsidR="008E3017" w:rsidRDefault="008E3017" w:rsidP="008E3017">
      <w:pPr>
        <w:jc w:val="both"/>
        <w:rPr>
          <w:rFonts w:ascii="Arial" w:hAnsi="Arial"/>
          <w:sz w:val="22"/>
          <w:szCs w:val="22"/>
        </w:rPr>
      </w:pPr>
    </w:p>
    <w:tbl>
      <w:tblPr>
        <w:tblStyle w:val="LightGrid-Accent1"/>
        <w:tblW w:w="0" w:type="auto"/>
        <w:tblLook w:val="04A0" w:firstRow="1" w:lastRow="0" w:firstColumn="1" w:lastColumn="0" w:noHBand="0" w:noVBand="1"/>
      </w:tblPr>
      <w:tblGrid>
        <w:gridCol w:w="3420"/>
        <w:gridCol w:w="1012"/>
        <w:gridCol w:w="4950"/>
      </w:tblGrid>
      <w:tr w:rsidR="00A21262" w:rsidRPr="005D3F44" w14:paraId="586F4512" w14:textId="77777777" w:rsidTr="005D3F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Pr>
          <w:p w14:paraId="526662F9" w14:textId="77777777" w:rsidR="00A21262" w:rsidRPr="005D3F44" w:rsidRDefault="00A21262" w:rsidP="008E3017">
            <w:pPr>
              <w:jc w:val="center"/>
              <w:rPr>
                <w:rFonts w:ascii="Arial" w:hAnsi="Arial"/>
                <w:sz w:val="20"/>
                <w:szCs w:val="20"/>
              </w:rPr>
            </w:pPr>
            <w:r w:rsidRPr="005D3F44">
              <w:rPr>
                <w:rFonts w:ascii="Arial" w:hAnsi="Arial"/>
                <w:sz w:val="20"/>
                <w:szCs w:val="20"/>
              </w:rPr>
              <w:t>Result</w:t>
            </w:r>
          </w:p>
        </w:tc>
        <w:tc>
          <w:tcPr>
            <w:tcW w:w="1012" w:type="dxa"/>
          </w:tcPr>
          <w:p w14:paraId="286CBFA5" w14:textId="5D8CFC40" w:rsidR="00A21262" w:rsidRPr="005D3F44" w:rsidRDefault="00A21262" w:rsidP="008E3017">
            <w:pPr>
              <w:jc w:val="cente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5D3F44">
              <w:rPr>
                <w:rFonts w:ascii="Arial" w:hAnsi="Arial"/>
                <w:sz w:val="20"/>
                <w:szCs w:val="20"/>
              </w:rPr>
              <w:t>Target</w:t>
            </w:r>
          </w:p>
        </w:tc>
        <w:tc>
          <w:tcPr>
            <w:tcW w:w="4950" w:type="dxa"/>
          </w:tcPr>
          <w:p w14:paraId="3CEFD947" w14:textId="601889D6" w:rsidR="00A21262" w:rsidRPr="005D3F44" w:rsidRDefault="00A21262" w:rsidP="008E3017">
            <w:pPr>
              <w:jc w:val="cente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5D3F44">
              <w:rPr>
                <w:rFonts w:ascii="Arial" w:hAnsi="Arial"/>
                <w:sz w:val="20"/>
                <w:szCs w:val="20"/>
              </w:rPr>
              <w:t>Status, Issues or Next Steps</w:t>
            </w:r>
          </w:p>
        </w:tc>
      </w:tr>
      <w:tr w:rsidR="00A21262" w:rsidRPr="005D3F44" w14:paraId="6779B410" w14:textId="77777777" w:rsidTr="005D3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3FB999EF" w14:textId="5620A981" w:rsidR="00A21262" w:rsidRPr="005D3F44" w:rsidRDefault="00A21262" w:rsidP="008E3017">
            <w:pPr>
              <w:rPr>
                <w:rFonts w:ascii="Arial" w:hAnsi="Arial"/>
                <w:b w:val="0"/>
                <w:sz w:val="20"/>
                <w:szCs w:val="20"/>
              </w:rPr>
            </w:pPr>
            <w:r w:rsidRPr="005D3F44">
              <w:rPr>
                <w:rFonts w:ascii="Arial" w:hAnsi="Arial"/>
                <w:b w:val="0"/>
                <w:sz w:val="20"/>
                <w:szCs w:val="20"/>
              </w:rPr>
              <w:t xml:space="preserve">1. 2 key service delivery agencies initiated implementation of </w:t>
            </w:r>
            <w:r w:rsidR="005D3F44" w:rsidRPr="005D3F44">
              <w:rPr>
                <w:rFonts w:ascii="Arial" w:hAnsi="Arial"/>
                <w:b w:val="0"/>
                <w:sz w:val="20"/>
                <w:szCs w:val="20"/>
              </w:rPr>
              <w:t>UPSDD and quality assurance elements and comply to standards</w:t>
            </w:r>
          </w:p>
        </w:tc>
        <w:tc>
          <w:tcPr>
            <w:tcW w:w="1012" w:type="dxa"/>
          </w:tcPr>
          <w:p w14:paraId="0EFD56E4" w14:textId="658215BB" w:rsidR="00A21262" w:rsidRPr="005D3F44" w:rsidRDefault="00A21262"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D3F44">
              <w:rPr>
                <w:rFonts w:ascii="Arial" w:hAnsi="Arial"/>
                <w:sz w:val="20"/>
                <w:szCs w:val="20"/>
              </w:rPr>
              <w:t>2</w:t>
            </w:r>
          </w:p>
        </w:tc>
        <w:tc>
          <w:tcPr>
            <w:tcW w:w="4950" w:type="dxa"/>
          </w:tcPr>
          <w:p w14:paraId="7AA9D821" w14:textId="1A28D73B" w:rsidR="00A21262" w:rsidRPr="005D3F44" w:rsidRDefault="00A21262" w:rsidP="008E301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D3F44">
              <w:rPr>
                <w:rFonts w:ascii="Arial" w:hAnsi="Arial"/>
                <w:sz w:val="20"/>
                <w:szCs w:val="20"/>
              </w:rPr>
              <w:t>The Public Service Hall and Patrol Department Unified Service Center of the Ministry of Internal Affairs have completed the CAF and implemented service delivery improvements.</w:t>
            </w:r>
          </w:p>
          <w:p w14:paraId="4E5329DC" w14:textId="02F22857" w:rsidR="00A21262" w:rsidRPr="005D3F44" w:rsidRDefault="00A21262" w:rsidP="008E301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A21262" w:rsidRPr="005D3F44" w14:paraId="4253DE1C" w14:textId="77777777" w:rsidTr="005D3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42FDAD2B" w14:textId="13F87A0D" w:rsidR="00A21262" w:rsidRPr="005D3F44" w:rsidRDefault="00A21262" w:rsidP="008E3017">
            <w:pPr>
              <w:rPr>
                <w:rFonts w:ascii="Arial" w:hAnsi="Arial"/>
                <w:b w:val="0"/>
                <w:sz w:val="20"/>
                <w:szCs w:val="20"/>
              </w:rPr>
            </w:pPr>
            <w:r w:rsidRPr="005D3F44">
              <w:rPr>
                <w:rFonts w:ascii="Arial" w:hAnsi="Arial"/>
                <w:b w:val="0"/>
                <w:sz w:val="20"/>
                <w:szCs w:val="20"/>
              </w:rPr>
              <w:t>2. Usage rate of my.gov.ge increases to 423,555 as of December 2020</w:t>
            </w:r>
          </w:p>
        </w:tc>
        <w:tc>
          <w:tcPr>
            <w:tcW w:w="1012" w:type="dxa"/>
          </w:tcPr>
          <w:p w14:paraId="658B4440" w14:textId="4A888E2F" w:rsidR="00A21262" w:rsidRPr="005D3F44" w:rsidRDefault="00A21262"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5D3F44">
              <w:rPr>
                <w:rFonts w:ascii="Arial" w:hAnsi="Arial"/>
                <w:sz w:val="20"/>
                <w:szCs w:val="20"/>
              </w:rPr>
              <w:t>360,000</w:t>
            </w:r>
          </w:p>
        </w:tc>
        <w:tc>
          <w:tcPr>
            <w:tcW w:w="4950" w:type="dxa"/>
          </w:tcPr>
          <w:p w14:paraId="60D5652B" w14:textId="64ECBE74" w:rsidR="00A21262" w:rsidRPr="005D3F44" w:rsidRDefault="00A21262" w:rsidP="008E3017">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5D3F44">
              <w:rPr>
                <w:rFonts w:ascii="Arial" w:hAnsi="Arial"/>
                <w:sz w:val="20"/>
                <w:szCs w:val="20"/>
              </w:rPr>
              <w:t>Baseline was 45,000. While the project contributed to adding services on the site and its promotion, most of the increase could probably be attributed to the impact of COVID-19 and the inability to provide in-person services.</w:t>
            </w:r>
          </w:p>
          <w:p w14:paraId="18E91EEB" w14:textId="2722156F" w:rsidR="00A21262" w:rsidRPr="005D3F44" w:rsidRDefault="00A21262" w:rsidP="008E3017">
            <w:pPr>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A21262" w:rsidRPr="005D3F44" w14:paraId="33984BBB" w14:textId="77777777" w:rsidTr="005D3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267CAF9D" w14:textId="578358BF" w:rsidR="00A21262" w:rsidRPr="005D3F44" w:rsidRDefault="00A21262" w:rsidP="008E3017">
            <w:pPr>
              <w:rPr>
                <w:rFonts w:ascii="Arial" w:hAnsi="Arial"/>
                <w:b w:val="0"/>
                <w:sz w:val="20"/>
                <w:szCs w:val="20"/>
              </w:rPr>
            </w:pPr>
            <w:r w:rsidRPr="005D3F44">
              <w:rPr>
                <w:rFonts w:ascii="Arial" w:hAnsi="Arial"/>
                <w:b w:val="0"/>
                <w:sz w:val="20"/>
                <w:szCs w:val="20"/>
              </w:rPr>
              <w:t>3. 5 methodological packages developed and ready to use</w:t>
            </w:r>
            <w:r w:rsidR="005D3F44" w:rsidRPr="005D3F44">
              <w:rPr>
                <w:rFonts w:ascii="Arial" w:hAnsi="Arial"/>
                <w:b w:val="0"/>
                <w:sz w:val="20"/>
                <w:szCs w:val="20"/>
              </w:rPr>
              <w:t xml:space="preserve"> as part of UPSDD</w:t>
            </w:r>
          </w:p>
        </w:tc>
        <w:tc>
          <w:tcPr>
            <w:tcW w:w="1012" w:type="dxa"/>
          </w:tcPr>
          <w:p w14:paraId="1135D640" w14:textId="73C38673" w:rsidR="00A21262" w:rsidRPr="005D3F44" w:rsidRDefault="00A21262" w:rsidP="00A21262">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D3F44">
              <w:rPr>
                <w:rFonts w:ascii="Arial" w:hAnsi="Arial"/>
                <w:sz w:val="20"/>
                <w:szCs w:val="20"/>
              </w:rPr>
              <w:t>5</w:t>
            </w:r>
          </w:p>
        </w:tc>
        <w:tc>
          <w:tcPr>
            <w:tcW w:w="4950" w:type="dxa"/>
          </w:tcPr>
          <w:p w14:paraId="75971422" w14:textId="3B505DC2" w:rsidR="00A21262" w:rsidRPr="005D3F44" w:rsidRDefault="00A21262" w:rsidP="008E301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5D3F44">
              <w:rPr>
                <w:rFonts w:ascii="Arial" w:hAnsi="Arial"/>
                <w:sz w:val="20"/>
                <w:szCs w:val="20"/>
              </w:rPr>
              <w:t>The UPSDDS are developed. The project provided 5 ‘packages: costing, people with disabilities, inclusive public service design and delivery, CAF, and customer satisfaction. Awaiting official government approval.</w:t>
            </w:r>
          </w:p>
          <w:p w14:paraId="1869F2E7" w14:textId="53BB5E9A" w:rsidR="00A21262" w:rsidRPr="005D3F44" w:rsidRDefault="00A21262" w:rsidP="008E3017">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A21262" w:rsidRPr="005D3F44" w14:paraId="45C898DA" w14:textId="77777777" w:rsidTr="005D3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49E072B" w14:textId="5E97FDED" w:rsidR="00A21262" w:rsidRPr="005D3F44" w:rsidRDefault="00A21262" w:rsidP="008E3017">
            <w:pPr>
              <w:rPr>
                <w:rFonts w:ascii="Arial" w:hAnsi="Arial"/>
                <w:b w:val="0"/>
                <w:sz w:val="20"/>
                <w:szCs w:val="20"/>
              </w:rPr>
            </w:pPr>
            <w:r w:rsidRPr="005D3F44">
              <w:rPr>
                <w:rFonts w:ascii="Arial" w:hAnsi="Arial"/>
                <w:b w:val="0"/>
                <w:sz w:val="20"/>
                <w:szCs w:val="20"/>
              </w:rPr>
              <w:t>4. 187 civil servants trained to apply UPSDD packages</w:t>
            </w:r>
          </w:p>
        </w:tc>
        <w:tc>
          <w:tcPr>
            <w:tcW w:w="1012" w:type="dxa"/>
          </w:tcPr>
          <w:p w14:paraId="2FED7D4F" w14:textId="2F09E0C4" w:rsidR="00A21262" w:rsidRPr="005D3F44" w:rsidRDefault="00A21262" w:rsidP="00A21262">
            <w:pPr>
              <w:jc w:val="center"/>
              <w:cnfStyle w:val="000000010000" w:firstRow="0" w:lastRow="0" w:firstColumn="0" w:lastColumn="0" w:oddVBand="0" w:evenVBand="0" w:oddHBand="0" w:evenHBand="1" w:firstRowFirstColumn="0" w:firstRowLastColumn="0" w:lastRowFirstColumn="0" w:lastRowLastColumn="0"/>
              <w:rPr>
                <w:rFonts w:ascii="Arial" w:hAnsi="Arial"/>
                <w:sz w:val="20"/>
                <w:szCs w:val="20"/>
              </w:rPr>
            </w:pPr>
            <w:r w:rsidRPr="005D3F44">
              <w:rPr>
                <w:rFonts w:ascii="Arial" w:hAnsi="Arial"/>
                <w:sz w:val="20"/>
                <w:szCs w:val="20"/>
              </w:rPr>
              <w:t>150</w:t>
            </w:r>
          </w:p>
        </w:tc>
        <w:tc>
          <w:tcPr>
            <w:tcW w:w="4950" w:type="dxa"/>
          </w:tcPr>
          <w:p w14:paraId="6D85EC56" w14:textId="3E1392CE" w:rsidR="00A21262" w:rsidRPr="005D3F44" w:rsidRDefault="00A21262" w:rsidP="008E3017">
            <w:pPr>
              <w:cnfStyle w:val="000000010000" w:firstRow="0" w:lastRow="0" w:firstColumn="0" w:lastColumn="0" w:oddVBand="0" w:evenVBand="0" w:oddHBand="0" w:evenHBand="1" w:firstRowFirstColumn="0" w:firstRowLastColumn="0" w:lastRowFirstColumn="0" w:lastRowLastColumn="0"/>
              <w:rPr>
                <w:rFonts w:ascii="Sylfaen" w:hAnsi="Sylfaen"/>
                <w:sz w:val="20"/>
                <w:szCs w:val="20"/>
                <w:lang w:val="ka-GE"/>
              </w:rPr>
            </w:pPr>
            <w:r w:rsidRPr="005D3F44">
              <w:rPr>
                <w:rFonts w:ascii="Arial" w:hAnsi="Arial"/>
                <w:sz w:val="20"/>
                <w:szCs w:val="20"/>
              </w:rPr>
              <w:t>139 female and 48 male civil servants from 10 public agencies trained on the 5 packages. The Ministry of Justice’s Training Center has taken over t</w:t>
            </w:r>
            <w:r w:rsidR="005D3F44" w:rsidRPr="005D3F44">
              <w:rPr>
                <w:rFonts w:ascii="Arial" w:hAnsi="Arial"/>
                <w:sz w:val="20"/>
                <w:szCs w:val="20"/>
              </w:rPr>
              <w:t>he training and is part of its</w:t>
            </w:r>
            <w:r w:rsidRPr="005D3F44">
              <w:rPr>
                <w:rFonts w:ascii="Arial" w:hAnsi="Arial"/>
                <w:sz w:val="20"/>
                <w:szCs w:val="20"/>
              </w:rPr>
              <w:t xml:space="preserve"> training curriculum.</w:t>
            </w:r>
          </w:p>
        </w:tc>
      </w:tr>
    </w:tbl>
    <w:p w14:paraId="724CA77C" w14:textId="77777777" w:rsidR="008E3017" w:rsidRDefault="008E3017" w:rsidP="008A6CBC">
      <w:pPr>
        <w:jc w:val="both"/>
        <w:rPr>
          <w:rFonts w:ascii="Arial" w:hAnsi="Arial"/>
          <w:sz w:val="22"/>
          <w:szCs w:val="22"/>
        </w:rPr>
      </w:pPr>
    </w:p>
    <w:p w14:paraId="1A9D8DB0" w14:textId="73640CD9" w:rsidR="00C32748" w:rsidRDefault="00FA2108" w:rsidP="008A6CBC">
      <w:pPr>
        <w:jc w:val="both"/>
        <w:rPr>
          <w:rFonts w:ascii="Arial" w:hAnsi="Arial"/>
          <w:sz w:val="22"/>
          <w:szCs w:val="22"/>
        </w:rPr>
      </w:pPr>
      <w:r>
        <w:rPr>
          <w:rFonts w:ascii="Arial" w:hAnsi="Arial"/>
          <w:sz w:val="22"/>
          <w:szCs w:val="22"/>
        </w:rPr>
        <w:t xml:space="preserve">In </w:t>
      </w:r>
      <w:r w:rsidR="0070796F">
        <w:rPr>
          <w:rFonts w:ascii="Arial" w:hAnsi="Arial"/>
          <w:sz w:val="22"/>
          <w:szCs w:val="22"/>
        </w:rPr>
        <w:t>the 2016-</w:t>
      </w:r>
      <w:r w:rsidR="005D3F44">
        <w:rPr>
          <w:rFonts w:ascii="Arial" w:hAnsi="Arial"/>
          <w:sz w:val="22"/>
          <w:szCs w:val="22"/>
        </w:rPr>
        <w:t>2017, work on</w:t>
      </w:r>
      <w:r>
        <w:rPr>
          <w:rFonts w:ascii="Arial" w:hAnsi="Arial"/>
          <w:sz w:val="22"/>
          <w:szCs w:val="22"/>
        </w:rPr>
        <w:t xml:space="preserve"> public service delivery standards </w:t>
      </w:r>
      <w:r w:rsidR="007B4E28">
        <w:rPr>
          <w:rFonts w:ascii="Arial" w:hAnsi="Arial"/>
          <w:sz w:val="22"/>
          <w:szCs w:val="22"/>
        </w:rPr>
        <w:t>began with PSDA. An intern</w:t>
      </w:r>
      <w:r w:rsidR="000945A9">
        <w:rPr>
          <w:rFonts w:ascii="Arial" w:hAnsi="Arial"/>
          <w:sz w:val="22"/>
          <w:szCs w:val="22"/>
        </w:rPr>
        <w:t>ational and loca</w:t>
      </w:r>
      <w:r w:rsidR="005D3F44">
        <w:rPr>
          <w:rFonts w:ascii="Arial" w:hAnsi="Arial"/>
          <w:sz w:val="22"/>
          <w:szCs w:val="22"/>
        </w:rPr>
        <w:t xml:space="preserve">l consultant </w:t>
      </w:r>
      <w:r w:rsidR="000945A9">
        <w:rPr>
          <w:rFonts w:ascii="Arial" w:hAnsi="Arial"/>
          <w:sz w:val="22"/>
          <w:szCs w:val="22"/>
        </w:rPr>
        <w:t>prepare</w:t>
      </w:r>
      <w:r w:rsidR="005D3F44">
        <w:rPr>
          <w:rFonts w:ascii="Arial" w:hAnsi="Arial"/>
          <w:sz w:val="22"/>
          <w:szCs w:val="22"/>
        </w:rPr>
        <w:t>s</w:t>
      </w:r>
      <w:r w:rsidR="00C32748">
        <w:rPr>
          <w:rFonts w:ascii="Arial" w:hAnsi="Arial"/>
          <w:sz w:val="22"/>
          <w:szCs w:val="22"/>
        </w:rPr>
        <w:t xml:space="preserve"> a policy document to apply to different public servic</w:t>
      </w:r>
      <w:r w:rsidR="005D3F44">
        <w:rPr>
          <w:rFonts w:ascii="Arial" w:hAnsi="Arial"/>
          <w:sz w:val="22"/>
          <w:szCs w:val="22"/>
        </w:rPr>
        <w:t xml:space="preserve">es across all </w:t>
      </w:r>
      <w:proofErr w:type="spellStart"/>
      <w:r w:rsidR="005D3F44">
        <w:rPr>
          <w:rFonts w:ascii="Arial" w:hAnsi="Arial"/>
          <w:sz w:val="22"/>
          <w:szCs w:val="22"/>
        </w:rPr>
        <w:t>GoG</w:t>
      </w:r>
      <w:proofErr w:type="spellEnd"/>
      <w:r w:rsidR="005D3F44">
        <w:rPr>
          <w:rFonts w:ascii="Arial" w:hAnsi="Arial"/>
          <w:sz w:val="22"/>
          <w:szCs w:val="22"/>
        </w:rPr>
        <w:t xml:space="preserve"> ministries to</w:t>
      </w:r>
      <w:r w:rsidR="00C32748">
        <w:rPr>
          <w:rFonts w:ascii="Arial" w:hAnsi="Arial"/>
          <w:sz w:val="22"/>
          <w:szCs w:val="22"/>
        </w:rPr>
        <w:t xml:space="preserve"> include equal accessibility to services, a citizen-centric design, transparency, </w:t>
      </w:r>
      <w:r w:rsidR="00C32748">
        <w:rPr>
          <w:rFonts w:ascii="Arial" w:hAnsi="Arial"/>
          <w:sz w:val="22"/>
          <w:szCs w:val="22"/>
        </w:rPr>
        <w:lastRenderedPageBreak/>
        <w:t xml:space="preserve">fair pricing and reliable monitoring. </w:t>
      </w:r>
      <w:r w:rsidR="0070796F">
        <w:rPr>
          <w:rFonts w:ascii="Arial" w:hAnsi="Arial"/>
          <w:sz w:val="22"/>
          <w:szCs w:val="22"/>
        </w:rPr>
        <w:t xml:space="preserve">Also during this </w:t>
      </w:r>
      <w:r w:rsidR="007B4E28">
        <w:rPr>
          <w:rFonts w:ascii="Arial" w:hAnsi="Arial"/>
          <w:sz w:val="22"/>
          <w:szCs w:val="22"/>
        </w:rPr>
        <w:t>period, loca</w:t>
      </w:r>
      <w:r w:rsidR="005D3F44">
        <w:rPr>
          <w:rFonts w:ascii="Arial" w:hAnsi="Arial"/>
          <w:sz w:val="22"/>
          <w:szCs w:val="22"/>
        </w:rPr>
        <w:t>l consultants</w:t>
      </w:r>
      <w:r w:rsidR="00C32748">
        <w:rPr>
          <w:rFonts w:ascii="Arial" w:hAnsi="Arial"/>
          <w:sz w:val="22"/>
          <w:szCs w:val="22"/>
        </w:rPr>
        <w:t xml:space="preserve"> integra</w:t>
      </w:r>
      <w:r w:rsidR="007B4E28">
        <w:rPr>
          <w:rFonts w:ascii="Arial" w:hAnsi="Arial"/>
          <w:sz w:val="22"/>
          <w:szCs w:val="22"/>
        </w:rPr>
        <w:t>te</w:t>
      </w:r>
      <w:r w:rsidR="00C32748">
        <w:rPr>
          <w:rFonts w:ascii="Arial" w:hAnsi="Arial"/>
          <w:sz w:val="22"/>
          <w:szCs w:val="22"/>
        </w:rPr>
        <w:t xml:space="preserve"> 10 </w:t>
      </w:r>
      <w:r w:rsidR="000945A9">
        <w:rPr>
          <w:rFonts w:ascii="Arial" w:hAnsi="Arial"/>
          <w:sz w:val="22"/>
          <w:szCs w:val="22"/>
        </w:rPr>
        <w:t>local municipality services on my.gov.ge</w:t>
      </w:r>
      <w:r w:rsidR="0070796F">
        <w:rPr>
          <w:rFonts w:ascii="Arial" w:hAnsi="Arial"/>
          <w:sz w:val="22"/>
          <w:szCs w:val="22"/>
        </w:rPr>
        <w:t>. Work</w:t>
      </w:r>
      <w:r w:rsidR="007B4E28">
        <w:rPr>
          <w:rFonts w:ascii="Arial" w:hAnsi="Arial"/>
          <w:sz w:val="22"/>
          <w:szCs w:val="22"/>
        </w:rPr>
        <w:t xml:space="preserve"> was conducted to prepare videos</w:t>
      </w:r>
      <w:r w:rsidR="00C32748">
        <w:rPr>
          <w:rFonts w:ascii="Arial" w:hAnsi="Arial"/>
          <w:sz w:val="22"/>
          <w:szCs w:val="22"/>
        </w:rPr>
        <w:t xml:space="preserve"> and </w:t>
      </w:r>
      <w:r w:rsidR="007B4E28">
        <w:rPr>
          <w:rFonts w:ascii="Arial" w:hAnsi="Arial"/>
          <w:sz w:val="22"/>
          <w:szCs w:val="22"/>
        </w:rPr>
        <w:t xml:space="preserve">provide </w:t>
      </w:r>
      <w:r w:rsidR="00C32748">
        <w:rPr>
          <w:rFonts w:ascii="Arial" w:hAnsi="Arial"/>
          <w:sz w:val="22"/>
          <w:szCs w:val="22"/>
        </w:rPr>
        <w:t>design services</w:t>
      </w:r>
      <w:r w:rsidR="00C45FA6">
        <w:rPr>
          <w:rFonts w:ascii="Arial" w:hAnsi="Arial"/>
          <w:sz w:val="22"/>
          <w:szCs w:val="22"/>
        </w:rPr>
        <w:t xml:space="preserve"> to market e-government best practi</w:t>
      </w:r>
      <w:r w:rsidR="007B4E28">
        <w:rPr>
          <w:rFonts w:ascii="Arial" w:hAnsi="Arial"/>
          <w:sz w:val="22"/>
          <w:szCs w:val="22"/>
        </w:rPr>
        <w:t>ces and solutions. E</w:t>
      </w:r>
      <w:r w:rsidR="00C45FA6">
        <w:rPr>
          <w:rFonts w:ascii="Arial" w:hAnsi="Arial"/>
          <w:sz w:val="22"/>
          <w:szCs w:val="22"/>
        </w:rPr>
        <w:t xml:space="preserve">xpertise </w:t>
      </w:r>
      <w:r w:rsidR="007B4E28">
        <w:rPr>
          <w:rFonts w:ascii="Arial" w:hAnsi="Arial"/>
          <w:sz w:val="22"/>
          <w:szCs w:val="22"/>
        </w:rPr>
        <w:t>was exchanged with other countries in Eastern Europe</w:t>
      </w:r>
      <w:r w:rsidR="00C45FA6">
        <w:rPr>
          <w:rFonts w:ascii="Arial" w:hAnsi="Arial"/>
          <w:sz w:val="22"/>
          <w:szCs w:val="22"/>
        </w:rPr>
        <w:t>, Central Asia, Africa and South Caucasus.</w:t>
      </w:r>
    </w:p>
    <w:p w14:paraId="2D6150B3" w14:textId="77777777" w:rsidR="00B96876" w:rsidRDefault="00B96876" w:rsidP="008A6CBC">
      <w:pPr>
        <w:jc w:val="both"/>
        <w:rPr>
          <w:rFonts w:ascii="Arial" w:hAnsi="Arial"/>
          <w:sz w:val="22"/>
          <w:szCs w:val="22"/>
        </w:rPr>
      </w:pPr>
    </w:p>
    <w:p w14:paraId="7FF4DFF5" w14:textId="2E9D995B" w:rsidR="00B94446" w:rsidRDefault="005D3F44" w:rsidP="008A6CBC">
      <w:pPr>
        <w:jc w:val="both"/>
        <w:rPr>
          <w:rFonts w:ascii="Arial" w:hAnsi="Arial"/>
          <w:sz w:val="22"/>
          <w:szCs w:val="22"/>
        </w:rPr>
      </w:pPr>
      <w:r>
        <w:rPr>
          <w:rFonts w:ascii="Arial" w:hAnsi="Arial"/>
          <w:sz w:val="22"/>
          <w:szCs w:val="22"/>
        </w:rPr>
        <w:t>T</w:t>
      </w:r>
      <w:r w:rsidR="000945A9">
        <w:rPr>
          <w:rFonts w:ascii="Arial" w:hAnsi="Arial"/>
          <w:sz w:val="22"/>
          <w:szCs w:val="22"/>
        </w:rPr>
        <w:t>he Georgian</w:t>
      </w:r>
      <w:r w:rsidR="00FD173C">
        <w:rPr>
          <w:rFonts w:ascii="Arial" w:hAnsi="Arial"/>
          <w:sz w:val="22"/>
          <w:szCs w:val="22"/>
        </w:rPr>
        <w:t xml:space="preserve"> Public Service Delivery Baseli</w:t>
      </w:r>
      <w:r>
        <w:rPr>
          <w:rFonts w:ascii="Arial" w:hAnsi="Arial"/>
          <w:sz w:val="22"/>
          <w:szCs w:val="22"/>
        </w:rPr>
        <w:t>ne Assessment Report</w:t>
      </w:r>
      <w:r w:rsidR="00FD173C">
        <w:rPr>
          <w:rFonts w:ascii="Arial" w:hAnsi="Arial"/>
          <w:sz w:val="22"/>
          <w:szCs w:val="22"/>
        </w:rPr>
        <w:t xml:space="preserve"> reviewed public service design, delivery, pricing, and quality assurance. It identified existing gaps and best practices. The report was presented to the PAR Council’s Service Delivery Working Group. The working group provided feedback. To follow-up on the report, PSDA continued to work on co</w:t>
      </w:r>
      <w:r w:rsidR="000945A9">
        <w:rPr>
          <w:rFonts w:ascii="Arial" w:hAnsi="Arial"/>
          <w:sz w:val="22"/>
          <w:szCs w:val="22"/>
        </w:rPr>
        <w:t>mmon guidelines.</w:t>
      </w:r>
      <w:r w:rsidR="00FD173C">
        <w:rPr>
          <w:rFonts w:ascii="Arial" w:hAnsi="Arial"/>
          <w:sz w:val="22"/>
          <w:szCs w:val="22"/>
        </w:rPr>
        <w:t xml:space="preserve"> The project also supported the preparation of the Case Study Report on Public Service Delivery Monitoring and New Service Development Processes in Servic</w:t>
      </w:r>
      <w:r>
        <w:rPr>
          <w:rFonts w:ascii="Arial" w:hAnsi="Arial"/>
          <w:sz w:val="22"/>
          <w:szCs w:val="22"/>
        </w:rPr>
        <w:t>e Delivery Agencies in Georgia to contribute to</w:t>
      </w:r>
      <w:r w:rsidR="00EA7B80">
        <w:rPr>
          <w:rFonts w:ascii="Arial" w:hAnsi="Arial"/>
          <w:sz w:val="22"/>
          <w:szCs w:val="22"/>
        </w:rPr>
        <w:t xml:space="preserve"> the </w:t>
      </w:r>
      <w:r w:rsidR="00B94446">
        <w:rPr>
          <w:rFonts w:ascii="Arial" w:hAnsi="Arial"/>
          <w:sz w:val="22"/>
          <w:szCs w:val="22"/>
        </w:rPr>
        <w:t xml:space="preserve">unified </w:t>
      </w:r>
      <w:r w:rsidR="007B4E28">
        <w:rPr>
          <w:rFonts w:ascii="Arial" w:hAnsi="Arial"/>
          <w:sz w:val="22"/>
          <w:szCs w:val="22"/>
        </w:rPr>
        <w:t xml:space="preserve">public service delivery </w:t>
      </w:r>
      <w:r w:rsidR="00B94446">
        <w:rPr>
          <w:rFonts w:ascii="Arial" w:hAnsi="Arial"/>
          <w:sz w:val="22"/>
          <w:szCs w:val="22"/>
        </w:rPr>
        <w:t>standa</w:t>
      </w:r>
      <w:r w:rsidR="000945A9">
        <w:rPr>
          <w:rFonts w:ascii="Arial" w:hAnsi="Arial"/>
          <w:sz w:val="22"/>
          <w:szCs w:val="22"/>
        </w:rPr>
        <w:t>rds.</w:t>
      </w:r>
    </w:p>
    <w:p w14:paraId="4BF94FFC" w14:textId="77777777" w:rsidR="00EA7B80" w:rsidRDefault="00EA7B80" w:rsidP="008A6CBC">
      <w:pPr>
        <w:jc w:val="both"/>
        <w:rPr>
          <w:rFonts w:ascii="Arial" w:hAnsi="Arial"/>
          <w:sz w:val="22"/>
          <w:szCs w:val="22"/>
        </w:rPr>
      </w:pPr>
    </w:p>
    <w:p w14:paraId="1CDB6604" w14:textId="388F62E6" w:rsidR="00FD7F0B" w:rsidRDefault="00EA7B80" w:rsidP="008A6CBC">
      <w:pPr>
        <w:jc w:val="both"/>
        <w:rPr>
          <w:rFonts w:ascii="Arial" w:hAnsi="Arial"/>
          <w:sz w:val="22"/>
          <w:szCs w:val="22"/>
        </w:rPr>
      </w:pPr>
      <w:r>
        <w:rPr>
          <w:rFonts w:ascii="Arial" w:hAnsi="Arial"/>
          <w:sz w:val="22"/>
          <w:szCs w:val="22"/>
        </w:rPr>
        <w:t>Work on my.gov.ge consisted of helping</w:t>
      </w:r>
      <w:r w:rsidR="00FD7F0B">
        <w:rPr>
          <w:rFonts w:ascii="Arial" w:hAnsi="Arial"/>
          <w:sz w:val="22"/>
          <w:szCs w:val="22"/>
        </w:rPr>
        <w:t xml:space="preserve"> to advance the kn</w:t>
      </w:r>
      <w:r>
        <w:rPr>
          <w:rFonts w:ascii="Arial" w:hAnsi="Arial"/>
          <w:sz w:val="22"/>
          <w:szCs w:val="22"/>
        </w:rPr>
        <w:t>owledge, expertise a</w:t>
      </w:r>
      <w:r w:rsidR="000945A9">
        <w:rPr>
          <w:rFonts w:ascii="Arial" w:hAnsi="Arial"/>
          <w:sz w:val="22"/>
          <w:szCs w:val="22"/>
        </w:rPr>
        <w:t>n</w:t>
      </w:r>
      <w:r>
        <w:rPr>
          <w:rFonts w:ascii="Arial" w:hAnsi="Arial"/>
          <w:sz w:val="22"/>
          <w:szCs w:val="22"/>
        </w:rPr>
        <w:t>d management</w:t>
      </w:r>
      <w:r w:rsidR="00FD7F0B">
        <w:rPr>
          <w:rFonts w:ascii="Arial" w:hAnsi="Arial"/>
          <w:sz w:val="22"/>
          <w:szCs w:val="22"/>
        </w:rPr>
        <w:t xml:space="preserve"> of e-governance by en</w:t>
      </w:r>
      <w:r>
        <w:rPr>
          <w:rFonts w:ascii="Arial" w:hAnsi="Arial"/>
          <w:sz w:val="22"/>
          <w:szCs w:val="22"/>
        </w:rPr>
        <w:t>hancing the use of the web site</w:t>
      </w:r>
      <w:r w:rsidR="00FD7F0B">
        <w:rPr>
          <w:rFonts w:ascii="Arial" w:hAnsi="Arial"/>
          <w:sz w:val="22"/>
          <w:szCs w:val="22"/>
        </w:rPr>
        <w:t xml:space="preserve"> through </w:t>
      </w:r>
      <w:r>
        <w:rPr>
          <w:rFonts w:ascii="Arial" w:hAnsi="Arial"/>
          <w:sz w:val="22"/>
          <w:szCs w:val="22"/>
        </w:rPr>
        <w:t xml:space="preserve">the </w:t>
      </w:r>
      <w:r w:rsidR="00FD7F0B">
        <w:rPr>
          <w:rFonts w:ascii="Arial" w:hAnsi="Arial"/>
          <w:sz w:val="22"/>
          <w:szCs w:val="22"/>
        </w:rPr>
        <w:t>integration of new services; creating replicable methodological packages that include</w:t>
      </w:r>
      <w:r>
        <w:rPr>
          <w:rFonts w:ascii="Arial" w:hAnsi="Arial"/>
          <w:sz w:val="22"/>
          <w:szCs w:val="22"/>
        </w:rPr>
        <w:t>d</w:t>
      </w:r>
      <w:r w:rsidR="00FD7F0B">
        <w:rPr>
          <w:rFonts w:ascii="Arial" w:hAnsi="Arial"/>
          <w:sz w:val="22"/>
          <w:szCs w:val="22"/>
        </w:rPr>
        <w:t xml:space="preserve"> technical documentation</w:t>
      </w:r>
      <w:r>
        <w:rPr>
          <w:rFonts w:ascii="Arial" w:hAnsi="Arial"/>
          <w:sz w:val="22"/>
          <w:szCs w:val="22"/>
        </w:rPr>
        <w:t xml:space="preserve"> and best practices; contributing</w:t>
      </w:r>
      <w:r w:rsidR="00FD7F0B">
        <w:rPr>
          <w:rFonts w:ascii="Arial" w:hAnsi="Arial"/>
          <w:sz w:val="22"/>
          <w:szCs w:val="22"/>
        </w:rPr>
        <w:t xml:space="preserve"> to the establishment of the </w:t>
      </w:r>
      <w:r>
        <w:rPr>
          <w:rFonts w:ascii="Arial" w:hAnsi="Arial"/>
          <w:sz w:val="22"/>
          <w:szCs w:val="22"/>
        </w:rPr>
        <w:t xml:space="preserve">e-governance </w:t>
      </w:r>
      <w:r w:rsidR="00FD7F0B">
        <w:rPr>
          <w:rFonts w:ascii="Arial" w:hAnsi="Arial"/>
          <w:sz w:val="22"/>
          <w:szCs w:val="22"/>
        </w:rPr>
        <w:t>C</w:t>
      </w:r>
      <w:r w:rsidR="009915DA">
        <w:rPr>
          <w:rFonts w:ascii="Arial" w:hAnsi="Arial"/>
          <w:sz w:val="22"/>
          <w:szCs w:val="22"/>
        </w:rPr>
        <w:t>ompetency</w:t>
      </w:r>
      <w:r>
        <w:rPr>
          <w:rFonts w:ascii="Arial" w:hAnsi="Arial"/>
          <w:sz w:val="22"/>
          <w:szCs w:val="22"/>
        </w:rPr>
        <w:t xml:space="preserve"> Centre; and building</w:t>
      </w:r>
      <w:r w:rsidR="00FD7F0B">
        <w:rPr>
          <w:rFonts w:ascii="Arial" w:hAnsi="Arial"/>
          <w:sz w:val="22"/>
          <w:szCs w:val="22"/>
        </w:rPr>
        <w:t xml:space="preserve"> </w:t>
      </w:r>
      <w:r>
        <w:rPr>
          <w:rFonts w:ascii="Arial" w:hAnsi="Arial"/>
          <w:sz w:val="22"/>
          <w:szCs w:val="22"/>
        </w:rPr>
        <w:t xml:space="preserve">the </w:t>
      </w:r>
      <w:r w:rsidR="00A21262">
        <w:rPr>
          <w:rFonts w:ascii="Arial" w:hAnsi="Arial"/>
          <w:sz w:val="22"/>
          <w:szCs w:val="22"/>
        </w:rPr>
        <w:t>public sector personnel capacity for</w:t>
      </w:r>
      <w:r>
        <w:rPr>
          <w:rFonts w:ascii="Arial" w:hAnsi="Arial"/>
          <w:sz w:val="22"/>
          <w:szCs w:val="22"/>
        </w:rPr>
        <w:t xml:space="preserve"> e-service</w:t>
      </w:r>
      <w:r w:rsidR="00A21262">
        <w:rPr>
          <w:rFonts w:ascii="Arial" w:hAnsi="Arial"/>
          <w:sz w:val="22"/>
          <w:szCs w:val="22"/>
        </w:rPr>
        <w:t>s</w:t>
      </w:r>
      <w:r w:rsidR="00FD7F0B">
        <w:rPr>
          <w:rFonts w:ascii="Arial" w:hAnsi="Arial"/>
          <w:sz w:val="22"/>
          <w:szCs w:val="22"/>
        </w:rPr>
        <w:t xml:space="preserve"> </w:t>
      </w:r>
      <w:r>
        <w:rPr>
          <w:rFonts w:ascii="Arial" w:hAnsi="Arial"/>
          <w:sz w:val="22"/>
          <w:szCs w:val="22"/>
        </w:rPr>
        <w:t>and cyber security</w:t>
      </w:r>
      <w:r w:rsidR="000945A9">
        <w:rPr>
          <w:rFonts w:ascii="Arial" w:hAnsi="Arial"/>
          <w:sz w:val="22"/>
          <w:szCs w:val="22"/>
        </w:rPr>
        <w:t xml:space="preserve">. </w:t>
      </w:r>
      <w:r>
        <w:rPr>
          <w:rFonts w:ascii="Arial" w:hAnsi="Arial"/>
          <w:sz w:val="22"/>
          <w:szCs w:val="22"/>
        </w:rPr>
        <w:t>E</w:t>
      </w:r>
      <w:r w:rsidR="00FD7F0B">
        <w:rPr>
          <w:rFonts w:ascii="Arial" w:hAnsi="Arial"/>
          <w:sz w:val="22"/>
          <w:szCs w:val="22"/>
        </w:rPr>
        <w:t>-l</w:t>
      </w:r>
      <w:r w:rsidR="00B11B14">
        <w:rPr>
          <w:rFonts w:ascii="Arial" w:hAnsi="Arial"/>
          <w:sz w:val="22"/>
          <w:szCs w:val="22"/>
        </w:rPr>
        <w:t>e</w:t>
      </w:r>
      <w:r w:rsidR="00FD7F0B">
        <w:rPr>
          <w:rFonts w:ascii="Arial" w:hAnsi="Arial"/>
          <w:sz w:val="22"/>
          <w:szCs w:val="22"/>
        </w:rPr>
        <w:t xml:space="preserve">arning systems </w:t>
      </w:r>
      <w:r>
        <w:rPr>
          <w:rFonts w:ascii="Arial" w:hAnsi="Arial"/>
          <w:sz w:val="22"/>
          <w:szCs w:val="22"/>
        </w:rPr>
        <w:t xml:space="preserve">were developed </w:t>
      </w:r>
      <w:r w:rsidR="00FD7F0B">
        <w:rPr>
          <w:rFonts w:ascii="Arial" w:hAnsi="Arial"/>
          <w:sz w:val="22"/>
          <w:szCs w:val="22"/>
        </w:rPr>
        <w:t>for these are</w:t>
      </w:r>
      <w:r w:rsidR="00B11B14">
        <w:rPr>
          <w:rFonts w:ascii="Arial" w:hAnsi="Arial"/>
          <w:sz w:val="22"/>
          <w:szCs w:val="22"/>
        </w:rPr>
        <w:t>a</w:t>
      </w:r>
      <w:r>
        <w:rPr>
          <w:rFonts w:ascii="Arial" w:hAnsi="Arial"/>
          <w:sz w:val="22"/>
          <w:szCs w:val="22"/>
        </w:rPr>
        <w:t>s.</w:t>
      </w:r>
    </w:p>
    <w:p w14:paraId="6C154839" w14:textId="77777777" w:rsidR="00FD7F0B" w:rsidRDefault="00FD7F0B" w:rsidP="008A6CBC">
      <w:pPr>
        <w:jc w:val="both"/>
        <w:rPr>
          <w:rFonts w:ascii="Arial" w:hAnsi="Arial"/>
          <w:sz w:val="22"/>
          <w:szCs w:val="22"/>
        </w:rPr>
      </w:pPr>
    </w:p>
    <w:p w14:paraId="130095EF" w14:textId="6F111425" w:rsidR="00B11B14" w:rsidRDefault="00EA7B80" w:rsidP="008A6CBC">
      <w:pPr>
        <w:jc w:val="both"/>
        <w:rPr>
          <w:rFonts w:ascii="Arial" w:hAnsi="Arial"/>
          <w:sz w:val="22"/>
          <w:szCs w:val="22"/>
        </w:rPr>
      </w:pPr>
      <w:r>
        <w:rPr>
          <w:rFonts w:ascii="Arial" w:hAnsi="Arial"/>
          <w:sz w:val="22"/>
          <w:szCs w:val="22"/>
        </w:rPr>
        <w:t xml:space="preserve">The </w:t>
      </w:r>
      <w:r w:rsidR="00B11B14">
        <w:rPr>
          <w:rFonts w:ascii="Arial" w:hAnsi="Arial"/>
          <w:sz w:val="22"/>
          <w:szCs w:val="22"/>
        </w:rPr>
        <w:t xml:space="preserve">DEA </w:t>
      </w:r>
      <w:r>
        <w:rPr>
          <w:rFonts w:ascii="Arial" w:hAnsi="Arial"/>
          <w:sz w:val="22"/>
          <w:szCs w:val="22"/>
        </w:rPr>
        <w:t xml:space="preserve">(now DGA) </w:t>
      </w:r>
      <w:r w:rsidR="00B11B14">
        <w:rPr>
          <w:rFonts w:ascii="Arial" w:hAnsi="Arial"/>
          <w:sz w:val="22"/>
          <w:szCs w:val="22"/>
        </w:rPr>
        <w:t>launched activiti</w:t>
      </w:r>
      <w:r>
        <w:rPr>
          <w:rFonts w:ascii="Arial" w:hAnsi="Arial"/>
          <w:sz w:val="22"/>
          <w:szCs w:val="22"/>
        </w:rPr>
        <w:t>es to gain citizen feedback to develop</w:t>
      </w:r>
      <w:r w:rsidR="000B68A3">
        <w:rPr>
          <w:rFonts w:ascii="Arial" w:hAnsi="Arial"/>
          <w:sz w:val="22"/>
          <w:szCs w:val="22"/>
        </w:rPr>
        <w:t xml:space="preserve"> </w:t>
      </w:r>
      <w:r w:rsidR="00B11B14">
        <w:rPr>
          <w:rFonts w:ascii="Arial" w:hAnsi="Arial"/>
          <w:sz w:val="22"/>
          <w:szCs w:val="22"/>
        </w:rPr>
        <w:t>on</w:t>
      </w:r>
      <w:r w:rsidR="005D3F44">
        <w:rPr>
          <w:rFonts w:ascii="Arial" w:hAnsi="Arial"/>
          <w:sz w:val="22"/>
          <w:szCs w:val="22"/>
        </w:rPr>
        <w:t>-</w:t>
      </w:r>
      <w:r w:rsidR="00B11B14">
        <w:rPr>
          <w:rFonts w:ascii="Arial" w:hAnsi="Arial"/>
          <w:sz w:val="22"/>
          <w:szCs w:val="22"/>
        </w:rPr>
        <w:t>li</w:t>
      </w:r>
      <w:r>
        <w:rPr>
          <w:rFonts w:ascii="Arial" w:hAnsi="Arial"/>
          <w:sz w:val="22"/>
          <w:szCs w:val="22"/>
        </w:rPr>
        <w:t xml:space="preserve">ne services and </w:t>
      </w:r>
      <w:r w:rsidR="00A21262">
        <w:rPr>
          <w:rFonts w:ascii="Arial" w:hAnsi="Arial"/>
          <w:sz w:val="22"/>
          <w:szCs w:val="22"/>
        </w:rPr>
        <w:t xml:space="preserve">to </w:t>
      </w:r>
      <w:r>
        <w:rPr>
          <w:rFonts w:ascii="Arial" w:hAnsi="Arial"/>
          <w:sz w:val="22"/>
          <w:szCs w:val="22"/>
        </w:rPr>
        <w:t>increas</w:t>
      </w:r>
      <w:r w:rsidR="00A21262">
        <w:rPr>
          <w:rFonts w:ascii="Arial" w:hAnsi="Arial"/>
          <w:sz w:val="22"/>
          <w:szCs w:val="22"/>
        </w:rPr>
        <w:t>e</w:t>
      </w:r>
      <w:r>
        <w:rPr>
          <w:rFonts w:ascii="Arial" w:hAnsi="Arial"/>
          <w:sz w:val="22"/>
          <w:szCs w:val="22"/>
        </w:rPr>
        <w:t xml:space="preserve"> usage. Use</w:t>
      </w:r>
      <w:r w:rsidR="00B11B14">
        <w:rPr>
          <w:rFonts w:ascii="Arial" w:hAnsi="Arial"/>
          <w:sz w:val="22"/>
          <w:szCs w:val="22"/>
        </w:rPr>
        <w:t xml:space="preserve"> of my.gov.ge increased substantially from less than 5,000 in 2012 to more than 120,000 by 2017 with the largest gain reportedly in 2017. </w:t>
      </w:r>
      <w:r>
        <w:rPr>
          <w:rFonts w:ascii="Arial" w:hAnsi="Arial"/>
          <w:sz w:val="22"/>
          <w:szCs w:val="22"/>
        </w:rPr>
        <w:t xml:space="preserve">More services were on-line and public accessibility improved. According to project reporting the project supported </w:t>
      </w:r>
      <w:r w:rsidR="00B11B14">
        <w:rPr>
          <w:rFonts w:ascii="Arial" w:hAnsi="Arial"/>
          <w:sz w:val="22"/>
          <w:szCs w:val="22"/>
        </w:rPr>
        <w:t>8</w:t>
      </w:r>
      <w:r>
        <w:rPr>
          <w:rFonts w:ascii="Arial" w:hAnsi="Arial"/>
          <w:sz w:val="22"/>
          <w:szCs w:val="22"/>
        </w:rPr>
        <w:t xml:space="preserve"> public services that were added in 2017 and 44 were</w:t>
      </w:r>
      <w:r w:rsidR="00B11B14">
        <w:rPr>
          <w:rFonts w:ascii="Arial" w:hAnsi="Arial"/>
          <w:sz w:val="22"/>
          <w:szCs w:val="22"/>
        </w:rPr>
        <w:t xml:space="preserve"> converted to digital format. DEA establis</w:t>
      </w:r>
      <w:r>
        <w:rPr>
          <w:rFonts w:ascii="Arial" w:hAnsi="Arial"/>
          <w:sz w:val="22"/>
          <w:szCs w:val="22"/>
        </w:rPr>
        <w:t xml:space="preserve">hed information corners in </w:t>
      </w:r>
      <w:r w:rsidR="00B11B14">
        <w:rPr>
          <w:rFonts w:ascii="Arial" w:hAnsi="Arial"/>
          <w:sz w:val="22"/>
          <w:szCs w:val="22"/>
        </w:rPr>
        <w:t>the 13 Public Service Halls and provided training to personnel at 50 community centers</w:t>
      </w:r>
      <w:r w:rsidR="00A21262">
        <w:rPr>
          <w:rFonts w:ascii="Arial" w:hAnsi="Arial"/>
          <w:sz w:val="22"/>
          <w:szCs w:val="22"/>
        </w:rPr>
        <w:t xml:space="preserve"> on the usage of my.gov.ge services</w:t>
      </w:r>
      <w:r w:rsidR="00B11B14">
        <w:rPr>
          <w:rFonts w:ascii="Arial" w:hAnsi="Arial"/>
          <w:sz w:val="22"/>
          <w:szCs w:val="22"/>
        </w:rPr>
        <w:t>.</w:t>
      </w:r>
    </w:p>
    <w:p w14:paraId="29563AAA" w14:textId="77777777" w:rsidR="00FD7F0B" w:rsidRDefault="00FD7F0B" w:rsidP="008A6CBC">
      <w:pPr>
        <w:jc w:val="both"/>
        <w:rPr>
          <w:rFonts w:ascii="Arial" w:hAnsi="Arial"/>
          <w:sz w:val="22"/>
          <w:szCs w:val="22"/>
        </w:rPr>
      </w:pPr>
    </w:p>
    <w:p w14:paraId="076CA541" w14:textId="67417C8A" w:rsidR="00740B36" w:rsidRDefault="003B3C2F" w:rsidP="00740B36">
      <w:pPr>
        <w:jc w:val="both"/>
        <w:rPr>
          <w:rFonts w:ascii="Arial" w:hAnsi="Arial"/>
          <w:sz w:val="22"/>
          <w:szCs w:val="22"/>
        </w:rPr>
      </w:pPr>
      <w:r>
        <w:rPr>
          <w:rFonts w:ascii="Arial" w:hAnsi="Arial"/>
          <w:sz w:val="22"/>
          <w:szCs w:val="22"/>
        </w:rPr>
        <w:t>In 2018</w:t>
      </w:r>
      <w:r w:rsidR="00EA7B80">
        <w:rPr>
          <w:rFonts w:ascii="Arial" w:hAnsi="Arial"/>
          <w:sz w:val="22"/>
          <w:szCs w:val="22"/>
        </w:rPr>
        <w:t xml:space="preserve">, further </w:t>
      </w:r>
      <w:r w:rsidR="00740B36">
        <w:rPr>
          <w:rFonts w:ascii="Arial" w:hAnsi="Arial"/>
          <w:sz w:val="22"/>
          <w:szCs w:val="22"/>
        </w:rPr>
        <w:t xml:space="preserve">work </w:t>
      </w:r>
      <w:r w:rsidR="003D694B">
        <w:rPr>
          <w:rFonts w:ascii="Arial" w:hAnsi="Arial"/>
          <w:sz w:val="22"/>
          <w:szCs w:val="22"/>
        </w:rPr>
        <w:t xml:space="preserve">was done </w:t>
      </w:r>
      <w:r w:rsidR="00740B36">
        <w:rPr>
          <w:rFonts w:ascii="Arial" w:hAnsi="Arial"/>
          <w:sz w:val="22"/>
          <w:szCs w:val="22"/>
        </w:rPr>
        <w:t xml:space="preserve">on </w:t>
      </w:r>
      <w:r w:rsidR="003D694B">
        <w:rPr>
          <w:rFonts w:ascii="Arial" w:hAnsi="Arial"/>
          <w:sz w:val="22"/>
          <w:szCs w:val="22"/>
        </w:rPr>
        <w:t xml:space="preserve">the </w:t>
      </w:r>
      <w:r w:rsidR="00740B36">
        <w:rPr>
          <w:rFonts w:ascii="Arial" w:hAnsi="Arial"/>
          <w:sz w:val="22"/>
          <w:szCs w:val="22"/>
        </w:rPr>
        <w:t>public service design and delivery</w:t>
      </w:r>
      <w:r w:rsidR="003D694B">
        <w:rPr>
          <w:rFonts w:ascii="Arial" w:hAnsi="Arial"/>
          <w:sz w:val="22"/>
          <w:szCs w:val="22"/>
        </w:rPr>
        <w:t xml:space="preserve"> document</w:t>
      </w:r>
      <w:r w:rsidR="00740B36">
        <w:rPr>
          <w:rFonts w:ascii="Arial" w:hAnsi="Arial"/>
          <w:sz w:val="22"/>
          <w:szCs w:val="22"/>
        </w:rPr>
        <w:t>. It reached a final drafting stage in February but was not approved. The</w:t>
      </w:r>
      <w:r w:rsidR="00740B36" w:rsidRPr="00740B36">
        <w:rPr>
          <w:rFonts w:ascii="Arial" w:hAnsi="Arial"/>
          <w:sz w:val="22"/>
          <w:szCs w:val="22"/>
        </w:rPr>
        <w:t xml:space="preserve"> </w:t>
      </w:r>
      <w:r w:rsidR="000B68A3">
        <w:rPr>
          <w:rFonts w:ascii="Arial" w:hAnsi="Arial"/>
          <w:sz w:val="22"/>
          <w:szCs w:val="22"/>
        </w:rPr>
        <w:t>PAR Council’s Service Delivery Working Group worked</w:t>
      </w:r>
      <w:r w:rsidR="00740B36">
        <w:rPr>
          <w:rFonts w:ascii="Arial" w:hAnsi="Arial"/>
          <w:sz w:val="22"/>
          <w:szCs w:val="22"/>
        </w:rPr>
        <w:t xml:space="preserve"> on how to implement the policy. Several entities began aligning services to the document including the Public Service Hall – an LEPL </w:t>
      </w:r>
      <w:r w:rsidR="00A21262">
        <w:rPr>
          <w:rFonts w:ascii="Arial" w:hAnsi="Arial"/>
          <w:sz w:val="22"/>
          <w:szCs w:val="22"/>
        </w:rPr>
        <w:t>that</w:t>
      </w:r>
      <w:r w:rsidR="00740B36">
        <w:rPr>
          <w:rFonts w:ascii="Arial" w:hAnsi="Arial"/>
          <w:sz w:val="22"/>
          <w:szCs w:val="22"/>
        </w:rPr>
        <w:t xml:space="preserve"> is the largest public service provider in the country. At the same time, the project contracted a legal specialist to study the existing legislation to identify any gaps for implementation and if any amendments were needed. A study on pricing public services was also initiated. </w:t>
      </w:r>
    </w:p>
    <w:p w14:paraId="6B4CE756" w14:textId="77777777" w:rsidR="00740B36" w:rsidRDefault="00740B36" w:rsidP="00740B36">
      <w:pPr>
        <w:jc w:val="both"/>
        <w:rPr>
          <w:rFonts w:ascii="Arial" w:hAnsi="Arial"/>
          <w:sz w:val="22"/>
          <w:szCs w:val="22"/>
        </w:rPr>
      </w:pPr>
    </w:p>
    <w:p w14:paraId="4AD1C97B" w14:textId="506808E8" w:rsidR="00DA7915" w:rsidRDefault="00740B36" w:rsidP="00DA7915">
      <w:pPr>
        <w:jc w:val="both"/>
        <w:rPr>
          <w:rFonts w:ascii="Arial" w:hAnsi="Arial"/>
          <w:sz w:val="22"/>
          <w:szCs w:val="22"/>
        </w:rPr>
      </w:pPr>
      <w:r>
        <w:rPr>
          <w:rFonts w:ascii="Arial" w:hAnsi="Arial"/>
          <w:sz w:val="22"/>
          <w:szCs w:val="22"/>
        </w:rPr>
        <w:t xml:space="preserve">The </w:t>
      </w:r>
      <w:r w:rsidR="003D694B">
        <w:rPr>
          <w:rFonts w:ascii="Arial" w:hAnsi="Arial"/>
          <w:sz w:val="22"/>
          <w:szCs w:val="22"/>
        </w:rPr>
        <w:t xml:space="preserve">e-Governance </w:t>
      </w:r>
      <w:r w:rsidR="003B3C2F">
        <w:rPr>
          <w:rFonts w:ascii="Arial" w:hAnsi="Arial"/>
          <w:sz w:val="22"/>
          <w:szCs w:val="22"/>
        </w:rPr>
        <w:t>C</w:t>
      </w:r>
      <w:r w:rsidR="003D694B">
        <w:rPr>
          <w:rFonts w:ascii="Arial" w:hAnsi="Arial"/>
          <w:sz w:val="22"/>
          <w:szCs w:val="22"/>
        </w:rPr>
        <w:t>ompetency Centre</w:t>
      </w:r>
      <w:r w:rsidR="003B3C2F">
        <w:rPr>
          <w:rFonts w:ascii="Arial" w:hAnsi="Arial"/>
          <w:sz w:val="22"/>
          <w:szCs w:val="22"/>
        </w:rPr>
        <w:t xml:space="preserve"> was </w:t>
      </w:r>
      <w:r>
        <w:rPr>
          <w:rFonts w:ascii="Arial" w:hAnsi="Arial"/>
          <w:sz w:val="22"/>
          <w:szCs w:val="22"/>
        </w:rPr>
        <w:t>formally established</w:t>
      </w:r>
      <w:r w:rsidR="003B3C2F">
        <w:rPr>
          <w:rFonts w:ascii="Arial" w:hAnsi="Arial"/>
          <w:sz w:val="22"/>
          <w:szCs w:val="22"/>
        </w:rPr>
        <w:t xml:space="preserve"> to provide a knowledge database </w:t>
      </w:r>
      <w:r>
        <w:rPr>
          <w:rFonts w:ascii="Arial" w:hAnsi="Arial"/>
          <w:sz w:val="22"/>
          <w:szCs w:val="22"/>
        </w:rPr>
        <w:t xml:space="preserve">for </w:t>
      </w:r>
      <w:proofErr w:type="spellStart"/>
      <w:r>
        <w:rPr>
          <w:rFonts w:ascii="Arial" w:hAnsi="Arial"/>
          <w:sz w:val="22"/>
          <w:szCs w:val="22"/>
        </w:rPr>
        <w:t>GoG</w:t>
      </w:r>
      <w:proofErr w:type="spellEnd"/>
      <w:r>
        <w:rPr>
          <w:rFonts w:ascii="Arial" w:hAnsi="Arial"/>
          <w:sz w:val="22"/>
          <w:szCs w:val="22"/>
        </w:rPr>
        <w:t xml:space="preserve"> ministries and </w:t>
      </w:r>
      <w:r w:rsidR="003B3C2F">
        <w:rPr>
          <w:rFonts w:ascii="Arial" w:hAnsi="Arial"/>
          <w:sz w:val="22"/>
          <w:szCs w:val="22"/>
        </w:rPr>
        <w:t xml:space="preserve">agencies. </w:t>
      </w:r>
      <w:r w:rsidR="00DA7915">
        <w:rPr>
          <w:rFonts w:ascii="Arial" w:hAnsi="Arial"/>
          <w:sz w:val="22"/>
          <w:szCs w:val="22"/>
        </w:rPr>
        <w:t>The Centre’s</w:t>
      </w:r>
      <w:r w:rsidR="000B68A3">
        <w:rPr>
          <w:rFonts w:ascii="Arial" w:hAnsi="Arial"/>
          <w:sz w:val="22"/>
          <w:szCs w:val="22"/>
        </w:rPr>
        <w:t xml:space="preserve"> web site was prepared</w:t>
      </w:r>
      <w:r w:rsidR="00DA7915">
        <w:rPr>
          <w:rFonts w:ascii="Arial" w:hAnsi="Arial"/>
          <w:sz w:val="22"/>
          <w:szCs w:val="22"/>
        </w:rPr>
        <w:t>. Other countries were looking at Georgia’s e-governance efforts and the Centre was responding to requests for information.</w:t>
      </w:r>
    </w:p>
    <w:p w14:paraId="6614C18E" w14:textId="77777777" w:rsidR="00DA7915" w:rsidRDefault="00DA7915" w:rsidP="00DA7915">
      <w:pPr>
        <w:jc w:val="both"/>
        <w:rPr>
          <w:rFonts w:ascii="Arial" w:hAnsi="Arial"/>
          <w:sz w:val="22"/>
          <w:szCs w:val="22"/>
        </w:rPr>
      </w:pPr>
    </w:p>
    <w:p w14:paraId="5A4B859D" w14:textId="422A9E9F" w:rsidR="00CD1FE9" w:rsidRDefault="006E25BA" w:rsidP="008A6CBC">
      <w:pPr>
        <w:jc w:val="both"/>
        <w:rPr>
          <w:rFonts w:ascii="Arial" w:hAnsi="Arial"/>
          <w:sz w:val="22"/>
          <w:szCs w:val="22"/>
        </w:rPr>
      </w:pPr>
      <w:r>
        <w:rPr>
          <w:rFonts w:ascii="Arial" w:hAnsi="Arial"/>
          <w:sz w:val="22"/>
          <w:szCs w:val="22"/>
        </w:rPr>
        <w:t>At this time, it became noticeable that c</w:t>
      </w:r>
      <w:r w:rsidR="00CD1FE9" w:rsidRPr="007E1F25">
        <w:rPr>
          <w:rFonts w:ascii="Arial" w:hAnsi="Arial"/>
          <w:sz w:val="22"/>
          <w:szCs w:val="22"/>
        </w:rPr>
        <w:t xml:space="preserve">ritical </w:t>
      </w:r>
      <w:r w:rsidR="008D5741" w:rsidRPr="007E1F25">
        <w:rPr>
          <w:rFonts w:ascii="Arial" w:hAnsi="Arial"/>
          <w:sz w:val="22"/>
          <w:szCs w:val="22"/>
        </w:rPr>
        <w:t xml:space="preserve">human resource </w:t>
      </w:r>
      <w:r w:rsidR="00CD1FE9" w:rsidRPr="007E1F25">
        <w:rPr>
          <w:rFonts w:ascii="Arial" w:hAnsi="Arial"/>
          <w:sz w:val="22"/>
          <w:szCs w:val="22"/>
        </w:rPr>
        <w:t xml:space="preserve">capacity </w:t>
      </w:r>
      <w:r w:rsidR="008D5741" w:rsidRPr="007E1F25">
        <w:rPr>
          <w:rFonts w:ascii="Arial" w:hAnsi="Arial"/>
          <w:sz w:val="22"/>
          <w:szCs w:val="22"/>
        </w:rPr>
        <w:t xml:space="preserve">was being lost </w:t>
      </w:r>
      <w:r w:rsidR="003D694B">
        <w:rPr>
          <w:rFonts w:ascii="Arial" w:hAnsi="Arial"/>
          <w:sz w:val="22"/>
          <w:szCs w:val="22"/>
        </w:rPr>
        <w:t xml:space="preserve">in the key stakeholder entities </w:t>
      </w:r>
      <w:r w:rsidR="008D5741" w:rsidRPr="007E1F25">
        <w:rPr>
          <w:rFonts w:ascii="Arial" w:hAnsi="Arial"/>
          <w:sz w:val="22"/>
          <w:szCs w:val="22"/>
        </w:rPr>
        <w:t>while core procedures were</w:t>
      </w:r>
      <w:r w:rsidR="00CD1FE9" w:rsidRPr="007E1F25">
        <w:rPr>
          <w:rFonts w:ascii="Arial" w:hAnsi="Arial"/>
          <w:sz w:val="22"/>
          <w:szCs w:val="22"/>
        </w:rPr>
        <w:t xml:space="preserve"> not yet institutionalized</w:t>
      </w:r>
      <w:r w:rsidR="00CD1FE9">
        <w:rPr>
          <w:rFonts w:ascii="Arial" w:hAnsi="Arial"/>
          <w:sz w:val="22"/>
          <w:szCs w:val="22"/>
        </w:rPr>
        <w:t>.</w:t>
      </w:r>
      <w:r w:rsidR="008D5741">
        <w:rPr>
          <w:rFonts w:ascii="Arial" w:hAnsi="Arial"/>
          <w:sz w:val="22"/>
          <w:szCs w:val="22"/>
        </w:rPr>
        <w:t xml:space="preserve"> This issue was a chronic impediment for this outcome.</w:t>
      </w:r>
      <w:r>
        <w:rPr>
          <w:rFonts w:ascii="Arial" w:hAnsi="Arial"/>
          <w:sz w:val="22"/>
          <w:szCs w:val="22"/>
        </w:rPr>
        <w:t xml:space="preserve"> T</w:t>
      </w:r>
      <w:r w:rsidRPr="007E1F25">
        <w:rPr>
          <w:rFonts w:ascii="Arial" w:hAnsi="Arial"/>
          <w:sz w:val="22"/>
          <w:szCs w:val="22"/>
        </w:rPr>
        <w:t xml:space="preserve">he project worked with the Ministry of Justice to analyze ways to stem the outflow of qualified technical and managerial personnel. </w:t>
      </w:r>
    </w:p>
    <w:p w14:paraId="4F3AFD90" w14:textId="77777777" w:rsidR="00E62DCD" w:rsidRDefault="00E62DCD" w:rsidP="008A6CBC">
      <w:pPr>
        <w:jc w:val="both"/>
        <w:rPr>
          <w:rFonts w:ascii="Arial" w:hAnsi="Arial"/>
          <w:sz w:val="22"/>
          <w:szCs w:val="22"/>
        </w:rPr>
      </w:pPr>
    </w:p>
    <w:p w14:paraId="251E5A27" w14:textId="73D560AA" w:rsidR="00E62DCD" w:rsidRDefault="008D5741" w:rsidP="008A6CBC">
      <w:pPr>
        <w:jc w:val="both"/>
        <w:rPr>
          <w:rFonts w:ascii="Arial" w:hAnsi="Arial"/>
          <w:sz w:val="22"/>
          <w:szCs w:val="22"/>
        </w:rPr>
      </w:pPr>
      <w:r>
        <w:rPr>
          <w:rFonts w:ascii="Arial" w:hAnsi="Arial"/>
          <w:sz w:val="22"/>
          <w:szCs w:val="22"/>
        </w:rPr>
        <w:t xml:space="preserve">The </w:t>
      </w:r>
      <w:r w:rsidR="00E62DCD">
        <w:rPr>
          <w:rFonts w:ascii="Arial" w:hAnsi="Arial"/>
          <w:sz w:val="22"/>
          <w:szCs w:val="22"/>
        </w:rPr>
        <w:t>Case Study Report on Public Service Delivery Monitoring and New Service Development Processes in Service Delivery Agencies in Georgia</w:t>
      </w:r>
      <w:r>
        <w:rPr>
          <w:rFonts w:ascii="Arial" w:hAnsi="Arial"/>
          <w:sz w:val="22"/>
          <w:szCs w:val="22"/>
        </w:rPr>
        <w:t xml:space="preserve"> was completed.</w:t>
      </w:r>
      <w:r w:rsidR="00E62DCD">
        <w:rPr>
          <w:rFonts w:ascii="Arial" w:hAnsi="Arial"/>
          <w:sz w:val="22"/>
          <w:szCs w:val="22"/>
        </w:rPr>
        <w:t xml:space="preserve"> The study looked at public service quality monit</w:t>
      </w:r>
      <w:r>
        <w:rPr>
          <w:rFonts w:ascii="Arial" w:hAnsi="Arial"/>
          <w:sz w:val="22"/>
          <w:szCs w:val="22"/>
        </w:rPr>
        <w:t>oring practices and</w:t>
      </w:r>
      <w:r w:rsidR="00E62DCD">
        <w:rPr>
          <w:rFonts w:ascii="Arial" w:hAnsi="Arial"/>
          <w:sz w:val="22"/>
          <w:szCs w:val="22"/>
        </w:rPr>
        <w:t xml:space="preserve"> the business process </w:t>
      </w:r>
      <w:r w:rsidR="003D694B">
        <w:rPr>
          <w:rFonts w:ascii="Arial" w:hAnsi="Arial"/>
          <w:sz w:val="22"/>
          <w:szCs w:val="22"/>
        </w:rPr>
        <w:t>to create</w:t>
      </w:r>
      <w:r w:rsidR="00E62DCD">
        <w:rPr>
          <w:rFonts w:ascii="Arial" w:hAnsi="Arial"/>
          <w:sz w:val="22"/>
          <w:szCs w:val="22"/>
        </w:rPr>
        <w:t xml:space="preserve"> new </w:t>
      </w:r>
      <w:r>
        <w:rPr>
          <w:rFonts w:ascii="Arial" w:hAnsi="Arial"/>
          <w:sz w:val="22"/>
          <w:szCs w:val="22"/>
        </w:rPr>
        <w:t>public services</w:t>
      </w:r>
      <w:r w:rsidR="00E62DCD">
        <w:rPr>
          <w:rFonts w:ascii="Arial" w:hAnsi="Arial"/>
          <w:sz w:val="22"/>
          <w:szCs w:val="22"/>
        </w:rPr>
        <w:t>.</w:t>
      </w:r>
    </w:p>
    <w:p w14:paraId="413ACEAF" w14:textId="77777777" w:rsidR="00E62DCD" w:rsidRDefault="00E62DCD" w:rsidP="008A6CBC">
      <w:pPr>
        <w:jc w:val="both"/>
        <w:rPr>
          <w:rFonts w:ascii="Arial" w:hAnsi="Arial"/>
          <w:sz w:val="22"/>
          <w:szCs w:val="22"/>
        </w:rPr>
      </w:pPr>
    </w:p>
    <w:p w14:paraId="479C5897" w14:textId="7B0F676E" w:rsidR="00973786" w:rsidRDefault="008D5741" w:rsidP="008A6CBC">
      <w:pPr>
        <w:jc w:val="both"/>
        <w:rPr>
          <w:rFonts w:ascii="Arial" w:hAnsi="Arial"/>
          <w:sz w:val="22"/>
          <w:szCs w:val="22"/>
        </w:rPr>
      </w:pPr>
      <w:r>
        <w:rPr>
          <w:rFonts w:ascii="Arial" w:hAnsi="Arial"/>
          <w:sz w:val="22"/>
          <w:szCs w:val="22"/>
        </w:rPr>
        <w:t>E</w:t>
      </w:r>
      <w:r w:rsidR="00E62DCD">
        <w:rPr>
          <w:rFonts w:ascii="Arial" w:hAnsi="Arial"/>
          <w:sz w:val="22"/>
          <w:szCs w:val="22"/>
        </w:rPr>
        <w:t xml:space="preserve">-governance toolkits </w:t>
      </w:r>
      <w:r w:rsidR="000B68A3">
        <w:rPr>
          <w:rFonts w:ascii="Arial" w:hAnsi="Arial"/>
          <w:sz w:val="22"/>
          <w:szCs w:val="22"/>
        </w:rPr>
        <w:t>were</w:t>
      </w:r>
      <w:r>
        <w:rPr>
          <w:rFonts w:ascii="Arial" w:hAnsi="Arial"/>
          <w:sz w:val="22"/>
          <w:szCs w:val="22"/>
        </w:rPr>
        <w:t xml:space="preserve"> created so that standards and processes could be replicated government-wide. C</w:t>
      </w:r>
      <w:r w:rsidR="00E62DCD">
        <w:rPr>
          <w:rFonts w:ascii="Arial" w:hAnsi="Arial"/>
          <w:sz w:val="22"/>
          <w:szCs w:val="22"/>
        </w:rPr>
        <w:t>yber</w:t>
      </w:r>
      <w:r w:rsidR="00973786">
        <w:rPr>
          <w:rFonts w:ascii="Arial" w:hAnsi="Arial"/>
          <w:sz w:val="22"/>
          <w:szCs w:val="22"/>
        </w:rPr>
        <w:t xml:space="preserve"> </w:t>
      </w:r>
      <w:r w:rsidR="00E62DCD">
        <w:rPr>
          <w:rFonts w:ascii="Arial" w:hAnsi="Arial"/>
          <w:sz w:val="22"/>
          <w:szCs w:val="22"/>
        </w:rPr>
        <w:t xml:space="preserve">security training </w:t>
      </w:r>
      <w:r>
        <w:rPr>
          <w:rFonts w:ascii="Arial" w:hAnsi="Arial"/>
          <w:sz w:val="22"/>
          <w:szCs w:val="22"/>
        </w:rPr>
        <w:t>w</w:t>
      </w:r>
      <w:r w:rsidR="00E62DCD">
        <w:rPr>
          <w:rFonts w:ascii="Arial" w:hAnsi="Arial"/>
          <w:sz w:val="22"/>
          <w:szCs w:val="22"/>
        </w:rPr>
        <w:t>a</w:t>
      </w:r>
      <w:r w:rsidR="000B68A3">
        <w:rPr>
          <w:rFonts w:ascii="Arial" w:hAnsi="Arial"/>
          <w:sz w:val="22"/>
          <w:szCs w:val="22"/>
        </w:rPr>
        <w:t>s</w:t>
      </w:r>
      <w:r w:rsidR="00DA7915">
        <w:rPr>
          <w:rFonts w:ascii="Arial" w:hAnsi="Arial"/>
          <w:sz w:val="22"/>
          <w:szCs w:val="22"/>
        </w:rPr>
        <w:t xml:space="preserve"> provided in regard to</w:t>
      </w:r>
      <w:r w:rsidR="00E62DCD">
        <w:rPr>
          <w:rFonts w:ascii="Arial" w:hAnsi="Arial"/>
          <w:sz w:val="22"/>
          <w:szCs w:val="22"/>
        </w:rPr>
        <w:t xml:space="preserve"> the design and development of e-services and </w:t>
      </w:r>
      <w:r w:rsidR="00DA7915">
        <w:rPr>
          <w:rFonts w:ascii="Arial" w:hAnsi="Arial"/>
          <w:sz w:val="22"/>
          <w:szCs w:val="22"/>
        </w:rPr>
        <w:t>information systems. A</w:t>
      </w:r>
      <w:r w:rsidR="00E62DCD">
        <w:rPr>
          <w:rFonts w:ascii="Arial" w:hAnsi="Arial"/>
          <w:sz w:val="22"/>
          <w:szCs w:val="22"/>
        </w:rPr>
        <w:t>n e-learning system</w:t>
      </w:r>
      <w:r w:rsidR="00973786">
        <w:rPr>
          <w:rFonts w:ascii="Arial" w:hAnsi="Arial"/>
          <w:sz w:val="22"/>
          <w:szCs w:val="22"/>
        </w:rPr>
        <w:t xml:space="preserve"> </w:t>
      </w:r>
      <w:r w:rsidR="00DA7915">
        <w:rPr>
          <w:rFonts w:ascii="Arial" w:hAnsi="Arial"/>
          <w:sz w:val="22"/>
          <w:szCs w:val="22"/>
        </w:rPr>
        <w:t xml:space="preserve">was developed </w:t>
      </w:r>
      <w:r w:rsidR="00973786">
        <w:rPr>
          <w:rFonts w:ascii="Arial" w:hAnsi="Arial"/>
          <w:sz w:val="22"/>
          <w:szCs w:val="22"/>
        </w:rPr>
        <w:t>to provide e-gover</w:t>
      </w:r>
      <w:r w:rsidR="00E62DCD">
        <w:rPr>
          <w:rFonts w:ascii="Arial" w:hAnsi="Arial"/>
          <w:sz w:val="22"/>
          <w:szCs w:val="22"/>
        </w:rPr>
        <w:t>nment and cyber</w:t>
      </w:r>
      <w:r w:rsidR="00973786">
        <w:rPr>
          <w:rFonts w:ascii="Arial" w:hAnsi="Arial"/>
          <w:sz w:val="22"/>
          <w:szCs w:val="22"/>
        </w:rPr>
        <w:t xml:space="preserve"> </w:t>
      </w:r>
      <w:r w:rsidR="00E62DCD">
        <w:rPr>
          <w:rFonts w:ascii="Arial" w:hAnsi="Arial"/>
          <w:sz w:val="22"/>
          <w:szCs w:val="22"/>
        </w:rPr>
        <w:t>secu</w:t>
      </w:r>
      <w:r w:rsidR="00DA7915">
        <w:rPr>
          <w:rFonts w:ascii="Arial" w:hAnsi="Arial"/>
          <w:sz w:val="22"/>
          <w:szCs w:val="22"/>
        </w:rPr>
        <w:t>ri</w:t>
      </w:r>
      <w:r w:rsidR="00E62DCD">
        <w:rPr>
          <w:rFonts w:ascii="Arial" w:hAnsi="Arial"/>
          <w:sz w:val="22"/>
          <w:szCs w:val="22"/>
        </w:rPr>
        <w:t>ty training</w:t>
      </w:r>
      <w:r w:rsidR="00DA7915">
        <w:rPr>
          <w:rFonts w:ascii="Arial" w:hAnsi="Arial"/>
          <w:sz w:val="22"/>
          <w:szCs w:val="22"/>
        </w:rPr>
        <w:t xml:space="preserve"> given the demand and the need for updating training to respond to changing e-government and cyber security environments</w:t>
      </w:r>
      <w:r w:rsidR="00E62DCD">
        <w:rPr>
          <w:rFonts w:ascii="Arial" w:hAnsi="Arial"/>
          <w:sz w:val="22"/>
          <w:szCs w:val="22"/>
        </w:rPr>
        <w:t xml:space="preserve">. </w:t>
      </w:r>
    </w:p>
    <w:p w14:paraId="1E51BCBE" w14:textId="77777777" w:rsidR="00CD1FE9" w:rsidRDefault="00CD1FE9" w:rsidP="008A6CBC">
      <w:pPr>
        <w:jc w:val="both"/>
        <w:rPr>
          <w:rFonts w:ascii="Arial" w:hAnsi="Arial"/>
          <w:sz w:val="22"/>
          <w:szCs w:val="22"/>
        </w:rPr>
      </w:pPr>
    </w:p>
    <w:p w14:paraId="2DE881D4" w14:textId="488FC3DB" w:rsidR="00973786" w:rsidRDefault="00DA7915" w:rsidP="008A6CBC">
      <w:pPr>
        <w:jc w:val="both"/>
        <w:rPr>
          <w:rFonts w:ascii="Arial" w:hAnsi="Arial"/>
          <w:sz w:val="22"/>
          <w:szCs w:val="22"/>
        </w:rPr>
      </w:pPr>
      <w:r>
        <w:rPr>
          <w:rFonts w:ascii="Arial" w:hAnsi="Arial"/>
          <w:sz w:val="22"/>
          <w:szCs w:val="22"/>
        </w:rPr>
        <w:t xml:space="preserve">The </w:t>
      </w:r>
      <w:r w:rsidR="00973786">
        <w:rPr>
          <w:rFonts w:ascii="Arial" w:hAnsi="Arial"/>
          <w:sz w:val="22"/>
          <w:szCs w:val="22"/>
        </w:rPr>
        <w:t>D</w:t>
      </w:r>
      <w:r w:rsidR="00C26547">
        <w:rPr>
          <w:rFonts w:ascii="Arial" w:hAnsi="Arial"/>
          <w:sz w:val="22"/>
          <w:szCs w:val="22"/>
        </w:rPr>
        <w:t>G</w:t>
      </w:r>
      <w:r w:rsidR="00973786">
        <w:rPr>
          <w:rFonts w:ascii="Arial" w:hAnsi="Arial"/>
          <w:sz w:val="22"/>
          <w:szCs w:val="22"/>
        </w:rPr>
        <w:t xml:space="preserve">A implemented or launched activities to integrate citizen feedback to develop online services and increase their usage. </w:t>
      </w:r>
      <w:r>
        <w:rPr>
          <w:rFonts w:ascii="Arial" w:hAnsi="Arial"/>
          <w:sz w:val="22"/>
          <w:szCs w:val="22"/>
        </w:rPr>
        <w:t xml:space="preserve">As of November 2018, </w:t>
      </w:r>
      <w:r w:rsidR="00973786">
        <w:rPr>
          <w:rFonts w:ascii="Arial" w:hAnsi="Arial"/>
          <w:sz w:val="22"/>
          <w:szCs w:val="22"/>
        </w:rPr>
        <w:t xml:space="preserve">105,000 citizens used the </w:t>
      </w:r>
      <w:r>
        <w:rPr>
          <w:rFonts w:ascii="Arial" w:hAnsi="Arial"/>
          <w:sz w:val="22"/>
          <w:szCs w:val="22"/>
        </w:rPr>
        <w:t>my.</w:t>
      </w:r>
      <w:r w:rsidR="00973786">
        <w:rPr>
          <w:rFonts w:ascii="Arial" w:hAnsi="Arial"/>
          <w:sz w:val="22"/>
          <w:szCs w:val="22"/>
        </w:rPr>
        <w:t>gov.</w:t>
      </w:r>
      <w:r>
        <w:rPr>
          <w:rFonts w:ascii="Arial" w:hAnsi="Arial"/>
          <w:sz w:val="22"/>
          <w:szCs w:val="22"/>
        </w:rPr>
        <w:t>ge platform</w:t>
      </w:r>
      <w:r w:rsidR="003D694B">
        <w:rPr>
          <w:rFonts w:ascii="Arial" w:hAnsi="Arial"/>
          <w:sz w:val="22"/>
          <w:szCs w:val="22"/>
        </w:rPr>
        <w:t>. According to a DG</w:t>
      </w:r>
      <w:r w:rsidR="00973786">
        <w:rPr>
          <w:rFonts w:ascii="Arial" w:hAnsi="Arial"/>
          <w:sz w:val="22"/>
          <w:szCs w:val="22"/>
        </w:rPr>
        <w:t xml:space="preserve">A study conducted at the end of 2018, 68.8% of </w:t>
      </w:r>
      <w:r w:rsidR="000B68A3">
        <w:rPr>
          <w:rFonts w:ascii="Arial" w:hAnsi="Arial"/>
          <w:sz w:val="22"/>
          <w:szCs w:val="22"/>
        </w:rPr>
        <w:t>those</w:t>
      </w:r>
      <w:r>
        <w:rPr>
          <w:rFonts w:ascii="Arial" w:hAnsi="Arial"/>
          <w:sz w:val="22"/>
          <w:szCs w:val="22"/>
        </w:rPr>
        <w:t xml:space="preserve"> </w:t>
      </w:r>
      <w:r w:rsidR="00973786">
        <w:rPr>
          <w:rFonts w:ascii="Arial" w:hAnsi="Arial"/>
          <w:sz w:val="22"/>
          <w:szCs w:val="22"/>
        </w:rPr>
        <w:t>surve</w:t>
      </w:r>
      <w:r w:rsidR="000B68A3">
        <w:rPr>
          <w:rFonts w:ascii="Arial" w:hAnsi="Arial"/>
          <w:sz w:val="22"/>
          <w:szCs w:val="22"/>
        </w:rPr>
        <w:t>yed</w:t>
      </w:r>
      <w:r w:rsidR="00973786">
        <w:rPr>
          <w:rFonts w:ascii="Arial" w:hAnsi="Arial"/>
          <w:sz w:val="22"/>
          <w:szCs w:val="22"/>
        </w:rPr>
        <w:t xml:space="preserve"> visited public institution web</w:t>
      </w:r>
      <w:r>
        <w:rPr>
          <w:rFonts w:ascii="Arial" w:hAnsi="Arial"/>
          <w:sz w:val="22"/>
          <w:szCs w:val="22"/>
        </w:rPr>
        <w:t xml:space="preserve"> sites during the last 12 moths</w:t>
      </w:r>
      <w:r w:rsidR="00973786">
        <w:rPr>
          <w:rFonts w:ascii="Arial" w:hAnsi="Arial"/>
          <w:sz w:val="22"/>
          <w:szCs w:val="22"/>
        </w:rPr>
        <w:t xml:space="preserve"> compared to 42% in 2016.</w:t>
      </w:r>
      <w:r>
        <w:rPr>
          <w:rFonts w:ascii="Arial" w:hAnsi="Arial"/>
          <w:sz w:val="22"/>
          <w:szCs w:val="22"/>
        </w:rPr>
        <w:t xml:space="preserve"> The project helped to add or co</w:t>
      </w:r>
      <w:r w:rsidR="000B68A3">
        <w:rPr>
          <w:rFonts w:ascii="Arial" w:hAnsi="Arial"/>
          <w:sz w:val="22"/>
          <w:szCs w:val="22"/>
        </w:rPr>
        <w:t>nvert 66 e-services onto the on-</w:t>
      </w:r>
      <w:r>
        <w:rPr>
          <w:rFonts w:ascii="Arial" w:hAnsi="Arial"/>
          <w:sz w:val="22"/>
          <w:szCs w:val="22"/>
        </w:rPr>
        <w:t>line platform</w:t>
      </w:r>
      <w:r w:rsidR="006E25BA">
        <w:rPr>
          <w:rFonts w:ascii="Arial" w:hAnsi="Arial"/>
          <w:sz w:val="22"/>
          <w:szCs w:val="22"/>
        </w:rPr>
        <w:t xml:space="preserve"> by 2018</w:t>
      </w:r>
      <w:r>
        <w:rPr>
          <w:rFonts w:ascii="Arial" w:hAnsi="Arial"/>
          <w:sz w:val="22"/>
          <w:szCs w:val="22"/>
        </w:rPr>
        <w:t>, exceeding the target of 50.</w:t>
      </w:r>
    </w:p>
    <w:p w14:paraId="6003A77C" w14:textId="77777777" w:rsidR="00DA7915" w:rsidRDefault="00DA7915" w:rsidP="008A6CBC">
      <w:pPr>
        <w:jc w:val="both"/>
        <w:rPr>
          <w:rFonts w:ascii="Arial" w:hAnsi="Arial"/>
          <w:sz w:val="22"/>
          <w:szCs w:val="22"/>
        </w:rPr>
      </w:pPr>
    </w:p>
    <w:p w14:paraId="09E6A626" w14:textId="64D2A385" w:rsidR="00973786" w:rsidRDefault="00DA7915" w:rsidP="008A6CBC">
      <w:pPr>
        <w:jc w:val="both"/>
        <w:rPr>
          <w:rFonts w:ascii="Arial" w:hAnsi="Arial"/>
          <w:sz w:val="22"/>
          <w:szCs w:val="22"/>
        </w:rPr>
      </w:pPr>
      <w:r>
        <w:rPr>
          <w:rFonts w:ascii="Arial" w:hAnsi="Arial"/>
          <w:sz w:val="22"/>
          <w:szCs w:val="22"/>
        </w:rPr>
        <w:t xml:space="preserve">The </w:t>
      </w:r>
      <w:r w:rsidR="00973786">
        <w:rPr>
          <w:rFonts w:ascii="Arial" w:hAnsi="Arial"/>
          <w:sz w:val="22"/>
          <w:szCs w:val="22"/>
        </w:rPr>
        <w:t>D</w:t>
      </w:r>
      <w:r w:rsidR="00C26547">
        <w:rPr>
          <w:rFonts w:ascii="Arial" w:hAnsi="Arial"/>
          <w:sz w:val="22"/>
          <w:szCs w:val="22"/>
        </w:rPr>
        <w:t>G</w:t>
      </w:r>
      <w:r w:rsidR="00973786">
        <w:rPr>
          <w:rFonts w:ascii="Arial" w:hAnsi="Arial"/>
          <w:sz w:val="22"/>
          <w:szCs w:val="22"/>
        </w:rPr>
        <w:t xml:space="preserve">A </w:t>
      </w:r>
      <w:r>
        <w:rPr>
          <w:rFonts w:ascii="Arial" w:hAnsi="Arial"/>
          <w:sz w:val="22"/>
          <w:szCs w:val="22"/>
        </w:rPr>
        <w:t xml:space="preserve">also </w:t>
      </w:r>
      <w:r w:rsidR="00973786">
        <w:rPr>
          <w:rFonts w:ascii="Arial" w:hAnsi="Arial"/>
          <w:sz w:val="22"/>
          <w:szCs w:val="22"/>
        </w:rPr>
        <w:t>developed a package of legislative amendments to create a legal obligation of public agencies to make their services available in electr</w:t>
      </w:r>
      <w:r>
        <w:rPr>
          <w:rFonts w:ascii="Arial" w:hAnsi="Arial"/>
          <w:sz w:val="22"/>
          <w:szCs w:val="22"/>
        </w:rPr>
        <w:t xml:space="preserve">onic format with expectations </w:t>
      </w:r>
      <w:r w:rsidR="00B115B7">
        <w:rPr>
          <w:rFonts w:ascii="Arial" w:hAnsi="Arial"/>
          <w:sz w:val="22"/>
          <w:szCs w:val="22"/>
        </w:rPr>
        <w:t xml:space="preserve">that </w:t>
      </w:r>
      <w:r>
        <w:rPr>
          <w:rFonts w:ascii="Arial" w:hAnsi="Arial"/>
          <w:sz w:val="22"/>
          <w:szCs w:val="22"/>
        </w:rPr>
        <w:t>the package would be adopted in 2019.</w:t>
      </w:r>
    </w:p>
    <w:p w14:paraId="0263A642" w14:textId="77777777" w:rsidR="00446A46" w:rsidRDefault="00446A46" w:rsidP="008A6CBC">
      <w:pPr>
        <w:jc w:val="both"/>
        <w:rPr>
          <w:rFonts w:ascii="Arial" w:hAnsi="Arial"/>
          <w:sz w:val="22"/>
          <w:szCs w:val="22"/>
        </w:rPr>
      </w:pPr>
    </w:p>
    <w:p w14:paraId="36C42119" w14:textId="34503989" w:rsidR="00CF2381" w:rsidRDefault="00EB7634" w:rsidP="008A6CBC">
      <w:pPr>
        <w:jc w:val="both"/>
        <w:rPr>
          <w:rFonts w:ascii="Arial" w:hAnsi="Arial"/>
          <w:sz w:val="22"/>
          <w:szCs w:val="22"/>
        </w:rPr>
      </w:pPr>
      <w:r>
        <w:rPr>
          <w:rFonts w:ascii="Arial" w:hAnsi="Arial"/>
          <w:sz w:val="22"/>
          <w:szCs w:val="22"/>
        </w:rPr>
        <w:t>In 2019</w:t>
      </w:r>
      <w:r w:rsidR="00A0068E">
        <w:rPr>
          <w:rFonts w:ascii="Arial" w:hAnsi="Arial"/>
          <w:sz w:val="22"/>
          <w:szCs w:val="22"/>
        </w:rPr>
        <w:t>, all major components of the public service design and delivery policy d</w:t>
      </w:r>
      <w:r w:rsidR="00AF61F4">
        <w:rPr>
          <w:rFonts w:ascii="Arial" w:hAnsi="Arial"/>
          <w:sz w:val="22"/>
          <w:szCs w:val="22"/>
        </w:rPr>
        <w:t>ocument were reflected in PAR Acti</w:t>
      </w:r>
      <w:r w:rsidR="00A0068E">
        <w:rPr>
          <w:rFonts w:ascii="Arial" w:hAnsi="Arial"/>
          <w:sz w:val="22"/>
          <w:szCs w:val="22"/>
        </w:rPr>
        <w:t>o</w:t>
      </w:r>
      <w:r w:rsidR="00AF61F4">
        <w:rPr>
          <w:rFonts w:ascii="Arial" w:hAnsi="Arial"/>
          <w:sz w:val="22"/>
          <w:szCs w:val="22"/>
        </w:rPr>
        <w:t xml:space="preserve">n Plan 2019-20. </w:t>
      </w:r>
      <w:r w:rsidR="00A0068E">
        <w:rPr>
          <w:rFonts w:ascii="Arial" w:hAnsi="Arial"/>
          <w:sz w:val="22"/>
          <w:szCs w:val="22"/>
        </w:rPr>
        <w:t xml:space="preserve"> The CAF</w:t>
      </w:r>
      <w:r w:rsidR="00AF61F4">
        <w:rPr>
          <w:rFonts w:ascii="Arial" w:hAnsi="Arial"/>
          <w:sz w:val="22"/>
          <w:szCs w:val="22"/>
        </w:rPr>
        <w:t xml:space="preserve"> was implemen</w:t>
      </w:r>
      <w:r w:rsidR="00A0068E">
        <w:rPr>
          <w:rFonts w:ascii="Arial" w:hAnsi="Arial"/>
          <w:sz w:val="22"/>
          <w:szCs w:val="22"/>
        </w:rPr>
        <w:t>ted in the Public Services Hall and the</w:t>
      </w:r>
      <w:r w:rsidR="00CC548A">
        <w:rPr>
          <w:rFonts w:ascii="Arial" w:hAnsi="Arial"/>
          <w:sz w:val="22"/>
          <w:szCs w:val="22"/>
        </w:rPr>
        <w:t xml:space="preserve"> Unified Service Center of t</w:t>
      </w:r>
      <w:r w:rsidR="00A0068E">
        <w:rPr>
          <w:rFonts w:ascii="Arial" w:hAnsi="Arial"/>
          <w:sz w:val="22"/>
          <w:szCs w:val="22"/>
        </w:rPr>
        <w:t>he</w:t>
      </w:r>
      <w:r w:rsidR="00CC548A">
        <w:rPr>
          <w:rFonts w:ascii="Arial" w:hAnsi="Arial"/>
          <w:sz w:val="22"/>
          <w:szCs w:val="22"/>
        </w:rPr>
        <w:t xml:space="preserve"> Patrol Police Department</w:t>
      </w:r>
      <w:r w:rsidR="000B68A3">
        <w:rPr>
          <w:rFonts w:ascii="Arial" w:hAnsi="Arial"/>
          <w:sz w:val="22"/>
          <w:szCs w:val="22"/>
        </w:rPr>
        <w:t xml:space="preserve"> of the Ministry of Interior</w:t>
      </w:r>
      <w:r w:rsidR="00A0068E">
        <w:rPr>
          <w:rFonts w:ascii="Arial" w:hAnsi="Arial"/>
          <w:sz w:val="22"/>
          <w:szCs w:val="22"/>
        </w:rPr>
        <w:t xml:space="preserve">. </w:t>
      </w:r>
      <w:r w:rsidR="000B68A3">
        <w:rPr>
          <w:rFonts w:ascii="Arial" w:hAnsi="Arial"/>
          <w:sz w:val="22"/>
          <w:szCs w:val="22"/>
        </w:rPr>
        <w:t>CAF training of trainers</w:t>
      </w:r>
      <w:r w:rsidR="00A0068E">
        <w:rPr>
          <w:rFonts w:ascii="Arial" w:hAnsi="Arial"/>
          <w:sz w:val="22"/>
          <w:szCs w:val="22"/>
        </w:rPr>
        <w:t xml:space="preserve"> was provided to representatives of public service delivery agencies from Ministry of Justice’s training </w:t>
      </w:r>
      <w:proofErr w:type="spellStart"/>
      <w:r w:rsidR="00A0068E">
        <w:rPr>
          <w:rFonts w:ascii="Arial" w:hAnsi="Arial"/>
          <w:sz w:val="22"/>
          <w:szCs w:val="22"/>
        </w:rPr>
        <w:t>centre</w:t>
      </w:r>
      <w:proofErr w:type="spellEnd"/>
      <w:r w:rsidR="00A0068E">
        <w:rPr>
          <w:rFonts w:ascii="Arial" w:hAnsi="Arial"/>
          <w:sz w:val="22"/>
          <w:szCs w:val="22"/>
        </w:rPr>
        <w:t xml:space="preserve"> and two public service delivery agencies (11 participants). </w:t>
      </w:r>
      <w:r w:rsidR="00F368A0">
        <w:rPr>
          <w:rFonts w:ascii="Arial" w:hAnsi="Arial"/>
          <w:sz w:val="22"/>
          <w:szCs w:val="22"/>
        </w:rPr>
        <w:t xml:space="preserve">CSO input and participation in service delivery </w:t>
      </w:r>
      <w:r w:rsidR="00A0068E">
        <w:rPr>
          <w:rFonts w:ascii="Arial" w:hAnsi="Arial"/>
          <w:sz w:val="22"/>
          <w:szCs w:val="22"/>
        </w:rPr>
        <w:t>developed to the point that CSO representatives attended</w:t>
      </w:r>
      <w:r w:rsidR="00F368A0">
        <w:rPr>
          <w:rFonts w:ascii="Arial" w:hAnsi="Arial"/>
          <w:sz w:val="22"/>
          <w:szCs w:val="22"/>
        </w:rPr>
        <w:t xml:space="preserve"> and active</w:t>
      </w:r>
      <w:r w:rsidR="00A0068E">
        <w:rPr>
          <w:rFonts w:ascii="Arial" w:hAnsi="Arial"/>
          <w:sz w:val="22"/>
          <w:szCs w:val="22"/>
        </w:rPr>
        <w:t>ly</w:t>
      </w:r>
      <w:r w:rsidR="00F368A0">
        <w:rPr>
          <w:rFonts w:ascii="Arial" w:hAnsi="Arial"/>
          <w:sz w:val="22"/>
          <w:szCs w:val="22"/>
        </w:rPr>
        <w:t xml:space="preserve"> </w:t>
      </w:r>
      <w:r w:rsidR="00B115B7">
        <w:rPr>
          <w:rFonts w:ascii="Arial" w:hAnsi="Arial"/>
          <w:sz w:val="22"/>
          <w:szCs w:val="22"/>
        </w:rPr>
        <w:t xml:space="preserve">participated </w:t>
      </w:r>
      <w:r w:rsidR="00F368A0">
        <w:rPr>
          <w:rFonts w:ascii="Arial" w:hAnsi="Arial"/>
          <w:sz w:val="22"/>
          <w:szCs w:val="22"/>
        </w:rPr>
        <w:t>i</w:t>
      </w:r>
      <w:r w:rsidR="00A0068E">
        <w:rPr>
          <w:rFonts w:ascii="Arial" w:hAnsi="Arial"/>
          <w:sz w:val="22"/>
          <w:szCs w:val="22"/>
        </w:rPr>
        <w:t>n the February 2020</w:t>
      </w:r>
      <w:r w:rsidR="00CF2381">
        <w:rPr>
          <w:rFonts w:ascii="Arial" w:hAnsi="Arial"/>
          <w:sz w:val="22"/>
          <w:szCs w:val="22"/>
        </w:rPr>
        <w:t xml:space="preserve"> PAR Council Meeting.</w:t>
      </w:r>
    </w:p>
    <w:p w14:paraId="051D7B43" w14:textId="77777777" w:rsidR="004A5148" w:rsidRDefault="004A5148" w:rsidP="008A6CBC">
      <w:pPr>
        <w:jc w:val="both"/>
        <w:rPr>
          <w:rFonts w:ascii="Arial" w:hAnsi="Arial"/>
          <w:sz w:val="22"/>
          <w:szCs w:val="22"/>
        </w:rPr>
      </w:pPr>
    </w:p>
    <w:p w14:paraId="1AEF435A" w14:textId="353A8C00" w:rsidR="00A0068E" w:rsidRDefault="00BD6B6E" w:rsidP="00A0068E">
      <w:pPr>
        <w:jc w:val="both"/>
        <w:rPr>
          <w:rFonts w:ascii="Arial" w:hAnsi="Arial"/>
          <w:sz w:val="22"/>
          <w:szCs w:val="22"/>
        </w:rPr>
      </w:pPr>
      <w:r>
        <w:rPr>
          <w:rFonts w:ascii="Arial" w:hAnsi="Arial"/>
          <w:sz w:val="22"/>
          <w:szCs w:val="22"/>
        </w:rPr>
        <w:t xml:space="preserve">At the Public Service Hall, </w:t>
      </w:r>
      <w:r w:rsidR="00A0068E">
        <w:rPr>
          <w:rFonts w:ascii="Arial" w:hAnsi="Arial"/>
          <w:sz w:val="22"/>
          <w:szCs w:val="22"/>
        </w:rPr>
        <w:t>800 front-line of</w:t>
      </w:r>
      <w:r>
        <w:rPr>
          <w:rFonts w:ascii="Arial" w:hAnsi="Arial"/>
          <w:sz w:val="22"/>
          <w:szCs w:val="22"/>
        </w:rPr>
        <w:t>ficers</w:t>
      </w:r>
      <w:r w:rsidR="00A0068E">
        <w:rPr>
          <w:rFonts w:ascii="Arial" w:hAnsi="Arial"/>
          <w:sz w:val="22"/>
          <w:szCs w:val="22"/>
        </w:rPr>
        <w:t xml:space="preserve"> </w:t>
      </w:r>
      <w:r>
        <w:rPr>
          <w:rFonts w:ascii="Arial" w:hAnsi="Arial"/>
          <w:sz w:val="22"/>
          <w:szCs w:val="22"/>
        </w:rPr>
        <w:t>were trained across the country on service delivery including serving</w:t>
      </w:r>
      <w:r w:rsidR="00A0068E">
        <w:rPr>
          <w:rFonts w:ascii="Arial" w:hAnsi="Arial"/>
          <w:sz w:val="22"/>
          <w:szCs w:val="22"/>
        </w:rPr>
        <w:t xml:space="preserve"> person</w:t>
      </w:r>
      <w:r w:rsidR="003D694B">
        <w:rPr>
          <w:rFonts w:ascii="Arial" w:hAnsi="Arial"/>
          <w:sz w:val="22"/>
          <w:szCs w:val="22"/>
        </w:rPr>
        <w:t>s with disabilities</w:t>
      </w:r>
      <w:r w:rsidR="00A0068E">
        <w:rPr>
          <w:rFonts w:ascii="Arial" w:hAnsi="Arial"/>
          <w:sz w:val="22"/>
          <w:szCs w:val="22"/>
        </w:rPr>
        <w:t>.</w:t>
      </w:r>
      <w:r w:rsidR="003D694B">
        <w:rPr>
          <w:rStyle w:val="FootnoteReference"/>
          <w:rFonts w:ascii="Arial" w:hAnsi="Arial"/>
          <w:sz w:val="22"/>
          <w:szCs w:val="22"/>
        </w:rPr>
        <w:footnoteReference w:id="44"/>
      </w:r>
      <w:r w:rsidR="00A0068E">
        <w:rPr>
          <w:rFonts w:ascii="Arial" w:hAnsi="Arial"/>
          <w:sz w:val="22"/>
          <w:szCs w:val="22"/>
        </w:rPr>
        <w:t xml:space="preserve">  </w:t>
      </w:r>
      <w:r>
        <w:rPr>
          <w:rFonts w:ascii="Arial" w:hAnsi="Arial"/>
          <w:sz w:val="22"/>
          <w:szCs w:val="22"/>
        </w:rPr>
        <w:t xml:space="preserve">Training was also on </w:t>
      </w:r>
      <w:r w:rsidR="00A0068E">
        <w:rPr>
          <w:rFonts w:ascii="Arial" w:hAnsi="Arial"/>
          <w:sz w:val="22"/>
          <w:szCs w:val="22"/>
        </w:rPr>
        <w:t>COVID-</w:t>
      </w:r>
      <w:r>
        <w:rPr>
          <w:rFonts w:ascii="Arial" w:hAnsi="Arial"/>
          <w:sz w:val="22"/>
          <w:szCs w:val="22"/>
        </w:rPr>
        <w:t xml:space="preserve">19 </w:t>
      </w:r>
      <w:r w:rsidR="005E1337">
        <w:rPr>
          <w:rFonts w:ascii="Arial" w:hAnsi="Arial"/>
          <w:sz w:val="22"/>
          <w:szCs w:val="22"/>
        </w:rPr>
        <w:t xml:space="preserve">safety and prevention methods. </w:t>
      </w:r>
      <w:r>
        <w:rPr>
          <w:rFonts w:ascii="Arial" w:hAnsi="Arial"/>
          <w:sz w:val="22"/>
          <w:szCs w:val="22"/>
        </w:rPr>
        <w:t>Assistance was provided to analyze</w:t>
      </w:r>
      <w:r w:rsidR="00A0068E">
        <w:rPr>
          <w:rFonts w:ascii="Arial" w:hAnsi="Arial"/>
          <w:sz w:val="22"/>
          <w:szCs w:val="22"/>
        </w:rPr>
        <w:t xml:space="preserve"> over 4</w:t>
      </w:r>
      <w:r>
        <w:rPr>
          <w:rFonts w:ascii="Arial" w:hAnsi="Arial"/>
          <w:sz w:val="22"/>
          <w:szCs w:val="22"/>
        </w:rPr>
        <w:t>,</w:t>
      </w:r>
      <w:r w:rsidR="00A0068E">
        <w:rPr>
          <w:rFonts w:ascii="Arial" w:hAnsi="Arial"/>
          <w:sz w:val="22"/>
          <w:szCs w:val="22"/>
        </w:rPr>
        <w:t xml:space="preserve">500 services </w:t>
      </w:r>
      <w:r>
        <w:rPr>
          <w:rFonts w:ascii="Arial" w:hAnsi="Arial"/>
          <w:sz w:val="22"/>
          <w:szCs w:val="22"/>
        </w:rPr>
        <w:t>and determine</w:t>
      </w:r>
      <w:r w:rsidR="00A0068E">
        <w:rPr>
          <w:rFonts w:ascii="Arial" w:hAnsi="Arial"/>
          <w:sz w:val="22"/>
          <w:szCs w:val="22"/>
        </w:rPr>
        <w:t xml:space="preserve"> procedural and legal challenges</w:t>
      </w:r>
      <w:r>
        <w:rPr>
          <w:rFonts w:ascii="Arial" w:hAnsi="Arial"/>
          <w:sz w:val="22"/>
          <w:szCs w:val="22"/>
        </w:rPr>
        <w:t xml:space="preserve"> persons with disabilities and psychosocial needs confront</w:t>
      </w:r>
      <w:r w:rsidR="00A0068E">
        <w:rPr>
          <w:rFonts w:ascii="Arial" w:hAnsi="Arial"/>
          <w:sz w:val="22"/>
          <w:szCs w:val="22"/>
        </w:rPr>
        <w:t xml:space="preserve"> w</w:t>
      </w:r>
      <w:r w:rsidR="009915DA">
        <w:rPr>
          <w:rFonts w:ascii="Arial" w:hAnsi="Arial"/>
          <w:sz w:val="22"/>
          <w:szCs w:val="22"/>
        </w:rPr>
        <w:t>h</w:t>
      </w:r>
      <w:r w:rsidR="00A0068E">
        <w:rPr>
          <w:rFonts w:ascii="Arial" w:hAnsi="Arial"/>
          <w:sz w:val="22"/>
          <w:szCs w:val="22"/>
        </w:rPr>
        <w:t>ile receiving public services.</w:t>
      </w:r>
      <w:r w:rsidR="005E1337">
        <w:rPr>
          <w:rFonts w:ascii="Arial" w:hAnsi="Arial"/>
          <w:sz w:val="22"/>
          <w:szCs w:val="22"/>
        </w:rPr>
        <w:t xml:space="preserve"> A guidebook was prepared on detection and reaction to possible citizen rights violations and services for persons with psychosocial needs who use Public Service Halls. </w:t>
      </w:r>
    </w:p>
    <w:p w14:paraId="67F79CAC" w14:textId="77777777" w:rsidR="00A0068E" w:rsidRDefault="00A0068E" w:rsidP="00A0068E">
      <w:pPr>
        <w:jc w:val="both"/>
        <w:rPr>
          <w:rFonts w:ascii="Arial" w:hAnsi="Arial"/>
          <w:sz w:val="22"/>
          <w:szCs w:val="22"/>
        </w:rPr>
      </w:pPr>
    </w:p>
    <w:p w14:paraId="21426F8B" w14:textId="281DA164" w:rsidR="00A0068E" w:rsidRDefault="00BD6B6E" w:rsidP="00A0068E">
      <w:pPr>
        <w:jc w:val="both"/>
        <w:rPr>
          <w:rFonts w:ascii="Arial" w:hAnsi="Arial"/>
          <w:sz w:val="22"/>
          <w:szCs w:val="22"/>
        </w:rPr>
      </w:pPr>
      <w:r>
        <w:rPr>
          <w:rFonts w:ascii="Arial" w:hAnsi="Arial"/>
          <w:sz w:val="22"/>
          <w:szCs w:val="22"/>
        </w:rPr>
        <w:t xml:space="preserve">At the </w:t>
      </w:r>
      <w:r w:rsidR="00A0068E">
        <w:rPr>
          <w:rFonts w:ascii="Arial" w:hAnsi="Arial"/>
          <w:sz w:val="22"/>
          <w:szCs w:val="22"/>
        </w:rPr>
        <w:t xml:space="preserve">Patrol </w:t>
      </w:r>
      <w:r>
        <w:rPr>
          <w:rFonts w:ascii="Arial" w:hAnsi="Arial"/>
          <w:sz w:val="22"/>
          <w:szCs w:val="22"/>
        </w:rPr>
        <w:t>Police Unified Service Center the CAF was applied</w:t>
      </w:r>
      <w:r w:rsidR="00A0068E">
        <w:rPr>
          <w:rFonts w:ascii="Arial" w:hAnsi="Arial"/>
          <w:sz w:val="22"/>
          <w:szCs w:val="22"/>
        </w:rPr>
        <w:t xml:space="preserve">. </w:t>
      </w:r>
      <w:r>
        <w:rPr>
          <w:rFonts w:ascii="Arial" w:hAnsi="Arial"/>
          <w:sz w:val="22"/>
          <w:szCs w:val="22"/>
        </w:rPr>
        <w:t>The focus was on</w:t>
      </w:r>
      <w:r w:rsidR="00A0068E">
        <w:rPr>
          <w:rFonts w:ascii="Arial" w:hAnsi="Arial"/>
          <w:sz w:val="22"/>
          <w:szCs w:val="22"/>
        </w:rPr>
        <w:t xml:space="preserve"> the effective delivery of human-</w:t>
      </w:r>
      <w:r>
        <w:rPr>
          <w:rFonts w:ascii="Arial" w:hAnsi="Arial"/>
          <w:sz w:val="22"/>
          <w:szCs w:val="22"/>
        </w:rPr>
        <w:t>centered public services</w:t>
      </w:r>
      <w:r w:rsidR="00A0068E">
        <w:rPr>
          <w:rFonts w:ascii="Arial" w:hAnsi="Arial"/>
          <w:sz w:val="22"/>
          <w:szCs w:val="22"/>
        </w:rPr>
        <w:t xml:space="preserve"> with increased accessibility of these services to </w:t>
      </w:r>
      <w:r>
        <w:rPr>
          <w:rFonts w:ascii="Arial" w:hAnsi="Arial"/>
          <w:sz w:val="22"/>
          <w:szCs w:val="22"/>
        </w:rPr>
        <w:t>persons with disabilities</w:t>
      </w:r>
      <w:r w:rsidR="006E25BA">
        <w:rPr>
          <w:rFonts w:ascii="Arial" w:hAnsi="Arial"/>
          <w:sz w:val="22"/>
          <w:szCs w:val="22"/>
        </w:rPr>
        <w:t>.</w:t>
      </w:r>
      <w:r w:rsidR="00A0068E">
        <w:rPr>
          <w:rFonts w:ascii="Arial" w:hAnsi="Arial"/>
          <w:sz w:val="22"/>
          <w:szCs w:val="22"/>
        </w:rPr>
        <w:t xml:space="preserve"> </w:t>
      </w:r>
      <w:r>
        <w:rPr>
          <w:rFonts w:ascii="Arial" w:hAnsi="Arial"/>
          <w:sz w:val="22"/>
          <w:szCs w:val="22"/>
        </w:rPr>
        <w:t>The initiative i</w:t>
      </w:r>
      <w:r w:rsidR="00A0068E">
        <w:rPr>
          <w:rFonts w:ascii="Arial" w:hAnsi="Arial"/>
          <w:sz w:val="22"/>
          <w:szCs w:val="22"/>
        </w:rPr>
        <w:t>ncluded development of standard operating procedures, applying a quality control system, customer service training, stress management, team b</w:t>
      </w:r>
      <w:r>
        <w:rPr>
          <w:rFonts w:ascii="Arial" w:hAnsi="Arial"/>
          <w:sz w:val="22"/>
          <w:szCs w:val="22"/>
        </w:rPr>
        <w:t>uilding, and service assessment. Sign language training was also</w:t>
      </w:r>
      <w:r w:rsidR="00A0068E">
        <w:rPr>
          <w:rFonts w:ascii="Arial" w:hAnsi="Arial"/>
          <w:sz w:val="22"/>
          <w:szCs w:val="22"/>
        </w:rPr>
        <w:t xml:space="preserve"> included to communicate with hearing-impaired customers. </w:t>
      </w:r>
    </w:p>
    <w:p w14:paraId="7D040954" w14:textId="77777777" w:rsidR="00A0068E" w:rsidRDefault="00A0068E" w:rsidP="008A6CBC">
      <w:pPr>
        <w:jc w:val="both"/>
        <w:rPr>
          <w:rFonts w:ascii="Arial" w:hAnsi="Arial"/>
          <w:sz w:val="22"/>
          <w:szCs w:val="22"/>
        </w:rPr>
      </w:pPr>
    </w:p>
    <w:p w14:paraId="26CD6058" w14:textId="433DA68D" w:rsidR="00BD6B6E" w:rsidRDefault="005E1337" w:rsidP="00BD6B6E">
      <w:pPr>
        <w:jc w:val="both"/>
        <w:rPr>
          <w:rFonts w:ascii="Arial" w:hAnsi="Arial"/>
          <w:sz w:val="22"/>
          <w:szCs w:val="22"/>
        </w:rPr>
      </w:pPr>
      <w:r>
        <w:rPr>
          <w:rFonts w:ascii="Arial" w:hAnsi="Arial"/>
          <w:sz w:val="22"/>
          <w:szCs w:val="22"/>
        </w:rPr>
        <w:t>An a</w:t>
      </w:r>
      <w:r w:rsidR="00BD6B6E">
        <w:rPr>
          <w:rFonts w:ascii="Arial" w:hAnsi="Arial"/>
          <w:sz w:val="22"/>
          <w:szCs w:val="22"/>
        </w:rPr>
        <w:t xml:space="preserve">greement </w:t>
      </w:r>
      <w:r>
        <w:rPr>
          <w:rFonts w:ascii="Arial" w:hAnsi="Arial"/>
          <w:sz w:val="22"/>
          <w:szCs w:val="22"/>
        </w:rPr>
        <w:t xml:space="preserve">was reached </w:t>
      </w:r>
      <w:r w:rsidR="00BD6B6E">
        <w:rPr>
          <w:rFonts w:ascii="Arial" w:hAnsi="Arial"/>
          <w:sz w:val="22"/>
          <w:szCs w:val="22"/>
        </w:rPr>
        <w:t xml:space="preserve">with PSDA to support </w:t>
      </w:r>
      <w:r>
        <w:rPr>
          <w:rFonts w:ascii="Arial" w:hAnsi="Arial"/>
          <w:sz w:val="22"/>
          <w:szCs w:val="22"/>
        </w:rPr>
        <w:t xml:space="preserve">the implementation of the </w:t>
      </w:r>
      <w:r w:rsidR="000B68A3">
        <w:rPr>
          <w:rFonts w:ascii="Arial" w:hAnsi="Arial"/>
          <w:sz w:val="22"/>
          <w:szCs w:val="22"/>
        </w:rPr>
        <w:t>UPSDD.</w:t>
      </w:r>
      <w:r w:rsidR="00BD6B6E">
        <w:rPr>
          <w:rFonts w:ascii="Arial" w:hAnsi="Arial"/>
          <w:sz w:val="22"/>
          <w:szCs w:val="22"/>
        </w:rPr>
        <w:t xml:space="preserve"> </w:t>
      </w:r>
      <w:r>
        <w:rPr>
          <w:rFonts w:ascii="Arial" w:hAnsi="Arial"/>
          <w:sz w:val="22"/>
          <w:szCs w:val="22"/>
        </w:rPr>
        <w:t>The project develo</w:t>
      </w:r>
      <w:r w:rsidR="000B68A3">
        <w:rPr>
          <w:rFonts w:ascii="Arial" w:hAnsi="Arial"/>
          <w:sz w:val="22"/>
          <w:szCs w:val="22"/>
        </w:rPr>
        <w:t>ped four of the packages</w:t>
      </w:r>
      <w:r>
        <w:rPr>
          <w:rFonts w:ascii="Arial" w:hAnsi="Arial"/>
          <w:sz w:val="22"/>
          <w:szCs w:val="22"/>
        </w:rPr>
        <w:t xml:space="preserve">: </w:t>
      </w:r>
      <w:r w:rsidR="000B68A3">
        <w:rPr>
          <w:rFonts w:ascii="Arial" w:hAnsi="Arial"/>
          <w:sz w:val="22"/>
          <w:szCs w:val="22"/>
        </w:rPr>
        <w:t>service design</w:t>
      </w:r>
      <w:r w:rsidR="00A91749">
        <w:rPr>
          <w:rFonts w:ascii="Arial" w:hAnsi="Arial"/>
          <w:sz w:val="22"/>
          <w:szCs w:val="22"/>
        </w:rPr>
        <w:t>,</w:t>
      </w:r>
      <w:r w:rsidR="000B68A3">
        <w:rPr>
          <w:rFonts w:ascii="Arial" w:hAnsi="Arial"/>
          <w:sz w:val="22"/>
          <w:szCs w:val="22"/>
        </w:rPr>
        <w:t xml:space="preserve"> </w:t>
      </w:r>
      <w:r w:rsidR="00A91749">
        <w:rPr>
          <w:rFonts w:ascii="Arial" w:hAnsi="Arial"/>
          <w:sz w:val="22"/>
          <w:szCs w:val="22"/>
        </w:rPr>
        <w:t xml:space="preserve">service </w:t>
      </w:r>
      <w:r w:rsidR="00BD6B6E">
        <w:rPr>
          <w:rFonts w:ascii="Arial" w:hAnsi="Arial"/>
          <w:sz w:val="22"/>
          <w:szCs w:val="22"/>
        </w:rPr>
        <w:t>delivery, quality control and service costing</w:t>
      </w:r>
      <w:r>
        <w:rPr>
          <w:rFonts w:ascii="Arial" w:hAnsi="Arial"/>
          <w:sz w:val="22"/>
          <w:szCs w:val="22"/>
        </w:rPr>
        <w:t>. Training was also provided to support standard implementation.</w:t>
      </w:r>
    </w:p>
    <w:p w14:paraId="2FF5CE76" w14:textId="77777777" w:rsidR="00BD6B6E" w:rsidRDefault="00BD6B6E" w:rsidP="00BD6B6E">
      <w:pPr>
        <w:jc w:val="both"/>
        <w:rPr>
          <w:rFonts w:ascii="Arial" w:hAnsi="Arial"/>
          <w:sz w:val="22"/>
          <w:szCs w:val="22"/>
        </w:rPr>
      </w:pPr>
    </w:p>
    <w:p w14:paraId="53CE277A" w14:textId="0B94CD1E" w:rsidR="00BD6B6E" w:rsidRDefault="005E1337" w:rsidP="008A6CBC">
      <w:pPr>
        <w:jc w:val="both"/>
        <w:rPr>
          <w:rFonts w:ascii="Arial" w:hAnsi="Arial"/>
          <w:sz w:val="22"/>
          <w:szCs w:val="22"/>
        </w:rPr>
      </w:pPr>
      <w:r>
        <w:rPr>
          <w:rFonts w:ascii="Arial" w:hAnsi="Arial"/>
          <w:sz w:val="22"/>
          <w:szCs w:val="22"/>
        </w:rPr>
        <w:lastRenderedPageBreak/>
        <w:t>D</w:t>
      </w:r>
      <w:r w:rsidR="006E25BA">
        <w:rPr>
          <w:rFonts w:ascii="Arial" w:hAnsi="Arial"/>
          <w:sz w:val="22"/>
          <w:szCs w:val="22"/>
        </w:rPr>
        <w:t>G</w:t>
      </w:r>
      <w:r>
        <w:rPr>
          <w:rFonts w:ascii="Arial" w:hAnsi="Arial"/>
          <w:sz w:val="22"/>
          <w:szCs w:val="22"/>
        </w:rPr>
        <w:t>A presented the Competency Centre services at an e-governance seminar in Tashkent, Uzbekistan. The e-book “e-Georgia: Decades of Successful Transition” describing reforms and success of Georgia in the field of e-government was published.</w:t>
      </w:r>
    </w:p>
    <w:p w14:paraId="1EE6E516" w14:textId="77777777" w:rsidR="00A0068E" w:rsidRDefault="00A0068E" w:rsidP="008A6CBC">
      <w:pPr>
        <w:jc w:val="both"/>
        <w:rPr>
          <w:rFonts w:ascii="Arial" w:hAnsi="Arial"/>
          <w:sz w:val="22"/>
          <w:szCs w:val="22"/>
        </w:rPr>
      </w:pPr>
    </w:p>
    <w:p w14:paraId="512BFDCD" w14:textId="668DB770" w:rsidR="00AC5FBE" w:rsidRDefault="00470472" w:rsidP="00AC5FBE">
      <w:pPr>
        <w:jc w:val="both"/>
        <w:rPr>
          <w:rFonts w:ascii="Arial" w:hAnsi="Arial"/>
          <w:sz w:val="22"/>
          <w:szCs w:val="22"/>
        </w:rPr>
      </w:pPr>
      <w:r>
        <w:rPr>
          <w:rFonts w:ascii="Arial" w:hAnsi="Arial"/>
          <w:sz w:val="22"/>
          <w:szCs w:val="22"/>
        </w:rPr>
        <w:t xml:space="preserve">There was increased use of e-governance platforms. </w:t>
      </w:r>
      <w:r w:rsidR="00DA046D">
        <w:rPr>
          <w:rFonts w:ascii="Arial" w:hAnsi="Arial"/>
          <w:sz w:val="22"/>
          <w:szCs w:val="22"/>
        </w:rPr>
        <w:t>34</w:t>
      </w:r>
      <w:r w:rsidR="00AC5FBE">
        <w:rPr>
          <w:rFonts w:ascii="Arial" w:hAnsi="Arial"/>
          <w:sz w:val="22"/>
          <w:szCs w:val="22"/>
        </w:rPr>
        <w:t xml:space="preserve"> new public services </w:t>
      </w:r>
      <w:r>
        <w:rPr>
          <w:rFonts w:ascii="Arial" w:hAnsi="Arial"/>
          <w:sz w:val="22"/>
          <w:szCs w:val="22"/>
        </w:rPr>
        <w:t xml:space="preserve">were </w:t>
      </w:r>
      <w:r w:rsidR="00AC5FBE">
        <w:rPr>
          <w:rFonts w:ascii="Arial" w:hAnsi="Arial"/>
          <w:sz w:val="22"/>
          <w:szCs w:val="22"/>
        </w:rPr>
        <w:t>integrated into my.gov.ge</w:t>
      </w:r>
      <w:r>
        <w:rPr>
          <w:rFonts w:ascii="Arial" w:hAnsi="Arial"/>
          <w:sz w:val="22"/>
          <w:szCs w:val="22"/>
        </w:rPr>
        <w:t>.</w:t>
      </w:r>
      <w:r w:rsidR="00AC5FBE">
        <w:rPr>
          <w:rFonts w:ascii="Arial" w:hAnsi="Arial"/>
          <w:sz w:val="22"/>
          <w:szCs w:val="22"/>
        </w:rPr>
        <w:t xml:space="preserve"> In total 468 services </w:t>
      </w:r>
      <w:r>
        <w:rPr>
          <w:rFonts w:ascii="Arial" w:hAnsi="Arial"/>
          <w:sz w:val="22"/>
          <w:szCs w:val="22"/>
        </w:rPr>
        <w:t xml:space="preserve">were </w:t>
      </w:r>
      <w:r w:rsidR="00AC5FBE">
        <w:rPr>
          <w:rFonts w:ascii="Arial" w:hAnsi="Arial"/>
          <w:sz w:val="22"/>
          <w:szCs w:val="22"/>
        </w:rPr>
        <w:t xml:space="preserve">on </w:t>
      </w:r>
      <w:r>
        <w:rPr>
          <w:rFonts w:ascii="Arial" w:hAnsi="Arial"/>
          <w:sz w:val="22"/>
          <w:szCs w:val="22"/>
        </w:rPr>
        <w:t xml:space="preserve">the my.gov.ge </w:t>
      </w:r>
      <w:r w:rsidR="00AC5FBE">
        <w:rPr>
          <w:rFonts w:ascii="Arial" w:hAnsi="Arial"/>
          <w:sz w:val="22"/>
          <w:szCs w:val="22"/>
        </w:rPr>
        <w:t xml:space="preserve">web site with 94 </w:t>
      </w:r>
      <w:r>
        <w:rPr>
          <w:rFonts w:ascii="Arial" w:hAnsi="Arial"/>
          <w:sz w:val="22"/>
          <w:szCs w:val="22"/>
        </w:rPr>
        <w:t>added with project</w:t>
      </w:r>
      <w:r w:rsidR="00AC5FBE">
        <w:rPr>
          <w:rFonts w:ascii="Arial" w:hAnsi="Arial"/>
          <w:sz w:val="22"/>
          <w:szCs w:val="22"/>
        </w:rPr>
        <w:t xml:space="preserve"> support.</w:t>
      </w:r>
      <w:r>
        <w:rPr>
          <w:rFonts w:ascii="Arial" w:hAnsi="Arial"/>
          <w:sz w:val="22"/>
          <w:szCs w:val="22"/>
        </w:rPr>
        <w:t xml:space="preserve"> The increased demand for usage was sparked by the COVID-19 restrictions. The project facilitated the movement to e-services in the 2020-21 period.</w:t>
      </w:r>
    </w:p>
    <w:p w14:paraId="181E1797" w14:textId="77777777" w:rsidR="00A0068E" w:rsidRDefault="00A0068E" w:rsidP="008A6CBC">
      <w:pPr>
        <w:jc w:val="both"/>
        <w:rPr>
          <w:rFonts w:ascii="Arial" w:hAnsi="Arial"/>
          <w:sz w:val="22"/>
          <w:szCs w:val="22"/>
        </w:rPr>
      </w:pPr>
    </w:p>
    <w:p w14:paraId="53770F91" w14:textId="07A28AED" w:rsidR="00470472" w:rsidRDefault="00470472" w:rsidP="008A6CBC">
      <w:pPr>
        <w:jc w:val="both"/>
        <w:rPr>
          <w:rFonts w:ascii="Arial" w:hAnsi="Arial"/>
          <w:sz w:val="22"/>
          <w:szCs w:val="22"/>
        </w:rPr>
      </w:pPr>
      <w:r>
        <w:rPr>
          <w:rFonts w:ascii="Arial" w:hAnsi="Arial"/>
          <w:sz w:val="22"/>
          <w:szCs w:val="22"/>
        </w:rPr>
        <w:t xml:space="preserve">In </w:t>
      </w:r>
      <w:r w:rsidR="00900064">
        <w:rPr>
          <w:rFonts w:ascii="Arial" w:hAnsi="Arial"/>
          <w:sz w:val="22"/>
          <w:szCs w:val="22"/>
        </w:rPr>
        <w:t>2020</w:t>
      </w:r>
      <w:r>
        <w:rPr>
          <w:rFonts w:ascii="Arial" w:hAnsi="Arial"/>
          <w:sz w:val="22"/>
          <w:szCs w:val="22"/>
        </w:rPr>
        <w:t>, a letter of agreement</w:t>
      </w:r>
      <w:r w:rsidR="00627EC1">
        <w:rPr>
          <w:rFonts w:ascii="Arial" w:hAnsi="Arial"/>
          <w:sz w:val="22"/>
          <w:szCs w:val="22"/>
        </w:rPr>
        <w:t xml:space="preserve"> was signed with DG</w:t>
      </w:r>
      <w:r w:rsidR="00900064">
        <w:rPr>
          <w:rFonts w:ascii="Arial" w:hAnsi="Arial"/>
          <w:sz w:val="22"/>
          <w:szCs w:val="22"/>
        </w:rPr>
        <w:t>A to s</w:t>
      </w:r>
      <w:r>
        <w:rPr>
          <w:rFonts w:ascii="Arial" w:hAnsi="Arial"/>
          <w:sz w:val="22"/>
          <w:szCs w:val="22"/>
        </w:rPr>
        <w:t>upport implementation of the e-g</w:t>
      </w:r>
      <w:r w:rsidR="00900064">
        <w:rPr>
          <w:rFonts w:ascii="Arial" w:hAnsi="Arial"/>
          <w:sz w:val="22"/>
          <w:szCs w:val="22"/>
        </w:rPr>
        <w:t>overnance related activities th</w:t>
      </w:r>
      <w:r>
        <w:rPr>
          <w:rFonts w:ascii="Arial" w:hAnsi="Arial"/>
          <w:sz w:val="22"/>
          <w:szCs w:val="22"/>
        </w:rPr>
        <w:t>at were to be coordinated by that</w:t>
      </w:r>
      <w:r w:rsidR="00900064">
        <w:rPr>
          <w:rFonts w:ascii="Arial" w:hAnsi="Arial"/>
          <w:sz w:val="22"/>
          <w:szCs w:val="22"/>
        </w:rPr>
        <w:t xml:space="preserve"> agency. </w:t>
      </w:r>
      <w:r>
        <w:rPr>
          <w:rFonts w:ascii="Arial" w:hAnsi="Arial"/>
          <w:sz w:val="22"/>
          <w:szCs w:val="22"/>
        </w:rPr>
        <w:t xml:space="preserve">The </w:t>
      </w:r>
      <w:r w:rsidR="00627EC1">
        <w:rPr>
          <w:rFonts w:ascii="Arial" w:hAnsi="Arial"/>
          <w:sz w:val="22"/>
          <w:szCs w:val="22"/>
        </w:rPr>
        <w:t>DG</w:t>
      </w:r>
      <w:r w:rsidR="00734612">
        <w:rPr>
          <w:rFonts w:ascii="Arial" w:hAnsi="Arial"/>
          <w:sz w:val="22"/>
          <w:szCs w:val="22"/>
        </w:rPr>
        <w:t xml:space="preserve">A would prepare an updated second National e-Government Strategy of Georgia in line with the </w:t>
      </w:r>
      <w:r w:rsidR="00EB7634">
        <w:rPr>
          <w:rFonts w:ascii="Arial" w:hAnsi="Arial"/>
          <w:sz w:val="22"/>
          <w:szCs w:val="22"/>
        </w:rPr>
        <w:t>UPSDD</w:t>
      </w:r>
      <w:r w:rsidR="009915DA">
        <w:rPr>
          <w:rFonts w:ascii="Arial" w:hAnsi="Arial"/>
          <w:sz w:val="22"/>
          <w:szCs w:val="22"/>
        </w:rPr>
        <w:t xml:space="preserve"> and the policy planning handbook</w:t>
      </w:r>
      <w:r w:rsidR="00EB7634">
        <w:rPr>
          <w:rFonts w:ascii="Arial" w:hAnsi="Arial"/>
          <w:sz w:val="22"/>
          <w:szCs w:val="22"/>
        </w:rPr>
        <w:t>.</w:t>
      </w:r>
    </w:p>
    <w:p w14:paraId="2D20FFC6" w14:textId="77777777" w:rsidR="00EB7634" w:rsidRDefault="00EB7634" w:rsidP="008A6CBC">
      <w:pPr>
        <w:jc w:val="both"/>
        <w:rPr>
          <w:rFonts w:ascii="Arial" w:hAnsi="Arial"/>
          <w:sz w:val="22"/>
          <w:szCs w:val="22"/>
        </w:rPr>
      </w:pPr>
    </w:p>
    <w:p w14:paraId="546F0BC8" w14:textId="01B869D6" w:rsidR="00EB7634" w:rsidRDefault="00EB7634" w:rsidP="008A6CBC">
      <w:pPr>
        <w:jc w:val="both"/>
        <w:rPr>
          <w:rFonts w:ascii="Arial" w:hAnsi="Arial"/>
          <w:sz w:val="22"/>
          <w:szCs w:val="22"/>
        </w:rPr>
      </w:pPr>
      <w:r>
        <w:rPr>
          <w:rFonts w:ascii="Arial" w:hAnsi="Arial"/>
          <w:sz w:val="22"/>
          <w:szCs w:val="22"/>
        </w:rPr>
        <w:t>The analysis of the legal framework for service design and delivery was finalized. Recommendations and amendments were suggested to the General Administrative Code and the Law on Electronic Documents and Electronic Trust Services. The proposed changes were presented to the Ministry of Justice for approval and to be submitted to Parliament.</w:t>
      </w:r>
    </w:p>
    <w:p w14:paraId="37F127BB" w14:textId="77777777" w:rsidR="00470472" w:rsidRDefault="00470472" w:rsidP="008A6CBC">
      <w:pPr>
        <w:jc w:val="both"/>
        <w:rPr>
          <w:rFonts w:ascii="Arial" w:hAnsi="Arial"/>
          <w:sz w:val="22"/>
          <w:szCs w:val="22"/>
        </w:rPr>
      </w:pPr>
    </w:p>
    <w:p w14:paraId="659FB416" w14:textId="57F3051F" w:rsidR="00AF61F4" w:rsidRDefault="00470472" w:rsidP="008A6CBC">
      <w:pPr>
        <w:jc w:val="both"/>
        <w:rPr>
          <w:rFonts w:ascii="Arial" w:hAnsi="Arial"/>
          <w:sz w:val="22"/>
          <w:szCs w:val="22"/>
        </w:rPr>
      </w:pPr>
      <w:r>
        <w:rPr>
          <w:rFonts w:ascii="Arial" w:hAnsi="Arial"/>
          <w:sz w:val="22"/>
          <w:szCs w:val="22"/>
        </w:rPr>
        <w:t>Given the</w:t>
      </w:r>
      <w:r w:rsidR="00734612">
        <w:rPr>
          <w:rFonts w:ascii="Arial" w:hAnsi="Arial"/>
          <w:sz w:val="22"/>
          <w:szCs w:val="22"/>
        </w:rPr>
        <w:t xml:space="preserve"> emergency</w:t>
      </w:r>
      <w:r>
        <w:rPr>
          <w:rFonts w:ascii="Arial" w:hAnsi="Arial"/>
          <w:sz w:val="22"/>
          <w:szCs w:val="22"/>
        </w:rPr>
        <w:t xml:space="preserve"> situation</w:t>
      </w:r>
      <w:r w:rsidR="009915DA">
        <w:rPr>
          <w:rFonts w:ascii="Arial" w:hAnsi="Arial"/>
          <w:sz w:val="22"/>
          <w:szCs w:val="22"/>
        </w:rPr>
        <w:t>, DG</w:t>
      </w:r>
      <w:r w:rsidR="00734612">
        <w:rPr>
          <w:rFonts w:ascii="Arial" w:hAnsi="Arial"/>
          <w:sz w:val="22"/>
          <w:szCs w:val="22"/>
        </w:rPr>
        <w:t>A with the National Public Registry Agency and P</w:t>
      </w:r>
      <w:r w:rsidR="00F90989">
        <w:rPr>
          <w:rFonts w:ascii="Arial" w:hAnsi="Arial"/>
          <w:sz w:val="22"/>
          <w:szCs w:val="22"/>
        </w:rPr>
        <w:t>SDA</w:t>
      </w:r>
      <w:r w:rsidR="00734612">
        <w:rPr>
          <w:rFonts w:ascii="Arial" w:hAnsi="Arial"/>
          <w:sz w:val="22"/>
          <w:szCs w:val="22"/>
        </w:rPr>
        <w:t xml:space="preserve"> finalized 36 new electronic services </w:t>
      </w:r>
      <w:r>
        <w:rPr>
          <w:rFonts w:ascii="Arial" w:hAnsi="Arial"/>
          <w:sz w:val="22"/>
          <w:szCs w:val="22"/>
        </w:rPr>
        <w:t>that wer</w:t>
      </w:r>
      <w:r w:rsidR="00F90989">
        <w:rPr>
          <w:rFonts w:ascii="Arial" w:hAnsi="Arial"/>
          <w:sz w:val="22"/>
          <w:szCs w:val="22"/>
        </w:rPr>
        <w:t xml:space="preserve">e transferred to my.gove.ge. </w:t>
      </w:r>
      <w:r>
        <w:rPr>
          <w:rFonts w:ascii="Arial" w:hAnsi="Arial"/>
          <w:sz w:val="22"/>
          <w:szCs w:val="22"/>
        </w:rPr>
        <w:t xml:space="preserve">The new services were for passports, e-cards and marriage, birth, death and adoption </w:t>
      </w:r>
      <w:r w:rsidR="00AD404F">
        <w:rPr>
          <w:rFonts w:ascii="Arial" w:hAnsi="Arial"/>
          <w:sz w:val="22"/>
          <w:szCs w:val="22"/>
        </w:rPr>
        <w:t xml:space="preserve">secondary </w:t>
      </w:r>
      <w:r>
        <w:rPr>
          <w:rFonts w:ascii="Arial" w:hAnsi="Arial"/>
          <w:sz w:val="22"/>
          <w:szCs w:val="22"/>
        </w:rPr>
        <w:t>certificates; to change names and surnames; and to register land and businesses. Use of my.gov.ge reportedly in</w:t>
      </w:r>
      <w:r w:rsidR="00EB7634">
        <w:rPr>
          <w:rFonts w:ascii="Arial" w:hAnsi="Arial"/>
          <w:sz w:val="22"/>
          <w:szCs w:val="22"/>
        </w:rPr>
        <w:t>creased by 25% from March to June</w:t>
      </w:r>
      <w:r>
        <w:rPr>
          <w:rFonts w:ascii="Arial" w:hAnsi="Arial"/>
          <w:sz w:val="22"/>
          <w:szCs w:val="22"/>
        </w:rPr>
        <w:t xml:space="preserve"> 2020. 70 new public services were integrated into my.gov.ge, </w:t>
      </w:r>
      <w:r w:rsidR="009915DA">
        <w:rPr>
          <w:rFonts w:ascii="Arial" w:hAnsi="Arial"/>
          <w:sz w:val="22"/>
          <w:szCs w:val="22"/>
        </w:rPr>
        <w:t>bringing total services to 6</w:t>
      </w:r>
      <w:r w:rsidR="006E25BA">
        <w:rPr>
          <w:rFonts w:ascii="Arial" w:hAnsi="Arial"/>
          <w:sz w:val="22"/>
          <w:szCs w:val="22"/>
        </w:rPr>
        <w:t>99</w:t>
      </w:r>
      <w:r w:rsidR="009915DA">
        <w:rPr>
          <w:rFonts w:ascii="Arial" w:hAnsi="Arial"/>
          <w:sz w:val="22"/>
          <w:szCs w:val="22"/>
        </w:rPr>
        <w:t xml:space="preserve"> of which </w:t>
      </w:r>
      <w:r w:rsidR="00F90989">
        <w:rPr>
          <w:rFonts w:ascii="Arial" w:hAnsi="Arial"/>
          <w:sz w:val="22"/>
          <w:szCs w:val="22"/>
        </w:rPr>
        <w:t>133</w:t>
      </w:r>
      <w:r>
        <w:rPr>
          <w:rFonts w:ascii="Arial" w:hAnsi="Arial"/>
          <w:sz w:val="22"/>
          <w:szCs w:val="22"/>
        </w:rPr>
        <w:t xml:space="preserve"> were a result of the project.</w:t>
      </w:r>
      <w:r w:rsidR="00EB7634">
        <w:rPr>
          <w:rFonts w:ascii="Arial" w:hAnsi="Arial"/>
          <w:sz w:val="22"/>
          <w:szCs w:val="22"/>
        </w:rPr>
        <w:t xml:space="preserve"> </w:t>
      </w:r>
      <w:r w:rsidR="00F90989">
        <w:rPr>
          <w:rFonts w:ascii="Arial" w:hAnsi="Arial"/>
          <w:sz w:val="22"/>
          <w:szCs w:val="22"/>
        </w:rPr>
        <w:t>DG</w:t>
      </w:r>
      <w:r>
        <w:rPr>
          <w:rFonts w:ascii="Arial" w:hAnsi="Arial"/>
          <w:sz w:val="22"/>
          <w:szCs w:val="22"/>
        </w:rPr>
        <w:t>A created and disseminated a video encoura</w:t>
      </w:r>
      <w:r w:rsidR="00F90989">
        <w:rPr>
          <w:rFonts w:ascii="Arial" w:hAnsi="Arial"/>
          <w:sz w:val="22"/>
          <w:szCs w:val="22"/>
        </w:rPr>
        <w:t>ging citizens to use my.gov.ge.</w:t>
      </w:r>
    </w:p>
    <w:p w14:paraId="7EA246AA" w14:textId="11ECD563" w:rsidR="008A6CBC" w:rsidRDefault="00677012" w:rsidP="008A6CBC">
      <w:pPr>
        <w:pStyle w:val="Heading4"/>
      </w:pPr>
      <w:bookmarkStart w:id="25" w:name="_Toc478138876"/>
      <w:r>
        <w:t>2.</w:t>
      </w:r>
      <w:r>
        <w:tab/>
      </w:r>
      <w:r w:rsidR="008A6CBC">
        <w:t>Conclusions</w:t>
      </w:r>
      <w:bookmarkEnd w:id="25"/>
    </w:p>
    <w:p w14:paraId="327DE304" w14:textId="77777777" w:rsidR="008A6CBC" w:rsidRPr="00510574" w:rsidRDefault="008A6CBC" w:rsidP="008A6CBC">
      <w:pPr>
        <w:rPr>
          <w:rFonts w:ascii="Sylfaen" w:hAnsi="Sylfaen"/>
          <w:lang w:val="ka-GE"/>
        </w:rPr>
      </w:pPr>
    </w:p>
    <w:p w14:paraId="595D1343" w14:textId="10876F83" w:rsidR="007447D2" w:rsidRDefault="007447D2" w:rsidP="008A6CBC">
      <w:pPr>
        <w:jc w:val="both"/>
        <w:rPr>
          <w:rFonts w:ascii="Arial" w:hAnsi="Arial"/>
          <w:sz w:val="22"/>
          <w:szCs w:val="22"/>
        </w:rPr>
      </w:pPr>
      <w:r>
        <w:rPr>
          <w:rFonts w:ascii="Arial" w:hAnsi="Arial"/>
          <w:sz w:val="22"/>
          <w:szCs w:val="22"/>
        </w:rPr>
        <w:t>The outcome area has progressed steadily over the years to achieve the establishment and application of the UPSDD including to the benefit of the provision of public services to persons with disabilities and the expansion of the use of e-government services. There are some unique c</w:t>
      </w:r>
      <w:r w:rsidR="00F90989">
        <w:rPr>
          <w:rFonts w:ascii="Arial" w:hAnsi="Arial"/>
          <w:sz w:val="22"/>
          <w:szCs w:val="22"/>
        </w:rPr>
        <w:t>haracteristics of both that will</w:t>
      </w:r>
      <w:r>
        <w:rPr>
          <w:rFonts w:ascii="Arial" w:hAnsi="Arial"/>
          <w:sz w:val="22"/>
          <w:szCs w:val="22"/>
        </w:rPr>
        <w:t xml:space="preserve"> impact their application and will either benefit or hurt future sustainability.</w:t>
      </w:r>
    </w:p>
    <w:p w14:paraId="75C83071" w14:textId="77777777" w:rsidR="007447D2" w:rsidRDefault="007447D2" w:rsidP="008A6CBC">
      <w:pPr>
        <w:jc w:val="both"/>
        <w:rPr>
          <w:rFonts w:ascii="Arial" w:hAnsi="Arial"/>
          <w:sz w:val="22"/>
          <w:szCs w:val="22"/>
        </w:rPr>
      </w:pPr>
    </w:p>
    <w:p w14:paraId="0D379160" w14:textId="00225C3C" w:rsidR="007447D2" w:rsidRDefault="007447D2" w:rsidP="008A6CBC">
      <w:pPr>
        <w:jc w:val="both"/>
        <w:rPr>
          <w:rFonts w:ascii="Arial" w:hAnsi="Arial"/>
          <w:sz w:val="22"/>
          <w:szCs w:val="22"/>
        </w:rPr>
      </w:pPr>
      <w:r>
        <w:rPr>
          <w:rFonts w:ascii="Arial" w:hAnsi="Arial"/>
          <w:sz w:val="22"/>
          <w:szCs w:val="22"/>
        </w:rPr>
        <w:t xml:space="preserve">For the UPSDD, while the standards are set and </w:t>
      </w:r>
      <w:r w:rsidR="00F90989">
        <w:rPr>
          <w:rFonts w:ascii="Arial" w:hAnsi="Arial"/>
          <w:sz w:val="22"/>
          <w:szCs w:val="22"/>
        </w:rPr>
        <w:t>are being applied</w:t>
      </w:r>
      <w:r>
        <w:rPr>
          <w:rFonts w:ascii="Arial" w:hAnsi="Arial"/>
          <w:sz w:val="22"/>
          <w:szCs w:val="22"/>
        </w:rPr>
        <w:t xml:space="preserve"> </w:t>
      </w:r>
      <w:r w:rsidR="00F90989">
        <w:rPr>
          <w:rFonts w:ascii="Arial" w:hAnsi="Arial"/>
          <w:sz w:val="22"/>
          <w:szCs w:val="22"/>
        </w:rPr>
        <w:t xml:space="preserve">to </w:t>
      </w:r>
      <w:r>
        <w:rPr>
          <w:rFonts w:ascii="Arial" w:hAnsi="Arial"/>
          <w:sz w:val="22"/>
          <w:szCs w:val="22"/>
        </w:rPr>
        <w:t>two key agencies, Public Service Halls and Patrol Departm</w:t>
      </w:r>
      <w:r w:rsidR="00F90989">
        <w:rPr>
          <w:rFonts w:ascii="Arial" w:hAnsi="Arial"/>
          <w:sz w:val="22"/>
          <w:szCs w:val="22"/>
        </w:rPr>
        <w:t>ent Unified Service Center, the</w:t>
      </w:r>
      <w:r>
        <w:rPr>
          <w:rFonts w:ascii="Arial" w:hAnsi="Arial"/>
          <w:sz w:val="22"/>
          <w:szCs w:val="22"/>
        </w:rPr>
        <w:t xml:space="preserve"> related policy has not received government approval. The PSDA is positioned to oversee the standards. The Ministry of Justice has taken over the training programs within their training </w:t>
      </w:r>
      <w:proofErr w:type="spellStart"/>
      <w:r>
        <w:rPr>
          <w:rFonts w:ascii="Arial" w:hAnsi="Arial"/>
          <w:sz w:val="22"/>
          <w:szCs w:val="22"/>
        </w:rPr>
        <w:t>centre</w:t>
      </w:r>
      <w:proofErr w:type="spellEnd"/>
      <w:r>
        <w:rPr>
          <w:rFonts w:ascii="Arial" w:hAnsi="Arial"/>
          <w:sz w:val="22"/>
          <w:szCs w:val="22"/>
        </w:rPr>
        <w:t>. While the integration will help to ensure sustainability, the lack of official adoption will hinder the application of the standards government-wide.</w:t>
      </w:r>
    </w:p>
    <w:p w14:paraId="0FA0DCD6" w14:textId="77777777" w:rsidR="007447D2" w:rsidRDefault="007447D2" w:rsidP="008A6CBC">
      <w:pPr>
        <w:jc w:val="both"/>
        <w:rPr>
          <w:rFonts w:ascii="Arial" w:hAnsi="Arial"/>
          <w:sz w:val="22"/>
          <w:szCs w:val="22"/>
        </w:rPr>
      </w:pPr>
    </w:p>
    <w:p w14:paraId="7B638EB6" w14:textId="61A100A1" w:rsidR="007447D2" w:rsidRDefault="007447D2" w:rsidP="008A6CBC">
      <w:pPr>
        <w:jc w:val="both"/>
        <w:rPr>
          <w:rFonts w:ascii="Arial" w:hAnsi="Arial"/>
          <w:sz w:val="22"/>
          <w:szCs w:val="22"/>
        </w:rPr>
      </w:pPr>
      <w:r>
        <w:rPr>
          <w:rFonts w:ascii="Arial" w:hAnsi="Arial"/>
          <w:sz w:val="22"/>
          <w:szCs w:val="22"/>
        </w:rPr>
        <w:t xml:space="preserve">The two entities that adopted and applied the standards report noticeable differences in their public service provision. </w:t>
      </w:r>
      <w:r w:rsidR="005B7212">
        <w:rPr>
          <w:rFonts w:ascii="Arial" w:hAnsi="Arial"/>
          <w:sz w:val="22"/>
          <w:szCs w:val="22"/>
        </w:rPr>
        <w:t>They also report that t</w:t>
      </w:r>
      <w:r>
        <w:rPr>
          <w:rFonts w:ascii="Arial" w:hAnsi="Arial"/>
          <w:sz w:val="22"/>
          <w:szCs w:val="22"/>
        </w:rPr>
        <w:t>he support provided by the project to assist the interventions were critical to conducting the CAF and implementing change, especially given the pandemic and the interest to improve servic</w:t>
      </w:r>
      <w:r w:rsidR="006E25BA">
        <w:rPr>
          <w:rFonts w:ascii="Arial" w:hAnsi="Arial"/>
          <w:sz w:val="22"/>
          <w:szCs w:val="22"/>
        </w:rPr>
        <w:t>es to persons with disabilities</w:t>
      </w:r>
      <w:r w:rsidRPr="00AD404F">
        <w:rPr>
          <w:rFonts w:ascii="Arial" w:hAnsi="Arial"/>
          <w:sz w:val="22"/>
          <w:szCs w:val="22"/>
        </w:rPr>
        <w:t>.</w:t>
      </w:r>
      <w:r w:rsidR="005B7212">
        <w:rPr>
          <w:rFonts w:ascii="Arial" w:hAnsi="Arial"/>
          <w:sz w:val="22"/>
          <w:szCs w:val="22"/>
        </w:rPr>
        <w:t xml:space="preserve"> The pilot efforts provide evidence that the standards can be applied to large organizations with a positive degree of success.</w:t>
      </w:r>
    </w:p>
    <w:p w14:paraId="0DA336A4" w14:textId="27D0C84C" w:rsidR="007447D2" w:rsidRDefault="007447D2" w:rsidP="008A6CBC">
      <w:pPr>
        <w:jc w:val="both"/>
        <w:rPr>
          <w:rFonts w:ascii="Arial" w:hAnsi="Arial"/>
          <w:sz w:val="22"/>
          <w:szCs w:val="22"/>
        </w:rPr>
      </w:pPr>
      <w:r>
        <w:rPr>
          <w:rFonts w:ascii="Arial" w:hAnsi="Arial"/>
          <w:sz w:val="22"/>
          <w:szCs w:val="22"/>
        </w:rPr>
        <w:t xml:space="preserve"> </w:t>
      </w:r>
    </w:p>
    <w:p w14:paraId="4E2F18FA" w14:textId="10E16302" w:rsidR="005B7212" w:rsidRDefault="005B7212" w:rsidP="008A6CBC">
      <w:pPr>
        <w:jc w:val="both"/>
        <w:rPr>
          <w:rFonts w:ascii="Arial" w:hAnsi="Arial"/>
          <w:sz w:val="22"/>
          <w:szCs w:val="22"/>
        </w:rPr>
      </w:pPr>
      <w:r>
        <w:rPr>
          <w:rFonts w:ascii="Arial" w:hAnsi="Arial"/>
          <w:sz w:val="22"/>
          <w:szCs w:val="22"/>
        </w:rPr>
        <w:lastRenderedPageBreak/>
        <w:t>For the expansion of e-governance services, there were notable changes with the number of services placed on e-governance platforms increased a</w:t>
      </w:r>
      <w:r w:rsidR="009A00ED">
        <w:rPr>
          <w:rFonts w:ascii="Arial" w:hAnsi="Arial"/>
          <w:sz w:val="22"/>
          <w:szCs w:val="22"/>
        </w:rPr>
        <w:t>long with public</w:t>
      </w:r>
      <w:r>
        <w:rPr>
          <w:rFonts w:ascii="Arial" w:hAnsi="Arial"/>
          <w:sz w:val="22"/>
          <w:szCs w:val="22"/>
        </w:rPr>
        <w:t xml:space="preserve"> usage of the platforms. The growth on both fronts occurred before COVID-19 but understandably skyrocketed since March 2020. The project was catalytic in terms of not only supporting the addition of new services, but standardizing methodologies and tools, providing training, </w:t>
      </w:r>
      <w:r w:rsidR="005F790A">
        <w:rPr>
          <w:rFonts w:ascii="Arial" w:hAnsi="Arial"/>
          <w:sz w:val="22"/>
          <w:szCs w:val="22"/>
        </w:rPr>
        <w:t xml:space="preserve">and helping in the promotion for </w:t>
      </w:r>
      <w:r>
        <w:rPr>
          <w:rFonts w:ascii="Arial" w:hAnsi="Arial"/>
          <w:sz w:val="22"/>
          <w:szCs w:val="22"/>
        </w:rPr>
        <w:t>public use.</w:t>
      </w:r>
    </w:p>
    <w:p w14:paraId="079123F2" w14:textId="77777777" w:rsidR="005B7212" w:rsidRDefault="005B7212" w:rsidP="008A6CBC">
      <w:pPr>
        <w:jc w:val="both"/>
        <w:rPr>
          <w:rFonts w:ascii="Arial" w:hAnsi="Arial"/>
          <w:sz w:val="22"/>
          <w:szCs w:val="22"/>
        </w:rPr>
      </w:pPr>
    </w:p>
    <w:p w14:paraId="4597DCAE" w14:textId="6ECFEC75" w:rsidR="005B7212" w:rsidRDefault="005B7212" w:rsidP="005B7212">
      <w:pPr>
        <w:jc w:val="both"/>
        <w:rPr>
          <w:rFonts w:ascii="Arial" w:hAnsi="Arial"/>
          <w:sz w:val="22"/>
          <w:szCs w:val="22"/>
        </w:rPr>
      </w:pPr>
      <w:r>
        <w:rPr>
          <w:rFonts w:ascii="Arial" w:hAnsi="Arial"/>
          <w:sz w:val="22"/>
          <w:szCs w:val="22"/>
        </w:rPr>
        <w:t xml:space="preserve">A factor that may hinder sustainability is the attraction and keeping of </w:t>
      </w:r>
      <w:r w:rsidR="00F90989">
        <w:rPr>
          <w:rFonts w:ascii="Arial" w:hAnsi="Arial"/>
          <w:sz w:val="22"/>
          <w:szCs w:val="22"/>
        </w:rPr>
        <w:t xml:space="preserve">technical </w:t>
      </w:r>
      <w:r>
        <w:rPr>
          <w:rFonts w:ascii="Arial" w:hAnsi="Arial"/>
          <w:sz w:val="22"/>
          <w:szCs w:val="22"/>
        </w:rPr>
        <w:t xml:space="preserve">personnel. Currently, there is reported to be a lack of qualified </w:t>
      </w:r>
      <w:r w:rsidR="00F90989">
        <w:rPr>
          <w:rFonts w:ascii="Arial" w:hAnsi="Arial"/>
          <w:sz w:val="22"/>
          <w:szCs w:val="22"/>
        </w:rPr>
        <w:t xml:space="preserve">technical </w:t>
      </w:r>
      <w:r>
        <w:rPr>
          <w:rFonts w:ascii="Arial" w:hAnsi="Arial"/>
          <w:sz w:val="22"/>
          <w:szCs w:val="22"/>
        </w:rPr>
        <w:t>professionals</w:t>
      </w:r>
      <w:r w:rsidR="00F90989">
        <w:rPr>
          <w:rFonts w:ascii="Arial" w:hAnsi="Arial"/>
          <w:sz w:val="22"/>
          <w:szCs w:val="22"/>
        </w:rPr>
        <w:t xml:space="preserve"> and managers</w:t>
      </w:r>
      <w:r>
        <w:rPr>
          <w:rFonts w:ascii="Arial" w:hAnsi="Arial"/>
          <w:sz w:val="22"/>
          <w:szCs w:val="22"/>
        </w:rPr>
        <w:t xml:space="preserve">. There is competition </w:t>
      </w:r>
      <w:r w:rsidR="00F90989">
        <w:rPr>
          <w:rFonts w:ascii="Arial" w:hAnsi="Arial"/>
          <w:sz w:val="22"/>
          <w:szCs w:val="22"/>
        </w:rPr>
        <w:t>with the private sector for such</w:t>
      </w:r>
      <w:r>
        <w:rPr>
          <w:rFonts w:ascii="Arial" w:hAnsi="Arial"/>
          <w:sz w:val="22"/>
          <w:szCs w:val="22"/>
        </w:rPr>
        <w:t xml:space="preserve"> personnel. The project has </w:t>
      </w:r>
      <w:r w:rsidR="006E25BA">
        <w:rPr>
          <w:rFonts w:ascii="Arial" w:hAnsi="Arial"/>
          <w:sz w:val="22"/>
          <w:szCs w:val="22"/>
        </w:rPr>
        <w:t>discussed</w:t>
      </w:r>
      <w:r>
        <w:rPr>
          <w:rFonts w:ascii="Arial" w:hAnsi="Arial"/>
          <w:sz w:val="22"/>
          <w:szCs w:val="22"/>
        </w:rPr>
        <w:t xml:space="preserve"> </w:t>
      </w:r>
      <w:r w:rsidR="006E25BA">
        <w:rPr>
          <w:rFonts w:ascii="Arial" w:hAnsi="Arial"/>
          <w:sz w:val="22"/>
          <w:szCs w:val="22"/>
        </w:rPr>
        <w:t xml:space="preserve">this issue </w:t>
      </w:r>
      <w:r>
        <w:rPr>
          <w:rFonts w:ascii="Arial" w:hAnsi="Arial"/>
          <w:sz w:val="22"/>
          <w:szCs w:val="22"/>
        </w:rPr>
        <w:t>with the Ministry of Justice</w:t>
      </w:r>
      <w:r w:rsidR="00931612">
        <w:rPr>
          <w:rFonts w:ascii="Arial" w:hAnsi="Arial"/>
          <w:sz w:val="22"/>
          <w:szCs w:val="22"/>
        </w:rPr>
        <w:t xml:space="preserve"> counterparts</w:t>
      </w:r>
      <w:r w:rsidR="006E25BA">
        <w:rPr>
          <w:rFonts w:ascii="Arial" w:hAnsi="Arial"/>
          <w:sz w:val="22"/>
          <w:szCs w:val="22"/>
        </w:rPr>
        <w:t xml:space="preserve">. </w:t>
      </w:r>
      <w:r>
        <w:rPr>
          <w:rFonts w:ascii="Arial" w:hAnsi="Arial"/>
          <w:sz w:val="22"/>
          <w:szCs w:val="22"/>
        </w:rPr>
        <w:t>Losing critical capacity while core procedures are not yet institutionalized is an issue</w:t>
      </w:r>
      <w:r w:rsidR="006E25BA">
        <w:rPr>
          <w:rFonts w:ascii="Arial" w:hAnsi="Arial"/>
          <w:sz w:val="22"/>
          <w:szCs w:val="22"/>
        </w:rPr>
        <w:t xml:space="preserve"> to be </w:t>
      </w:r>
      <w:r>
        <w:rPr>
          <w:rFonts w:ascii="Arial" w:hAnsi="Arial"/>
          <w:sz w:val="22"/>
          <w:szCs w:val="22"/>
        </w:rPr>
        <w:t>addressed. There is no simple solution but it warrants senior government attention.</w:t>
      </w:r>
    </w:p>
    <w:p w14:paraId="51396D1E" w14:textId="77777777" w:rsidR="005B7212" w:rsidRDefault="005B7212" w:rsidP="005B7212">
      <w:pPr>
        <w:jc w:val="both"/>
        <w:rPr>
          <w:rFonts w:ascii="Arial" w:hAnsi="Arial"/>
          <w:sz w:val="22"/>
          <w:szCs w:val="22"/>
        </w:rPr>
      </w:pPr>
    </w:p>
    <w:p w14:paraId="53050AF9" w14:textId="1A9C0747" w:rsidR="008A6CBC" w:rsidRDefault="005B7212" w:rsidP="008A6CBC">
      <w:pPr>
        <w:jc w:val="both"/>
        <w:rPr>
          <w:rFonts w:ascii="Arial" w:hAnsi="Arial"/>
          <w:sz w:val="22"/>
          <w:szCs w:val="22"/>
        </w:rPr>
      </w:pPr>
      <w:r>
        <w:rPr>
          <w:rFonts w:ascii="Arial" w:hAnsi="Arial"/>
          <w:sz w:val="22"/>
          <w:szCs w:val="22"/>
        </w:rPr>
        <w:t xml:space="preserve">CSOs appeared to play a role in service delivery. As mentioned above, CSOs were included in some of the work of the PAR Council Public Service Working Group and participated in a PAR Council meeting. Such participation is necessary and will hopefully continue. It is an essential element to help make services responsive to public needs. </w:t>
      </w:r>
      <w:r w:rsidR="009A00ED">
        <w:rPr>
          <w:rFonts w:ascii="Arial" w:hAnsi="Arial"/>
          <w:sz w:val="22"/>
          <w:szCs w:val="22"/>
        </w:rPr>
        <w:t>The same applies to the UPSDD. Public input, customer satisfaction, addressing needs of persons with disabilities</w:t>
      </w:r>
      <w:r w:rsidR="00931612">
        <w:rPr>
          <w:rFonts w:ascii="Arial" w:hAnsi="Arial"/>
          <w:sz w:val="22"/>
          <w:szCs w:val="22"/>
        </w:rPr>
        <w:t xml:space="preserve"> m</w:t>
      </w:r>
      <w:r w:rsidR="009F3B53">
        <w:rPr>
          <w:rFonts w:ascii="Arial" w:hAnsi="Arial"/>
          <w:sz w:val="22"/>
          <w:szCs w:val="22"/>
        </w:rPr>
        <w:t>ust continue.  A</w:t>
      </w:r>
      <w:r w:rsidR="009A00ED">
        <w:rPr>
          <w:rFonts w:ascii="Arial" w:hAnsi="Arial"/>
          <w:sz w:val="22"/>
          <w:szCs w:val="22"/>
        </w:rPr>
        <w:t xml:space="preserve">pproving the policy </w:t>
      </w:r>
      <w:r w:rsidR="009F3B53">
        <w:rPr>
          <w:rFonts w:ascii="Arial" w:hAnsi="Arial"/>
          <w:sz w:val="22"/>
          <w:szCs w:val="22"/>
        </w:rPr>
        <w:t>is required so the</w:t>
      </w:r>
      <w:r w:rsidR="009A00ED">
        <w:rPr>
          <w:rFonts w:ascii="Arial" w:hAnsi="Arial"/>
          <w:sz w:val="22"/>
          <w:szCs w:val="22"/>
        </w:rPr>
        <w:t xml:space="preserve"> standards can be applied government-wide.</w:t>
      </w:r>
    </w:p>
    <w:p w14:paraId="29ECB833" w14:textId="1F4A6F56" w:rsidR="008A6CBC" w:rsidRDefault="009A00ED" w:rsidP="003060EE">
      <w:pPr>
        <w:pStyle w:val="Heading2"/>
        <w:numPr>
          <w:ilvl w:val="0"/>
          <w:numId w:val="3"/>
        </w:numPr>
      </w:pPr>
      <w:bookmarkStart w:id="26" w:name="_Toc478138877"/>
      <w:r>
        <w:t>Lesson Learned</w:t>
      </w:r>
      <w:bookmarkEnd w:id="26"/>
      <w:r>
        <w:t xml:space="preserve"> </w:t>
      </w:r>
    </w:p>
    <w:p w14:paraId="6FA24C19" w14:textId="77777777" w:rsidR="008A6CBC" w:rsidRDefault="008A6CBC" w:rsidP="008A6CBC">
      <w:pPr>
        <w:jc w:val="both"/>
        <w:rPr>
          <w:rFonts w:ascii="Arial" w:hAnsi="Arial"/>
          <w:sz w:val="22"/>
          <w:szCs w:val="22"/>
        </w:rPr>
      </w:pPr>
    </w:p>
    <w:p w14:paraId="0245A006" w14:textId="4B56CEC3" w:rsidR="008A6CBC" w:rsidRPr="00EC2E03" w:rsidRDefault="003477D9" w:rsidP="00F045A4">
      <w:pPr>
        <w:jc w:val="both"/>
        <w:rPr>
          <w:rFonts w:ascii="Arial" w:hAnsi="Arial" w:cs="Arial"/>
          <w:sz w:val="22"/>
          <w:szCs w:val="22"/>
        </w:rPr>
      </w:pPr>
      <w:r>
        <w:rPr>
          <w:rFonts w:ascii="Arial" w:hAnsi="Arial"/>
          <w:sz w:val="22"/>
          <w:szCs w:val="22"/>
        </w:rPr>
        <w:t>The following is a set of lessons learned</w:t>
      </w:r>
      <w:r w:rsidR="00EC2E03">
        <w:rPr>
          <w:rFonts w:ascii="Arial" w:hAnsi="Arial"/>
          <w:sz w:val="22"/>
          <w:szCs w:val="22"/>
        </w:rPr>
        <w:t xml:space="preserve"> based on evaluation criteria review, project management </w:t>
      </w:r>
      <w:r w:rsidR="00EC2E03" w:rsidRPr="00EC2E03">
        <w:rPr>
          <w:rFonts w:ascii="Arial" w:hAnsi="Arial" w:cs="Arial"/>
          <w:sz w:val="22"/>
          <w:szCs w:val="22"/>
        </w:rPr>
        <w:t xml:space="preserve">and implementation, and the activities and results of the 3 outcome areas. </w:t>
      </w:r>
    </w:p>
    <w:p w14:paraId="46FF4DC1" w14:textId="77777777" w:rsidR="00EC2E03" w:rsidRPr="00EC2E03" w:rsidRDefault="00EC2E03" w:rsidP="008A6CBC">
      <w:pPr>
        <w:rPr>
          <w:rFonts w:ascii="Arial" w:hAnsi="Arial" w:cs="Arial"/>
          <w:sz w:val="22"/>
          <w:szCs w:val="22"/>
        </w:rPr>
      </w:pPr>
    </w:p>
    <w:p w14:paraId="5C46ED06" w14:textId="4DC3DD66" w:rsidR="00EC2E03" w:rsidRDefault="00EC2E03" w:rsidP="00EB743C">
      <w:pPr>
        <w:pStyle w:val="ListParagraph"/>
        <w:numPr>
          <w:ilvl w:val="0"/>
          <w:numId w:val="53"/>
        </w:numPr>
        <w:jc w:val="both"/>
        <w:rPr>
          <w:rFonts w:ascii="Arial" w:hAnsi="Arial" w:cs="Arial"/>
          <w:sz w:val="22"/>
          <w:szCs w:val="22"/>
        </w:rPr>
      </w:pPr>
      <w:r w:rsidRPr="000B6FF6">
        <w:rPr>
          <w:rFonts w:ascii="Arial" w:hAnsi="Arial" w:cs="Arial"/>
          <w:i/>
          <w:sz w:val="22"/>
          <w:szCs w:val="22"/>
        </w:rPr>
        <w:t>Building of Momentum and Consolidation:</w:t>
      </w:r>
      <w:r w:rsidRPr="00EC2E03">
        <w:rPr>
          <w:rFonts w:ascii="Arial" w:hAnsi="Arial" w:cs="Arial"/>
          <w:sz w:val="22"/>
          <w:szCs w:val="22"/>
        </w:rPr>
        <w:t xml:space="preserve"> </w:t>
      </w:r>
      <w:r>
        <w:rPr>
          <w:rFonts w:ascii="Arial" w:hAnsi="Arial" w:cs="Arial"/>
          <w:sz w:val="22"/>
          <w:szCs w:val="22"/>
        </w:rPr>
        <w:t>There is momentum for PAR. And, the project has been catalytic in building that momentum by helping to identify discrete PAR reform targets and then addressing those targe</w:t>
      </w:r>
      <w:r w:rsidR="00866F43">
        <w:rPr>
          <w:rFonts w:ascii="Arial" w:hAnsi="Arial" w:cs="Arial"/>
          <w:sz w:val="22"/>
          <w:szCs w:val="22"/>
        </w:rPr>
        <w:t>t</w:t>
      </w:r>
      <w:r>
        <w:rPr>
          <w:rFonts w:ascii="Arial" w:hAnsi="Arial" w:cs="Arial"/>
          <w:sz w:val="22"/>
          <w:szCs w:val="22"/>
        </w:rPr>
        <w:t xml:space="preserve">s in an organized, detailed and cooperative manner. Some have said that senior political support has waivered over the years given the macro political situation but even so, </w:t>
      </w:r>
      <w:r w:rsidR="00866F43">
        <w:rPr>
          <w:rFonts w:ascii="Arial" w:hAnsi="Arial" w:cs="Arial"/>
          <w:sz w:val="22"/>
          <w:szCs w:val="22"/>
        </w:rPr>
        <w:t>public servants have kept it going and the main im</w:t>
      </w:r>
      <w:r w:rsidR="003D694B">
        <w:rPr>
          <w:rFonts w:ascii="Arial" w:hAnsi="Arial" w:cs="Arial"/>
          <w:sz w:val="22"/>
          <w:szCs w:val="22"/>
        </w:rPr>
        <w:t>petus, adopting European</w:t>
      </w:r>
      <w:r w:rsidR="00866F43">
        <w:rPr>
          <w:rFonts w:ascii="Arial" w:hAnsi="Arial" w:cs="Arial"/>
          <w:sz w:val="22"/>
          <w:szCs w:val="22"/>
        </w:rPr>
        <w:t xml:space="preserve"> standards and the commitments made by government, keep the reform alive. </w:t>
      </w:r>
    </w:p>
    <w:p w14:paraId="025D1F2D" w14:textId="77777777" w:rsidR="00866F43" w:rsidRDefault="00866F43" w:rsidP="00866F43">
      <w:pPr>
        <w:jc w:val="both"/>
        <w:rPr>
          <w:rFonts w:ascii="Arial" w:hAnsi="Arial" w:cs="Arial"/>
          <w:sz w:val="22"/>
          <w:szCs w:val="22"/>
        </w:rPr>
      </w:pPr>
    </w:p>
    <w:p w14:paraId="367B33CB" w14:textId="7831962B" w:rsidR="00866F43" w:rsidRPr="00866F43" w:rsidRDefault="00866F43" w:rsidP="00866F43">
      <w:pPr>
        <w:ind w:left="720"/>
        <w:jc w:val="both"/>
        <w:rPr>
          <w:rFonts w:ascii="Arial" w:hAnsi="Arial" w:cs="Arial"/>
          <w:sz w:val="22"/>
          <w:szCs w:val="22"/>
        </w:rPr>
      </w:pPr>
      <w:r>
        <w:rPr>
          <w:rFonts w:ascii="Arial" w:hAnsi="Arial" w:cs="Arial"/>
          <w:sz w:val="22"/>
          <w:szCs w:val="22"/>
        </w:rPr>
        <w:t>As the year-to-year progress shows, activities became more consolidated to delivering on the key outputs. In the early years, much depended on having the appropriate legal/regulatory framework, collaborative working arrangements with stakeholders and other development partners, ability to target resources efficiently and effectively, and a project “road map” to address the areas the project was designed to address. These building blocks helped to make progress along the way and contributed to the more major results that were experienced at project end. And, the progress and consolidation continued even given the response to and impact of COVID-19 that changed the way the project co</w:t>
      </w:r>
      <w:r w:rsidR="00A628DE">
        <w:rPr>
          <w:rFonts w:ascii="Arial" w:hAnsi="Arial" w:cs="Arial"/>
          <w:sz w:val="22"/>
          <w:szCs w:val="22"/>
        </w:rPr>
        <w:t>uld deliver</w:t>
      </w:r>
      <w:r>
        <w:rPr>
          <w:rFonts w:ascii="Arial" w:hAnsi="Arial" w:cs="Arial"/>
          <w:sz w:val="22"/>
          <w:szCs w:val="22"/>
        </w:rPr>
        <w:t xml:space="preserve">. That said, there is still some “unfinished business,” described in the next </w:t>
      </w:r>
      <w:r w:rsidR="00F045A4">
        <w:rPr>
          <w:rFonts w:ascii="Arial" w:hAnsi="Arial" w:cs="Arial"/>
          <w:sz w:val="22"/>
          <w:szCs w:val="22"/>
        </w:rPr>
        <w:t>section, which</w:t>
      </w:r>
      <w:r>
        <w:rPr>
          <w:rFonts w:ascii="Arial" w:hAnsi="Arial" w:cs="Arial"/>
          <w:sz w:val="22"/>
          <w:szCs w:val="22"/>
        </w:rPr>
        <w:t xml:space="preserve"> remain</w:t>
      </w:r>
      <w:r w:rsidR="00F045A4">
        <w:rPr>
          <w:rFonts w:ascii="Arial" w:hAnsi="Arial" w:cs="Arial"/>
          <w:sz w:val="22"/>
          <w:szCs w:val="22"/>
        </w:rPr>
        <w:t>s</w:t>
      </w:r>
      <w:r>
        <w:rPr>
          <w:rFonts w:ascii="Arial" w:hAnsi="Arial" w:cs="Arial"/>
          <w:sz w:val="22"/>
          <w:szCs w:val="22"/>
        </w:rPr>
        <w:t xml:space="preserve"> to be addressed. </w:t>
      </w:r>
    </w:p>
    <w:p w14:paraId="072C4E12" w14:textId="77777777" w:rsidR="00A770F6" w:rsidRDefault="00A770F6" w:rsidP="00866F43">
      <w:pPr>
        <w:jc w:val="both"/>
        <w:rPr>
          <w:rFonts w:ascii="Arial" w:hAnsi="Arial" w:cs="Arial"/>
          <w:sz w:val="22"/>
          <w:szCs w:val="22"/>
        </w:rPr>
      </w:pPr>
    </w:p>
    <w:p w14:paraId="138BDB60" w14:textId="6E117D6D" w:rsidR="00A770F6" w:rsidRPr="003060EE" w:rsidRDefault="00F045A4" w:rsidP="00EB743C">
      <w:pPr>
        <w:pStyle w:val="ListParagraph"/>
        <w:numPr>
          <w:ilvl w:val="0"/>
          <w:numId w:val="53"/>
        </w:numPr>
        <w:jc w:val="both"/>
        <w:rPr>
          <w:rFonts w:ascii="Arial" w:hAnsi="Arial" w:cs="Arial"/>
          <w:sz w:val="22"/>
          <w:szCs w:val="22"/>
        </w:rPr>
      </w:pPr>
      <w:r>
        <w:rPr>
          <w:rFonts w:ascii="Arial" w:hAnsi="Arial" w:cs="Arial"/>
          <w:i/>
          <w:sz w:val="22"/>
          <w:szCs w:val="22"/>
        </w:rPr>
        <w:t>Planning and I</w:t>
      </w:r>
      <w:r w:rsidR="003060EE" w:rsidRPr="00DB2EBC">
        <w:rPr>
          <w:rFonts w:ascii="Arial" w:hAnsi="Arial" w:cs="Arial"/>
          <w:i/>
          <w:sz w:val="22"/>
          <w:szCs w:val="22"/>
        </w:rPr>
        <w:t>mplementation with Flexibility:</w:t>
      </w:r>
      <w:r w:rsidR="003060EE">
        <w:rPr>
          <w:rFonts w:ascii="Arial" w:hAnsi="Arial" w:cs="Arial"/>
          <w:sz w:val="22"/>
          <w:szCs w:val="22"/>
        </w:rPr>
        <w:t xml:space="preserve"> </w:t>
      </w:r>
      <w:r w:rsidR="003060EE">
        <w:rPr>
          <w:rFonts w:ascii="Arial" w:hAnsi="Arial"/>
          <w:sz w:val="22"/>
          <w:szCs w:val="22"/>
        </w:rPr>
        <w:t>PAR is a long-</w:t>
      </w:r>
      <w:r w:rsidR="00A770F6" w:rsidRPr="003060EE">
        <w:rPr>
          <w:rFonts w:ascii="Arial" w:hAnsi="Arial"/>
          <w:sz w:val="22"/>
          <w:szCs w:val="22"/>
        </w:rPr>
        <w:t>term process</w:t>
      </w:r>
      <w:r w:rsidR="003060EE">
        <w:rPr>
          <w:rFonts w:ascii="Arial" w:hAnsi="Arial"/>
          <w:sz w:val="22"/>
          <w:szCs w:val="22"/>
        </w:rPr>
        <w:t>. It consists of</w:t>
      </w:r>
      <w:r w:rsidR="00A770F6" w:rsidRPr="003060EE">
        <w:rPr>
          <w:rFonts w:ascii="Arial" w:hAnsi="Arial"/>
          <w:sz w:val="22"/>
          <w:szCs w:val="22"/>
        </w:rPr>
        <w:t xml:space="preserve"> developi</w:t>
      </w:r>
      <w:r w:rsidR="003060EE">
        <w:rPr>
          <w:rFonts w:ascii="Arial" w:hAnsi="Arial"/>
          <w:sz w:val="22"/>
          <w:szCs w:val="22"/>
        </w:rPr>
        <w:t xml:space="preserve">ng attitudes for an independent, </w:t>
      </w:r>
      <w:r>
        <w:rPr>
          <w:rFonts w:ascii="Arial" w:hAnsi="Arial"/>
          <w:sz w:val="22"/>
          <w:szCs w:val="22"/>
        </w:rPr>
        <w:t xml:space="preserve">merit-based </w:t>
      </w:r>
      <w:r w:rsidR="003060EE">
        <w:rPr>
          <w:rFonts w:ascii="Arial" w:hAnsi="Arial"/>
          <w:sz w:val="22"/>
          <w:szCs w:val="22"/>
        </w:rPr>
        <w:t>professional and capable civil servant (and developing that civil servant), establishing the</w:t>
      </w:r>
      <w:r w:rsidR="00A770F6" w:rsidRPr="003060EE">
        <w:rPr>
          <w:rFonts w:ascii="Arial" w:hAnsi="Arial"/>
          <w:sz w:val="22"/>
          <w:szCs w:val="22"/>
        </w:rPr>
        <w:t xml:space="preserve"> legal/regulatory framework, </w:t>
      </w:r>
      <w:r w:rsidR="003060EE">
        <w:rPr>
          <w:rFonts w:ascii="Arial" w:hAnsi="Arial"/>
          <w:sz w:val="22"/>
          <w:szCs w:val="22"/>
        </w:rPr>
        <w:t xml:space="preserve">establishing </w:t>
      </w:r>
      <w:r w:rsidR="00A770F6" w:rsidRPr="003060EE">
        <w:rPr>
          <w:rFonts w:ascii="Arial" w:hAnsi="Arial"/>
          <w:sz w:val="22"/>
          <w:szCs w:val="22"/>
        </w:rPr>
        <w:t>processes</w:t>
      </w:r>
      <w:r w:rsidR="003060EE">
        <w:rPr>
          <w:rFonts w:ascii="Arial" w:hAnsi="Arial"/>
          <w:sz w:val="22"/>
          <w:szCs w:val="22"/>
        </w:rPr>
        <w:t xml:space="preserve">, training, standardization, certifications, </w:t>
      </w:r>
      <w:proofErr w:type="spellStart"/>
      <w:r w:rsidR="003060EE">
        <w:rPr>
          <w:rFonts w:ascii="Arial" w:hAnsi="Arial"/>
          <w:sz w:val="22"/>
          <w:szCs w:val="22"/>
        </w:rPr>
        <w:t>e-sys</w:t>
      </w:r>
      <w:r w:rsidR="00A628DE">
        <w:rPr>
          <w:rFonts w:ascii="Arial" w:hAnsi="Arial"/>
          <w:sz w:val="22"/>
          <w:szCs w:val="22"/>
        </w:rPr>
        <w:t>tems</w:t>
      </w:r>
      <w:proofErr w:type="spellEnd"/>
      <w:r w:rsidR="00A628DE">
        <w:rPr>
          <w:rFonts w:ascii="Arial" w:hAnsi="Arial"/>
          <w:sz w:val="22"/>
          <w:szCs w:val="22"/>
        </w:rPr>
        <w:t xml:space="preserve">, etc. that are </w:t>
      </w:r>
      <w:r w:rsidR="00A628DE">
        <w:rPr>
          <w:rFonts w:ascii="Arial" w:hAnsi="Arial"/>
          <w:sz w:val="22"/>
          <w:szCs w:val="22"/>
        </w:rPr>
        <w:lastRenderedPageBreak/>
        <w:t xml:space="preserve">applied to </w:t>
      </w:r>
      <w:r w:rsidR="003060EE">
        <w:rPr>
          <w:rFonts w:ascii="Arial" w:hAnsi="Arial"/>
          <w:sz w:val="22"/>
          <w:szCs w:val="22"/>
        </w:rPr>
        <w:t>help deliver</w:t>
      </w:r>
      <w:r w:rsidR="00A770F6" w:rsidRPr="003060EE">
        <w:rPr>
          <w:rFonts w:ascii="Arial" w:hAnsi="Arial"/>
          <w:sz w:val="22"/>
          <w:szCs w:val="22"/>
        </w:rPr>
        <w:t xml:space="preserve"> services </w:t>
      </w:r>
      <w:r w:rsidR="003060EE">
        <w:rPr>
          <w:rFonts w:ascii="Arial" w:hAnsi="Arial"/>
          <w:sz w:val="22"/>
          <w:szCs w:val="22"/>
        </w:rPr>
        <w:t xml:space="preserve">and provide capabilities </w:t>
      </w:r>
      <w:r w:rsidR="00A770F6" w:rsidRPr="003060EE">
        <w:rPr>
          <w:rFonts w:ascii="Arial" w:hAnsi="Arial"/>
          <w:sz w:val="22"/>
          <w:szCs w:val="22"/>
        </w:rPr>
        <w:t>that are designed to be responsive to government and citizens’ needs.</w:t>
      </w:r>
      <w:r w:rsidR="003060EE">
        <w:rPr>
          <w:rFonts w:ascii="Arial" w:hAnsi="Arial"/>
          <w:sz w:val="22"/>
          <w:szCs w:val="22"/>
        </w:rPr>
        <w:t xml:space="preserve"> A whole-of-government approach takes all of government.</w:t>
      </w:r>
    </w:p>
    <w:p w14:paraId="7A6162F8" w14:textId="77777777" w:rsidR="003060EE" w:rsidRDefault="003060EE" w:rsidP="003060EE">
      <w:pPr>
        <w:jc w:val="both"/>
        <w:rPr>
          <w:rFonts w:ascii="Arial" w:hAnsi="Arial" w:cs="Arial"/>
          <w:sz w:val="22"/>
          <w:szCs w:val="22"/>
        </w:rPr>
      </w:pPr>
    </w:p>
    <w:p w14:paraId="639CC65B" w14:textId="10FD6755" w:rsidR="003060EE" w:rsidRDefault="003060EE" w:rsidP="001633CB">
      <w:pPr>
        <w:ind w:left="720" w:hanging="720"/>
        <w:jc w:val="both"/>
        <w:rPr>
          <w:rFonts w:ascii="Arial" w:hAnsi="Arial" w:cs="Arial"/>
          <w:sz w:val="22"/>
          <w:szCs w:val="22"/>
        </w:rPr>
      </w:pPr>
      <w:r>
        <w:rPr>
          <w:rFonts w:ascii="Arial" w:hAnsi="Arial" w:cs="Arial"/>
          <w:sz w:val="22"/>
          <w:szCs w:val="22"/>
        </w:rPr>
        <w:tab/>
        <w:t xml:space="preserve">The project was adeptly flexible to </w:t>
      </w:r>
      <w:r w:rsidR="001633CB">
        <w:rPr>
          <w:rFonts w:ascii="Arial" w:hAnsi="Arial" w:cs="Arial"/>
          <w:sz w:val="22"/>
          <w:szCs w:val="22"/>
        </w:rPr>
        <w:t>facilitate</w:t>
      </w:r>
      <w:r>
        <w:rPr>
          <w:rFonts w:ascii="Arial" w:hAnsi="Arial" w:cs="Arial"/>
          <w:sz w:val="22"/>
          <w:szCs w:val="22"/>
        </w:rPr>
        <w:t xml:space="preserve"> each of the </w:t>
      </w:r>
      <w:r w:rsidR="00A628DE">
        <w:rPr>
          <w:rFonts w:ascii="Arial" w:hAnsi="Arial" w:cs="Arial"/>
          <w:sz w:val="22"/>
          <w:szCs w:val="22"/>
        </w:rPr>
        <w:t xml:space="preserve">outcome </w:t>
      </w:r>
      <w:r>
        <w:rPr>
          <w:rFonts w:ascii="Arial" w:hAnsi="Arial" w:cs="Arial"/>
          <w:sz w:val="22"/>
          <w:szCs w:val="22"/>
        </w:rPr>
        <w:t>areas and applied its resources as needed. Someti</w:t>
      </w:r>
      <w:r w:rsidR="001633CB">
        <w:rPr>
          <w:rFonts w:ascii="Arial" w:hAnsi="Arial" w:cs="Arial"/>
          <w:sz w:val="22"/>
          <w:szCs w:val="22"/>
        </w:rPr>
        <w:t>mes, such as waiting for a docu</w:t>
      </w:r>
      <w:r>
        <w:rPr>
          <w:rFonts w:ascii="Arial" w:hAnsi="Arial" w:cs="Arial"/>
          <w:sz w:val="22"/>
          <w:szCs w:val="22"/>
        </w:rPr>
        <w:t>ment to be approved like the policy planning</w:t>
      </w:r>
      <w:r w:rsidR="001633CB">
        <w:rPr>
          <w:rFonts w:ascii="Arial" w:hAnsi="Arial" w:cs="Arial"/>
          <w:sz w:val="22"/>
          <w:szCs w:val="22"/>
        </w:rPr>
        <w:t>, monitori</w:t>
      </w:r>
      <w:r>
        <w:rPr>
          <w:rFonts w:ascii="Arial" w:hAnsi="Arial" w:cs="Arial"/>
          <w:sz w:val="22"/>
          <w:szCs w:val="22"/>
        </w:rPr>
        <w:t xml:space="preserve">ng and evaluation handbook and </w:t>
      </w:r>
      <w:r w:rsidR="00931612">
        <w:rPr>
          <w:rFonts w:ascii="Arial" w:hAnsi="Arial" w:cs="Arial"/>
          <w:sz w:val="22"/>
          <w:szCs w:val="22"/>
        </w:rPr>
        <w:t xml:space="preserve">its related </w:t>
      </w:r>
      <w:r>
        <w:rPr>
          <w:rFonts w:ascii="Arial" w:hAnsi="Arial" w:cs="Arial"/>
          <w:sz w:val="22"/>
          <w:szCs w:val="22"/>
        </w:rPr>
        <w:t>process and USPDD, the project adjusted so it can still address the need and put things in place so that when approval was (or will be</w:t>
      </w:r>
      <w:r w:rsidR="001633CB">
        <w:rPr>
          <w:rFonts w:ascii="Arial" w:hAnsi="Arial" w:cs="Arial"/>
          <w:sz w:val="22"/>
          <w:szCs w:val="22"/>
        </w:rPr>
        <w:t>) given</w:t>
      </w:r>
      <w:r>
        <w:rPr>
          <w:rFonts w:ascii="Arial" w:hAnsi="Arial" w:cs="Arial"/>
          <w:sz w:val="22"/>
          <w:szCs w:val="22"/>
        </w:rPr>
        <w:t>, stakeholders can progress</w:t>
      </w:r>
      <w:r w:rsidR="001633CB">
        <w:rPr>
          <w:rFonts w:ascii="Arial" w:hAnsi="Arial" w:cs="Arial"/>
          <w:sz w:val="22"/>
          <w:szCs w:val="22"/>
        </w:rPr>
        <w:t xml:space="preserve"> since the building blocks were already set</w:t>
      </w:r>
      <w:r>
        <w:rPr>
          <w:rFonts w:ascii="Arial" w:hAnsi="Arial" w:cs="Arial"/>
          <w:sz w:val="22"/>
          <w:szCs w:val="22"/>
        </w:rPr>
        <w:t xml:space="preserve">. The flexibility </w:t>
      </w:r>
      <w:r w:rsidR="001633CB">
        <w:rPr>
          <w:rFonts w:ascii="Arial" w:hAnsi="Arial" w:cs="Arial"/>
          <w:sz w:val="22"/>
          <w:szCs w:val="22"/>
        </w:rPr>
        <w:t>allowed is also a testament to close cooperation with the project partners – UNDP and the UK government – to al</w:t>
      </w:r>
      <w:r w:rsidR="00F045A4">
        <w:rPr>
          <w:rFonts w:ascii="Arial" w:hAnsi="Arial" w:cs="Arial"/>
          <w:sz w:val="22"/>
          <w:szCs w:val="22"/>
        </w:rPr>
        <w:t>low such flexibility. T</w:t>
      </w:r>
      <w:r w:rsidR="001633CB">
        <w:rPr>
          <w:rFonts w:ascii="Arial" w:hAnsi="Arial" w:cs="Arial"/>
          <w:sz w:val="22"/>
          <w:szCs w:val="22"/>
        </w:rPr>
        <w:t>he flexibility did not throw the project off course as shown by the results to date, budget execution</w:t>
      </w:r>
      <w:r w:rsidR="00366809">
        <w:rPr>
          <w:rFonts w:ascii="Arial" w:hAnsi="Arial" w:cs="Arial"/>
          <w:sz w:val="22"/>
          <w:szCs w:val="22"/>
        </w:rPr>
        <w:t>,</w:t>
      </w:r>
      <w:r w:rsidR="001633CB">
        <w:rPr>
          <w:rFonts w:ascii="Arial" w:hAnsi="Arial" w:cs="Arial"/>
          <w:sz w:val="22"/>
          <w:szCs w:val="22"/>
        </w:rPr>
        <w:t xml:space="preserve"> and feedback from the parties involved. The resou</w:t>
      </w:r>
      <w:r w:rsidR="00366809">
        <w:rPr>
          <w:rFonts w:ascii="Arial" w:hAnsi="Arial" w:cs="Arial"/>
          <w:sz w:val="22"/>
          <w:szCs w:val="22"/>
        </w:rPr>
        <w:t>rcefulness shown by all parties -</w:t>
      </w:r>
      <w:r w:rsidR="001633CB">
        <w:rPr>
          <w:rFonts w:ascii="Arial" w:hAnsi="Arial" w:cs="Arial"/>
          <w:sz w:val="22"/>
          <w:szCs w:val="22"/>
        </w:rPr>
        <w:t xml:space="preserve"> project team, donors and stakeholders is a key lesson for PAR in Georgia.</w:t>
      </w:r>
    </w:p>
    <w:p w14:paraId="06C1868E" w14:textId="77777777" w:rsidR="001633CB" w:rsidRDefault="001633CB" w:rsidP="001633CB">
      <w:pPr>
        <w:ind w:left="720" w:hanging="720"/>
        <w:jc w:val="both"/>
        <w:rPr>
          <w:rFonts w:ascii="Arial" w:hAnsi="Arial" w:cs="Arial"/>
          <w:sz w:val="22"/>
          <w:szCs w:val="22"/>
        </w:rPr>
      </w:pPr>
    </w:p>
    <w:p w14:paraId="776BADBD" w14:textId="3005A39A" w:rsidR="00A770F6" w:rsidRPr="001633CB" w:rsidRDefault="001633CB" w:rsidP="00EB743C">
      <w:pPr>
        <w:pStyle w:val="ListParagraph"/>
        <w:numPr>
          <w:ilvl w:val="0"/>
          <w:numId w:val="53"/>
        </w:numPr>
        <w:jc w:val="both"/>
        <w:rPr>
          <w:rFonts w:ascii="Arial" w:hAnsi="Arial" w:cs="Arial"/>
          <w:sz w:val="22"/>
          <w:szCs w:val="22"/>
        </w:rPr>
      </w:pPr>
      <w:r w:rsidRPr="00DB2EBC">
        <w:rPr>
          <w:rFonts w:ascii="Arial" w:hAnsi="Arial"/>
          <w:i/>
          <w:sz w:val="22"/>
          <w:szCs w:val="22"/>
        </w:rPr>
        <w:t>Change Management Takes Time</w:t>
      </w:r>
      <w:r w:rsidR="00FC05DF" w:rsidRPr="00DB2EBC">
        <w:rPr>
          <w:rFonts w:ascii="Arial" w:hAnsi="Arial"/>
          <w:i/>
          <w:sz w:val="22"/>
          <w:szCs w:val="22"/>
        </w:rPr>
        <w:t xml:space="preserve"> and Should Always be Present</w:t>
      </w:r>
      <w:r w:rsidRPr="00DB2EBC">
        <w:rPr>
          <w:rFonts w:ascii="Arial" w:hAnsi="Arial"/>
          <w:i/>
          <w:sz w:val="22"/>
          <w:szCs w:val="22"/>
        </w:rPr>
        <w:t>:</w:t>
      </w:r>
      <w:r>
        <w:rPr>
          <w:rFonts w:ascii="Arial" w:hAnsi="Arial"/>
          <w:sz w:val="22"/>
          <w:szCs w:val="22"/>
        </w:rPr>
        <w:t xml:space="preserve"> </w:t>
      </w:r>
      <w:r w:rsidR="00A770F6" w:rsidRPr="001633CB">
        <w:rPr>
          <w:rFonts w:ascii="Arial" w:hAnsi="Arial"/>
          <w:sz w:val="22"/>
          <w:szCs w:val="22"/>
        </w:rPr>
        <w:t xml:space="preserve"> </w:t>
      </w:r>
      <w:r>
        <w:rPr>
          <w:rFonts w:ascii="Arial" w:hAnsi="Arial"/>
          <w:sz w:val="22"/>
          <w:szCs w:val="22"/>
        </w:rPr>
        <w:t>A change management approach was establis</w:t>
      </w:r>
      <w:r w:rsidR="00FC05DF">
        <w:rPr>
          <w:rFonts w:ascii="Arial" w:hAnsi="Arial"/>
          <w:sz w:val="22"/>
          <w:szCs w:val="22"/>
        </w:rPr>
        <w:t>hed at project start. The focus</w:t>
      </w:r>
      <w:r>
        <w:rPr>
          <w:rFonts w:ascii="Arial" w:hAnsi="Arial"/>
          <w:sz w:val="22"/>
          <w:szCs w:val="22"/>
        </w:rPr>
        <w:t xml:space="preserve"> on change management helped to draw attention to </w:t>
      </w:r>
      <w:r w:rsidR="00FC05DF">
        <w:rPr>
          <w:rFonts w:ascii="Arial" w:hAnsi="Arial"/>
          <w:sz w:val="22"/>
          <w:szCs w:val="22"/>
        </w:rPr>
        <w:t>priority need</w:t>
      </w:r>
      <w:r w:rsidR="00366809">
        <w:rPr>
          <w:rFonts w:ascii="Arial" w:hAnsi="Arial"/>
          <w:sz w:val="22"/>
          <w:szCs w:val="22"/>
        </w:rPr>
        <w:t>s</w:t>
      </w:r>
      <w:r>
        <w:rPr>
          <w:rFonts w:ascii="Arial" w:hAnsi="Arial"/>
          <w:sz w:val="22"/>
          <w:szCs w:val="22"/>
        </w:rPr>
        <w:t>. As time went on, the project went from advocating for change to actually mak</w:t>
      </w:r>
      <w:r w:rsidR="00FC05DF">
        <w:rPr>
          <w:rFonts w:ascii="Arial" w:hAnsi="Arial"/>
          <w:sz w:val="22"/>
          <w:szCs w:val="22"/>
        </w:rPr>
        <w:t>i</w:t>
      </w:r>
      <w:r>
        <w:rPr>
          <w:rFonts w:ascii="Arial" w:hAnsi="Arial"/>
          <w:sz w:val="22"/>
          <w:szCs w:val="22"/>
        </w:rPr>
        <w:t xml:space="preserve">ng it happen with the various interventions. However, that not is to say PAR-related reform is complete. Change will need to be constant as governance structures adjust – as they did with the number of ministries reduced during the project as an example, and demands change – such as with the response to a crisis and emergency situation of COVID-19 and its vast impact. </w:t>
      </w:r>
      <w:r w:rsidR="00FC05DF">
        <w:rPr>
          <w:rFonts w:ascii="Arial" w:hAnsi="Arial"/>
          <w:sz w:val="22"/>
          <w:szCs w:val="22"/>
        </w:rPr>
        <w:t xml:space="preserve">Given the project’s interventions, the government is better equipped to plan for, adopt and measure change. The government now has </w:t>
      </w:r>
      <w:r w:rsidR="00366809">
        <w:rPr>
          <w:rFonts w:ascii="Arial" w:hAnsi="Arial"/>
          <w:sz w:val="22"/>
          <w:szCs w:val="22"/>
        </w:rPr>
        <w:t xml:space="preserve">at </w:t>
      </w:r>
      <w:r w:rsidR="00FC05DF">
        <w:rPr>
          <w:rFonts w:ascii="Arial" w:hAnsi="Arial"/>
          <w:sz w:val="22"/>
          <w:szCs w:val="22"/>
        </w:rPr>
        <w:t>its disposal a policy planning monitoring and evaluation process with civil society input; an organized civil service training approach and responsive curri</w:t>
      </w:r>
      <w:r w:rsidR="00F045A4">
        <w:rPr>
          <w:rFonts w:ascii="Arial" w:hAnsi="Arial"/>
          <w:sz w:val="22"/>
          <w:szCs w:val="22"/>
        </w:rPr>
        <w:t>culum;</w:t>
      </w:r>
      <w:r w:rsidR="00FC05DF">
        <w:rPr>
          <w:rFonts w:ascii="Arial" w:hAnsi="Arial"/>
          <w:sz w:val="22"/>
          <w:szCs w:val="22"/>
        </w:rPr>
        <w:t xml:space="preserve"> a link between pe</w:t>
      </w:r>
      <w:r w:rsidR="00F045A4">
        <w:rPr>
          <w:rFonts w:ascii="Arial" w:hAnsi="Arial"/>
          <w:sz w:val="22"/>
          <w:szCs w:val="22"/>
        </w:rPr>
        <w:t xml:space="preserve">rformance </w:t>
      </w:r>
      <w:r w:rsidR="003D694B">
        <w:rPr>
          <w:rFonts w:ascii="Arial" w:hAnsi="Arial"/>
          <w:sz w:val="22"/>
          <w:szCs w:val="22"/>
        </w:rPr>
        <w:t xml:space="preserve">appraisal </w:t>
      </w:r>
      <w:r w:rsidR="00F045A4">
        <w:rPr>
          <w:rFonts w:ascii="Arial" w:hAnsi="Arial"/>
          <w:sz w:val="22"/>
          <w:szCs w:val="22"/>
        </w:rPr>
        <w:t>and capacity building;</w:t>
      </w:r>
      <w:r w:rsidR="00FC05DF">
        <w:rPr>
          <w:rFonts w:ascii="Arial" w:hAnsi="Arial"/>
          <w:sz w:val="22"/>
          <w:szCs w:val="22"/>
        </w:rPr>
        <w:t xml:space="preserve"> and improved service delivery also with civil society input and where one-on-one and e-services have and can continue to improve. The challenge is to bring these changes forward so they are applied government-wide and change is allowed systematically. The feedback allowed through strengthened moni</w:t>
      </w:r>
      <w:r w:rsidR="00F045A4">
        <w:rPr>
          <w:rFonts w:ascii="Arial" w:hAnsi="Arial"/>
          <w:sz w:val="22"/>
          <w:szCs w:val="22"/>
        </w:rPr>
        <w:t xml:space="preserve">toring and evaluation, provision of more </w:t>
      </w:r>
      <w:r w:rsidR="004D682B">
        <w:rPr>
          <w:rFonts w:ascii="Arial" w:hAnsi="Arial"/>
          <w:sz w:val="22"/>
          <w:szCs w:val="22"/>
        </w:rPr>
        <w:t>standard</w:t>
      </w:r>
      <w:r w:rsidR="00F045A4">
        <w:rPr>
          <w:rFonts w:ascii="Arial" w:hAnsi="Arial"/>
          <w:sz w:val="22"/>
          <w:szCs w:val="22"/>
        </w:rPr>
        <w:t>ized</w:t>
      </w:r>
      <w:r w:rsidR="004D682B">
        <w:rPr>
          <w:rFonts w:ascii="Arial" w:hAnsi="Arial"/>
          <w:sz w:val="22"/>
          <w:szCs w:val="22"/>
        </w:rPr>
        <w:t xml:space="preserve"> training of the </w:t>
      </w:r>
      <w:r w:rsidR="00FC05DF">
        <w:rPr>
          <w:rFonts w:ascii="Arial" w:hAnsi="Arial"/>
          <w:sz w:val="22"/>
          <w:szCs w:val="22"/>
        </w:rPr>
        <w:t>civil servant workforce, and civil society input will help to advance future change.</w:t>
      </w:r>
    </w:p>
    <w:p w14:paraId="12B2100E" w14:textId="77777777" w:rsidR="001633CB" w:rsidRPr="00FC05DF" w:rsidRDefault="001633CB" w:rsidP="00FC05DF">
      <w:pPr>
        <w:jc w:val="both"/>
        <w:rPr>
          <w:rFonts w:ascii="Arial" w:hAnsi="Arial"/>
          <w:sz w:val="22"/>
          <w:szCs w:val="22"/>
        </w:rPr>
      </w:pPr>
    </w:p>
    <w:p w14:paraId="49203870" w14:textId="77777777" w:rsidR="00FC05DF" w:rsidRDefault="00FC05DF" w:rsidP="00EB743C">
      <w:pPr>
        <w:pStyle w:val="ListParagraph"/>
        <w:numPr>
          <w:ilvl w:val="0"/>
          <w:numId w:val="53"/>
        </w:numPr>
        <w:jc w:val="both"/>
        <w:rPr>
          <w:rFonts w:ascii="Arial" w:hAnsi="Arial"/>
          <w:sz w:val="22"/>
          <w:szCs w:val="22"/>
        </w:rPr>
      </w:pPr>
      <w:r w:rsidRPr="00DB2EBC">
        <w:rPr>
          <w:rFonts w:ascii="Arial" w:hAnsi="Arial"/>
          <w:i/>
          <w:sz w:val="22"/>
          <w:szCs w:val="22"/>
        </w:rPr>
        <w:t>Identifying and Overcoming Project R</w:t>
      </w:r>
      <w:r w:rsidR="00A770F6" w:rsidRPr="00DB2EBC">
        <w:rPr>
          <w:rFonts w:ascii="Arial" w:hAnsi="Arial"/>
          <w:i/>
          <w:sz w:val="22"/>
          <w:szCs w:val="22"/>
        </w:rPr>
        <w:t>isks</w:t>
      </w:r>
      <w:r w:rsidRPr="00DB2EBC">
        <w:rPr>
          <w:rFonts w:ascii="Arial" w:hAnsi="Arial"/>
          <w:i/>
          <w:sz w:val="22"/>
          <w:szCs w:val="22"/>
        </w:rPr>
        <w:t>:</w:t>
      </w:r>
      <w:r>
        <w:rPr>
          <w:rFonts w:ascii="Arial" w:hAnsi="Arial"/>
          <w:sz w:val="22"/>
          <w:szCs w:val="22"/>
        </w:rPr>
        <w:t xml:space="preserve"> The project reporting clearly identified risks to the project and had realistic responses. It appears that this risk identification and analysis helped to feed the flexibility identified above while also helping to keep the project on track.</w:t>
      </w:r>
    </w:p>
    <w:p w14:paraId="548116A4" w14:textId="77777777" w:rsidR="00FC05DF" w:rsidRPr="00FC05DF" w:rsidRDefault="00FC05DF" w:rsidP="00FC05DF">
      <w:pPr>
        <w:jc w:val="both"/>
        <w:rPr>
          <w:rFonts w:ascii="Arial" w:hAnsi="Arial"/>
          <w:sz w:val="22"/>
          <w:szCs w:val="22"/>
        </w:rPr>
      </w:pPr>
    </w:p>
    <w:p w14:paraId="66DC2541" w14:textId="1D5239A4" w:rsidR="00FC05DF" w:rsidRDefault="00FC05DF" w:rsidP="00EB743C">
      <w:pPr>
        <w:pStyle w:val="ListParagraph"/>
        <w:numPr>
          <w:ilvl w:val="0"/>
          <w:numId w:val="53"/>
        </w:numPr>
        <w:jc w:val="both"/>
        <w:rPr>
          <w:rFonts w:ascii="Arial" w:hAnsi="Arial"/>
          <w:sz w:val="22"/>
          <w:szCs w:val="22"/>
        </w:rPr>
      </w:pPr>
      <w:r w:rsidRPr="00DB2EBC">
        <w:rPr>
          <w:rFonts w:ascii="Arial" w:hAnsi="Arial"/>
          <w:i/>
          <w:sz w:val="22"/>
          <w:szCs w:val="22"/>
        </w:rPr>
        <w:t>Not Getting Ahead of Stakeholders:</w:t>
      </w:r>
      <w:r>
        <w:rPr>
          <w:rFonts w:ascii="Arial" w:hAnsi="Arial"/>
          <w:sz w:val="22"/>
          <w:szCs w:val="22"/>
        </w:rPr>
        <w:t xml:space="preserve"> Sometimes with development assistance projects, a project gets ahead of its stakeholders or begins </w:t>
      </w:r>
      <w:r w:rsidR="004D682B">
        <w:rPr>
          <w:rFonts w:ascii="Arial" w:hAnsi="Arial"/>
          <w:sz w:val="22"/>
          <w:szCs w:val="22"/>
        </w:rPr>
        <w:t>advancing project components that may be in a project document but may not be a priority or are stalled for a time. Th</w:t>
      </w:r>
      <w:r w:rsidR="00F045A4">
        <w:rPr>
          <w:rFonts w:ascii="Arial" w:hAnsi="Arial"/>
          <w:sz w:val="22"/>
          <w:szCs w:val="22"/>
        </w:rPr>
        <w:t>is was not the case with the</w:t>
      </w:r>
      <w:r w:rsidR="004D682B">
        <w:rPr>
          <w:rFonts w:ascii="Arial" w:hAnsi="Arial"/>
          <w:sz w:val="22"/>
          <w:szCs w:val="22"/>
        </w:rPr>
        <w:t xml:space="preserve"> project. The team was able to adequately review and measure the situation with stakeholder support and cooperation. Such an effort took more time and effort, as shown by individual output progress, but paid off in terms of having collaborative partnerships and eventually making progress.</w:t>
      </w:r>
    </w:p>
    <w:p w14:paraId="75B800B2" w14:textId="61681942" w:rsidR="00FC05DF" w:rsidRPr="004D682B" w:rsidRDefault="00FC05DF" w:rsidP="004D682B">
      <w:pPr>
        <w:jc w:val="both"/>
        <w:rPr>
          <w:rFonts w:ascii="Arial" w:hAnsi="Arial"/>
          <w:sz w:val="22"/>
          <w:szCs w:val="22"/>
        </w:rPr>
      </w:pPr>
    </w:p>
    <w:p w14:paraId="2890458F" w14:textId="60BC0054" w:rsidR="00050158" w:rsidRDefault="004D682B" w:rsidP="00EB743C">
      <w:pPr>
        <w:pStyle w:val="ListParagraph"/>
        <w:numPr>
          <w:ilvl w:val="0"/>
          <w:numId w:val="53"/>
        </w:numPr>
        <w:jc w:val="both"/>
        <w:rPr>
          <w:rFonts w:ascii="Arial" w:hAnsi="Arial"/>
          <w:sz w:val="22"/>
          <w:szCs w:val="22"/>
        </w:rPr>
      </w:pPr>
      <w:r w:rsidRPr="00DB2EBC">
        <w:rPr>
          <w:rFonts w:ascii="Arial" w:hAnsi="Arial"/>
          <w:i/>
          <w:sz w:val="22"/>
          <w:szCs w:val="22"/>
        </w:rPr>
        <w:t>Mid Term Evaluation and S</w:t>
      </w:r>
      <w:r w:rsidR="00A770F6" w:rsidRPr="00DB2EBC">
        <w:rPr>
          <w:rFonts w:ascii="Arial" w:hAnsi="Arial"/>
          <w:i/>
          <w:sz w:val="22"/>
          <w:szCs w:val="22"/>
        </w:rPr>
        <w:t xml:space="preserve">urvey </w:t>
      </w:r>
      <w:r w:rsidRPr="00DB2EBC">
        <w:rPr>
          <w:rFonts w:ascii="Arial" w:hAnsi="Arial"/>
          <w:i/>
          <w:sz w:val="22"/>
          <w:szCs w:val="22"/>
        </w:rPr>
        <w:t>Feedback:</w:t>
      </w:r>
      <w:r>
        <w:rPr>
          <w:rFonts w:ascii="Arial" w:hAnsi="Arial"/>
          <w:sz w:val="22"/>
          <w:szCs w:val="22"/>
        </w:rPr>
        <w:t xml:space="preserve"> The design and application of the civil servant and public </w:t>
      </w:r>
      <w:r w:rsidR="00985ABC">
        <w:rPr>
          <w:rFonts w:ascii="Arial" w:hAnsi="Arial"/>
          <w:sz w:val="22"/>
          <w:szCs w:val="22"/>
        </w:rPr>
        <w:t xml:space="preserve">perception </w:t>
      </w:r>
      <w:r>
        <w:rPr>
          <w:rFonts w:ascii="Arial" w:hAnsi="Arial"/>
          <w:sz w:val="22"/>
          <w:szCs w:val="22"/>
        </w:rPr>
        <w:t xml:space="preserve">surveys were helpful to provide feedback on PAR in </w:t>
      </w:r>
      <w:r>
        <w:rPr>
          <w:rFonts w:ascii="Arial" w:hAnsi="Arial"/>
          <w:sz w:val="22"/>
          <w:szCs w:val="22"/>
        </w:rPr>
        <w:lastRenderedPageBreak/>
        <w:t xml:space="preserve">general and the project’s outcome areas, in particular. </w:t>
      </w:r>
      <w:r w:rsidR="00050158">
        <w:rPr>
          <w:rFonts w:ascii="Arial" w:hAnsi="Arial"/>
          <w:sz w:val="22"/>
          <w:szCs w:val="22"/>
        </w:rPr>
        <w:t xml:space="preserve">The benchmark survey of 2016 and the mid-term survey in 2019 provided this feedback. While the final survey is not yet completed, it is highly encouraged, if not planned already, to show differences of the surveys results from the different </w:t>
      </w:r>
      <w:r w:rsidR="00366809">
        <w:rPr>
          <w:rFonts w:ascii="Arial" w:hAnsi="Arial"/>
          <w:sz w:val="22"/>
          <w:szCs w:val="22"/>
        </w:rPr>
        <w:t xml:space="preserve">time </w:t>
      </w:r>
      <w:r w:rsidR="00050158">
        <w:rPr>
          <w:rFonts w:ascii="Arial" w:hAnsi="Arial"/>
          <w:sz w:val="22"/>
          <w:szCs w:val="22"/>
        </w:rPr>
        <w:t>periods. It should be noted that each of the surveys were taken in a different socioeconomic and political environment</w:t>
      </w:r>
      <w:r w:rsidR="00985ABC">
        <w:rPr>
          <w:rFonts w:ascii="Arial" w:hAnsi="Arial"/>
          <w:sz w:val="22"/>
          <w:szCs w:val="22"/>
        </w:rPr>
        <w:t>s</w:t>
      </w:r>
      <w:r w:rsidR="00050158">
        <w:rPr>
          <w:rFonts w:ascii="Arial" w:hAnsi="Arial"/>
          <w:sz w:val="22"/>
          <w:szCs w:val="22"/>
        </w:rPr>
        <w:t xml:space="preserve"> – for instance the political changes in 2016-2019 probably impacted those survey results just as the response and impact of COVID-19 will impact the March 2021 survey results. A comparative study will help to see what direction PAR is heading and help to identify areas that require attention.</w:t>
      </w:r>
    </w:p>
    <w:p w14:paraId="79D92F3D" w14:textId="77777777" w:rsidR="00050158" w:rsidRPr="00050158" w:rsidRDefault="00050158" w:rsidP="00050158">
      <w:pPr>
        <w:jc w:val="both"/>
        <w:rPr>
          <w:rFonts w:ascii="Arial" w:hAnsi="Arial"/>
          <w:sz w:val="22"/>
          <w:szCs w:val="22"/>
        </w:rPr>
      </w:pPr>
    </w:p>
    <w:p w14:paraId="20766A4F" w14:textId="27657D3E" w:rsidR="00050158" w:rsidRDefault="00050158" w:rsidP="00050158">
      <w:pPr>
        <w:ind w:left="720" w:hanging="720"/>
        <w:jc w:val="both"/>
        <w:rPr>
          <w:rFonts w:ascii="Arial" w:hAnsi="Arial"/>
          <w:sz w:val="22"/>
          <w:szCs w:val="22"/>
        </w:rPr>
      </w:pPr>
      <w:r>
        <w:rPr>
          <w:rFonts w:ascii="Arial" w:hAnsi="Arial"/>
          <w:sz w:val="22"/>
          <w:szCs w:val="22"/>
        </w:rPr>
        <w:tab/>
        <w:t>The mid term evaluation helped to check progress of the project in the 2016 t</w:t>
      </w:r>
      <w:r w:rsidR="00985ABC">
        <w:rPr>
          <w:rFonts w:ascii="Arial" w:hAnsi="Arial"/>
          <w:sz w:val="22"/>
          <w:szCs w:val="22"/>
        </w:rPr>
        <w:t>o</w:t>
      </w:r>
      <w:r>
        <w:rPr>
          <w:rFonts w:ascii="Arial" w:hAnsi="Arial"/>
          <w:sz w:val="22"/>
          <w:szCs w:val="22"/>
        </w:rPr>
        <w:t xml:space="preserve"> 2018 </w:t>
      </w:r>
      <w:r w:rsidR="00366809">
        <w:rPr>
          <w:rFonts w:ascii="Arial" w:hAnsi="Arial"/>
          <w:sz w:val="22"/>
          <w:szCs w:val="22"/>
        </w:rPr>
        <w:t xml:space="preserve">time </w:t>
      </w:r>
      <w:r>
        <w:rPr>
          <w:rFonts w:ascii="Arial" w:hAnsi="Arial"/>
          <w:sz w:val="22"/>
          <w:szCs w:val="22"/>
        </w:rPr>
        <w:t>peri</w:t>
      </w:r>
      <w:r w:rsidR="00985ABC">
        <w:rPr>
          <w:rFonts w:ascii="Arial" w:hAnsi="Arial"/>
          <w:sz w:val="22"/>
          <w:szCs w:val="22"/>
        </w:rPr>
        <w:t>od and also helped to see how the project was</w:t>
      </w:r>
      <w:r>
        <w:rPr>
          <w:rFonts w:ascii="Arial" w:hAnsi="Arial"/>
          <w:sz w:val="22"/>
          <w:szCs w:val="22"/>
        </w:rPr>
        <w:t xml:space="preserve"> placed in the overall PAR framework. The feedback provided helped th</w:t>
      </w:r>
      <w:r w:rsidR="00D52498">
        <w:rPr>
          <w:rFonts w:ascii="Arial" w:hAnsi="Arial"/>
          <w:sz w:val="22"/>
          <w:szCs w:val="22"/>
        </w:rPr>
        <w:t>e project to make adjustments, indicated work to be done</w:t>
      </w:r>
      <w:r w:rsidR="00985ABC">
        <w:rPr>
          <w:rFonts w:ascii="Arial" w:hAnsi="Arial"/>
          <w:sz w:val="22"/>
          <w:szCs w:val="22"/>
        </w:rPr>
        <w:t>,</w:t>
      </w:r>
      <w:r w:rsidR="00D52498">
        <w:rPr>
          <w:rFonts w:ascii="Arial" w:hAnsi="Arial"/>
          <w:sz w:val="22"/>
          <w:szCs w:val="22"/>
        </w:rPr>
        <w:t xml:space="preserve"> and identified the need for a medium-term approach.</w:t>
      </w:r>
    </w:p>
    <w:p w14:paraId="3DAB1733" w14:textId="77777777" w:rsidR="00050158" w:rsidRDefault="00050158" w:rsidP="00050158">
      <w:pPr>
        <w:ind w:left="720" w:hanging="720"/>
        <w:jc w:val="both"/>
        <w:rPr>
          <w:rFonts w:ascii="Arial" w:hAnsi="Arial"/>
          <w:sz w:val="22"/>
          <w:szCs w:val="22"/>
        </w:rPr>
      </w:pPr>
    </w:p>
    <w:p w14:paraId="6043204F" w14:textId="7B828E7C" w:rsidR="00050158" w:rsidRPr="00050158" w:rsidRDefault="00050158" w:rsidP="00050158">
      <w:pPr>
        <w:ind w:left="720" w:hanging="720"/>
        <w:jc w:val="both"/>
        <w:rPr>
          <w:rFonts w:ascii="Arial" w:hAnsi="Arial"/>
          <w:sz w:val="22"/>
          <w:szCs w:val="22"/>
        </w:rPr>
      </w:pPr>
      <w:r>
        <w:rPr>
          <w:rFonts w:ascii="Arial" w:hAnsi="Arial"/>
          <w:sz w:val="22"/>
          <w:szCs w:val="22"/>
        </w:rPr>
        <w:tab/>
        <w:t>The above feedback instruments show the application of checks and balances. Such instruments will continue to be needed, such as further civil servant and public surveys</w:t>
      </w:r>
      <w:r w:rsidR="00D52498">
        <w:rPr>
          <w:rFonts w:ascii="Arial" w:hAnsi="Arial"/>
          <w:sz w:val="22"/>
          <w:szCs w:val="22"/>
        </w:rPr>
        <w:t>, not</w:t>
      </w:r>
      <w:r w:rsidR="00366809">
        <w:rPr>
          <w:rFonts w:ascii="Arial" w:hAnsi="Arial"/>
          <w:sz w:val="22"/>
          <w:szCs w:val="22"/>
        </w:rPr>
        <w:t xml:space="preserve"> only</w:t>
      </w:r>
      <w:r w:rsidR="00D52498">
        <w:rPr>
          <w:rFonts w:ascii="Arial" w:hAnsi="Arial"/>
          <w:sz w:val="22"/>
          <w:szCs w:val="22"/>
        </w:rPr>
        <w:t xml:space="preserve"> to keep</w:t>
      </w:r>
      <w:r>
        <w:rPr>
          <w:rFonts w:ascii="Arial" w:hAnsi="Arial"/>
          <w:sz w:val="22"/>
          <w:szCs w:val="22"/>
        </w:rPr>
        <w:t xml:space="preserve"> a project on track</w:t>
      </w:r>
      <w:r w:rsidR="00D52498">
        <w:rPr>
          <w:rFonts w:ascii="Arial" w:hAnsi="Arial"/>
          <w:sz w:val="22"/>
          <w:szCs w:val="22"/>
        </w:rPr>
        <w:t>,</w:t>
      </w:r>
      <w:r>
        <w:rPr>
          <w:rFonts w:ascii="Arial" w:hAnsi="Arial"/>
          <w:sz w:val="22"/>
          <w:szCs w:val="22"/>
        </w:rPr>
        <w:t xml:space="preserve"> but keep PAR on track.</w:t>
      </w:r>
    </w:p>
    <w:p w14:paraId="62FB9F17" w14:textId="77777777" w:rsidR="00050158" w:rsidRPr="00050158" w:rsidRDefault="00050158" w:rsidP="00050158">
      <w:pPr>
        <w:jc w:val="both"/>
        <w:rPr>
          <w:rFonts w:ascii="Arial" w:hAnsi="Arial"/>
          <w:sz w:val="22"/>
          <w:szCs w:val="22"/>
        </w:rPr>
      </w:pPr>
    </w:p>
    <w:p w14:paraId="695C871E" w14:textId="4F4D3954" w:rsidR="00B03E77" w:rsidRDefault="00B03E77" w:rsidP="00EB743C">
      <w:pPr>
        <w:pStyle w:val="ListParagraph"/>
        <w:numPr>
          <w:ilvl w:val="0"/>
          <w:numId w:val="53"/>
        </w:numPr>
        <w:jc w:val="both"/>
        <w:rPr>
          <w:rFonts w:ascii="Arial" w:hAnsi="Arial"/>
          <w:sz w:val="22"/>
          <w:szCs w:val="22"/>
        </w:rPr>
      </w:pPr>
      <w:r w:rsidRPr="00DB2EBC">
        <w:rPr>
          <w:rFonts w:ascii="Arial" w:hAnsi="Arial"/>
          <w:i/>
          <w:sz w:val="22"/>
          <w:szCs w:val="22"/>
        </w:rPr>
        <w:t>Leadership Required for PAR to Advance:</w:t>
      </w:r>
      <w:r>
        <w:rPr>
          <w:rFonts w:ascii="Arial" w:hAnsi="Arial"/>
          <w:sz w:val="22"/>
          <w:szCs w:val="22"/>
        </w:rPr>
        <w:t xml:space="preserve"> With changes in government e</w:t>
      </w:r>
      <w:r w:rsidR="00C045E3" w:rsidRPr="00D52498">
        <w:rPr>
          <w:rFonts w:ascii="Arial" w:hAnsi="Arial"/>
          <w:sz w:val="22"/>
          <w:szCs w:val="22"/>
        </w:rPr>
        <w:t xml:space="preserve">arly on </w:t>
      </w:r>
      <w:r>
        <w:rPr>
          <w:rFonts w:ascii="Arial" w:hAnsi="Arial"/>
          <w:sz w:val="22"/>
          <w:szCs w:val="22"/>
        </w:rPr>
        <w:t xml:space="preserve">in the project, the lack of </w:t>
      </w:r>
      <w:r w:rsidR="00985ABC">
        <w:rPr>
          <w:rFonts w:ascii="Arial" w:hAnsi="Arial"/>
          <w:sz w:val="22"/>
          <w:szCs w:val="22"/>
        </w:rPr>
        <w:t>PAR prioritization</w:t>
      </w:r>
      <w:r>
        <w:rPr>
          <w:rFonts w:ascii="Arial" w:hAnsi="Arial"/>
          <w:sz w:val="22"/>
          <w:szCs w:val="22"/>
        </w:rPr>
        <w:t xml:space="preserve"> did impact the overall PAR effort. As menti</w:t>
      </w:r>
      <w:r w:rsidR="00985ABC">
        <w:rPr>
          <w:rFonts w:ascii="Arial" w:hAnsi="Arial"/>
          <w:sz w:val="22"/>
          <w:szCs w:val="22"/>
        </w:rPr>
        <w:t>o</w:t>
      </w:r>
      <w:r>
        <w:rPr>
          <w:rFonts w:ascii="Arial" w:hAnsi="Arial"/>
          <w:sz w:val="22"/>
          <w:szCs w:val="22"/>
        </w:rPr>
        <w:t>ned above, the project’s flexibility allowed it to keep providing support. However, the challenges show that senior leadership is required. The reducti</w:t>
      </w:r>
      <w:r w:rsidR="00985ABC">
        <w:rPr>
          <w:rFonts w:ascii="Arial" w:hAnsi="Arial"/>
          <w:sz w:val="22"/>
          <w:szCs w:val="22"/>
        </w:rPr>
        <w:t>o</w:t>
      </w:r>
      <w:r>
        <w:rPr>
          <w:rFonts w:ascii="Arial" w:hAnsi="Arial"/>
          <w:sz w:val="22"/>
          <w:szCs w:val="22"/>
        </w:rPr>
        <w:t>ns in government and lack of PAR emphasis reportedly made civil servants more risk avers</w:t>
      </w:r>
      <w:r w:rsidR="00985ABC">
        <w:rPr>
          <w:rFonts w:ascii="Arial" w:hAnsi="Arial"/>
          <w:sz w:val="22"/>
          <w:szCs w:val="22"/>
        </w:rPr>
        <w:t>e</w:t>
      </w:r>
      <w:r>
        <w:rPr>
          <w:rFonts w:ascii="Arial" w:hAnsi="Arial"/>
          <w:sz w:val="22"/>
          <w:szCs w:val="22"/>
        </w:rPr>
        <w:t>. Politi</w:t>
      </w:r>
      <w:r w:rsidR="00985ABC">
        <w:rPr>
          <w:rFonts w:ascii="Arial" w:hAnsi="Arial"/>
          <w:sz w:val="22"/>
          <w:szCs w:val="22"/>
        </w:rPr>
        <w:t>c</w:t>
      </w:r>
      <w:r>
        <w:rPr>
          <w:rFonts w:ascii="Arial" w:hAnsi="Arial"/>
          <w:sz w:val="22"/>
          <w:szCs w:val="22"/>
        </w:rPr>
        <w:t xml:space="preserve">al ownership was sought. And, public awareness of changes was not always </w:t>
      </w:r>
      <w:r w:rsidR="00366809">
        <w:rPr>
          <w:rFonts w:ascii="Arial" w:hAnsi="Arial"/>
          <w:sz w:val="22"/>
          <w:szCs w:val="22"/>
        </w:rPr>
        <w:t>evident as exemplified in the 20</w:t>
      </w:r>
      <w:r>
        <w:rPr>
          <w:rFonts w:ascii="Arial" w:hAnsi="Arial"/>
          <w:sz w:val="22"/>
          <w:szCs w:val="22"/>
        </w:rPr>
        <w:t xml:space="preserve">19 perception survey results. The more political will and commitment, the more PAR progress can be made and the faster the transition to EU administrative standards. Leadership </w:t>
      </w:r>
      <w:r w:rsidR="00366809">
        <w:rPr>
          <w:rFonts w:ascii="Arial" w:hAnsi="Arial"/>
          <w:sz w:val="22"/>
          <w:szCs w:val="22"/>
        </w:rPr>
        <w:t xml:space="preserve">and its buy-in </w:t>
      </w:r>
      <w:r>
        <w:rPr>
          <w:rFonts w:ascii="Arial" w:hAnsi="Arial"/>
          <w:sz w:val="22"/>
          <w:szCs w:val="22"/>
        </w:rPr>
        <w:t>is essential and, if not present, should be sought with other development partners using senior level officials.</w:t>
      </w:r>
    </w:p>
    <w:p w14:paraId="02FF3FA4" w14:textId="77777777" w:rsidR="00B03E77" w:rsidRPr="00B03E77" w:rsidRDefault="00B03E77" w:rsidP="00B03E77">
      <w:pPr>
        <w:jc w:val="both"/>
        <w:rPr>
          <w:rFonts w:ascii="Arial" w:hAnsi="Arial"/>
          <w:sz w:val="22"/>
          <w:szCs w:val="22"/>
        </w:rPr>
      </w:pPr>
    </w:p>
    <w:p w14:paraId="05935F74" w14:textId="527DADE0" w:rsidR="00C7128A" w:rsidRDefault="00B03E77" w:rsidP="00EB743C">
      <w:pPr>
        <w:pStyle w:val="ListParagraph"/>
        <w:numPr>
          <w:ilvl w:val="0"/>
          <w:numId w:val="53"/>
        </w:numPr>
        <w:jc w:val="both"/>
        <w:rPr>
          <w:rFonts w:ascii="Arial" w:hAnsi="Arial"/>
          <w:sz w:val="22"/>
          <w:szCs w:val="22"/>
        </w:rPr>
      </w:pPr>
      <w:r w:rsidRPr="00DB2EBC">
        <w:rPr>
          <w:rFonts w:ascii="Arial" w:hAnsi="Arial"/>
          <w:i/>
          <w:sz w:val="22"/>
          <w:szCs w:val="22"/>
        </w:rPr>
        <w:t>Continued Need for Structural Changes?</w:t>
      </w:r>
      <w:r>
        <w:rPr>
          <w:rFonts w:ascii="Arial" w:hAnsi="Arial"/>
          <w:sz w:val="22"/>
          <w:szCs w:val="22"/>
        </w:rPr>
        <w:t xml:space="preserve"> </w:t>
      </w:r>
      <w:r w:rsidR="00F144F3">
        <w:rPr>
          <w:rFonts w:ascii="Arial" w:hAnsi="Arial"/>
          <w:sz w:val="22"/>
          <w:szCs w:val="22"/>
        </w:rPr>
        <w:t>The number of ministries was reduced twice during the project’s timespan resulting in some uncertainty in government programming as well as</w:t>
      </w:r>
      <w:r w:rsidR="00985ABC">
        <w:rPr>
          <w:rFonts w:ascii="Arial" w:hAnsi="Arial"/>
          <w:sz w:val="22"/>
          <w:szCs w:val="22"/>
        </w:rPr>
        <w:t xml:space="preserve"> civil servant confidence. The civil service l</w:t>
      </w:r>
      <w:r w:rsidR="00F144F3">
        <w:rPr>
          <w:rFonts w:ascii="Arial" w:hAnsi="Arial"/>
          <w:sz w:val="22"/>
          <w:szCs w:val="22"/>
        </w:rPr>
        <w:t>aw and its by-laws created</w:t>
      </w:r>
      <w:r w:rsidR="00D2053E">
        <w:rPr>
          <w:rFonts w:ascii="Arial" w:hAnsi="Arial"/>
          <w:sz w:val="22"/>
          <w:szCs w:val="22"/>
        </w:rPr>
        <w:t xml:space="preserve"> change and </w:t>
      </w:r>
      <w:r w:rsidR="00F144F3">
        <w:rPr>
          <w:rFonts w:ascii="Arial" w:hAnsi="Arial"/>
          <w:sz w:val="22"/>
          <w:szCs w:val="22"/>
        </w:rPr>
        <w:t>provide</w:t>
      </w:r>
      <w:r w:rsidR="00D2053E">
        <w:rPr>
          <w:rFonts w:ascii="Arial" w:hAnsi="Arial"/>
          <w:sz w:val="22"/>
          <w:szCs w:val="22"/>
        </w:rPr>
        <w:t>d</w:t>
      </w:r>
      <w:r w:rsidR="00F144F3">
        <w:rPr>
          <w:rFonts w:ascii="Arial" w:hAnsi="Arial"/>
          <w:sz w:val="22"/>
          <w:szCs w:val="22"/>
        </w:rPr>
        <w:t xml:space="preserve"> the necessary framework for civil service reform and professional civil service</w:t>
      </w:r>
      <w:r w:rsidR="00D2053E">
        <w:rPr>
          <w:rFonts w:ascii="Arial" w:hAnsi="Arial"/>
          <w:sz w:val="22"/>
          <w:szCs w:val="22"/>
        </w:rPr>
        <w:t xml:space="preserve">. However, certain issues have not been addressed. </w:t>
      </w:r>
    </w:p>
    <w:p w14:paraId="79DAE4A5" w14:textId="77777777" w:rsidR="00C7128A" w:rsidRPr="00C7128A" w:rsidRDefault="00C7128A" w:rsidP="00C7128A">
      <w:pPr>
        <w:jc w:val="both"/>
        <w:rPr>
          <w:rFonts w:ascii="Arial" w:hAnsi="Arial"/>
          <w:sz w:val="22"/>
          <w:szCs w:val="22"/>
        </w:rPr>
      </w:pPr>
    </w:p>
    <w:p w14:paraId="492CD4EC" w14:textId="40541C09" w:rsidR="00B03E77" w:rsidRDefault="00C7128A" w:rsidP="00C7128A">
      <w:pPr>
        <w:ind w:left="720" w:hanging="720"/>
        <w:jc w:val="both"/>
        <w:rPr>
          <w:rFonts w:ascii="Arial" w:hAnsi="Arial"/>
          <w:sz w:val="22"/>
          <w:szCs w:val="22"/>
        </w:rPr>
      </w:pPr>
      <w:r>
        <w:rPr>
          <w:rFonts w:ascii="Arial" w:hAnsi="Arial"/>
          <w:sz w:val="22"/>
          <w:szCs w:val="22"/>
        </w:rPr>
        <w:tab/>
      </w:r>
      <w:r w:rsidR="00D2053E" w:rsidRPr="00C7128A">
        <w:rPr>
          <w:rFonts w:ascii="Arial" w:hAnsi="Arial"/>
          <w:sz w:val="22"/>
          <w:szCs w:val="22"/>
        </w:rPr>
        <w:t>First, the status of LEPLs remain</w:t>
      </w:r>
      <w:r w:rsidR="00985ABC">
        <w:rPr>
          <w:rFonts w:ascii="Arial" w:hAnsi="Arial"/>
          <w:sz w:val="22"/>
          <w:szCs w:val="22"/>
        </w:rPr>
        <w:t>s</w:t>
      </w:r>
      <w:r w:rsidR="00D2053E" w:rsidRPr="00C7128A">
        <w:rPr>
          <w:rFonts w:ascii="Arial" w:hAnsi="Arial"/>
          <w:sz w:val="22"/>
          <w:szCs w:val="22"/>
        </w:rPr>
        <w:t xml:space="preserve"> an issue. There was a proposed law to reform LEPLs but no developments</w:t>
      </w:r>
      <w:r>
        <w:rPr>
          <w:rFonts w:ascii="Arial" w:hAnsi="Arial"/>
          <w:sz w:val="22"/>
          <w:szCs w:val="22"/>
        </w:rPr>
        <w:t xml:space="preserve"> to date</w:t>
      </w:r>
      <w:r w:rsidR="00D2053E" w:rsidRPr="00C7128A">
        <w:rPr>
          <w:rFonts w:ascii="Arial" w:hAnsi="Arial"/>
          <w:sz w:val="22"/>
          <w:szCs w:val="22"/>
        </w:rPr>
        <w:t>. Their status is unclear. As seen in the project</w:t>
      </w:r>
      <w:r w:rsidR="00985ABC">
        <w:rPr>
          <w:rFonts w:ascii="Arial" w:hAnsi="Arial"/>
          <w:sz w:val="22"/>
          <w:szCs w:val="22"/>
        </w:rPr>
        <w:t xml:space="preserve"> implementation</w:t>
      </w:r>
      <w:r w:rsidR="00D2053E" w:rsidRPr="00C7128A">
        <w:rPr>
          <w:rFonts w:ascii="Arial" w:hAnsi="Arial"/>
          <w:sz w:val="22"/>
          <w:szCs w:val="22"/>
        </w:rPr>
        <w:t>, LEP</w:t>
      </w:r>
      <w:r w:rsidR="00985ABC">
        <w:rPr>
          <w:rFonts w:ascii="Arial" w:hAnsi="Arial"/>
          <w:sz w:val="22"/>
          <w:szCs w:val="22"/>
        </w:rPr>
        <w:t>Ls are unique entities and there</w:t>
      </w:r>
      <w:r w:rsidR="00D2053E" w:rsidRPr="00C7128A">
        <w:rPr>
          <w:rFonts w:ascii="Arial" w:hAnsi="Arial"/>
          <w:sz w:val="22"/>
          <w:szCs w:val="22"/>
        </w:rPr>
        <w:t xml:space="preserve"> appear</w:t>
      </w:r>
      <w:r w:rsidR="00985ABC">
        <w:rPr>
          <w:rFonts w:ascii="Arial" w:hAnsi="Arial"/>
          <w:sz w:val="22"/>
          <w:szCs w:val="22"/>
        </w:rPr>
        <w:t>s</w:t>
      </w:r>
      <w:r w:rsidR="00D2053E" w:rsidRPr="00C7128A">
        <w:rPr>
          <w:rFonts w:ascii="Arial" w:hAnsi="Arial"/>
          <w:sz w:val="22"/>
          <w:szCs w:val="22"/>
        </w:rPr>
        <w:t xml:space="preserve"> to be </w:t>
      </w:r>
      <w:r>
        <w:rPr>
          <w:rFonts w:ascii="Arial" w:hAnsi="Arial"/>
          <w:sz w:val="22"/>
          <w:szCs w:val="22"/>
        </w:rPr>
        <w:t>differences</w:t>
      </w:r>
      <w:r w:rsidR="00D2053E" w:rsidRPr="00C7128A">
        <w:rPr>
          <w:rFonts w:ascii="Arial" w:hAnsi="Arial"/>
          <w:sz w:val="22"/>
          <w:szCs w:val="22"/>
        </w:rPr>
        <w:t xml:space="preserve"> between the</w:t>
      </w:r>
      <w:r>
        <w:rPr>
          <w:rFonts w:ascii="Arial" w:hAnsi="Arial"/>
          <w:sz w:val="22"/>
          <w:szCs w:val="22"/>
        </w:rPr>
        <w:t>m</w:t>
      </w:r>
      <w:r w:rsidR="00D2053E" w:rsidRPr="00C7128A">
        <w:rPr>
          <w:rFonts w:ascii="Arial" w:hAnsi="Arial"/>
          <w:sz w:val="22"/>
          <w:szCs w:val="22"/>
        </w:rPr>
        <w:t xml:space="preserve"> and how they relate to the traditional public administration. The experience of the PSDA and DGA are a case-in-point. </w:t>
      </w:r>
      <w:r>
        <w:rPr>
          <w:rFonts w:ascii="Arial" w:hAnsi="Arial"/>
          <w:sz w:val="22"/>
          <w:szCs w:val="22"/>
        </w:rPr>
        <w:t>Questions arise</w:t>
      </w:r>
      <w:r w:rsidR="00985ABC">
        <w:rPr>
          <w:rFonts w:ascii="Arial" w:hAnsi="Arial"/>
          <w:sz w:val="22"/>
          <w:szCs w:val="22"/>
        </w:rPr>
        <w:t>:</w:t>
      </w:r>
      <w:r>
        <w:rPr>
          <w:rFonts w:ascii="Arial" w:hAnsi="Arial"/>
          <w:sz w:val="22"/>
          <w:szCs w:val="22"/>
        </w:rPr>
        <w:t xml:space="preserve"> are LEPL employees</w:t>
      </w:r>
      <w:r w:rsidR="00985ABC">
        <w:rPr>
          <w:rFonts w:ascii="Arial" w:hAnsi="Arial"/>
          <w:sz w:val="22"/>
          <w:szCs w:val="22"/>
        </w:rPr>
        <w:t>’</w:t>
      </w:r>
      <w:r>
        <w:rPr>
          <w:rFonts w:ascii="Arial" w:hAnsi="Arial"/>
          <w:sz w:val="22"/>
          <w:szCs w:val="22"/>
        </w:rPr>
        <w:t xml:space="preserve"> civil servants? </w:t>
      </w:r>
      <w:r w:rsidR="00D2053E" w:rsidRPr="00C7128A">
        <w:rPr>
          <w:rFonts w:ascii="Arial" w:hAnsi="Arial"/>
          <w:sz w:val="22"/>
          <w:szCs w:val="22"/>
        </w:rPr>
        <w:t>Further work is needed to define LEPL’s, standardize them as part of the pubic administration and civil service, or spin them off to the private sector. As of now they appear to work in a gray</w:t>
      </w:r>
      <w:r w:rsidRPr="00C7128A">
        <w:rPr>
          <w:rFonts w:ascii="Arial" w:hAnsi="Arial"/>
          <w:sz w:val="22"/>
          <w:szCs w:val="22"/>
        </w:rPr>
        <w:t xml:space="preserve"> area</w:t>
      </w:r>
      <w:r w:rsidR="00D2053E" w:rsidRPr="00C7128A">
        <w:rPr>
          <w:rFonts w:ascii="Arial" w:hAnsi="Arial"/>
          <w:sz w:val="22"/>
          <w:szCs w:val="22"/>
        </w:rPr>
        <w:t xml:space="preserve"> – not part of public administration, not a public-private partnership and not a </w:t>
      </w:r>
      <w:r w:rsidRPr="00C7128A">
        <w:rPr>
          <w:rFonts w:ascii="Arial" w:hAnsi="Arial"/>
          <w:sz w:val="22"/>
          <w:szCs w:val="22"/>
        </w:rPr>
        <w:t>private entity.</w:t>
      </w:r>
    </w:p>
    <w:p w14:paraId="75076616" w14:textId="77777777" w:rsidR="00C7128A" w:rsidRDefault="00C7128A" w:rsidP="00C7128A">
      <w:pPr>
        <w:jc w:val="both"/>
        <w:rPr>
          <w:rFonts w:ascii="Arial" w:hAnsi="Arial"/>
          <w:sz w:val="22"/>
          <w:szCs w:val="22"/>
        </w:rPr>
      </w:pPr>
    </w:p>
    <w:p w14:paraId="37E44A03" w14:textId="000EBA96" w:rsidR="00C7128A" w:rsidRDefault="00C7128A" w:rsidP="00C7128A">
      <w:pPr>
        <w:ind w:left="720" w:hanging="720"/>
        <w:jc w:val="both"/>
        <w:rPr>
          <w:rFonts w:ascii="Arial" w:hAnsi="Arial"/>
          <w:sz w:val="22"/>
          <w:szCs w:val="22"/>
        </w:rPr>
      </w:pPr>
      <w:r>
        <w:rPr>
          <w:rFonts w:ascii="Arial" w:hAnsi="Arial"/>
          <w:sz w:val="22"/>
          <w:szCs w:val="22"/>
        </w:rPr>
        <w:tab/>
        <w:t>Second, while civil service reform has been applied, there are still questions of independ</w:t>
      </w:r>
      <w:r w:rsidR="00985ABC">
        <w:rPr>
          <w:rFonts w:ascii="Arial" w:hAnsi="Arial"/>
          <w:sz w:val="22"/>
          <w:szCs w:val="22"/>
        </w:rPr>
        <w:t>ence. This finding was evident i</w:t>
      </w:r>
      <w:r>
        <w:rPr>
          <w:rFonts w:ascii="Arial" w:hAnsi="Arial"/>
          <w:sz w:val="22"/>
          <w:szCs w:val="22"/>
        </w:rPr>
        <w:t xml:space="preserve">n the 2019 perception survey. The project as well as other development partner interventions, looked at the possibility of having a </w:t>
      </w:r>
      <w:r>
        <w:rPr>
          <w:rFonts w:ascii="Arial" w:hAnsi="Arial"/>
          <w:sz w:val="22"/>
          <w:szCs w:val="22"/>
        </w:rPr>
        <w:lastRenderedPageBreak/>
        <w:t xml:space="preserve">senior civil servant at ministries and agencies. Currently leadership is composed of ministers and deputy ministers and other political appointees. While the senior civil servant position may be an option, the goal should be to find a mechanism or structure that allows independence in the Georgian context. Further attention to this issue is needed with a whole-of-government approach including advocacy and </w:t>
      </w:r>
      <w:r w:rsidR="00985ABC">
        <w:rPr>
          <w:rFonts w:ascii="Arial" w:hAnsi="Arial"/>
          <w:sz w:val="22"/>
          <w:szCs w:val="22"/>
        </w:rPr>
        <w:t>raising awareness</w:t>
      </w:r>
      <w:r>
        <w:rPr>
          <w:rFonts w:ascii="Arial" w:hAnsi="Arial"/>
          <w:sz w:val="22"/>
          <w:szCs w:val="22"/>
        </w:rPr>
        <w:t xml:space="preserve"> at the senior government level.</w:t>
      </w:r>
    </w:p>
    <w:p w14:paraId="2862DB45" w14:textId="77777777" w:rsidR="00C7128A" w:rsidRDefault="00C7128A" w:rsidP="00C7128A">
      <w:pPr>
        <w:ind w:left="720" w:hanging="720"/>
        <w:jc w:val="both"/>
        <w:rPr>
          <w:rFonts w:ascii="Arial" w:hAnsi="Arial"/>
          <w:sz w:val="22"/>
          <w:szCs w:val="22"/>
        </w:rPr>
      </w:pPr>
    </w:p>
    <w:p w14:paraId="14883FA6" w14:textId="609D2B0C" w:rsidR="00627492" w:rsidRDefault="00C7128A" w:rsidP="00EB743C">
      <w:pPr>
        <w:pStyle w:val="ListParagraph"/>
        <w:numPr>
          <w:ilvl w:val="0"/>
          <w:numId w:val="53"/>
        </w:numPr>
        <w:jc w:val="both"/>
        <w:rPr>
          <w:rFonts w:ascii="Arial" w:hAnsi="Arial"/>
          <w:sz w:val="22"/>
          <w:szCs w:val="22"/>
        </w:rPr>
      </w:pPr>
      <w:r w:rsidRPr="00DB2EBC">
        <w:rPr>
          <w:rFonts w:ascii="Arial" w:hAnsi="Arial"/>
          <w:i/>
          <w:sz w:val="22"/>
          <w:szCs w:val="22"/>
        </w:rPr>
        <w:t xml:space="preserve">Evidence-Based </w:t>
      </w:r>
      <w:r w:rsidR="00DB2EBC">
        <w:rPr>
          <w:rFonts w:ascii="Arial" w:hAnsi="Arial"/>
          <w:i/>
          <w:sz w:val="22"/>
          <w:szCs w:val="22"/>
        </w:rPr>
        <w:t>Decision M</w:t>
      </w:r>
      <w:r w:rsidR="00DB2EBC" w:rsidRPr="00DB2EBC">
        <w:rPr>
          <w:rFonts w:ascii="Arial" w:hAnsi="Arial"/>
          <w:i/>
          <w:sz w:val="22"/>
          <w:szCs w:val="22"/>
        </w:rPr>
        <w:t>aking</w:t>
      </w:r>
      <w:r w:rsidRPr="00DB2EBC">
        <w:rPr>
          <w:rFonts w:ascii="Arial" w:hAnsi="Arial"/>
          <w:i/>
          <w:sz w:val="22"/>
          <w:szCs w:val="22"/>
        </w:rPr>
        <w:t xml:space="preserve"> Matters</w:t>
      </w:r>
      <w:r w:rsidR="00627492" w:rsidRPr="00DB2EBC">
        <w:rPr>
          <w:rFonts w:ascii="Arial" w:hAnsi="Arial"/>
          <w:i/>
          <w:sz w:val="22"/>
          <w:szCs w:val="22"/>
        </w:rPr>
        <w:t>:</w:t>
      </w:r>
      <w:r w:rsidR="00627492">
        <w:rPr>
          <w:rFonts w:ascii="Arial" w:hAnsi="Arial"/>
          <w:sz w:val="22"/>
          <w:szCs w:val="22"/>
        </w:rPr>
        <w:t xml:space="preserve"> Government decisions have to be made </w:t>
      </w:r>
      <w:r w:rsidR="00985ABC">
        <w:rPr>
          <w:rFonts w:ascii="Arial" w:hAnsi="Arial"/>
          <w:sz w:val="22"/>
          <w:szCs w:val="22"/>
        </w:rPr>
        <w:t>with the support of</w:t>
      </w:r>
      <w:r w:rsidR="00627492">
        <w:rPr>
          <w:rFonts w:ascii="Arial" w:hAnsi="Arial"/>
          <w:sz w:val="22"/>
          <w:szCs w:val="22"/>
        </w:rPr>
        <w:t xml:space="preserve"> evidence. This is not to say they have not been. But, some of the tools, processes and capacities created by the project directly contribute to making evidence-based decision</w:t>
      </w:r>
      <w:r w:rsidR="00DB2EBC">
        <w:rPr>
          <w:rFonts w:ascii="Arial" w:hAnsi="Arial"/>
          <w:sz w:val="22"/>
          <w:szCs w:val="22"/>
        </w:rPr>
        <w:t xml:space="preserve"> </w:t>
      </w:r>
      <w:r w:rsidR="00627492">
        <w:rPr>
          <w:rFonts w:ascii="Arial" w:hAnsi="Arial"/>
          <w:sz w:val="22"/>
          <w:szCs w:val="22"/>
        </w:rPr>
        <w:t xml:space="preserve">making much more possible and prevalent. These include the policy planning monitoring and evaluation process (and eventual e-system), training of </w:t>
      </w:r>
      <w:proofErr w:type="spellStart"/>
      <w:r w:rsidR="00627492">
        <w:rPr>
          <w:rFonts w:ascii="Arial" w:hAnsi="Arial"/>
          <w:sz w:val="22"/>
          <w:szCs w:val="22"/>
        </w:rPr>
        <w:t>AoG</w:t>
      </w:r>
      <w:proofErr w:type="spellEnd"/>
      <w:r w:rsidR="00627492">
        <w:rPr>
          <w:rFonts w:ascii="Arial" w:hAnsi="Arial"/>
          <w:sz w:val="22"/>
          <w:szCs w:val="22"/>
        </w:rPr>
        <w:t xml:space="preserve"> and </w:t>
      </w:r>
      <w:r w:rsidR="00366809">
        <w:rPr>
          <w:rFonts w:ascii="Arial" w:hAnsi="Arial"/>
          <w:sz w:val="22"/>
          <w:szCs w:val="22"/>
        </w:rPr>
        <w:t xml:space="preserve">ministry and agency </w:t>
      </w:r>
      <w:r w:rsidR="0024337F">
        <w:rPr>
          <w:rFonts w:ascii="Arial" w:hAnsi="Arial"/>
          <w:sz w:val="22"/>
          <w:szCs w:val="22"/>
        </w:rPr>
        <w:t>planning personnel on the proces</w:t>
      </w:r>
      <w:r w:rsidR="00627492">
        <w:rPr>
          <w:rFonts w:ascii="Arial" w:hAnsi="Arial"/>
          <w:sz w:val="22"/>
          <w:szCs w:val="22"/>
        </w:rPr>
        <w:t>ses, standardized and more broadly available required civil service training, linking of performance appraisal and human resource development, adopting public service de</w:t>
      </w:r>
      <w:r w:rsidR="00985ABC">
        <w:rPr>
          <w:rFonts w:ascii="Arial" w:hAnsi="Arial"/>
          <w:sz w:val="22"/>
          <w:szCs w:val="22"/>
        </w:rPr>
        <w:t>livery standards, etc. And,</w:t>
      </w:r>
      <w:r w:rsidR="00627492">
        <w:rPr>
          <w:rFonts w:ascii="Arial" w:hAnsi="Arial"/>
          <w:sz w:val="22"/>
          <w:szCs w:val="22"/>
        </w:rPr>
        <w:t xml:space="preserve"> all have more avenues for civil society input.</w:t>
      </w:r>
    </w:p>
    <w:p w14:paraId="45898103" w14:textId="77777777" w:rsidR="00627492" w:rsidRPr="00627492" w:rsidRDefault="00627492" w:rsidP="00627492">
      <w:pPr>
        <w:jc w:val="both"/>
        <w:rPr>
          <w:rFonts w:ascii="Arial" w:hAnsi="Arial"/>
          <w:sz w:val="22"/>
          <w:szCs w:val="22"/>
        </w:rPr>
      </w:pPr>
    </w:p>
    <w:p w14:paraId="7A2FB299" w14:textId="71E8970C" w:rsidR="0024337F" w:rsidRDefault="00627492" w:rsidP="00EB743C">
      <w:pPr>
        <w:pStyle w:val="ListParagraph"/>
        <w:numPr>
          <w:ilvl w:val="0"/>
          <w:numId w:val="53"/>
        </w:numPr>
        <w:jc w:val="both"/>
        <w:rPr>
          <w:rFonts w:ascii="Arial" w:hAnsi="Arial"/>
          <w:sz w:val="22"/>
          <w:szCs w:val="22"/>
        </w:rPr>
      </w:pPr>
      <w:r w:rsidRPr="00DB2EBC">
        <w:rPr>
          <w:rFonts w:ascii="Arial" w:hAnsi="Arial"/>
          <w:i/>
          <w:sz w:val="22"/>
          <w:szCs w:val="22"/>
        </w:rPr>
        <w:t>Donor Coordination Works and Involving Senior Officials Helps:</w:t>
      </w:r>
      <w:r w:rsidR="0024337F">
        <w:rPr>
          <w:rFonts w:ascii="Arial" w:hAnsi="Arial"/>
          <w:sz w:val="22"/>
          <w:szCs w:val="22"/>
        </w:rPr>
        <w:t xml:space="preserve"> There are various </w:t>
      </w:r>
      <w:r w:rsidR="0061464F">
        <w:rPr>
          <w:rFonts w:ascii="Arial" w:hAnsi="Arial"/>
          <w:sz w:val="22"/>
          <w:szCs w:val="22"/>
        </w:rPr>
        <w:t xml:space="preserve">interventions and </w:t>
      </w:r>
      <w:r w:rsidR="0024337F">
        <w:rPr>
          <w:rFonts w:ascii="Arial" w:hAnsi="Arial"/>
          <w:sz w:val="22"/>
          <w:szCs w:val="22"/>
        </w:rPr>
        <w:t>development partners involved in PAR</w:t>
      </w:r>
      <w:r w:rsidR="0061464F">
        <w:rPr>
          <w:rFonts w:ascii="Arial" w:hAnsi="Arial"/>
          <w:sz w:val="22"/>
          <w:szCs w:val="22"/>
        </w:rPr>
        <w:t>.</w:t>
      </w:r>
      <w:r w:rsidR="0024337F">
        <w:rPr>
          <w:rFonts w:ascii="Arial" w:hAnsi="Arial"/>
          <w:sz w:val="22"/>
          <w:szCs w:val="22"/>
        </w:rPr>
        <w:t xml:space="preserve"> </w:t>
      </w:r>
      <w:r w:rsidR="0061464F">
        <w:rPr>
          <w:rFonts w:ascii="Arial" w:hAnsi="Arial"/>
          <w:sz w:val="22"/>
          <w:szCs w:val="22"/>
        </w:rPr>
        <w:t>From an outside perspective</w:t>
      </w:r>
      <w:r w:rsidR="0024337F">
        <w:rPr>
          <w:rFonts w:ascii="Arial" w:hAnsi="Arial"/>
          <w:sz w:val="22"/>
          <w:szCs w:val="22"/>
        </w:rPr>
        <w:t>, one can say that the space is “crowded” which may ne</w:t>
      </w:r>
      <w:r w:rsidR="0061464F">
        <w:rPr>
          <w:rFonts w:ascii="Arial" w:hAnsi="Arial"/>
          <w:sz w:val="22"/>
          <w:szCs w:val="22"/>
        </w:rPr>
        <w:t>gatively impact progress. T</w:t>
      </w:r>
      <w:r w:rsidR="0024337F">
        <w:rPr>
          <w:rFonts w:ascii="Arial" w:hAnsi="Arial"/>
          <w:sz w:val="22"/>
          <w:szCs w:val="22"/>
        </w:rPr>
        <w:t>hat is not the case. There is coordination amongst the various development partners. There is no apparent competition. Each work on discrete areas and work on areas together or coordinate where interests o</w:t>
      </w:r>
      <w:r w:rsidR="0061464F">
        <w:rPr>
          <w:rFonts w:ascii="Arial" w:hAnsi="Arial"/>
          <w:sz w:val="22"/>
          <w:szCs w:val="22"/>
        </w:rPr>
        <w:t>r activities coincide. Each</w:t>
      </w:r>
      <w:r w:rsidR="0024337F">
        <w:rPr>
          <w:rFonts w:ascii="Arial" w:hAnsi="Arial"/>
          <w:sz w:val="22"/>
          <w:szCs w:val="22"/>
        </w:rPr>
        <w:t xml:space="preserve"> seems to have their “avenues” within government to help make their respective e</w:t>
      </w:r>
      <w:r w:rsidR="0061464F">
        <w:rPr>
          <w:rFonts w:ascii="Arial" w:hAnsi="Arial"/>
          <w:sz w:val="22"/>
          <w:szCs w:val="22"/>
        </w:rPr>
        <w:t>fforts progress. If there is a</w:t>
      </w:r>
      <w:r w:rsidR="0024337F">
        <w:rPr>
          <w:rFonts w:ascii="Arial" w:hAnsi="Arial"/>
          <w:sz w:val="22"/>
          <w:szCs w:val="22"/>
        </w:rPr>
        <w:t xml:space="preserve"> criticism, it is that the coordination is mainly donor driven with donors coordinating amongst themselves. There is a c</w:t>
      </w:r>
      <w:r w:rsidR="0061464F">
        <w:rPr>
          <w:rFonts w:ascii="Arial" w:hAnsi="Arial"/>
          <w:sz w:val="22"/>
          <w:szCs w:val="22"/>
        </w:rPr>
        <w:t>ase for the government to take</w:t>
      </w:r>
      <w:r w:rsidR="0024337F">
        <w:rPr>
          <w:rFonts w:ascii="Arial" w:hAnsi="Arial"/>
          <w:sz w:val="22"/>
          <w:szCs w:val="22"/>
        </w:rPr>
        <w:t xml:space="preserve"> more active leadership in donor coordination.</w:t>
      </w:r>
      <w:r w:rsidR="000D1DD0">
        <w:rPr>
          <w:rFonts w:ascii="Arial" w:hAnsi="Arial"/>
          <w:sz w:val="22"/>
          <w:szCs w:val="22"/>
        </w:rPr>
        <w:t xml:space="preserve"> UNDP is well placed to help make this happen given its objective stance.</w:t>
      </w:r>
    </w:p>
    <w:p w14:paraId="3CDBD2E1" w14:textId="77777777" w:rsidR="0024337F" w:rsidRPr="0024337F" w:rsidRDefault="0024337F" w:rsidP="0024337F">
      <w:pPr>
        <w:jc w:val="both"/>
        <w:rPr>
          <w:rFonts w:ascii="Arial" w:hAnsi="Arial"/>
          <w:sz w:val="22"/>
          <w:szCs w:val="22"/>
        </w:rPr>
      </w:pPr>
    </w:p>
    <w:p w14:paraId="5D6455CE" w14:textId="13475B0A" w:rsidR="0013032F" w:rsidRDefault="0024337F" w:rsidP="0013032F">
      <w:pPr>
        <w:ind w:left="720" w:hanging="720"/>
        <w:jc w:val="both"/>
        <w:rPr>
          <w:rFonts w:ascii="Arial" w:hAnsi="Arial"/>
          <w:sz w:val="22"/>
          <w:szCs w:val="22"/>
        </w:rPr>
      </w:pPr>
      <w:r>
        <w:rPr>
          <w:rFonts w:ascii="Arial" w:hAnsi="Arial"/>
          <w:sz w:val="22"/>
          <w:szCs w:val="22"/>
        </w:rPr>
        <w:tab/>
        <w:t xml:space="preserve">The project has used senior UNDP and UK government officials to weigh in on </w:t>
      </w:r>
      <w:r w:rsidR="0013032F">
        <w:rPr>
          <w:rFonts w:ascii="Arial" w:hAnsi="Arial"/>
          <w:sz w:val="22"/>
          <w:szCs w:val="22"/>
        </w:rPr>
        <w:t>critical</w:t>
      </w:r>
      <w:r>
        <w:rPr>
          <w:rFonts w:ascii="Arial" w:hAnsi="Arial"/>
          <w:sz w:val="22"/>
          <w:szCs w:val="22"/>
        </w:rPr>
        <w:t xml:space="preserve"> issues from time-to-time. This has included the UK Ambassador to Georgia and the UNDP Resident Representative. The use of such resources </w:t>
      </w:r>
      <w:r w:rsidR="0013032F">
        <w:rPr>
          <w:rFonts w:ascii="Arial" w:hAnsi="Arial"/>
          <w:sz w:val="22"/>
          <w:szCs w:val="22"/>
        </w:rPr>
        <w:t xml:space="preserve">was and </w:t>
      </w:r>
      <w:r>
        <w:rPr>
          <w:rFonts w:ascii="Arial" w:hAnsi="Arial"/>
          <w:sz w:val="22"/>
          <w:szCs w:val="22"/>
        </w:rPr>
        <w:t xml:space="preserve">could </w:t>
      </w:r>
      <w:r w:rsidR="0013032F">
        <w:rPr>
          <w:rFonts w:ascii="Arial" w:hAnsi="Arial"/>
          <w:sz w:val="22"/>
          <w:szCs w:val="22"/>
        </w:rPr>
        <w:t xml:space="preserve">continue to </w:t>
      </w:r>
      <w:r>
        <w:rPr>
          <w:rFonts w:ascii="Arial" w:hAnsi="Arial"/>
          <w:sz w:val="22"/>
          <w:szCs w:val="22"/>
        </w:rPr>
        <w:t>be h</w:t>
      </w:r>
      <w:r w:rsidR="0013032F">
        <w:rPr>
          <w:rFonts w:ascii="Arial" w:hAnsi="Arial"/>
          <w:sz w:val="22"/>
          <w:szCs w:val="22"/>
        </w:rPr>
        <w:t>i</w:t>
      </w:r>
      <w:r>
        <w:rPr>
          <w:rFonts w:ascii="Arial" w:hAnsi="Arial"/>
          <w:sz w:val="22"/>
          <w:szCs w:val="22"/>
        </w:rPr>
        <w:t xml:space="preserve">ghly effective to help advance </w:t>
      </w:r>
      <w:r w:rsidR="00891897">
        <w:rPr>
          <w:rFonts w:ascii="Arial" w:hAnsi="Arial"/>
          <w:sz w:val="22"/>
          <w:szCs w:val="22"/>
        </w:rPr>
        <w:t>PAR</w:t>
      </w:r>
      <w:r w:rsidR="0013032F">
        <w:rPr>
          <w:rFonts w:ascii="Arial" w:hAnsi="Arial"/>
          <w:sz w:val="22"/>
          <w:szCs w:val="22"/>
        </w:rPr>
        <w:t>. It also shows the serious commitment development partners have to the reform.</w:t>
      </w:r>
    </w:p>
    <w:p w14:paraId="3A96B77A" w14:textId="062A4531" w:rsidR="00C045E3" w:rsidRDefault="00C045E3" w:rsidP="00C045E3">
      <w:pPr>
        <w:jc w:val="both"/>
        <w:rPr>
          <w:rFonts w:ascii="Arial" w:hAnsi="Arial"/>
          <w:sz w:val="22"/>
          <w:szCs w:val="22"/>
        </w:rPr>
      </w:pPr>
    </w:p>
    <w:p w14:paraId="67AC76EB" w14:textId="1EEEDE66" w:rsidR="00715337" w:rsidRPr="00715337" w:rsidRDefault="0013032F" w:rsidP="00EB743C">
      <w:pPr>
        <w:pStyle w:val="ListParagraph"/>
        <w:numPr>
          <w:ilvl w:val="0"/>
          <w:numId w:val="53"/>
        </w:numPr>
        <w:jc w:val="both"/>
        <w:rPr>
          <w:rFonts w:ascii="Arial" w:hAnsi="Arial"/>
          <w:sz w:val="22"/>
          <w:szCs w:val="22"/>
        </w:rPr>
      </w:pPr>
      <w:r w:rsidRPr="00DB2EBC">
        <w:rPr>
          <w:rFonts w:ascii="Arial" w:hAnsi="Arial"/>
          <w:i/>
          <w:sz w:val="22"/>
          <w:szCs w:val="22"/>
        </w:rPr>
        <w:t>Stakeholder Management and Personnel Continuity:</w:t>
      </w:r>
      <w:r w:rsidRPr="00715337">
        <w:rPr>
          <w:rFonts w:ascii="Arial" w:hAnsi="Arial"/>
          <w:sz w:val="22"/>
          <w:szCs w:val="22"/>
        </w:rPr>
        <w:t xml:space="preserve"> </w:t>
      </w:r>
      <w:r w:rsidR="00715337" w:rsidRPr="00715337">
        <w:rPr>
          <w:rFonts w:ascii="Arial" w:hAnsi="Arial"/>
          <w:sz w:val="22"/>
          <w:szCs w:val="22"/>
        </w:rPr>
        <w:t xml:space="preserve">In several of the entities there were management and personnel changes throughout the life of the project. The </w:t>
      </w:r>
      <w:proofErr w:type="spellStart"/>
      <w:r w:rsidR="00715337" w:rsidRPr="00715337">
        <w:rPr>
          <w:rFonts w:ascii="Arial" w:hAnsi="Arial"/>
          <w:sz w:val="22"/>
          <w:szCs w:val="22"/>
        </w:rPr>
        <w:t>AoG</w:t>
      </w:r>
      <w:proofErr w:type="spellEnd"/>
      <w:r w:rsidR="00715337" w:rsidRPr="00715337">
        <w:rPr>
          <w:rFonts w:ascii="Arial" w:hAnsi="Arial"/>
          <w:sz w:val="22"/>
          <w:szCs w:val="22"/>
        </w:rPr>
        <w:t xml:space="preserve"> had several changes in management plus </w:t>
      </w:r>
      <w:r w:rsidR="00715337">
        <w:rPr>
          <w:rFonts w:ascii="Arial" w:hAnsi="Arial"/>
          <w:sz w:val="22"/>
          <w:szCs w:val="22"/>
        </w:rPr>
        <w:t>it was</w:t>
      </w:r>
      <w:r w:rsidR="00715337" w:rsidRPr="00715337">
        <w:rPr>
          <w:rFonts w:ascii="Arial" w:hAnsi="Arial"/>
          <w:sz w:val="22"/>
          <w:szCs w:val="22"/>
        </w:rPr>
        <w:t xml:space="preserve"> </w:t>
      </w:r>
      <w:r w:rsidR="00715337">
        <w:rPr>
          <w:rFonts w:ascii="Arial" w:hAnsi="Arial"/>
          <w:sz w:val="22"/>
          <w:szCs w:val="22"/>
        </w:rPr>
        <w:t>reorganized once</w:t>
      </w:r>
      <w:r w:rsidR="00715337" w:rsidRPr="00715337">
        <w:rPr>
          <w:rFonts w:ascii="Arial" w:hAnsi="Arial"/>
          <w:sz w:val="22"/>
          <w:szCs w:val="22"/>
        </w:rPr>
        <w:t xml:space="preserve"> after a new director was appointed. There were al</w:t>
      </w:r>
      <w:r w:rsidR="00715337">
        <w:rPr>
          <w:rFonts w:ascii="Arial" w:hAnsi="Arial"/>
          <w:sz w:val="22"/>
          <w:szCs w:val="22"/>
        </w:rPr>
        <w:t>so changes at PSDA and DGA that</w:t>
      </w:r>
      <w:r w:rsidR="00715337" w:rsidRPr="00715337">
        <w:rPr>
          <w:rFonts w:ascii="Arial" w:hAnsi="Arial"/>
          <w:sz w:val="22"/>
          <w:szCs w:val="22"/>
        </w:rPr>
        <w:t xml:space="preserve"> are L</w:t>
      </w:r>
      <w:r w:rsidR="00715337">
        <w:rPr>
          <w:rFonts w:ascii="Arial" w:hAnsi="Arial"/>
          <w:sz w:val="22"/>
          <w:szCs w:val="22"/>
        </w:rPr>
        <w:t>E</w:t>
      </w:r>
      <w:r w:rsidR="00715337" w:rsidRPr="00715337">
        <w:rPr>
          <w:rFonts w:ascii="Arial" w:hAnsi="Arial"/>
          <w:sz w:val="22"/>
          <w:szCs w:val="22"/>
        </w:rPr>
        <w:t>PLs. The CSB was reportedly the most stable stakeholder. The changes in stakeholder management and personnel are not unique to this project. Other projects confront the sa</w:t>
      </w:r>
      <w:r w:rsidR="00891897">
        <w:rPr>
          <w:rFonts w:ascii="Arial" w:hAnsi="Arial"/>
          <w:sz w:val="22"/>
          <w:szCs w:val="22"/>
        </w:rPr>
        <w:t>me challenge. What is appropriate</w:t>
      </w:r>
      <w:r w:rsidR="00715337" w:rsidRPr="00715337">
        <w:rPr>
          <w:rFonts w:ascii="Arial" w:hAnsi="Arial"/>
          <w:sz w:val="22"/>
          <w:szCs w:val="22"/>
        </w:rPr>
        <w:t xml:space="preserve"> is to recognize that such occurrences will happen and to be able to respond proactively rather than sit back and wait until positions are filled. The project was able to cope wit</w:t>
      </w:r>
      <w:r w:rsidR="006019B4">
        <w:rPr>
          <w:rFonts w:ascii="Arial" w:hAnsi="Arial"/>
          <w:sz w:val="22"/>
          <w:szCs w:val="22"/>
        </w:rPr>
        <w:t>h</w:t>
      </w:r>
      <w:r w:rsidR="00715337" w:rsidRPr="00715337">
        <w:rPr>
          <w:rFonts w:ascii="Arial" w:hAnsi="Arial"/>
          <w:sz w:val="22"/>
          <w:szCs w:val="22"/>
        </w:rPr>
        <w:t xml:space="preserve"> these changes. The project team worked with </w:t>
      </w:r>
      <w:r w:rsidR="00715337">
        <w:rPr>
          <w:rFonts w:ascii="Arial" w:hAnsi="Arial"/>
          <w:sz w:val="22"/>
          <w:szCs w:val="22"/>
        </w:rPr>
        <w:t>l</w:t>
      </w:r>
      <w:r w:rsidR="00891897">
        <w:rPr>
          <w:rFonts w:ascii="Arial" w:hAnsi="Arial"/>
          <w:sz w:val="22"/>
          <w:szCs w:val="22"/>
        </w:rPr>
        <w:t>ine</w:t>
      </w:r>
      <w:r w:rsidR="00715337">
        <w:rPr>
          <w:rFonts w:ascii="Arial" w:hAnsi="Arial"/>
          <w:sz w:val="22"/>
          <w:szCs w:val="22"/>
        </w:rPr>
        <w:t xml:space="preserve"> management and staff to continue activities.</w:t>
      </w:r>
    </w:p>
    <w:p w14:paraId="5C377D92" w14:textId="2CFDEC4B" w:rsidR="00715337" w:rsidRPr="00715337" w:rsidRDefault="00715337" w:rsidP="00715337">
      <w:pPr>
        <w:jc w:val="both"/>
        <w:rPr>
          <w:rFonts w:ascii="Arial" w:hAnsi="Arial"/>
          <w:sz w:val="22"/>
          <w:szCs w:val="22"/>
        </w:rPr>
      </w:pPr>
    </w:p>
    <w:p w14:paraId="607DEBDF" w14:textId="4830EAE4" w:rsidR="00F84095" w:rsidRDefault="00715337" w:rsidP="00EB743C">
      <w:pPr>
        <w:pStyle w:val="ListParagraph"/>
        <w:numPr>
          <w:ilvl w:val="0"/>
          <w:numId w:val="53"/>
        </w:numPr>
        <w:jc w:val="both"/>
        <w:rPr>
          <w:rFonts w:ascii="Arial" w:hAnsi="Arial"/>
          <w:sz w:val="22"/>
          <w:szCs w:val="22"/>
        </w:rPr>
      </w:pPr>
      <w:r w:rsidRPr="00DB2EBC">
        <w:rPr>
          <w:rFonts w:ascii="Arial" w:hAnsi="Arial"/>
          <w:i/>
          <w:sz w:val="22"/>
          <w:szCs w:val="22"/>
        </w:rPr>
        <w:t>Lag Between Designing Policies and Processes and Approval:</w:t>
      </w:r>
      <w:r>
        <w:rPr>
          <w:rFonts w:ascii="Arial" w:hAnsi="Arial"/>
          <w:sz w:val="22"/>
          <w:szCs w:val="22"/>
        </w:rPr>
        <w:t xml:space="preserve"> There was some </w:t>
      </w:r>
      <w:r w:rsidR="00891897">
        <w:rPr>
          <w:rFonts w:ascii="Arial" w:hAnsi="Arial"/>
          <w:sz w:val="22"/>
          <w:szCs w:val="22"/>
        </w:rPr>
        <w:t xml:space="preserve">initial </w:t>
      </w:r>
      <w:r>
        <w:rPr>
          <w:rFonts w:ascii="Arial" w:hAnsi="Arial"/>
          <w:sz w:val="22"/>
          <w:szCs w:val="22"/>
        </w:rPr>
        <w:t xml:space="preserve">lag and </w:t>
      </w:r>
      <w:r w:rsidR="00F84095">
        <w:rPr>
          <w:rFonts w:ascii="Arial" w:hAnsi="Arial"/>
          <w:sz w:val="22"/>
          <w:szCs w:val="22"/>
        </w:rPr>
        <w:t>there continues to be lag</w:t>
      </w:r>
      <w:r>
        <w:rPr>
          <w:rFonts w:ascii="Arial" w:hAnsi="Arial"/>
          <w:sz w:val="22"/>
          <w:szCs w:val="22"/>
        </w:rPr>
        <w:t xml:space="preserve"> be</w:t>
      </w:r>
      <w:r w:rsidR="00F84095">
        <w:rPr>
          <w:rFonts w:ascii="Arial" w:hAnsi="Arial"/>
          <w:sz w:val="22"/>
          <w:szCs w:val="22"/>
        </w:rPr>
        <w:t xml:space="preserve">tween the preparation of policies, processes and standards and formal adoption. This was evident with the policy planning, monitoring and evaluation policy (and resulting handbook), and continues to be applicable with the </w:t>
      </w:r>
      <w:r w:rsidR="00F84095">
        <w:rPr>
          <w:rFonts w:ascii="Arial" w:hAnsi="Arial"/>
          <w:sz w:val="22"/>
          <w:szCs w:val="22"/>
        </w:rPr>
        <w:lastRenderedPageBreak/>
        <w:t xml:space="preserve">UPSDD. The project actively monitored these approval processes for these examples as well as for other interventions. In all cases, the project forged ahead to address the issues. For instance with the policy planning process, training continued at the </w:t>
      </w:r>
      <w:proofErr w:type="spellStart"/>
      <w:r w:rsidR="00F84095">
        <w:rPr>
          <w:rFonts w:ascii="Arial" w:hAnsi="Arial"/>
          <w:sz w:val="22"/>
          <w:szCs w:val="22"/>
        </w:rPr>
        <w:t>AoG</w:t>
      </w:r>
      <w:proofErr w:type="spellEnd"/>
      <w:r w:rsidR="00F84095">
        <w:rPr>
          <w:rFonts w:ascii="Arial" w:hAnsi="Arial"/>
          <w:sz w:val="22"/>
          <w:szCs w:val="22"/>
        </w:rPr>
        <w:t xml:space="preserve"> and in ministry policy planning units. For the UPSDD, the standards were applied in two large entities. What lack of formal </w:t>
      </w:r>
      <w:r w:rsidR="000D1DD0">
        <w:rPr>
          <w:rFonts w:ascii="Arial" w:hAnsi="Arial"/>
          <w:sz w:val="22"/>
          <w:szCs w:val="22"/>
        </w:rPr>
        <w:t xml:space="preserve">approval </w:t>
      </w:r>
      <w:r w:rsidR="00F84095">
        <w:rPr>
          <w:rFonts w:ascii="Arial" w:hAnsi="Arial"/>
          <w:sz w:val="22"/>
          <w:szCs w:val="22"/>
        </w:rPr>
        <w:t xml:space="preserve">does hinder or even </w:t>
      </w:r>
      <w:r w:rsidR="000D1DD0">
        <w:rPr>
          <w:rFonts w:ascii="Arial" w:hAnsi="Arial"/>
          <w:sz w:val="22"/>
          <w:szCs w:val="22"/>
        </w:rPr>
        <w:t>stop</w:t>
      </w:r>
      <w:r w:rsidR="00F84095">
        <w:rPr>
          <w:rFonts w:ascii="Arial" w:hAnsi="Arial"/>
          <w:sz w:val="22"/>
          <w:szCs w:val="22"/>
        </w:rPr>
        <w:t xml:space="preserve"> is the ap</w:t>
      </w:r>
      <w:r w:rsidR="000D1DD0">
        <w:rPr>
          <w:rFonts w:ascii="Arial" w:hAnsi="Arial"/>
          <w:sz w:val="22"/>
          <w:szCs w:val="22"/>
        </w:rPr>
        <w:t>plication government-wide. The approval and a</w:t>
      </w:r>
      <w:r w:rsidR="00F84095">
        <w:rPr>
          <w:rFonts w:ascii="Arial" w:hAnsi="Arial"/>
          <w:sz w:val="22"/>
          <w:szCs w:val="22"/>
        </w:rPr>
        <w:t>pplication of the civil service law and eventual by-laws has helped to advance civil</w:t>
      </w:r>
      <w:r w:rsidR="00891897">
        <w:rPr>
          <w:rFonts w:ascii="Arial" w:hAnsi="Arial"/>
          <w:sz w:val="22"/>
          <w:szCs w:val="22"/>
        </w:rPr>
        <w:t xml:space="preserve"> service reform government-wide though even these processes are not complete.</w:t>
      </w:r>
    </w:p>
    <w:p w14:paraId="694DDE66" w14:textId="77777777" w:rsidR="00F84095" w:rsidRPr="00F84095" w:rsidRDefault="00F84095" w:rsidP="00F84095">
      <w:pPr>
        <w:jc w:val="both"/>
        <w:rPr>
          <w:rFonts w:ascii="Arial" w:hAnsi="Arial"/>
          <w:sz w:val="22"/>
          <w:szCs w:val="22"/>
        </w:rPr>
      </w:pPr>
    </w:p>
    <w:p w14:paraId="747D0FF8" w14:textId="44450401" w:rsidR="00F84095" w:rsidRDefault="00F84095" w:rsidP="00EB743C">
      <w:pPr>
        <w:pStyle w:val="ListParagraph"/>
        <w:numPr>
          <w:ilvl w:val="0"/>
          <w:numId w:val="53"/>
        </w:numPr>
        <w:jc w:val="both"/>
        <w:rPr>
          <w:rFonts w:ascii="Arial" w:hAnsi="Arial"/>
          <w:sz w:val="22"/>
          <w:szCs w:val="22"/>
        </w:rPr>
      </w:pPr>
      <w:r w:rsidRPr="00DB2EBC">
        <w:rPr>
          <w:rFonts w:ascii="Arial" w:hAnsi="Arial"/>
          <w:i/>
          <w:sz w:val="22"/>
          <w:szCs w:val="22"/>
        </w:rPr>
        <w:t>The COVID-19 Pandemic – A Blessing or a Curse?</w:t>
      </w:r>
      <w:r>
        <w:rPr>
          <w:rFonts w:ascii="Arial" w:hAnsi="Arial"/>
          <w:sz w:val="22"/>
          <w:szCs w:val="22"/>
        </w:rPr>
        <w:t xml:space="preserve"> In an attempt to create at least one silver lining from a global pandemic, an observer can see that the pandemic tested governments in a variety of ways all over the world. No benefits will ever outweigh the death, destruction and havoc caused by such a crisis. In Georgia, as it relates to PAR, the pandemic raised awareness on several fronts and actually increased advances as well. The pandemic showed the</w:t>
      </w:r>
      <w:r w:rsidR="0064319C">
        <w:rPr>
          <w:rFonts w:ascii="Arial" w:hAnsi="Arial"/>
          <w:sz w:val="22"/>
          <w:szCs w:val="22"/>
        </w:rPr>
        <w:t xml:space="preserve"> importance of planning and evid</w:t>
      </w:r>
      <w:r>
        <w:rPr>
          <w:rFonts w:ascii="Arial" w:hAnsi="Arial"/>
          <w:sz w:val="22"/>
          <w:szCs w:val="22"/>
        </w:rPr>
        <w:t>e</w:t>
      </w:r>
      <w:r w:rsidR="0064319C">
        <w:rPr>
          <w:rFonts w:ascii="Arial" w:hAnsi="Arial"/>
          <w:sz w:val="22"/>
          <w:szCs w:val="22"/>
        </w:rPr>
        <w:t>nce</w:t>
      </w:r>
      <w:r>
        <w:rPr>
          <w:rFonts w:ascii="Arial" w:hAnsi="Arial"/>
          <w:sz w:val="22"/>
          <w:szCs w:val="22"/>
        </w:rPr>
        <w:t xml:space="preserve"> based policy making with the need for monitoring and evalua</w:t>
      </w:r>
      <w:r w:rsidR="0064319C">
        <w:rPr>
          <w:rFonts w:ascii="Arial" w:hAnsi="Arial"/>
          <w:sz w:val="22"/>
          <w:szCs w:val="22"/>
        </w:rPr>
        <w:t>tion</w:t>
      </w:r>
      <w:r>
        <w:rPr>
          <w:rFonts w:ascii="Arial" w:hAnsi="Arial"/>
          <w:sz w:val="22"/>
          <w:szCs w:val="22"/>
        </w:rPr>
        <w:t xml:space="preserve"> as feedback. For </w:t>
      </w:r>
      <w:r w:rsidR="0064319C">
        <w:rPr>
          <w:rFonts w:ascii="Arial" w:hAnsi="Arial"/>
          <w:sz w:val="22"/>
          <w:szCs w:val="22"/>
        </w:rPr>
        <w:t>civil service reform, it showed the importance of having an administrative structu</w:t>
      </w:r>
      <w:r w:rsidR="0061464F">
        <w:rPr>
          <w:rFonts w:ascii="Arial" w:hAnsi="Arial"/>
          <w:sz w:val="22"/>
          <w:szCs w:val="22"/>
        </w:rPr>
        <w:t xml:space="preserve">re and professional and competent </w:t>
      </w:r>
      <w:r w:rsidR="0064319C">
        <w:rPr>
          <w:rFonts w:ascii="Arial" w:hAnsi="Arial"/>
          <w:sz w:val="22"/>
          <w:szCs w:val="22"/>
        </w:rPr>
        <w:t>personnel to continue their duties even if done</w:t>
      </w:r>
      <w:r w:rsidR="0061464F">
        <w:rPr>
          <w:rFonts w:ascii="Arial" w:hAnsi="Arial"/>
          <w:sz w:val="22"/>
          <w:szCs w:val="22"/>
        </w:rPr>
        <w:t xml:space="preserve"> remotely. And</w:t>
      </w:r>
      <w:r w:rsidR="0064319C">
        <w:rPr>
          <w:rFonts w:ascii="Arial" w:hAnsi="Arial"/>
          <w:sz w:val="22"/>
          <w:szCs w:val="22"/>
        </w:rPr>
        <w:t xml:space="preserve">, it showed the need to continue public services in an effective manner to meet </w:t>
      </w:r>
      <w:r w:rsidR="000D1DD0">
        <w:rPr>
          <w:rFonts w:ascii="Arial" w:hAnsi="Arial"/>
          <w:sz w:val="22"/>
          <w:szCs w:val="22"/>
        </w:rPr>
        <w:t>public needs. The direct result</w:t>
      </w:r>
      <w:r w:rsidR="0064319C">
        <w:rPr>
          <w:rFonts w:ascii="Arial" w:hAnsi="Arial"/>
          <w:sz w:val="22"/>
          <w:szCs w:val="22"/>
        </w:rPr>
        <w:t xml:space="preserve"> is the increased availability and use of e-government services that the project helped to improve over the years. And, the work with the Public Service Halls and Patrol Department Unified Service Center – two of the largest public service providers- was instrumental to serve the public even during times of the pandemic including addressing the needs of vulnerable groups to include persons with disabilities and psychosocial needs. This latter intervention was timely to help Georgia better respond to the pandemic. At the end of the day, the situation may positively contribute to raising the aware</w:t>
      </w:r>
      <w:r w:rsidR="000D1DD0">
        <w:rPr>
          <w:rFonts w:ascii="Arial" w:hAnsi="Arial"/>
          <w:sz w:val="22"/>
          <w:szCs w:val="22"/>
        </w:rPr>
        <w:t>ness of PAR at the senior level</w:t>
      </w:r>
      <w:r w:rsidR="0064319C">
        <w:rPr>
          <w:rFonts w:ascii="Arial" w:hAnsi="Arial"/>
          <w:sz w:val="22"/>
          <w:szCs w:val="22"/>
        </w:rPr>
        <w:t xml:space="preserve"> so it remains a priority. </w:t>
      </w:r>
    </w:p>
    <w:p w14:paraId="2542F0C4" w14:textId="77777777" w:rsidR="0064319C" w:rsidRPr="000B6FF6" w:rsidRDefault="0064319C" w:rsidP="000B6FF6">
      <w:pPr>
        <w:jc w:val="both"/>
        <w:rPr>
          <w:rFonts w:ascii="Arial" w:hAnsi="Arial"/>
          <w:sz w:val="22"/>
          <w:szCs w:val="22"/>
        </w:rPr>
      </w:pPr>
    </w:p>
    <w:p w14:paraId="57A9B99F" w14:textId="14D427E8" w:rsidR="0064319C" w:rsidRDefault="001B7585" w:rsidP="00EB743C">
      <w:pPr>
        <w:pStyle w:val="ListParagraph"/>
        <w:numPr>
          <w:ilvl w:val="0"/>
          <w:numId w:val="53"/>
        </w:numPr>
        <w:jc w:val="both"/>
        <w:rPr>
          <w:rFonts w:ascii="Arial" w:hAnsi="Arial"/>
          <w:sz w:val="22"/>
          <w:szCs w:val="22"/>
        </w:rPr>
      </w:pPr>
      <w:r w:rsidRPr="00DB2EBC">
        <w:rPr>
          <w:rFonts w:ascii="Arial" w:hAnsi="Arial"/>
          <w:i/>
          <w:sz w:val="22"/>
          <w:szCs w:val="22"/>
        </w:rPr>
        <w:t>E-Systems Are Not A Panacea:</w:t>
      </w:r>
      <w:r>
        <w:rPr>
          <w:rFonts w:ascii="Arial" w:hAnsi="Arial"/>
          <w:sz w:val="22"/>
          <w:szCs w:val="22"/>
        </w:rPr>
        <w:t xml:space="preserve"> The project has or is developing a number of </w:t>
      </w:r>
      <w:proofErr w:type="spellStart"/>
      <w:r>
        <w:rPr>
          <w:rFonts w:ascii="Arial" w:hAnsi="Arial"/>
          <w:sz w:val="22"/>
          <w:szCs w:val="22"/>
        </w:rPr>
        <w:t>e-systems</w:t>
      </w:r>
      <w:proofErr w:type="spellEnd"/>
      <w:r>
        <w:rPr>
          <w:rFonts w:ascii="Arial" w:hAnsi="Arial"/>
          <w:sz w:val="22"/>
          <w:szCs w:val="22"/>
        </w:rPr>
        <w:t xml:space="preserve"> to include the policy planning monitoring and evaluation system; the e</w:t>
      </w:r>
      <w:r w:rsidR="002245FC">
        <w:rPr>
          <w:rFonts w:ascii="Arial" w:hAnsi="Arial"/>
          <w:sz w:val="22"/>
          <w:szCs w:val="22"/>
        </w:rPr>
        <w:t>-</w:t>
      </w:r>
      <w:r>
        <w:rPr>
          <w:rFonts w:ascii="Arial" w:hAnsi="Arial"/>
          <w:sz w:val="22"/>
          <w:szCs w:val="22"/>
        </w:rPr>
        <w:t xml:space="preserve">HRMS and e-training system with both eventually being linked; those systems </w:t>
      </w:r>
      <w:r w:rsidR="00931612">
        <w:rPr>
          <w:rFonts w:ascii="Arial" w:hAnsi="Arial"/>
          <w:sz w:val="22"/>
          <w:szCs w:val="22"/>
        </w:rPr>
        <w:t xml:space="preserve">or processes </w:t>
      </w:r>
      <w:r>
        <w:rPr>
          <w:rFonts w:ascii="Arial" w:hAnsi="Arial"/>
          <w:sz w:val="22"/>
          <w:szCs w:val="22"/>
        </w:rPr>
        <w:t xml:space="preserve">involved with the UPSDD; and all the work to transfer specific public services to my.gov.ge. Training was also provided for </w:t>
      </w:r>
      <w:r w:rsidR="00DB2EBC">
        <w:rPr>
          <w:rFonts w:ascii="Arial" w:hAnsi="Arial"/>
          <w:sz w:val="22"/>
          <w:szCs w:val="22"/>
        </w:rPr>
        <w:t>cyber security</w:t>
      </w:r>
      <w:r>
        <w:rPr>
          <w:rFonts w:ascii="Arial" w:hAnsi="Arial"/>
          <w:sz w:val="22"/>
          <w:szCs w:val="22"/>
        </w:rPr>
        <w:t xml:space="preserve">. Such activity is not one-off. Data and </w:t>
      </w:r>
      <w:proofErr w:type="spellStart"/>
      <w:r>
        <w:rPr>
          <w:rFonts w:ascii="Arial" w:hAnsi="Arial"/>
          <w:sz w:val="22"/>
          <w:szCs w:val="22"/>
        </w:rPr>
        <w:t>e-systems</w:t>
      </w:r>
      <w:proofErr w:type="spellEnd"/>
      <w:r>
        <w:rPr>
          <w:rFonts w:ascii="Arial" w:hAnsi="Arial"/>
          <w:sz w:val="22"/>
          <w:szCs w:val="22"/>
        </w:rPr>
        <w:t xml:space="preserve"> must be constantly updated and maintained. Exit strategies need to be developed for the systems so they do not stop once project assistance ends. The Ministry of Justice has picked up the UPSDD training. Such </w:t>
      </w:r>
      <w:r w:rsidR="0061464F">
        <w:rPr>
          <w:rFonts w:ascii="Arial" w:hAnsi="Arial"/>
          <w:sz w:val="22"/>
          <w:szCs w:val="22"/>
        </w:rPr>
        <w:t>transfers have to happen</w:t>
      </w:r>
      <w:r>
        <w:rPr>
          <w:rFonts w:ascii="Arial" w:hAnsi="Arial"/>
          <w:sz w:val="22"/>
          <w:szCs w:val="22"/>
        </w:rPr>
        <w:t xml:space="preserve"> if not already done so. Subjects like </w:t>
      </w:r>
      <w:r w:rsidR="00DB2EBC">
        <w:rPr>
          <w:rFonts w:ascii="Arial" w:hAnsi="Arial"/>
          <w:sz w:val="22"/>
          <w:szCs w:val="22"/>
        </w:rPr>
        <w:t>cyber security</w:t>
      </w:r>
      <w:r>
        <w:rPr>
          <w:rFonts w:ascii="Arial" w:hAnsi="Arial"/>
          <w:sz w:val="22"/>
          <w:szCs w:val="22"/>
        </w:rPr>
        <w:t xml:space="preserve"> need to be continually addressed as demands and training changes given the evolution of such technical areas.</w:t>
      </w:r>
    </w:p>
    <w:p w14:paraId="655AB66B" w14:textId="77777777" w:rsidR="001B7585" w:rsidRPr="001B7585" w:rsidRDefault="001B7585" w:rsidP="001B7585">
      <w:pPr>
        <w:jc w:val="both"/>
        <w:rPr>
          <w:rFonts w:ascii="Arial" w:hAnsi="Arial"/>
          <w:sz w:val="22"/>
          <w:szCs w:val="22"/>
        </w:rPr>
      </w:pPr>
    </w:p>
    <w:p w14:paraId="04153FA0" w14:textId="17B01043" w:rsidR="001B7585" w:rsidRDefault="001B7585" w:rsidP="00EB743C">
      <w:pPr>
        <w:pStyle w:val="ListParagraph"/>
        <w:numPr>
          <w:ilvl w:val="0"/>
          <w:numId w:val="53"/>
        </w:numPr>
        <w:jc w:val="both"/>
        <w:rPr>
          <w:rFonts w:ascii="Arial" w:hAnsi="Arial"/>
          <w:sz w:val="22"/>
          <w:szCs w:val="22"/>
        </w:rPr>
      </w:pPr>
      <w:r w:rsidRPr="00DB2EBC">
        <w:rPr>
          <w:rFonts w:ascii="Arial" w:hAnsi="Arial"/>
          <w:i/>
          <w:sz w:val="22"/>
          <w:szCs w:val="22"/>
        </w:rPr>
        <w:t>Central and Local Government PAR:</w:t>
      </w:r>
      <w:r>
        <w:rPr>
          <w:rFonts w:ascii="Arial" w:hAnsi="Arial"/>
          <w:sz w:val="22"/>
          <w:szCs w:val="22"/>
        </w:rPr>
        <w:t xml:space="preserve"> The project concentrated on addressing central government PAR. There were some linkages to local government PAR efforts including through the small grants scheme and sub </w:t>
      </w:r>
      <w:proofErr w:type="gramStart"/>
      <w:r>
        <w:rPr>
          <w:rFonts w:ascii="Arial" w:hAnsi="Arial"/>
          <w:sz w:val="22"/>
          <w:szCs w:val="22"/>
        </w:rPr>
        <w:t>projects</w:t>
      </w:r>
      <w:r w:rsidR="00891897">
        <w:rPr>
          <w:rFonts w:ascii="Arial" w:hAnsi="Arial"/>
          <w:sz w:val="22"/>
          <w:szCs w:val="22"/>
        </w:rPr>
        <w:t>, and</w:t>
      </w:r>
      <w:proofErr w:type="gramEnd"/>
      <w:r w:rsidR="00891897">
        <w:rPr>
          <w:rFonts w:ascii="Arial" w:hAnsi="Arial"/>
          <w:sz w:val="22"/>
          <w:szCs w:val="22"/>
        </w:rPr>
        <w:t xml:space="preserve"> tailoring the policy planning handbook to local governments</w:t>
      </w:r>
      <w:r>
        <w:rPr>
          <w:rFonts w:ascii="Arial" w:hAnsi="Arial"/>
          <w:sz w:val="22"/>
          <w:szCs w:val="22"/>
        </w:rPr>
        <w:t xml:space="preserve">. Collaboration did happen with other UNDP and </w:t>
      </w:r>
      <w:r w:rsidR="00727AA0">
        <w:rPr>
          <w:rFonts w:ascii="Arial" w:hAnsi="Arial"/>
          <w:sz w:val="22"/>
          <w:szCs w:val="22"/>
        </w:rPr>
        <w:t>development par</w:t>
      </w:r>
      <w:r w:rsidR="000D1DD0">
        <w:rPr>
          <w:rFonts w:ascii="Arial" w:hAnsi="Arial"/>
          <w:sz w:val="22"/>
          <w:szCs w:val="22"/>
        </w:rPr>
        <w:t>tner projects aimed at the local</w:t>
      </w:r>
      <w:r w:rsidR="00727AA0">
        <w:rPr>
          <w:rFonts w:ascii="Arial" w:hAnsi="Arial"/>
          <w:sz w:val="22"/>
          <w:szCs w:val="22"/>
        </w:rPr>
        <w:t xml:space="preserve"> level. Given the </w:t>
      </w:r>
      <w:proofErr w:type="spellStart"/>
      <w:r w:rsidR="00727AA0">
        <w:rPr>
          <w:rFonts w:ascii="Arial" w:hAnsi="Arial"/>
          <w:sz w:val="22"/>
          <w:szCs w:val="22"/>
        </w:rPr>
        <w:t>GoG’s</w:t>
      </w:r>
      <w:proofErr w:type="spellEnd"/>
      <w:r w:rsidR="00727AA0">
        <w:rPr>
          <w:rFonts w:ascii="Arial" w:hAnsi="Arial"/>
          <w:sz w:val="22"/>
          <w:szCs w:val="22"/>
        </w:rPr>
        <w:t xml:space="preserve"> emphasis on governance decentralization, attention should be given to further applying the central level reforms to the local government level as applicable. </w:t>
      </w:r>
    </w:p>
    <w:p w14:paraId="03AB0EB5" w14:textId="77777777" w:rsidR="00727AA0" w:rsidRPr="00727AA0" w:rsidRDefault="00727AA0" w:rsidP="00727AA0">
      <w:pPr>
        <w:jc w:val="both"/>
        <w:rPr>
          <w:rFonts w:ascii="Arial" w:hAnsi="Arial"/>
          <w:sz w:val="22"/>
          <w:szCs w:val="22"/>
        </w:rPr>
      </w:pPr>
    </w:p>
    <w:p w14:paraId="0BA8EB6C" w14:textId="586C8F3D" w:rsidR="00727AA0" w:rsidRDefault="00727AA0" w:rsidP="00EB743C">
      <w:pPr>
        <w:pStyle w:val="ListParagraph"/>
        <w:numPr>
          <w:ilvl w:val="0"/>
          <w:numId w:val="53"/>
        </w:numPr>
        <w:jc w:val="both"/>
        <w:rPr>
          <w:rFonts w:ascii="Arial" w:hAnsi="Arial"/>
          <w:sz w:val="22"/>
          <w:szCs w:val="22"/>
        </w:rPr>
      </w:pPr>
      <w:r w:rsidRPr="00DB2EBC">
        <w:rPr>
          <w:rFonts w:ascii="Arial" w:hAnsi="Arial"/>
          <w:i/>
          <w:sz w:val="22"/>
          <w:szCs w:val="22"/>
        </w:rPr>
        <w:t>CSO and Research Small Grants Scheme and Emerging Needs Sub Projects Supplement</w:t>
      </w:r>
      <w:r w:rsidR="000D1DD0">
        <w:rPr>
          <w:rFonts w:ascii="Arial" w:hAnsi="Arial"/>
          <w:i/>
          <w:sz w:val="22"/>
          <w:szCs w:val="22"/>
        </w:rPr>
        <w:t>ed</w:t>
      </w:r>
      <w:r w:rsidRPr="00DB2EBC">
        <w:rPr>
          <w:rFonts w:ascii="Arial" w:hAnsi="Arial"/>
          <w:i/>
          <w:sz w:val="22"/>
          <w:szCs w:val="22"/>
        </w:rPr>
        <w:t xml:space="preserve"> and Advance</w:t>
      </w:r>
      <w:r w:rsidR="000D1DD0">
        <w:rPr>
          <w:rFonts w:ascii="Arial" w:hAnsi="Arial"/>
          <w:i/>
          <w:sz w:val="22"/>
          <w:szCs w:val="22"/>
        </w:rPr>
        <w:t>d</w:t>
      </w:r>
      <w:r w:rsidRPr="00DB2EBC">
        <w:rPr>
          <w:rFonts w:ascii="Arial" w:hAnsi="Arial"/>
          <w:i/>
          <w:sz w:val="22"/>
          <w:szCs w:val="22"/>
        </w:rPr>
        <w:t xml:space="preserve"> PAR:</w:t>
      </w:r>
      <w:r>
        <w:rPr>
          <w:rFonts w:ascii="Arial" w:hAnsi="Arial"/>
          <w:sz w:val="22"/>
          <w:szCs w:val="22"/>
        </w:rPr>
        <w:t xml:space="preserve"> The small grant scheme accomplished two goals. </w:t>
      </w:r>
      <w:r>
        <w:rPr>
          <w:rFonts w:ascii="Arial" w:hAnsi="Arial"/>
          <w:sz w:val="22"/>
          <w:szCs w:val="22"/>
        </w:rPr>
        <w:lastRenderedPageBreak/>
        <w:t>First, it brought attention or helped to provide research or solutions to a variety of PAR reform issues or areas that warranted attention. The scheme also developed the capacities of national and local CSOs</w:t>
      </w:r>
      <w:r w:rsidR="000D1DD0">
        <w:rPr>
          <w:rFonts w:ascii="Arial" w:hAnsi="Arial"/>
          <w:sz w:val="22"/>
          <w:szCs w:val="22"/>
        </w:rPr>
        <w:t>, to include NGOs and academia</w:t>
      </w:r>
      <w:r w:rsidR="00891897">
        <w:rPr>
          <w:rFonts w:ascii="Arial" w:hAnsi="Arial"/>
          <w:sz w:val="22"/>
          <w:szCs w:val="22"/>
        </w:rPr>
        <w:t>,</w:t>
      </w:r>
      <w:r w:rsidR="000D1DD0">
        <w:rPr>
          <w:rFonts w:ascii="Arial" w:hAnsi="Arial"/>
          <w:sz w:val="22"/>
          <w:szCs w:val="22"/>
        </w:rPr>
        <w:t xml:space="preserve"> s</w:t>
      </w:r>
      <w:r>
        <w:rPr>
          <w:rFonts w:ascii="Arial" w:hAnsi="Arial"/>
          <w:sz w:val="22"/>
          <w:szCs w:val="22"/>
        </w:rPr>
        <w:t xml:space="preserve">o they are more prepared players to help address PAR. </w:t>
      </w:r>
    </w:p>
    <w:p w14:paraId="70D5EED6" w14:textId="77777777" w:rsidR="00727AA0" w:rsidRPr="00727AA0" w:rsidRDefault="00727AA0" w:rsidP="00727AA0">
      <w:pPr>
        <w:jc w:val="both"/>
        <w:rPr>
          <w:rFonts w:ascii="Arial" w:hAnsi="Arial"/>
          <w:sz w:val="22"/>
          <w:szCs w:val="22"/>
        </w:rPr>
      </w:pPr>
    </w:p>
    <w:p w14:paraId="0E1CD885" w14:textId="768A6980" w:rsidR="00727AA0" w:rsidRDefault="00727AA0" w:rsidP="00727AA0">
      <w:pPr>
        <w:ind w:left="720" w:hanging="720"/>
        <w:jc w:val="both"/>
        <w:rPr>
          <w:rFonts w:ascii="Arial" w:hAnsi="Arial"/>
          <w:sz w:val="22"/>
          <w:szCs w:val="22"/>
        </w:rPr>
      </w:pPr>
      <w:r>
        <w:rPr>
          <w:rFonts w:ascii="Arial" w:hAnsi="Arial"/>
          <w:sz w:val="22"/>
          <w:szCs w:val="22"/>
        </w:rPr>
        <w:tab/>
      </w:r>
      <w:r w:rsidRPr="00727AA0">
        <w:rPr>
          <w:rFonts w:ascii="Arial" w:hAnsi="Arial"/>
          <w:sz w:val="22"/>
          <w:szCs w:val="22"/>
        </w:rPr>
        <w:t>The Emerging Needs sub projects helped to address areas that either provided examples or allowed the project to apply PAR in specific situations. It is not known at this time if such interventions had a “multiplier” effect but they at least met needs</w:t>
      </w:r>
      <w:r>
        <w:rPr>
          <w:rFonts w:ascii="Arial" w:hAnsi="Arial"/>
          <w:sz w:val="22"/>
          <w:szCs w:val="22"/>
        </w:rPr>
        <w:t>, developed approaches, set examples and built capacity.</w:t>
      </w:r>
    </w:p>
    <w:p w14:paraId="54AA5FE6" w14:textId="77777777" w:rsidR="00727AA0" w:rsidRDefault="00727AA0" w:rsidP="00727AA0">
      <w:pPr>
        <w:ind w:left="720" w:hanging="720"/>
        <w:jc w:val="both"/>
        <w:rPr>
          <w:rFonts w:ascii="Arial" w:hAnsi="Arial"/>
          <w:sz w:val="22"/>
          <w:szCs w:val="22"/>
        </w:rPr>
      </w:pPr>
    </w:p>
    <w:p w14:paraId="272DE6E7" w14:textId="1B3C007B" w:rsidR="00727AA0" w:rsidRDefault="00727AA0" w:rsidP="00EB743C">
      <w:pPr>
        <w:pStyle w:val="ListParagraph"/>
        <w:numPr>
          <w:ilvl w:val="0"/>
          <w:numId w:val="53"/>
        </w:numPr>
        <w:jc w:val="both"/>
        <w:rPr>
          <w:rFonts w:ascii="Arial" w:hAnsi="Arial"/>
          <w:sz w:val="22"/>
          <w:szCs w:val="22"/>
        </w:rPr>
      </w:pPr>
      <w:r w:rsidRPr="00DB2EBC">
        <w:rPr>
          <w:rFonts w:ascii="Arial" w:hAnsi="Arial"/>
          <w:i/>
          <w:sz w:val="22"/>
          <w:szCs w:val="22"/>
        </w:rPr>
        <w:t>Gender and Inclusion</w:t>
      </w:r>
      <w:r w:rsidR="005F1BC3">
        <w:rPr>
          <w:rFonts w:ascii="Arial" w:hAnsi="Arial"/>
          <w:i/>
          <w:sz w:val="22"/>
          <w:szCs w:val="22"/>
        </w:rPr>
        <w:t xml:space="preserve"> Addressed in an Integrated Manner</w:t>
      </w:r>
      <w:r w:rsidRPr="00DB2EBC">
        <w:rPr>
          <w:rFonts w:ascii="Arial" w:hAnsi="Arial"/>
          <w:i/>
          <w:sz w:val="22"/>
          <w:szCs w:val="22"/>
        </w:rPr>
        <w:t>:</w:t>
      </w:r>
      <w:r>
        <w:rPr>
          <w:rFonts w:ascii="Arial" w:hAnsi="Arial"/>
          <w:sz w:val="22"/>
          <w:szCs w:val="22"/>
        </w:rPr>
        <w:t xml:space="preserve"> </w:t>
      </w:r>
      <w:r w:rsidR="000B6FF6">
        <w:rPr>
          <w:rFonts w:ascii="Arial" w:hAnsi="Arial"/>
          <w:sz w:val="22"/>
          <w:szCs w:val="22"/>
        </w:rPr>
        <w:t xml:space="preserve">Gender and inclusion were elements of project design. Gender and inclusion were factors considered when implementing the outcomes and outputs and their respective work activities. The effect, as shown above, has been significant.  Gender and inclusion are part of the policy planning, monitoring and evaluation process given that these and </w:t>
      </w:r>
      <w:r w:rsidR="00891897">
        <w:rPr>
          <w:rFonts w:ascii="Arial" w:hAnsi="Arial"/>
          <w:sz w:val="22"/>
          <w:szCs w:val="22"/>
        </w:rPr>
        <w:t xml:space="preserve">other </w:t>
      </w:r>
      <w:r w:rsidR="000B6FF6">
        <w:rPr>
          <w:rFonts w:ascii="Arial" w:hAnsi="Arial"/>
          <w:sz w:val="22"/>
          <w:szCs w:val="22"/>
        </w:rPr>
        <w:t>human rights considerations must be addressed in national, sector and institutional strategies. Plus, seeking CSO input on these and other issues are also part of the process. The civil service reform and human resource development outcome featured issues that addressed women in the public workforce and the number of female participants far exceeded male. And, the public service delivery efforts, while looking to a</w:t>
      </w:r>
      <w:r w:rsidR="0061464F">
        <w:rPr>
          <w:rFonts w:ascii="Arial" w:hAnsi="Arial"/>
          <w:sz w:val="22"/>
          <w:szCs w:val="22"/>
        </w:rPr>
        <w:t>dvance services to all citizens</w:t>
      </w:r>
      <w:r w:rsidR="000B6FF6">
        <w:rPr>
          <w:rFonts w:ascii="Arial" w:hAnsi="Arial"/>
          <w:sz w:val="22"/>
          <w:szCs w:val="22"/>
        </w:rPr>
        <w:t>, had a focus on improving services on those with disabilities and psychosocial needs</w:t>
      </w:r>
      <w:r w:rsidR="00891897">
        <w:rPr>
          <w:rFonts w:ascii="Arial" w:hAnsi="Arial"/>
          <w:sz w:val="22"/>
          <w:szCs w:val="22"/>
        </w:rPr>
        <w:t xml:space="preserve"> as well as providing services to all groups throughout Georgia</w:t>
      </w:r>
      <w:r w:rsidR="000B6FF6">
        <w:rPr>
          <w:rFonts w:ascii="Arial" w:hAnsi="Arial"/>
          <w:sz w:val="22"/>
          <w:szCs w:val="22"/>
        </w:rPr>
        <w:t>. Effort</w:t>
      </w:r>
      <w:r w:rsidR="009246A8">
        <w:rPr>
          <w:rFonts w:ascii="Arial" w:hAnsi="Arial"/>
          <w:sz w:val="22"/>
          <w:szCs w:val="22"/>
        </w:rPr>
        <w:t>s will need to continue in all three outcome</w:t>
      </w:r>
      <w:r w:rsidR="000B6FF6">
        <w:rPr>
          <w:rFonts w:ascii="Arial" w:hAnsi="Arial"/>
          <w:sz w:val="22"/>
          <w:szCs w:val="22"/>
        </w:rPr>
        <w:t xml:space="preserve"> areas. It would be a positive to collect more gender-disaggregated data from project beginn</w:t>
      </w:r>
      <w:r w:rsidR="0054550C">
        <w:rPr>
          <w:rFonts w:ascii="Arial" w:hAnsi="Arial"/>
          <w:sz w:val="22"/>
          <w:szCs w:val="22"/>
        </w:rPr>
        <w:t>ing for all intervention areas.</w:t>
      </w:r>
    </w:p>
    <w:p w14:paraId="207B8D4E" w14:textId="77777777" w:rsidR="0054550C" w:rsidRPr="0054550C" w:rsidRDefault="0054550C" w:rsidP="0054550C">
      <w:pPr>
        <w:ind w:left="360"/>
        <w:jc w:val="both"/>
        <w:rPr>
          <w:rFonts w:ascii="Arial" w:hAnsi="Arial"/>
          <w:sz w:val="22"/>
          <w:szCs w:val="22"/>
        </w:rPr>
      </w:pPr>
    </w:p>
    <w:p w14:paraId="520DE53F" w14:textId="14273265" w:rsidR="0054550C" w:rsidRPr="0054550C" w:rsidRDefault="0054550C" w:rsidP="00EB743C">
      <w:pPr>
        <w:pStyle w:val="ListParagraph"/>
        <w:numPr>
          <w:ilvl w:val="0"/>
          <w:numId w:val="53"/>
        </w:numPr>
        <w:jc w:val="both"/>
        <w:rPr>
          <w:rFonts w:ascii="Arial" w:hAnsi="Arial"/>
          <w:sz w:val="22"/>
          <w:szCs w:val="22"/>
        </w:rPr>
      </w:pPr>
      <w:r>
        <w:rPr>
          <w:rFonts w:ascii="Arial" w:hAnsi="Arial"/>
          <w:i/>
          <w:sz w:val="22"/>
          <w:szCs w:val="22"/>
        </w:rPr>
        <w:t>Networking Advances Process Application, Address Issues and Builds Ownership and Capacity:</w:t>
      </w:r>
      <w:r>
        <w:rPr>
          <w:rFonts w:ascii="Arial" w:hAnsi="Arial"/>
          <w:sz w:val="22"/>
          <w:szCs w:val="22"/>
        </w:rPr>
        <w:t xml:space="preserve"> The project has supported or participated in several PAR meetings or conferences that helped civil servants to network. The most considerable examples are the Civil Service Forums and Human Resource Manager Forums. It appears that these forums are now being supported more by the CSB. There should be a transition so that CSB conducts or supports such forums on an appropriate timeline. It has also been mentioned that more networking can occur for the policy planning units within the ministries and agencies. </w:t>
      </w:r>
      <w:proofErr w:type="spellStart"/>
      <w:r>
        <w:rPr>
          <w:rFonts w:ascii="Arial" w:hAnsi="Arial"/>
          <w:sz w:val="22"/>
          <w:szCs w:val="22"/>
        </w:rPr>
        <w:t>AoG</w:t>
      </w:r>
      <w:proofErr w:type="spellEnd"/>
      <w:r>
        <w:rPr>
          <w:rFonts w:ascii="Arial" w:hAnsi="Arial"/>
          <w:sz w:val="22"/>
          <w:szCs w:val="22"/>
        </w:rPr>
        <w:t xml:space="preserve"> can be the main coordinator or at least support such a forum. Participants rather than donors or external consultants should own such networking efforts. They should be allowed to share experience and address issue areas that they confront. The end result is to help apply the systems and approaches developed, further tailor them to the</w:t>
      </w:r>
      <w:r w:rsidR="009246A8">
        <w:rPr>
          <w:rFonts w:ascii="Arial" w:hAnsi="Arial"/>
          <w:sz w:val="22"/>
          <w:szCs w:val="22"/>
        </w:rPr>
        <w:t>ir</w:t>
      </w:r>
      <w:r>
        <w:rPr>
          <w:rFonts w:ascii="Arial" w:hAnsi="Arial"/>
          <w:sz w:val="22"/>
          <w:szCs w:val="22"/>
        </w:rPr>
        <w:t xml:space="preserve"> needs, and help build ownership and capacity.</w:t>
      </w:r>
    </w:p>
    <w:p w14:paraId="566F4205" w14:textId="6CBFA0C3" w:rsidR="00DB4538" w:rsidRPr="00A52F10" w:rsidRDefault="008A6CBC" w:rsidP="00E36339">
      <w:pPr>
        <w:pStyle w:val="Heading1"/>
        <w:numPr>
          <w:ilvl w:val="0"/>
          <w:numId w:val="1"/>
        </w:numPr>
      </w:pPr>
      <w:bookmarkStart w:id="27" w:name="_Toc478138878"/>
      <w:r>
        <w:t xml:space="preserve">Key </w:t>
      </w:r>
      <w:r w:rsidR="00C21390">
        <w:t xml:space="preserve">Recommendations and </w:t>
      </w:r>
      <w:r>
        <w:t>Next Steps for a Future Cycle of Reform</w:t>
      </w:r>
      <w:bookmarkEnd w:id="27"/>
    </w:p>
    <w:p w14:paraId="0544AEEF" w14:textId="37CE9473" w:rsidR="00C21390" w:rsidRDefault="00810591" w:rsidP="00EB743C">
      <w:pPr>
        <w:pStyle w:val="Heading2"/>
        <w:numPr>
          <w:ilvl w:val="0"/>
          <w:numId w:val="5"/>
        </w:numPr>
      </w:pPr>
      <w:bookmarkStart w:id="28" w:name="_Toc478138879"/>
      <w:r>
        <w:t>PAR is for Real and Making Progress</w:t>
      </w:r>
      <w:bookmarkEnd w:id="28"/>
    </w:p>
    <w:p w14:paraId="36F7B6A1" w14:textId="77777777" w:rsidR="00DB4538" w:rsidRDefault="00DB4538" w:rsidP="00DB4538">
      <w:pPr>
        <w:jc w:val="both"/>
        <w:rPr>
          <w:rFonts w:ascii="Arial" w:hAnsi="Arial"/>
          <w:b/>
          <w:sz w:val="22"/>
          <w:szCs w:val="22"/>
        </w:rPr>
      </w:pPr>
    </w:p>
    <w:p w14:paraId="0ADA3ACD" w14:textId="232443D0" w:rsidR="005F1BC3" w:rsidRDefault="005F1BC3" w:rsidP="00DB4538">
      <w:pPr>
        <w:jc w:val="both"/>
        <w:rPr>
          <w:rFonts w:ascii="Arial" w:hAnsi="Arial"/>
          <w:sz w:val="22"/>
          <w:szCs w:val="22"/>
        </w:rPr>
      </w:pPr>
      <w:r>
        <w:rPr>
          <w:rFonts w:ascii="Arial" w:hAnsi="Arial"/>
          <w:sz w:val="22"/>
          <w:szCs w:val="22"/>
        </w:rPr>
        <w:t xml:space="preserve">PAR in Georgia is real and is making process. Most of the key building blocks are in place. These building blocks have been put in place not only by the project </w:t>
      </w:r>
      <w:r w:rsidR="002F7A8B">
        <w:rPr>
          <w:rFonts w:ascii="Arial" w:hAnsi="Arial"/>
          <w:sz w:val="22"/>
          <w:szCs w:val="22"/>
        </w:rPr>
        <w:t>but also</w:t>
      </w:r>
      <w:r>
        <w:rPr>
          <w:rFonts w:ascii="Arial" w:hAnsi="Arial"/>
          <w:sz w:val="22"/>
          <w:szCs w:val="22"/>
        </w:rPr>
        <w:t xml:space="preserve"> by the </w:t>
      </w:r>
      <w:proofErr w:type="spellStart"/>
      <w:r>
        <w:rPr>
          <w:rFonts w:ascii="Arial" w:hAnsi="Arial"/>
          <w:sz w:val="22"/>
          <w:szCs w:val="22"/>
        </w:rPr>
        <w:t>GoG</w:t>
      </w:r>
      <w:proofErr w:type="spellEnd"/>
      <w:r>
        <w:rPr>
          <w:rFonts w:ascii="Arial" w:hAnsi="Arial"/>
          <w:sz w:val="22"/>
          <w:szCs w:val="22"/>
        </w:rPr>
        <w:t xml:space="preserve"> itself and </w:t>
      </w:r>
      <w:r w:rsidR="002F7A8B">
        <w:rPr>
          <w:rFonts w:ascii="Arial" w:hAnsi="Arial"/>
          <w:sz w:val="22"/>
          <w:szCs w:val="22"/>
        </w:rPr>
        <w:t xml:space="preserve">by </w:t>
      </w:r>
      <w:r>
        <w:rPr>
          <w:rFonts w:ascii="Arial" w:hAnsi="Arial"/>
          <w:sz w:val="22"/>
          <w:szCs w:val="22"/>
        </w:rPr>
        <w:t xml:space="preserve">the support of other development partners. The goal remains the adoption of EU standards and practices in line with past commitments as well as future needs including a more participatory approach with civil society input and some more formal checks and balances. </w:t>
      </w:r>
    </w:p>
    <w:p w14:paraId="6311ACB1" w14:textId="77777777" w:rsidR="005F1BC3" w:rsidRDefault="005F1BC3" w:rsidP="00DB4538">
      <w:pPr>
        <w:jc w:val="both"/>
        <w:rPr>
          <w:rFonts w:ascii="Arial" w:hAnsi="Arial"/>
          <w:sz w:val="22"/>
          <w:szCs w:val="22"/>
        </w:rPr>
      </w:pPr>
    </w:p>
    <w:p w14:paraId="7D059A02" w14:textId="03A9209C" w:rsidR="005F1BC3" w:rsidRDefault="005F1BC3" w:rsidP="00DB4538">
      <w:pPr>
        <w:jc w:val="both"/>
        <w:rPr>
          <w:rFonts w:ascii="Arial" w:hAnsi="Arial"/>
          <w:sz w:val="22"/>
          <w:szCs w:val="22"/>
        </w:rPr>
      </w:pPr>
      <w:r>
        <w:rPr>
          <w:rFonts w:ascii="Arial" w:hAnsi="Arial"/>
          <w:sz w:val="22"/>
          <w:szCs w:val="22"/>
        </w:rPr>
        <w:t>The project has con</w:t>
      </w:r>
      <w:r w:rsidR="004A6810">
        <w:rPr>
          <w:rFonts w:ascii="Arial" w:hAnsi="Arial"/>
          <w:sz w:val="22"/>
          <w:szCs w:val="22"/>
        </w:rPr>
        <w:t>tributed to the progress in the three outcome</w:t>
      </w:r>
      <w:r>
        <w:rPr>
          <w:rFonts w:ascii="Arial" w:hAnsi="Arial"/>
          <w:sz w:val="22"/>
          <w:szCs w:val="22"/>
        </w:rPr>
        <w:t xml:space="preserve"> areas. As well, sustainability is evident within each of the outcome areas. However, risks remain. The chief risk is the prioritization of PAR at the senior level of government. While the priority is evident in the national and annual strategies and plans, as well as the current formulation of </w:t>
      </w:r>
      <w:r w:rsidR="002F7A8B">
        <w:rPr>
          <w:rFonts w:ascii="Arial" w:hAnsi="Arial"/>
          <w:sz w:val="22"/>
          <w:szCs w:val="22"/>
        </w:rPr>
        <w:t>a new PAR Roadmap to follow thr</w:t>
      </w:r>
      <w:r>
        <w:rPr>
          <w:rFonts w:ascii="Arial" w:hAnsi="Arial"/>
          <w:sz w:val="22"/>
          <w:szCs w:val="22"/>
        </w:rPr>
        <w:t>ough on the previous one, constant support is needed. The risk is not that the reform effort will stop but it can</w:t>
      </w:r>
      <w:r w:rsidR="002F7A8B">
        <w:rPr>
          <w:rFonts w:ascii="Arial" w:hAnsi="Arial"/>
          <w:sz w:val="22"/>
          <w:szCs w:val="22"/>
        </w:rPr>
        <w:t xml:space="preserve"> slow or stagnate if the politi</w:t>
      </w:r>
      <w:r>
        <w:rPr>
          <w:rFonts w:ascii="Arial" w:hAnsi="Arial"/>
          <w:sz w:val="22"/>
          <w:szCs w:val="22"/>
        </w:rPr>
        <w:t xml:space="preserve">cal will is not present. As shown in each of the outcome areas, there is interest and capability to implement the reforms </w:t>
      </w:r>
      <w:r w:rsidR="002F7A8B">
        <w:rPr>
          <w:rFonts w:ascii="Arial" w:hAnsi="Arial"/>
          <w:sz w:val="22"/>
          <w:szCs w:val="22"/>
        </w:rPr>
        <w:t xml:space="preserve">by civil servants </w:t>
      </w:r>
      <w:r>
        <w:rPr>
          <w:rFonts w:ascii="Arial" w:hAnsi="Arial"/>
          <w:sz w:val="22"/>
          <w:szCs w:val="22"/>
        </w:rPr>
        <w:t>but at times there was frustration when things seemed to move sideways</w:t>
      </w:r>
      <w:r w:rsidR="002F7A8B">
        <w:rPr>
          <w:rFonts w:ascii="Arial" w:hAnsi="Arial"/>
          <w:sz w:val="22"/>
          <w:szCs w:val="22"/>
        </w:rPr>
        <w:t xml:space="preserve"> </w:t>
      </w:r>
      <w:r w:rsidR="00FF697D">
        <w:rPr>
          <w:rFonts w:ascii="Arial" w:hAnsi="Arial"/>
          <w:sz w:val="22"/>
          <w:szCs w:val="22"/>
        </w:rPr>
        <w:t xml:space="preserve">because of government changes </w:t>
      </w:r>
      <w:r w:rsidR="002F7A8B">
        <w:rPr>
          <w:rFonts w:ascii="Arial" w:hAnsi="Arial"/>
          <w:sz w:val="22"/>
          <w:szCs w:val="22"/>
        </w:rPr>
        <w:t>or lacked attention such as by delaying approvals of key documents or processes.</w:t>
      </w:r>
    </w:p>
    <w:p w14:paraId="22ED0196" w14:textId="77777777" w:rsidR="002F7A8B" w:rsidRDefault="002F7A8B" w:rsidP="00DB4538">
      <w:pPr>
        <w:jc w:val="both"/>
        <w:rPr>
          <w:rFonts w:ascii="Arial" w:hAnsi="Arial"/>
          <w:sz w:val="22"/>
          <w:szCs w:val="22"/>
        </w:rPr>
      </w:pPr>
    </w:p>
    <w:p w14:paraId="54A26C78" w14:textId="67D32CC0" w:rsidR="002F7A8B" w:rsidRDefault="002F7A8B" w:rsidP="00DB4538">
      <w:pPr>
        <w:jc w:val="both"/>
        <w:rPr>
          <w:rFonts w:ascii="Arial" w:hAnsi="Arial"/>
          <w:sz w:val="22"/>
          <w:szCs w:val="22"/>
        </w:rPr>
      </w:pPr>
      <w:r>
        <w:rPr>
          <w:rFonts w:ascii="Arial" w:hAnsi="Arial"/>
          <w:sz w:val="22"/>
          <w:szCs w:val="22"/>
        </w:rPr>
        <w:t xml:space="preserve">Ownership of PAR is also not a question. The reforms are advancing and the project has been allowed to be </w:t>
      </w:r>
      <w:r w:rsidR="00FF697D">
        <w:rPr>
          <w:rFonts w:ascii="Arial" w:hAnsi="Arial"/>
          <w:sz w:val="22"/>
          <w:szCs w:val="22"/>
        </w:rPr>
        <w:t xml:space="preserve">a </w:t>
      </w:r>
      <w:r>
        <w:rPr>
          <w:rFonts w:ascii="Arial" w:hAnsi="Arial"/>
          <w:sz w:val="22"/>
          <w:szCs w:val="22"/>
        </w:rPr>
        <w:t xml:space="preserve">catalyst to help support reform implementation in the three key outcome areas that directly link to the reform roadmap. While all the needs in the three </w:t>
      </w:r>
      <w:r w:rsidR="004A6810">
        <w:rPr>
          <w:rFonts w:ascii="Arial" w:hAnsi="Arial"/>
          <w:sz w:val="22"/>
          <w:szCs w:val="22"/>
        </w:rPr>
        <w:t xml:space="preserve">outcome </w:t>
      </w:r>
      <w:r>
        <w:rPr>
          <w:rFonts w:ascii="Arial" w:hAnsi="Arial"/>
          <w:sz w:val="22"/>
          <w:szCs w:val="22"/>
        </w:rPr>
        <w:t xml:space="preserve">areas are not met, the progress made to date has allowed more ownership of a policy planning monitoring and evaluation process that is being applied government-wide with at least some capacity built to help implementation. Civil service reform will continue with progress made on civil servant hiring, standard </w:t>
      </w:r>
      <w:r w:rsidR="004A6810">
        <w:rPr>
          <w:rFonts w:ascii="Arial" w:hAnsi="Arial"/>
          <w:sz w:val="22"/>
          <w:szCs w:val="22"/>
        </w:rPr>
        <w:t xml:space="preserve">performance </w:t>
      </w:r>
      <w:r>
        <w:rPr>
          <w:rFonts w:ascii="Arial" w:hAnsi="Arial"/>
          <w:sz w:val="22"/>
          <w:szCs w:val="22"/>
        </w:rPr>
        <w:t>appraisal and human resource development ongoing. And, public service delivery has drawn significant attention to improve delivery with real gains within large service provid</w:t>
      </w:r>
      <w:r w:rsidR="00FF363D">
        <w:rPr>
          <w:rFonts w:ascii="Arial" w:hAnsi="Arial"/>
          <w:sz w:val="22"/>
          <w:szCs w:val="22"/>
        </w:rPr>
        <w:t>i</w:t>
      </w:r>
      <w:r>
        <w:rPr>
          <w:rFonts w:ascii="Arial" w:hAnsi="Arial"/>
          <w:sz w:val="22"/>
          <w:szCs w:val="22"/>
        </w:rPr>
        <w:t xml:space="preserve">ng entities and major advances in e-governance. The attention brought to civil society </w:t>
      </w:r>
      <w:r w:rsidR="004A6810">
        <w:rPr>
          <w:rFonts w:ascii="Arial" w:hAnsi="Arial"/>
          <w:sz w:val="22"/>
          <w:szCs w:val="22"/>
        </w:rPr>
        <w:t xml:space="preserve">has helped to create avenues of </w:t>
      </w:r>
      <w:r>
        <w:rPr>
          <w:rFonts w:ascii="Arial" w:hAnsi="Arial"/>
          <w:sz w:val="22"/>
          <w:szCs w:val="22"/>
        </w:rPr>
        <w:t xml:space="preserve">input and feedback </w:t>
      </w:r>
      <w:r w:rsidR="004A6810">
        <w:rPr>
          <w:rFonts w:ascii="Arial" w:hAnsi="Arial"/>
          <w:sz w:val="22"/>
          <w:szCs w:val="22"/>
        </w:rPr>
        <w:t xml:space="preserve">for each of the three outcome areas and opportunities for the government-civil society relationship to further develop. </w:t>
      </w:r>
    </w:p>
    <w:p w14:paraId="7CF4C12E" w14:textId="77777777" w:rsidR="002F7A8B" w:rsidRDefault="002F7A8B" w:rsidP="00DB4538">
      <w:pPr>
        <w:jc w:val="both"/>
        <w:rPr>
          <w:rFonts w:ascii="Arial" w:hAnsi="Arial"/>
          <w:sz w:val="22"/>
          <w:szCs w:val="22"/>
        </w:rPr>
      </w:pPr>
    </w:p>
    <w:p w14:paraId="509AA345" w14:textId="77777777" w:rsidR="00FF363D" w:rsidRDefault="002F7A8B" w:rsidP="00DB4538">
      <w:pPr>
        <w:jc w:val="both"/>
        <w:rPr>
          <w:rFonts w:ascii="Arial" w:hAnsi="Arial"/>
          <w:sz w:val="22"/>
          <w:szCs w:val="22"/>
        </w:rPr>
      </w:pPr>
      <w:r>
        <w:rPr>
          <w:rFonts w:ascii="Arial" w:hAnsi="Arial"/>
          <w:sz w:val="22"/>
          <w:szCs w:val="22"/>
        </w:rPr>
        <w:t xml:space="preserve">The next steps for the project, or other related </w:t>
      </w:r>
      <w:proofErr w:type="spellStart"/>
      <w:r>
        <w:rPr>
          <w:rFonts w:ascii="Arial" w:hAnsi="Arial"/>
          <w:sz w:val="22"/>
          <w:szCs w:val="22"/>
        </w:rPr>
        <w:t>GoG</w:t>
      </w:r>
      <w:proofErr w:type="spellEnd"/>
      <w:r>
        <w:rPr>
          <w:rFonts w:ascii="Arial" w:hAnsi="Arial"/>
          <w:sz w:val="22"/>
          <w:szCs w:val="22"/>
        </w:rPr>
        <w:t xml:space="preserve"> or development interventions are two-fold</w:t>
      </w:r>
      <w:r w:rsidR="00FF363D">
        <w:rPr>
          <w:rFonts w:ascii="Arial" w:hAnsi="Arial"/>
          <w:sz w:val="22"/>
          <w:szCs w:val="22"/>
        </w:rPr>
        <w:t xml:space="preserve">: </w:t>
      </w:r>
    </w:p>
    <w:p w14:paraId="73CAC8F8" w14:textId="77777777" w:rsidR="00FF363D" w:rsidRDefault="00FF363D" w:rsidP="00DB4538">
      <w:pPr>
        <w:jc w:val="both"/>
        <w:rPr>
          <w:rFonts w:ascii="Arial" w:hAnsi="Arial"/>
          <w:sz w:val="22"/>
          <w:szCs w:val="22"/>
        </w:rPr>
      </w:pPr>
    </w:p>
    <w:p w14:paraId="7962A890" w14:textId="2B68B691" w:rsidR="002F7A8B" w:rsidRDefault="00FF363D" w:rsidP="00EB743C">
      <w:pPr>
        <w:pStyle w:val="ListParagraph"/>
        <w:numPr>
          <w:ilvl w:val="0"/>
          <w:numId w:val="17"/>
        </w:numPr>
        <w:jc w:val="both"/>
        <w:rPr>
          <w:rFonts w:ascii="Arial" w:hAnsi="Arial"/>
          <w:sz w:val="22"/>
          <w:szCs w:val="22"/>
        </w:rPr>
      </w:pPr>
      <w:r w:rsidRPr="00FF363D">
        <w:rPr>
          <w:rFonts w:ascii="Arial" w:hAnsi="Arial"/>
          <w:sz w:val="22"/>
          <w:szCs w:val="22"/>
        </w:rPr>
        <w:t>Unfinished Business: There is still some</w:t>
      </w:r>
      <w:r w:rsidR="002F7A8B" w:rsidRPr="00FF363D">
        <w:rPr>
          <w:rFonts w:ascii="Arial" w:hAnsi="Arial"/>
          <w:sz w:val="22"/>
          <w:szCs w:val="22"/>
        </w:rPr>
        <w:t xml:space="preserve"> “unfinished</w:t>
      </w:r>
      <w:r w:rsidRPr="00FF363D">
        <w:rPr>
          <w:rFonts w:ascii="Arial" w:hAnsi="Arial"/>
          <w:sz w:val="22"/>
          <w:szCs w:val="22"/>
        </w:rPr>
        <w:t xml:space="preserve"> business” remaining from the project. These are activities that were not completed mainly because of timing or approval issues or the changes and demands brought about </w:t>
      </w:r>
      <w:r w:rsidR="004A6810">
        <w:rPr>
          <w:rFonts w:ascii="Arial" w:hAnsi="Arial"/>
          <w:sz w:val="22"/>
          <w:szCs w:val="22"/>
        </w:rPr>
        <w:t xml:space="preserve">by </w:t>
      </w:r>
      <w:r w:rsidRPr="00FF363D">
        <w:rPr>
          <w:rFonts w:ascii="Arial" w:hAnsi="Arial"/>
          <w:sz w:val="22"/>
          <w:szCs w:val="22"/>
        </w:rPr>
        <w:t>the crisis and emergency situation of COVID-19. Certain outputs need to be “tied up” so the outcomes and outputs are brought to full completion. These areas are identified in the next section</w:t>
      </w:r>
      <w:r>
        <w:rPr>
          <w:rFonts w:ascii="Arial" w:hAnsi="Arial"/>
          <w:sz w:val="22"/>
          <w:szCs w:val="22"/>
        </w:rPr>
        <w:t>.</w:t>
      </w:r>
    </w:p>
    <w:p w14:paraId="2B74140D" w14:textId="77777777" w:rsidR="00FF363D" w:rsidRPr="00FF363D" w:rsidRDefault="00FF363D" w:rsidP="00FF363D">
      <w:pPr>
        <w:ind w:left="720"/>
        <w:jc w:val="both"/>
        <w:rPr>
          <w:rFonts w:ascii="Arial" w:hAnsi="Arial"/>
          <w:sz w:val="22"/>
          <w:szCs w:val="22"/>
        </w:rPr>
      </w:pPr>
    </w:p>
    <w:p w14:paraId="39EE2F3D" w14:textId="2A497522" w:rsidR="00FF363D" w:rsidRPr="00503E65" w:rsidRDefault="0040538D" w:rsidP="00EB743C">
      <w:pPr>
        <w:pStyle w:val="ListParagraph"/>
        <w:numPr>
          <w:ilvl w:val="0"/>
          <w:numId w:val="17"/>
        </w:numPr>
        <w:jc w:val="both"/>
        <w:rPr>
          <w:rFonts w:ascii="Arial" w:hAnsi="Arial"/>
          <w:sz w:val="22"/>
          <w:szCs w:val="22"/>
        </w:rPr>
      </w:pPr>
      <w:r>
        <w:rPr>
          <w:rFonts w:ascii="Arial" w:hAnsi="Arial"/>
          <w:sz w:val="22"/>
          <w:szCs w:val="22"/>
        </w:rPr>
        <w:t xml:space="preserve">Furthering the </w:t>
      </w:r>
      <w:r w:rsidR="00FF363D">
        <w:rPr>
          <w:rFonts w:ascii="Arial" w:hAnsi="Arial"/>
          <w:sz w:val="22"/>
          <w:szCs w:val="22"/>
        </w:rPr>
        <w:t>Breadth and Depth of Reforms: Any PAR efforts</w:t>
      </w:r>
      <w:r w:rsidR="00A859FF">
        <w:rPr>
          <w:rFonts w:ascii="Arial" w:hAnsi="Arial"/>
          <w:sz w:val="22"/>
          <w:szCs w:val="22"/>
        </w:rPr>
        <w:t>’</w:t>
      </w:r>
      <w:r w:rsidR="00FF363D">
        <w:rPr>
          <w:rFonts w:ascii="Arial" w:hAnsi="Arial"/>
          <w:sz w:val="22"/>
          <w:szCs w:val="22"/>
        </w:rPr>
        <w:t xml:space="preserve"> measure of success is how the reforms are implemented and applied government-wide over time. The project help</w:t>
      </w:r>
      <w:r w:rsidR="00503E65">
        <w:rPr>
          <w:rFonts w:ascii="Arial" w:hAnsi="Arial"/>
          <w:sz w:val="22"/>
          <w:szCs w:val="22"/>
        </w:rPr>
        <w:t>e</w:t>
      </w:r>
      <w:r w:rsidR="00FF363D">
        <w:rPr>
          <w:rFonts w:ascii="Arial" w:hAnsi="Arial"/>
          <w:sz w:val="22"/>
          <w:szCs w:val="22"/>
        </w:rPr>
        <w:t>d to catalyze the formulation, adoption and implementation of various changes. Now the challenge is full implementation and app</w:t>
      </w:r>
      <w:r w:rsidR="00503E65">
        <w:rPr>
          <w:rFonts w:ascii="Arial" w:hAnsi="Arial"/>
          <w:sz w:val="22"/>
          <w:szCs w:val="22"/>
        </w:rPr>
        <w:t>l</w:t>
      </w:r>
      <w:r w:rsidR="00FF363D">
        <w:rPr>
          <w:rFonts w:ascii="Arial" w:hAnsi="Arial"/>
          <w:sz w:val="22"/>
          <w:szCs w:val="22"/>
        </w:rPr>
        <w:t>i</w:t>
      </w:r>
      <w:r w:rsidR="00503E65">
        <w:rPr>
          <w:rFonts w:ascii="Arial" w:hAnsi="Arial"/>
          <w:sz w:val="22"/>
          <w:szCs w:val="22"/>
        </w:rPr>
        <w:t>c</w:t>
      </w:r>
      <w:r w:rsidR="00FF363D">
        <w:rPr>
          <w:rFonts w:ascii="Arial" w:hAnsi="Arial"/>
          <w:sz w:val="22"/>
          <w:szCs w:val="22"/>
        </w:rPr>
        <w:t>ation. As shown in other countries, it takes cycles of activities over the short to medium term for changes to “stick” and become day-to-day routines. That is not to say some things won’t change. For instance, the standard mandatory acc</w:t>
      </w:r>
      <w:r w:rsidR="00503E65">
        <w:rPr>
          <w:rFonts w:ascii="Arial" w:hAnsi="Arial"/>
          <w:sz w:val="22"/>
          <w:szCs w:val="22"/>
        </w:rPr>
        <w:t xml:space="preserve">redited civil service training </w:t>
      </w:r>
      <w:r w:rsidR="00FF363D">
        <w:rPr>
          <w:rFonts w:ascii="Arial" w:hAnsi="Arial"/>
          <w:sz w:val="22"/>
          <w:szCs w:val="22"/>
        </w:rPr>
        <w:t>courses may change or be adjusted. The policy planning process may be adjusted from time-to-time as the processes are used and feedback is provided. The challenge is the constant application</w:t>
      </w:r>
      <w:r w:rsidR="00503E65">
        <w:rPr>
          <w:rFonts w:ascii="Arial" w:hAnsi="Arial"/>
          <w:sz w:val="22"/>
          <w:szCs w:val="22"/>
        </w:rPr>
        <w:t xml:space="preserve"> of the reforms so the change becomes the common. And, it is important that the changes have a positive impact thus calling for the need of constant feedback from political leadership, civil servants and civil society. </w:t>
      </w:r>
      <w:r>
        <w:rPr>
          <w:rFonts w:ascii="Arial" w:hAnsi="Arial"/>
          <w:sz w:val="22"/>
          <w:szCs w:val="22"/>
        </w:rPr>
        <w:t xml:space="preserve"> Related recommendations to this topic are provided in subsection 3, below.</w:t>
      </w:r>
    </w:p>
    <w:p w14:paraId="620AF502" w14:textId="0ADFA729" w:rsidR="00503E65" w:rsidRDefault="00503E65" w:rsidP="00EB743C">
      <w:pPr>
        <w:pStyle w:val="Heading2"/>
        <w:numPr>
          <w:ilvl w:val="0"/>
          <w:numId w:val="5"/>
        </w:numPr>
      </w:pPr>
      <w:bookmarkStart w:id="29" w:name="_Toc478138880"/>
      <w:r>
        <w:lastRenderedPageBreak/>
        <w:t>Unfinished Business</w:t>
      </w:r>
      <w:bookmarkEnd w:id="29"/>
    </w:p>
    <w:p w14:paraId="72D3DB72" w14:textId="77777777" w:rsidR="00503E65" w:rsidRDefault="00503E65" w:rsidP="00DB4538">
      <w:pPr>
        <w:jc w:val="both"/>
        <w:rPr>
          <w:rFonts w:ascii="Arial" w:hAnsi="Arial"/>
          <w:sz w:val="22"/>
          <w:szCs w:val="22"/>
        </w:rPr>
      </w:pPr>
    </w:p>
    <w:p w14:paraId="6B11ECFE" w14:textId="421755BD" w:rsidR="00886C95" w:rsidRDefault="0061464F" w:rsidP="00DB4538">
      <w:pPr>
        <w:jc w:val="both"/>
        <w:rPr>
          <w:rFonts w:ascii="Arial" w:hAnsi="Arial"/>
          <w:sz w:val="22"/>
          <w:szCs w:val="22"/>
        </w:rPr>
      </w:pPr>
      <w:r>
        <w:rPr>
          <w:rFonts w:ascii="Arial" w:hAnsi="Arial"/>
          <w:sz w:val="22"/>
          <w:szCs w:val="22"/>
        </w:rPr>
        <w:t>The following is</w:t>
      </w:r>
      <w:r w:rsidR="00886C95">
        <w:rPr>
          <w:rFonts w:ascii="Arial" w:hAnsi="Arial"/>
          <w:sz w:val="22"/>
          <w:szCs w:val="22"/>
        </w:rPr>
        <w:t xml:space="preserve"> a set of outputs or activities tha</w:t>
      </w:r>
      <w:r w:rsidR="006139DE">
        <w:rPr>
          <w:rFonts w:ascii="Arial" w:hAnsi="Arial"/>
          <w:sz w:val="22"/>
          <w:szCs w:val="22"/>
        </w:rPr>
        <w:t>t are within the existing project</w:t>
      </w:r>
      <w:r w:rsidR="00886C95">
        <w:rPr>
          <w:rFonts w:ascii="Arial" w:hAnsi="Arial"/>
          <w:sz w:val="22"/>
          <w:szCs w:val="22"/>
        </w:rPr>
        <w:t xml:space="preserve"> framework. They have been delayed for a variety of reasons, but mainly because of the adjustments made in 2020 due to the COVID-19 pandemic. The changes in government throughout the project timeframe also impacted completion</w:t>
      </w:r>
      <w:r w:rsidR="00FF697D">
        <w:rPr>
          <w:rFonts w:ascii="Arial" w:hAnsi="Arial"/>
          <w:sz w:val="22"/>
          <w:szCs w:val="22"/>
        </w:rPr>
        <w:t xml:space="preserve"> with delays in certain approvals</w:t>
      </w:r>
      <w:r w:rsidR="00886C95">
        <w:rPr>
          <w:rFonts w:ascii="Arial" w:hAnsi="Arial"/>
          <w:sz w:val="22"/>
          <w:szCs w:val="22"/>
        </w:rPr>
        <w:t xml:space="preserve">. </w:t>
      </w:r>
      <w:r w:rsidR="00546359">
        <w:rPr>
          <w:rFonts w:ascii="Arial" w:hAnsi="Arial"/>
          <w:sz w:val="22"/>
          <w:szCs w:val="22"/>
        </w:rPr>
        <w:t>All of the areas are currently being addressed but some may have completion dates that are beyond the timeframe of the current project (March 2021). Either the activities should be continued under the new project being discussed or an exit strategy needs to be developed so stakeholders can complete the activity.</w:t>
      </w:r>
      <w:r w:rsidR="006139DE">
        <w:rPr>
          <w:rFonts w:ascii="Arial" w:hAnsi="Arial"/>
          <w:sz w:val="22"/>
          <w:szCs w:val="22"/>
        </w:rPr>
        <w:t xml:space="preserve"> Their full completion will help in not only advancing sustainability </w:t>
      </w:r>
      <w:r w:rsidR="00FF697D">
        <w:rPr>
          <w:rFonts w:ascii="Arial" w:hAnsi="Arial"/>
          <w:sz w:val="22"/>
          <w:szCs w:val="22"/>
        </w:rPr>
        <w:t xml:space="preserve">of project interventions </w:t>
      </w:r>
      <w:r w:rsidR="006139DE">
        <w:rPr>
          <w:rFonts w:ascii="Arial" w:hAnsi="Arial"/>
          <w:sz w:val="22"/>
          <w:szCs w:val="22"/>
        </w:rPr>
        <w:t>but also applying the various components government-wide.</w:t>
      </w:r>
    </w:p>
    <w:p w14:paraId="2E05F27E" w14:textId="77777777" w:rsidR="000A7361" w:rsidRDefault="000A7361" w:rsidP="00DB4538">
      <w:pPr>
        <w:jc w:val="both"/>
        <w:rPr>
          <w:rFonts w:ascii="Arial" w:hAnsi="Arial"/>
          <w:sz w:val="22"/>
          <w:szCs w:val="22"/>
        </w:rPr>
      </w:pPr>
    </w:p>
    <w:p w14:paraId="35349D73" w14:textId="55C65CD5" w:rsidR="000A7361" w:rsidRPr="000A7361" w:rsidRDefault="000934F0" w:rsidP="00DB4538">
      <w:pPr>
        <w:jc w:val="both"/>
        <w:rPr>
          <w:rFonts w:ascii="Arial" w:hAnsi="Arial"/>
          <w:b/>
          <w:i/>
          <w:sz w:val="22"/>
          <w:szCs w:val="22"/>
          <w:u w:val="single"/>
        </w:rPr>
      </w:pPr>
      <w:r>
        <w:rPr>
          <w:rFonts w:ascii="Arial" w:hAnsi="Arial"/>
          <w:b/>
          <w:i/>
          <w:sz w:val="22"/>
          <w:szCs w:val="22"/>
          <w:u w:val="single"/>
        </w:rPr>
        <w:t>Policy Development and Coordination</w:t>
      </w:r>
    </w:p>
    <w:p w14:paraId="3B8AE8E0" w14:textId="77777777" w:rsidR="00546359" w:rsidRDefault="00546359" w:rsidP="00DB4538">
      <w:pPr>
        <w:jc w:val="both"/>
        <w:rPr>
          <w:rFonts w:ascii="Arial" w:hAnsi="Arial"/>
          <w:sz w:val="22"/>
          <w:szCs w:val="22"/>
        </w:rPr>
      </w:pPr>
    </w:p>
    <w:p w14:paraId="10B21D55" w14:textId="2911F8F4" w:rsidR="00546359" w:rsidRDefault="00886C95" w:rsidP="00A859FF">
      <w:pPr>
        <w:pStyle w:val="ListParagraph"/>
        <w:numPr>
          <w:ilvl w:val="0"/>
          <w:numId w:val="56"/>
        </w:numPr>
        <w:ind w:left="360"/>
        <w:jc w:val="both"/>
        <w:rPr>
          <w:rFonts w:ascii="Arial" w:hAnsi="Arial"/>
          <w:sz w:val="22"/>
          <w:szCs w:val="22"/>
        </w:rPr>
      </w:pPr>
      <w:r w:rsidRPr="00546359">
        <w:rPr>
          <w:rFonts w:ascii="Arial" w:hAnsi="Arial"/>
          <w:i/>
          <w:sz w:val="22"/>
          <w:szCs w:val="22"/>
        </w:rPr>
        <w:t>Drafting of National Strategies Applying Policy Planning, Monitoring and Evaluation Standards</w:t>
      </w:r>
      <w:r w:rsidR="00546359">
        <w:rPr>
          <w:rFonts w:ascii="Arial" w:hAnsi="Arial"/>
          <w:i/>
          <w:sz w:val="22"/>
          <w:szCs w:val="22"/>
        </w:rPr>
        <w:t>:</w:t>
      </w:r>
      <w:r w:rsidRPr="00886C95">
        <w:rPr>
          <w:rFonts w:ascii="Arial" w:hAnsi="Arial"/>
          <w:sz w:val="22"/>
          <w:szCs w:val="22"/>
        </w:rPr>
        <w:t xml:space="preserve"> Three strategic documents with accompanying action plans are bein</w:t>
      </w:r>
      <w:r w:rsidR="00546359">
        <w:rPr>
          <w:rFonts w:ascii="Arial" w:hAnsi="Arial"/>
          <w:sz w:val="22"/>
          <w:szCs w:val="22"/>
        </w:rPr>
        <w:t>g prepared with project support</w:t>
      </w:r>
      <w:r w:rsidRPr="00886C95">
        <w:rPr>
          <w:rFonts w:ascii="Arial" w:hAnsi="Arial"/>
          <w:sz w:val="22"/>
          <w:szCs w:val="22"/>
        </w:rPr>
        <w:t xml:space="preserve"> to include: 1) PAR Roadmap 2021-24; 2)</w:t>
      </w:r>
      <w:r w:rsidR="002310EA">
        <w:rPr>
          <w:rFonts w:ascii="Arial" w:hAnsi="Arial"/>
          <w:sz w:val="22"/>
          <w:szCs w:val="22"/>
        </w:rPr>
        <w:t xml:space="preserve"> e-Governance Strategy; and 3) Maritime Transport S</w:t>
      </w:r>
      <w:r w:rsidRPr="00886C95">
        <w:rPr>
          <w:rFonts w:ascii="Arial" w:hAnsi="Arial"/>
          <w:sz w:val="22"/>
          <w:szCs w:val="22"/>
        </w:rPr>
        <w:t xml:space="preserve">trategy. </w:t>
      </w:r>
      <w:r w:rsidR="00546359">
        <w:rPr>
          <w:rFonts w:ascii="Arial" w:hAnsi="Arial"/>
          <w:sz w:val="22"/>
          <w:szCs w:val="22"/>
        </w:rPr>
        <w:t xml:space="preserve">The strategies are being prepared by applying the methodologies and processes of the new policy planning, monitoring and evaluation process documented in the accompanying handbook and being applied by the </w:t>
      </w:r>
      <w:proofErr w:type="spellStart"/>
      <w:r w:rsidR="00546359">
        <w:rPr>
          <w:rFonts w:ascii="Arial" w:hAnsi="Arial"/>
          <w:sz w:val="22"/>
          <w:szCs w:val="22"/>
        </w:rPr>
        <w:t>AoG</w:t>
      </w:r>
      <w:proofErr w:type="spellEnd"/>
      <w:r w:rsidR="00546359">
        <w:rPr>
          <w:rFonts w:ascii="Arial" w:hAnsi="Arial"/>
          <w:sz w:val="22"/>
          <w:szCs w:val="22"/>
        </w:rPr>
        <w:t>. For overall PAR, the most important d</w:t>
      </w:r>
      <w:r w:rsidR="00743770">
        <w:rPr>
          <w:rFonts w:ascii="Arial" w:hAnsi="Arial"/>
          <w:sz w:val="22"/>
          <w:szCs w:val="22"/>
        </w:rPr>
        <w:t>ocument is the PAR Roadmap that</w:t>
      </w:r>
      <w:r w:rsidR="00546359">
        <w:rPr>
          <w:rFonts w:ascii="Arial" w:hAnsi="Arial"/>
          <w:sz w:val="22"/>
          <w:szCs w:val="22"/>
        </w:rPr>
        <w:t xml:space="preserve"> will identify the next round of PAR reform. </w:t>
      </w:r>
      <w:proofErr w:type="spellStart"/>
      <w:r w:rsidR="00546359">
        <w:rPr>
          <w:rFonts w:ascii="Arial" w:hAnsi="Arial"/>
          <w:sz w:val="22"/>
          <w:szCs w:val="22"/>
        </w:rPr>
        <w:t>AoG</w:t>
      </w:r>
      <w:proofErr w:type="spellEnd"/>
      <w:r w:rsidR="00546359">
        <w:rPr>
          <w:rFonts w:ascii="Arial" w:hAnsi="Arial"/>
          <w:sz w:val="22"/>
          <w:szCs w:val="22"/>
        </w:rPr>
        <w:t xml:space="preserve"> is currently working on the strategy and the project has supported its development. Its completion should be a priority to help provide further PAR reform guidance and keep current advances on track while identifying shortcomings that need further attention.</w:t>
      </w:r>
      <w:r w:rsidR="00743770">
        <w:rPr>
          <w:rFonts w:ascii="Arial" w:hAnsi="Arial"/>
          <w:sz w:val="22"/>
          <w:szCs w:val="22"/>
        </w:rPr>
        <w:t xml:space="preserve"> Completion is slated for March 2021 and requires PAR Council approval. Past documents that needed such approval have been delayed so prioritization by </w:t>
      </w:r>
      <w:proofErr w:type="spellStart"/>
      <w:r w:rsidR="00743770">
        <w:rPr>
          <w:rFonts w:ascii="Arial" w:hAnsi="Arial"/>
          <w:sz w:val="22"/>
          <w:szCs w:val="22"/>
        </w:rPr>
        <w:t>AoG</w:t>
      </w:r>
      <w:proofErr w:type="spellEnd"/>
      <w:r w:rsidR="00743770">
        <w:rPr>
          <w:rFonts w:ascii="Arial" w:hAnsi="Arial"/>
          <w:sz w:val="22"/>
          <w:szCs w:val="22"/>
        </w:rPr>
        <w:t>, the project team</w:t>
      </w:r>
      <w:r w:rsidR="009B23BD">
        <w:rPr>
          <w:rFonts w:ascii="Arial" w:hAnsi="Arial"/>
          <w:sz w:val="22"/>
          <w:szCs w:val="22"/>
        </w:rPr>
        <w:t xml:space="preserve">, </w:t>
      </w:r>
      <w:r w:rsidR="00743770">
        <w:rPr>
          <w:rFonts w:ascii="Arial" w:hAnsi="Arial"/>
          <w:sz w:val="22"/>
          <w:szCs w:val="22"/>
        </w:rPr>
        <w:t xml:space="preserve">and possibly </w:t>
      </w:r>
      <w:r w:rsidR="002F4182">
        <w:rPr>
          <w:rFonts w:ascii="Arial" w:hAnsi="Arial"/>
          <w:sz w:val="22"/>
          <w:szCs w:val="22"/>
        </w:rPr>
        <w:t xml:space="preserve">other </w:t>
      </w:r>
      <w:r w:rsidR="00743770">
        <w:rPr>
          <w:rFonts w:ascii="Arial" w:hAnsi="Arial"/>
          <w:sz w:val="22"/>
          <w:szCs w:val="22"/>
        </w:rPr>
        <w:t xml:space="preserve">development partners </w:t>
      </w:r>
      <w:r w:rsidR="00521DD3">
        <w:rPr>
          <w:rFonts w:ascii="Arial" w:hAnsi="Arial"/>
          <w:sz w:val="22"/>
          <w:szCs w:val="22"/>
        </w:rPr>
        <w:t>is needed.</w:t>
      </w:r>
    </w:p>
    <w:p w14:paraId="5958C212" w14:textId="77777777" w:rsidR="00521DD3" w:rsidRPr="00521DD3" w:rsidRDefault="00521DD3" w:rsidP="00521DD3">
      <w:pPr>
        <w:jc w:val="both"/>
        <w:rPr>
          <w:rFonts w:ascii="Arial" w:hAnsi="Arial"/>
          <w:sz w:val="22"/>
          <w:szCs w:val="22"/>
        </w:rPr>
      </w:pPr>
    </w:p>
    <w:p w14:paraId="04BFB61B" w14:textId="57321A7E" w:rsidR="00743770" w:rsidRDefault="00521DD3" w:rsidP="00A859FF">
      <w:pPr>
        <w:pStyle w:val="ListParagraph"/>
        <w:numPr>
          <w:ilvl w:val="0"/>
          <w:numId w:val="56"/>
        </w:numPr>
        <w:ind w:left="360"/>
        <w:jc w:val="both"/>
        <w:rPr>
          <w:rFonts w:ascii="Arial" w:hAnsi="Arial"/>
          <w:sz w:val="22"/>
          <w:szCs w:val="22"/>
        </w:rPr>
      </w:pPr>
      <w:r w:rsidRPr="000A7361">
        <w:rPr>
          <w:rFonts w:ascii="Arial" w:hAnsi="Arial"/>
          <w:i/>
          <w:sz w:val="22"/>
          <w:szCs w:val="22"/>
        </w:rPr>
        <w:t xml:space="preserve">Unified Policy </w:t>
      </w:r>
      <w:r w:rsidR="000A7361" w:rsidRPr="000A7361">
        <w:rPr>
          <w:rFonts w:ascii="Arial" w:hAnsi="Arial"/>
          <w:i/>
          <w:sz w:val="22"/>
          <w:szCs w:val="22"/>
        </w:rPr>
        <w:t>Planning</w:t>
      </w:r>
      <w:r w:rsidRPr="000A7361">
        <w:rPr>
          <w:rFonts w:ascii="Arial" w:hAnsi="Arial"/>
          <w:i/>
          <w:sz w:val="22"/>
          <w:szCs w:val="22"/>
        </w:rPr>
        <w:t xml:space="preserve">, </w:t>
      </w:r>
      <w:r w:rsidR="00546359" w:rsidRPr="000A7361">
        <w:rPr>
          <w:rFonts w:ascii="Arial" w:hAnsi="Arial"/>
          <w:i/>
          <w:sz w:val="22"/>
          <w:szCs w:val="22"/>
        </w:rPr>
        <w:t>Monitoring and Evaluation e-platform:</w:t>
      </w:r>
      <w:r w:rsidR="00546359">
        <w:rPr>
          <w:rFonts w:ascii="Arial" w:hAnsi="Arial"/>
          <w:sz w:val="22"/>
          <w:szCs w:val="22"/>
        </w:rPr>
        <w:t xml:space="preserve"> The e-platform will be the backbone of the policy planning, monitoring and evaluation process. It will provide an electronic system to help standardize inputs and outputs</w:t>
      </w:r>
      <w:r w:rsidR="00743770">
        <w:rPr>
          <w:rFonts w:ascii="Arial" w:hAnsi="Arial"/>
          <w:sz w:val="22"/>
          <w:szCs w:val="22"/>
        </w:rPr>
        <w:t xml:space="preserve"> that will standardize national, sector and institution strategies. It will also help make the handbook more accessible and used government-wide thus promoting more evidence-based planning as well as monitoring and evaluation information for better planning and decision making. The first phase of building the platforms architecture is underway and completion is expected in March 2021. The second phase will include adding non-key</w:t>
      </w:r>
      <w:r w:rsidR="00546359">
        <w:rPr>
          <w:rFonts w:ascii="Arial" w:hAnsi="Arial"/>
          <w:sz w:val="22"/>
          <w:szCs w:val="22"/>
        </w:rPr>
        <w:t xml:space="preserve"> </w:t>
      </w:r>
      <w:r w:rsidR="00743770">
        <w:rPr>
          <w:rFonts w:ascii="Arial" w:hAnsi="Arial"/>
          <w:sz w:val="22"/>
          <w:szCs w:val="22"/>
        </w:rPr>
        <w:t xml:space="preserve">and the evaluation modules. Completion is </w:t>
      </w:r>
      <w:r>
        <w:rPr>
          <w:rFonts w:ascii="Arial" w:hAnsi="Arial"/>
          <w:sz w:val="22"/>
          <w:szCs w:val="22"/>
        </w:rPr>
        <w:t>expected in the third quarter</w:t>
      </w:r>
      <w:r w:rsidR="009B23BD">
        <w:rPr>
          <w:rFonts w:ascii="Arial" w:hAnsi="Arial"/>
          <w:sz w:val="22"/>
          <w:szCs w:val="22"/>
        </w:rPr>
        <w:t xml:space="preserve"> of</w:t>
      </w:r>
      <w:r>
        <w:rPr>
          <w:rFonts w:ascii="Arial" w:hAnsi="Arial"/>
          <w:sz w:val="22"/>
          <w:szCs w:val="22"/>
        </w:rPr>
        <w:t xml:space="preserve"> 2021</w:t>
      </w:r>
      <w:r w:rsidR="00743770">
        <w:rPr>
          <w:rFonts w:ascii="Arial" w:hAnsi="Arial"/>
          <w:sz w:val="22"/>
          <w:szCs w:val="22"/>
        </w:rPr>
        <w:t xml:space="preserve">. Support will be needed at least until the e-platform is completed and implemented. </w:t>
      </w:r>
      <w:r>
        <w:rPr>
          <w:rFonts w:ascii="Arial" w:hAnsi="Arial"/>
          <w:sz w:val="22"/>
          <w:szCs w:val="22"/>
        </w:rPr>
        <w:t>And training</w:t>
      </w:r>
      <w:r w:rsidR="000A7361">
        <w:rPr>
          <w:rFonts w:ascii="Arial" w:hAnsi="Arial"/>
          <w:sz w:val="22"/>
          <w:szCs w:val="22"/>
        </w:rPr>
        <w:t xml:space="preserve"> will be needed to at least “train the trainers” as envisioned in the current project framework. T</w:t>
      </w:r>
      <w:r w:rsidR="00743770">
        <w:rPr>
          <w:rFonts w:ascii="Arial" w:hAnsi="Arial"/>
          <w:sz w:val="22"/>
          <w:szCs w:val="22"/>
        </w:rPr>
        <w:t xml:space="preserve">here should be support for at least one-year to make sure the system is working properly and meeting the needs of users. Also, an exit strategy needs to be developed so the </w:t>
      </w:r>
      <w:proofErr w:type="spellStart"/>
      <w:r w:rsidR="00743770">
        <w:rPr>
          <w:rFonts w:ascii="Arial" w:hAnsi="Arial"/>
          <w:sz w:val="22"/>
          <w:szCs w:val="22"/>
        </w:rPr>
        <w:t>GoG</w:t>
      </w:r>
      <w:proofErr w:type="spellEnd"/>
      <w:r w:rsidR="00743770">
        <w:rPr>
          <w:rFonts w:ascii="Arial" w:hAnsi="Arial"/>
          <w:sz w:val="22"/>
          <w:szCs w:val="22"/>
        </w:rPr>
        <w:t xml:space="preserve"> has the competencies and resources to </w:t>
      </w:r>
      <w:r w:rsidR="002F4182">
        <w:rPr>
          <w:rFonts w:ascii="Arial" w:hAnsi="Arial"/>
          <w:sz w:val="22"/>
          <w:szCs w:val="22"/>
        </w:rPr>
        <w:t xml:space="preserve">maintain and </w:t>
      </w:r>
      <w:r w:rsidR="00743770">
        <w:rPr>
          <w:rFonts w:ascii="Arial" w:hAnsi="Arial"/>
          <w:sz w:val="22"/>
          <w:szCs w:val="22"/>
        </w:rPr>
        <w:t xml:space="preserve">upgrade the system as necessary in the future. </w:t>
      </w:r>
    </w:p>
    <w:p w14:paraId="787CA16F" w14:textId="77777777" w:rsidR="00743770" w:rsidRPr="00743770" w:rsidRDefault="00743770" w:rsidP="00743770">
      <w:pPr>
        <w:jc w:val="both"/>
        <w:rPr>
          <w:rFonts w:ascii="Arial" w:hAnsi="Arial"/>
          <w:sz w:val="22"/>
          <w:szCs w:val="22"/>
        </w:rPr>
      </w:pPr>
    </w:p>
    <w:p w14:paraId="2015819E" w14:textId="13E2B797" w:rsidR="00521DD3" w:rsidRDefault="00521DD3" w:rsidP="00A859FF">
      <w:pPr>
        <w:pStyle w:val="ListParagraph"/>
        <w:numPr>
          <w:ilvl w:val="0"/>
          <w:numId w:val="56"/>
        </w:numPr>
        <w:ind w:left="360"/>
        <w:jc w:val="both"/>
        <w:rPr>
          <w:rFonts w:ascii="Arial" w:hAnsi="Arial"/>
          <w:sz w:val="22"/>
          <w:szCs w:val="22"/>
        </w:rPr>
      </w:pPr>
      <w:r w:rsidRPr="00521DD3">
        <w:rPr>
          <w:rFonts w:ascii="Arial" w:hAnsi="Arial"/>
          <w:i/>
          <w:sz w:val="22"/>
          <w:szCs w:val="22"/>
        </w:rPr>
        <w:t>On-Line Policy Planning, Monitoring and Evaluation Course:</w:t>
      </w:r>
      <w:r>
        <w:rPr>
          <w:rFonts w:ascii="Arial" w:hAnsi="Arial"/>
          <w:sz w:val="22"/>
          <w:szCs w:val="22"/>
        </w:rPr>
        <w:t xml:space="preserve"> The project has trained policy planning managers and staff throughout the government. The plans for the next phase of the project is to create an on-line course that is part of the e-learning platform. </w:t>
      </w:r>
      <w:r w:rsidR="00356ACC">
        <w:rPr>
          <w:rFonts w:ascii="Arial" w:hAnsi="Arial"/>
          <w:sz w:val="22"/>
          <w:szCs w:val="22"/>
        </w:rPr>
        <w:t>S</w:t>
      </w:r>
      <w:r>
        <w:rPr>
          <w:rFonts w:ascii="Arial" w:hAnsi="Arial"/>
          <w:sz w:val="22"/>
          <w:szCs w:val="22"/>
        </w:rPr>
        <w:t xml:space="preserve">uch on-line access will allow users to more easily take the course. Such an effort will provide sustainability and reduce future external donor-supported training effort needs. The more accessible training would also further solidify the policy planning, monitoring and evaluation </w:t>
      </w:r>
      <w:r>
        <w:rPr>
          <w:rFonts w:ascii="Arial" w:hAnsi="Arial"/>
          <w:sz w:val="22"/>
          <w:szCs w:val="22"/>
        </w:rPr>
        <w:lastRenderedPageBreak/>
        <w:t>process adopted.</w:t>
      </w:r>
      <w:r w:rsidR="002F4182">
        <w:rPr>
          <w:rFonts w:ascii="Arial" w:hAnsi="Arial"/>
          <w:sz w:val="22"/>
          <w:szCs w:val="22"/>
        </w:rPr>
        <w:t xml:space="preserve">  Once the e-course is completed and on-line, its use should be measured for at least one year to ensure users are applying what was taught. A survey of policy planning skill adoption should also take place in/about 2022.</w:t>
      </w:r>
      <w:r w:rsidR="00356ACC">
        <w:rPr>
          <w:rFonts w:ascii="Arial" w:hAnsi="Arial"/>
          <w:sz w:val="22"/>
          <w:szCs w:val="22"/>
        </w:rPr>
        <w:t xml:space="preserve"> Also, why it appears the training is required for new personnel and the training is required every 3 years, the training is not mandatory. Such training should be mandatory for policy unit management and staff.</w:t>
      </w:r>
    </w:p>
    <w:p w14:paraId="32D211DA" w14:textId="77777777" w:rsidR="00521DD3" w:rsidRPr="00521DD3" w:rsidRDefault="00521DD3" w:rsidP="00521DD3">
      <w:pPr>
        <w:jc w:val="both"/>
        <w:rPr>
          <w:rFonts w:ascii="Arial" w:hAnsi="Arial"/>
          <w:sz w:val="22"/>
          <w:szCs w:val="22"/>
        </w:rPr>
      </w:pPr>
    </w:p>
    <w:p w14:paraId="35E43005" w14:textId="15582B46" w:rsidR="000934F0" w:rsidRDefault="000A7361" w:rsidP="00A859FF">
      <w:pPr>
        <w:pStyle w:val="ListParagraph"/>
        <w:numPr>
          <w:ilvl w:val="0"/>
          <w:numId w:val="56"/>
        </w:numPr>
        <w:ind w:left="360"/>
        <w:jc w:val="both"/>
        <w:rPr>
          <w:rFonts w:ascii="Arial" w:hAnsi="Arial"/>
          <w:sz w:val="22"/>
          <w:szCs w:val="22"/>
        </w:rPr>
      </w:pPr>
      <w:r w:rsidRPr="000A7361">
        <w:rPr>
          <w:rFonts w:ascii="Arial" w:hAnsi="Arial"/>
          <w:i/>
          <w:sz w:val="22"/>
          <w:szCs w:val="22"/>
        </w:rPr>
        <w:t>PAR Communication and Action Plan:</w:t>
      </w:r>
      <w:r>
        <w:rPr>
          <w:rFonts w:ascii="Arial" w:hAnsi="Arial"/>
          <w:sz w:val="22"/>
          <w:szCs w:val="22"/>
        </w:rPr>
        <w:t xml:space="preserve"> The plan was finalized in October 2020. However, it has not been approved. Approval is expected at the next PAR Council meeting. </w:t>
      </w:r>
      <w:r w:rsidR="002F4182">
        <w:rPr>
          <w:rFonts w:ascii="Arial" w:hAnsi="Arial"/>
          <w:sz w:val="22"/>
          <w:szCs w:val="22"/>
        </w:rPr>
        <w:t xml:space="preserve">Implementation should immediately follow approval and could focus on the PAR Roadmap that is currently being prepared. </w:t>
      </w:r>
    </w:p>
    <w:p w14:paraId="15E7EDBB" w14:textId="77777777" w:rsidR="000934F0" w:rsidRPr="000934F0" w:rsidRDefault="000934F0" w:rsidP="000934F0">
      <w:pPr>
        <w:jc w:val="both"/>
        <w:rPr>
          <w:rFonts w:ascii="Arial" w:hAnsi="Arial"/>
          <w:sz w:val="22"/>
          <w:szCs w:val="22"/>
        </w:rPr>
      </w:pPr>
    </w:p>
    <w:p w14:paraId="12925880" w14:textId="77777777" w:rsidR="000934F0" w:rsidRPr="000934F0" w:rsidRDefault="000934F0" w:rsidP="000934F0">
      <w:pPr>
        <w:jc w:val="both"/>
        <w:rPr>
          <w:rFonts w:ascii="Arial" w:hAnsi="Arial"/>
          <w:sz w:val="22"/>
          <w:szCs w:val="22"/>
        </w:rPr>
      </w:pPr>
      <w:r w:rsidRPr="000934F0">
        <w:rPr>
          <w:rFonts w:ascii="Arial" w:hAnsi="Arial"/>
          <w:b/>
          <w:i/>
          <w:sz w:val="22"/>
          <w:szCs w:val="22"/>
          <w:u w:val="single"/>
        </w:rPr>
        <w:t>Civil Service Reform and Human Resource Management</w:t>
      </w:r>
    </w:p>
    <w:p w14:paraId="0452F2FE" w14:textId="77777777" w:rsidR="000934F0" w:rsidRPr="000934F0" w:rsidRDefault="000934F0" w:rsidP="000934F0">
      <w:pPr>
        <w:jc w:val="both"/>
        <w:rPr>
          <w:rFonts w:ascii="Arial" w:hAnsi="Arial"/>
          <w:sz w:val="22"/>
          <w:szCs w:val="22"/>
        </w:rPr>
      </w:pPr>
    </w:p>
    <w:p w14:paraId="08608F84" w14:textId="14411871" w:rsidR="000934F0" w:rsidRDefault="000934F0" w:rsidP="00A859FF">
      <w:pPr>
        <w:pStyle w:val="ListParagraph"/>
        <w:numPr>
          <w:ilvl w:val="0"/>
          <w:numId w:val="56"/>
        </w:numPr>
        <w:ind w:left="360"/>
        <w:jc w:val="both"/>
        <w:rPr>
          <w:rFonts w:ascii="Arial" w:hAnsi="Arial"/>
          <w:sz w:val="22"/>
          <w:szCs w:val="22"/>
        </w:rPr>
      </w:pPr>
      <w:r w:rsidRPr="002F4182">
        <w:rPr>
          <w:rFonts w:ascii="Arial" w:hAnsi="Arial"/>
          <w:i/>
          <w:sz w:val="22"/>
          <w:szCs w:val="22"/>
        </w:rPr>
        <w:t>Linkage of Performance Appraisals and Professional Development Plans:</w:t>
      </w:r>
      <w:r w:rsidRPr="000934F0">
        <w:rPr>
          <w:rFonts w:ascii="Arial" w:hAnsi="Arial"/>
          <w:sz w:val="22"/>
          <w:szCs w:val="22"/>
        </w:rPr>
        <w:t xml:space="preserve"> </w:t>
      </w:r>
      <w:r>
        <w:rPr>
          <w:rFonts w:ascii="Arial" w:hAnsi="Arial"/>
          <w:sz w:val="22"/>
          <w:szCs w:val="22"/>
        </w:rPr>
        <w:t xml:space="preserve">Work continues regarding performance appraisals and professional development plan preparation in pilot ministries. Given that the activity is being applied at project end, it will be difficult to determine the sustainability and the ability to bring the approach government-wide. </w:t>
      </w:r>
      <w:r w:rsidR="00C250C5">
        <w:rPr>
          <w:rFonts w:ascii="Arial" w:hAnsi="Arial"/>
          <w:sz w:val="22"/>
          <w:szCs w:val="22"/>
        </w:rPr>
        <w:t>Results of the</w:t>
      </w:r>
      <w:r w:rsidR="009B23BD">
        <w:rPr>
          <w:rFonts w:ascii="Arial" w:hAnsi="Arial"/>
          <w:sz w:val="22"/>
          <w:szCs w:val="22"/>
        </w:rPr>
        <w:t xml:space="preserve"> pilot phase should be </w:t>
      </w:r>
      <w:r w:rsidR="001A127C">
        <w:rPr>
          <w:rFonts w:ascii="Arial" w:hAnsi="Arial"/>
          <w:sz w:val="22"/>
          <w:szCs w:val="22"/>
        </w:rPr>
        <w:t xml:space="preserve">analyzed </w:t>
      </w:r>
      <w:r w:rsidR="002F4182">
        <w:rPr>
          <w:rFonts w:ascii="Arial" w:hAnsi="Arial"/>
          <w:sz w:val="22"/>
          <w:szCs w:val="22"/>
        </w:rPr>
        <w:t>to see</w:t>
      </w:r>
      <w:r w:rsidR="00C250C5">
        <w:rPr>
          <w:rFonts w:ascii="Arial" w:hAnsi="Arial"/>
          <w:sz w:val="22"/>
          <w:szCs w:val="22"/>
        </w:rPr>
        <w:t xml:space="preserve"> </w:t>
      </w:r>
      <w:r w:rsidR="001A127C">
        <w:rPr>
          <w:rFonts w:ascii="Arial" w:hAnsi="Arial"/>
          <w:sz w:val="22"/>
          <w:szCs w:val="22"/>
        </w:rPr>
        <w:t xml:space="preserve">how the experience of linking various stages of performance management </w:t>
      </w:r>
      <w:r w:rsidR="00356ACC">
        <w:rPr>
          <w:rFonts w:ascii="Arial" w:hAnsi="Arial"/>
          <w:sz w:val="22"/>
          <w:szCs w:val="22"/>
        </w:rPr>
        <w:t>could</w:t>
      </w:r>
      <w:r w:rsidR="001A127C">
        <w:rPr>
          <w:rFonts w:ascii="Arial" w:hAnsi="Arial"/>
          <w:sz w:val="22"/>
          <w:szCs w:val="22"/>
        </w:rPr>
        <w:t xml:space="preserve"> be replicated in other ministries.</w:t>
      </w:r>
      <w:r w:rsidR="00C250C5">
        <w:rPr>
          <w:rFonts w:ascii="Arial" w:hAnsi="Arial"/>
          <w:sz w:val="22"/>
          <w:szCs w:val="22"/>
        </w:rPr>
        <w:t xml:space="preserve"> </w:t>
      </w:r>
      <w:r>
        <w:rPr>
          <w:rFonts w:ascii="Arial" w:hAnsi="Arial"/>
          <w:sz w:val="22"/>
          <w:szCs w:val="22"/>
        </w:rPr>
        <w:t>Follow-up is needed in the future project phase or in another manner if follow-up is not provided in the future project phase.</w:t>
      </w:r>
      <w:r w:rsidR="002F4182">
        <w:rPr>
          <w:rFonts w:ascii="Arial" w:hAnsi="Arial"/>
          <w:sz w:val="22"/>
          <w:szCs w:val="22"/>
        </w:rPr>
        <w:t xml:space="preserve"> The linking of the two is essential to allow for true human resource development.</w:t>
      </w:r>
    </w:p>
    <w:p w14:paraId="61BE3DA7" w14:textId="77777777" w:rsidR="00B67E58" w:rsidRPr="00B67E58" w:rsidRDefault="00B67E58" w:rsidP="00B67E58">
      <w:pPr>
        <w:jc w:val="both"/>
        <w:rPr>
          <w:rFonts w:ascii="Arial" w:hAnsi="Arial"/>
          <w:sz w:val="22"/>
          <w:szCs w:val="22"/>
        </w:rPr>
      </w:pPr>
    </w:p>
    <w:p w14:paraId="1D323ABF" w14:textId="781FC70B" w:rsidR="00B67E58" w:rsidRPr="0040798F" w:rsidRDefault="009B23BD" w:rsidP="00A859FF">
      <w:pPr>
        <w:pStyle w:val="ListParagraph"/>
        <w:numPr>
          <w:ilvl w:val="0"/>
          <w:numId w:val="56"/>
        </w:numPr>
        <w:ind w:left="360"/>
        <w:jc w:val="both"/>
        <w:rPr>
          <w:rFonts w:ascii="Arial" w:hAnsi="Arial"/>
          <w:sz w:val="22"/>
          <w:szCs w:val="22"/>
        </w:rPr>
      </w:pPr>
      <w:r w:rsidRPr="0040798F">
        <w:rPr>
          <w:rFonts w:ascii="Arial" w:hAnsi="Arial"/>
          <w:i/>
          <w:sz w:val="22"/>
          <w:szCs w:val="22"/>
        </w:rPr>
        <w:t>E</w:t>
      </w:r>
      <w:r>
        <w:rPr>
          <w:rFonts w:ascii="Arial" w:hAnsi="Arial"/>
          <w:i/>
          <w:sz w:val="22"/>
          <w:szCs w:val="22"/>
        </w:rPr>
        <w:t>-HRMS</w:t>
      </w:r>
      <w:r w:rsidR="00B67E58" w:rsidRPr="0040798F">
        <w:rPr>
          <w:rFonts w:ascii="Arial" w:hAnsi="Arial"/>
          <w:i/>
          <w:sz w:val="22"/>
          <w:szCs w:val="22"/>
        </w:rPr>
        <w:t xml:space="preserve"> Support:</w:t>
      </w:r>
      <w:r w:rsidR="00B67E58">
        <w:rPr>
          <w:rFonts w:ascii="Arial" w:hAnsi="Arial"/>
          <w:sz w:val="22"/>
          <w:szCs w:val="22"/>
        </w:rPr>
        <w:t xml:space="preserve"> The project supported adding 4 modules to the e-HRMS: performance appraisal, professional development, self-service modules for civil servants, and smart analytical module. In line with the previous recommendation, the use of the e-HRMS modules should be monitored to ensure they are being used as designed and contributing to at least better store data and report on performance appraisal and professional development information. And, to make sure the linkage between the two components is achieved. </w:t>
      </w:r>
      <w:r w:rsidR="0040798F">
        <w:rPr>
          <w:rFonts w:ascii="Arial" w:hAnsi="Arial"/>
          <w:sz w:val="22"/>
          <w:szCs w:val="22"/>
        </w:rPr>
        <w:t>There should be at least a on</w:t>
      </w:r>
      <w:r>
        <w:rPr>
          <w:rFonts w:ascii="Arial" w:hAnsi="Arial"/>
          <w:sz w:val="22"/>
          <w:szCs w:val="22"/>
        </w:rPr>
        <w:t>e-year time period to monitor</w:t>
      </w:r>
      <w:r w:rsidR="0040798F">
        <w:rPr>
          <w:rFonts w:ascii="Arial" w:hAnsi="Arial"/>
          <w:sz w:val="22"/>
          <w:szCs w:val="22"/>
        </w:rPr>
        <w:t xml:space="preserve"> its implementation and provide any technical support. An exit strategy should also be developed so that the </w:t>
      </w:r>
      <w:proofErr w:type="spellStart"/>
      <w:r w:rsidR="0040798F">
        <w:rPr>
          <w:rFonts w:ascii="Arial" w:hAnsi="Arial"/>
          <w:sz w:val="22"/>
          <w:szCs w:val="22"/>
        </w:rPr>
        <w:t>GoG</w:t>
      </w:r>
      <w:proofErr w:type="spellEnd"/>
      <w:r w:rsidR="0040798F">
        <w:rPr>
          <w:rFonts w:ascii="Arial" w:hAnsi="Arial"/>
          <w:sz w:val="22"/>
          <w:szCs w:val="22"/>
        </w:rPr>
        <w:t xml:space="preserve"> can manage and upgrade the system as needed.</w:t>
      </w:r>
    </w:p>
    <w:p w14:paraId="33293D1F" w14:textId="77777777" w:rsidR="00C250C5" w:rsidRPr="00C250C5" w:rsidRDefault="00C250C5" w:rsidP="00C250C5">
      <w:pPr>
        <w:jc w:val="both"/>
        <w:rPr>
          <w:rFonts w:ascii="Arial" w:hAnsi="Arial"/>
          <w:sz w:val="22"/>
          <w:szCs w:val="22"/>
        </w:rPr>
      </w:pPr>
    </w:p>
    <w:p w14:paraId="0F20C21F" w14:textId="76D237E2" w:rsidR="000934F0" w:rsidRDefault="00C250C5" w:rsidP="00A859FF">
      <w:pPr>
        <w:pStyle w:val="ListParagraph"/>
        <w:numPr>
          <w:ilvl w:val="0"/>
          <w:numId w:val="56"/>
        </w:numPr>
        <w:ind w:left="360"/>
        <w:jc w:val="both"/>
        <w:rPr>
          <w:rFonts w:ascii="Arial" w:hAnsi="Arial"/>
          <w:sz w:val="22"/>
          <w:szCs w:val="22"/>
        </w:rPr>
      </w:pPr>
      <w:r w:rsidRPr="0040798F">
        <w:rPr>
          <w:rFonts w:ascii="Arial" w:hAnsi="Arial"/>
          <w:i/>
          <w:sz w:val="22"/>
          <w:szCs w:val="22"/>
        </w:rPr>
        <w:t>Unified e-Learning Platform:</w:t>
      </w:r>
      <w:r>
        <w:rPr>
          <w:rFonts w:ascii="Arial" w:hAnsi="Arial"/>
          <w:sz w:val="22"/>
          <w:szCs w:val="22"/>
        </w:rPr>
        <w:t xml:space="preserve"> The e-platform concept was due to be completed in February. The platform is scheduled for piloting by April 2021. Support will be needed to complete the platform and pilot its use. There should be at least a on</w:t>
      </w:r>
      <w:r w:rsidR="009B23BD">
        <w:rPr>
          <w:rFonts w:ascii="Arial" w:hAnsi="Arial"/>
          <w:sz w:val="22"/>
          <w:szCs w:val="22"/>
        </w:rPr>
        <w:t>e-year time period to monitor</w:t>
      </w:r>
      <w:r>
        <w:rPr>
          <w:rFonts w:ascii="Arial" w:hAnsi="Arial"/>
          <w:sz w:val="22"/>
          <w:szCs w:val="22"/>
        </w:rPr>
        <w:t xml:space="preserve"> its implementation and provide any technical support. An exit strategy should also be developed so that the </w:t>
      </w:r>
      <w:proofErr w:type="spellStart"/>
      <w:r>
        <w:rPr>
          <w:rFonts w:ascii="Arial" w:hAnsi="Arial"/>
          <w:sz w:val="22"/>
          <w:szCs w:val="22"/>
        </w:rPr>
        <w:t>GoG</w:t>
      </w:r>
      <w:proofErr w:type="spellEnd"/>
      <w:r>
        <w:rPr>
          <w:rFonts w:ascii="Arial" w:hAnsi="Arial"/>
          <w:sz w:val="22"/>
          <w:szCs w:val="22"/>
        </w:rPr>
        <w:t xml:space="preserve"> can manage and upgrade the system as needed.</w:t>
      </w:r>
    </w:p>
    <w:p w14:paraId="4B62862B" w14:textId="77777777" w:rsidR="00C250C5" w:rsidRPr="00C250C5" w:rsidRDefault="00C250C5" w:rsidP="00C250C5">
      <w:pPr>
        <w:jc w:val="both"/>
        <w:rPr>
          <w:rFonts w:ascii="Arial" w:hAnsi="Arial"/>
          <w:sz w:val="22"/>
          <w:szCs w:val="22"/>
        </w:rPr>
      </w:pPr>
    </w:p>
    <w:p w14:paraId="3405D033" w14:textId="24D35069" w:rsidR="00B67E58" w:rsidRDefault="00C250C5" w:rsidP="00A859FF">
      <w:pPr>
        <w:pStyle w:val="ListParagraph"/>
        <w:numPr>
          <w:ilvl w:val="0"/>
          <w:numId w:val="56"/>
        </w:numPr>
        <w:ind w:left="360"/>
        <w:jc w:val="both"/>
        <w:rPr>
          <w:rFonts w:ascii="Arial" w:hAnsi="Arial"/>
          <w:sz w:val="22"/>
          <w:szCs w:val="22"/>
        </w:rPr>
      </w:pPr>
      <w:r w:rsidRPr="0040798F">
        <w:rPr>
          <w:rFonts w:ascii="Arial" w:hAnsi="Arial"/>
          <w:i/>
          <w:sz w:val="22"/>
          <w:szCs w:val="22"/>
        </w:rPr>
        <w:t>Civil Servants’ Forum Meeting Support:</w:t>
      </w:r>
      <w:r>
        <w:rPr>
          <w:rFonts w:ascii="Arial" w:hAnsi="Arial"/>
          <w:sz w:val="22"/>
          <w:szCs w:val="22"/>
        </w:rPr>
        <w:t xml:space="preserve"> The Civil Servant</w:t>
      </w:r>
      <w:r w:rsidR="0040798F">
        <w:rPr>
          <w:rFonts w:ascii="Arial" w:hAnsi="Arial"/>
          <w:sz w:val="22"/>
          <w:szCs w:val="22"/>
        </w:rPr>
        <w:t>s’</w:t>
      </w:r>
      <w:r>
        <w:rPr>
          <w:rFonts w:ascii="Arial" w:hAnsi="Arial"/>
          <w:sz w:val="22"/>
          <w:szCs w:val="22"/>
        </w:rPr>
        <w:t xml:space="preserve"> Forum </w:t>
      </w:r>
      <w:r w:rsidR="0040798F">
        <w:rPr>
          <w:rFonts w:ascii="Arial" w:hAnsi="Arial"/>
          <w:sz w:val="22"/>
          <w:szCs w:val="22"/>
        </w:rPr>
        <w:t xml:space="preserve">and Human Resource Managers’ Forum </w:t>
      </w:r>
      <w:r>
        <w:rPr>
          <w:rFonts w:ascii="Arial" w:hAnsi="Arial"/>
          <w:sz w:val="22"/>
          <w:szCs w:val="22"/>
        </w:rPr>
        <w:t>meetings have proven effective as a way to advance civil service reform in a participatory manner. The project reports that most attendees are female. Improved registration information will help to get more detailed participant information, including gender. CSB is the main stakeholder in the foru</w:t>
      </w:r>
      <w:r w:rsidR="0061464F">
        <w:rPr>
          <w:rFonts w:ascii="Arial" w:hAnsi="Arial"/>
          <w:sz w:val="22"/>
          <w:szCs w:val="22"/>
        </w:rPr>
        <w:t>ms and have expressed interest to continue</w:t>
      </w:r>
      <w:r>
        <w:rPr>
          <w:rFonts w:ascii="Arial" w:hAnsi="Arial"/>
          <w:sz w:val="22"/>
          <w:szCs w:val="22"/>
        </w:rPr>
        <w:t xml:space="preserve"> </w:t>
      </w:r>
      <w:r w:rsidR="0040798F">
        <w:rPr>
          <w:rFonts w:ascii="Arial" w:hAnsi="Arial"/>
          <w:sz w:val="22"/>
          <w:szCs w:val="22"/>
        </w:rPr>
        <w:t>the meetings. Further meetings are</w:t>
      </w:r>
      <w:r>
        <w:rPr>
          <w:rFonts w:ascii="Arial" w:hAnsi="Arial"/>
          <w:sz w:val="22"/>
          <w:szCs w:val="22"/>
        </w:rPr>
        <w:t xml:space="preserve"> expected during the project’s next phase. There should be a transition </w:t>
      </w:r>
      <w:r w:rsidR="00B67E58">
        <w:rPr>
          <w:rFonts w:ascii="Arial" w:hAnsi="Arial"/>
          <w:sz w:val="22"/>
          <w:szCs w:val="22"/>
        </w:rPr>
        <w:t xml:space="preserve">period and agreement at the start of the next project phase </w:t>
      </w:r>
      <w:r>
        <w:rPr>
          <w:rFonts w:ascii="Arial" w:hAnsi="Arial"/>
          <w:sz w:val="22"/>
          <w:szCs w:val="22"/>
        </w:rPr>
        <w:t>so that</w:t>
      </w:r>
      <w:r w:rsidR="00B67E58">
        <w:rPr>
          <w:rFonts w:ascii="Arial" w:hAnsi="Arial"/>
          <w:sz w:val="22"/>
          <w:szCs w:val="22"/>
        </w:rPr>
        <w:t xml:space="preserve"> the CSB steadily takes on more responsibility and tasks so that project support is phased out within an agreed timeframe. </w:t>
      </w:r>
    </w:p>
    <w:p w14:paraId="4E94E700" w14:textId="77777777" w:rsidR="00B67E58" w:rsidRPr="00B67E58" w:rsidRDefault="00B67E58" w:rsidP="00B67E58">
      <w:pPr>
        <w:jc w:val="both"/>
        <w:rPr>
          <w:rFonts w:ascii="Arial" w:hAnsi="Arial"/>
          <w:sz w:val="22"/>
          <w:szCs w:val="22"/>
        </w:rPr>
      </w:pPr>
    </w:p>
    <w:p w14:paraId="0E0405E3" w14:textId="4A6B173C" w:rsidR="00C250C5" w:rsidRDefault="00B67E58" w:rsidP="00A859FF">
      <w:pPr>
        <w:pStyle w:val="ListParagraph"/>
        <w:numPr>
          <w:ilvl w:val="0"/>
          <w:numId w:val="56"/>
        </w:numPr>
        <w:ind w:left="360"/>
        <w:jc w:val="both"/>
        <w:rPr>
          <w:rFonts w:ascii="Arial" w:hAnsi="Arial"/>
          <w:sz w:val="22"/>
          <w:szCs w:val="22"/>
        </w:rPr>
      </w:pPr>
      <w:r w:rsidRPr="0040798F">
        <w:rPr>
          <w:rFonts w:ascii="Arial" w:hAnsi="Arial"/>
          <w:i/>
          <w:sz w:val="22"/>
          <w:szCs w:val="22"/>
        </w:rPr>
        <w:lastRenderedPageBreak/>
        <w:t>Advancing Dispute Resolution:</w:t>
      </w:r>
      <w:r w:rsidRPr="0040798F">
        <w:rPr>
          <w:rFonts w:ascii="Arial" w:hAnsi="Arial"/>
          <w:sz w:val="22"/>
          <w:szCs w:val="22"/>
        </w:rPr>
        <w:t xml:space="preserve"> </w:t>
      </w:r>
      <w:r w:rsidR="00EB4F1E" w:rsidRPr="0040798F">
        <w:rPr>
          <w:rFonts w:ascii="Arial" w:hAnsi="Arial"/>
          <w:sz w:val="22"/>
          <w:szCs w:val="22"/>
        </w:rPr>
        <w:t xml:space="preserve">Advances on dispute resolution have </w:t>
      </w:r>
      <w:r w:rsidR="0040798F">
        <w:rPr>
          <w:rFonts w:ascii="Arial" w:hAnsi="Arial"/>
          <w:sz w:val="22"/>
          <w:szCs w:val="22"/>
        </w:rPr>
        <w:t>been made with the investment in</w:t>
      </w:r>
      <w:r w:rsidR="00EB4F1E" w:rsidRPr="0040798F">
        <w:rPr>
          <w:rFonts w:ascii="Arial" w:hAnsi="Arial"/>
          <w:sz w:val="22"/>
          <w:szCs w:val="22"/>
        </w:rPr>
        <w:t xml:space="preserve"> a multi-year effort. The project is currently implementing a plan consisting of formulating detailed guidelines on mediation</w:t>
      </w:r>
      <w:r w:rsidR="0078417C">
        <w:rPr>
          <w:rFonts w:ascii="Arial" w:hAnsi="Arial"/>
          <w:sz w:val="22"/>
          <w:szCs w:val="22"/>
        </w:rPr>
        <w:t>, cooperation with the Association of Mediators of Georgia</w:t>
      </w:r>
      <w:r w:rsidR="00EB4F1E" w:rsidRPr="0040798F">
        <w:rPr>
          <w:rFonts w:ascii="Arial" w:hAnsi="Arial"/>
          <w:sz w:val="22"/>
          <w:szCs w:val="22"/>
        </w:rPr>
        <w:t xml:space="preserve"> and</w:t>
      </w:r>
      <w:r w:rsidR="0040798F">
        <w:rPr>
          <w:rFonts w:ascii="Arial" w:hAnsi="Arial"/>
          <w:sz w:val="22"/>
          <w:szCs w:val="22"/>
        </w:rPr>
        <w:t xml:space="preserve"> </w:t>
      </w:r>
      <w:r w:rsidR="0078417C">
        <w:rPr>
          <w:rFonts w:ascii="Arial" w:hAnsi="Arial"/>
          <w:sz w:val="22"/>
          <w:szCs w:val="22"/>
        </w:rPr>
        <w:t>building capacities of</w:t>
      </w:r>
      <w:r w:rsidR="00356ACC">
        <w:rPr>
          <w:rFonts w:ascii="Arial" w:hAnsi="Arial"/>
          <w:sz w:val="22"/>
          <w:szCs w:val="22"/>
        </w:rPr>
        <w:t xml:space="preserve"> human resource units</w:t>
      </w:r>
      <w:r w:rsidR="0078417C">
        <w:rPr>
          <w:rFonts w:ascii="Arial" w:hAnsi="Arial"/>
          <w:sz w:val="22"/>
          <w:szCs w:val="22"/>
        </w:rPr>
        <w:t xml:space="preserve"> in </w:t>
      </w:r>
      <w:r w:rsidR="0040798F">
        <w:rPr>
          <w:rFonts w:ascii="Arial" w:hAnsi="Arial"/>
          <w:sz w:val="22"/>
          <w:szCs w:val="22"/>
        </w:rPr>
        <w:t>conflict management techniques. A</w:t>
      </w:r>
      <w:r w:rsidR="00EB4F1E" w:rsidRPr="0040798F">
        <w:rPr>
          <w:rFonts w:ascii="Arial" w:hAnsi="Arial"/>
          <w:sz w:val="22"/>
          <w:szCs w:val="22"/>
        </w:rPr>
        <w:t xml:space="preserve"> group of human resource personnel and other </w:t>
      </w:r>
      <w:r w:rsidR="0061464F">
        <w:rPr>
          <w:rFonts w:ascii="Arial" w:hAnsi="Arial"/>
          <w:sz w:val="22"/>
          <w:szCs w:val="22"/>
        </w:rPr>
        <w:t>civil servants will</w:t>
      </w:r>
      <w:r w:rsidR="0040798F">
        <w:rPr>
          <w:rFonts w:ascii="Arial" w:hAnsi="Arial"/>
          <w:sz w:val="22"/>
          <w:szCs w:val="22"/>
        </w:rPr>
        <w:t xml:space="preserve"> be trained on the guidelines.</w:t>
      </w:r>
      <w:r w:rsidR="00EB4F1E" w:rsidRPr="0040798F">
        <w:rPr>
          <w:rFonts w:ascii="Arial" w:hAnsi="Arial"/>
          <w:sz w:val="22"/>
          <w:szCs w:val="22"/>
        </w:rPr>
        <w:t xml:space="preserve"> A</w:t>
      </w:r>
      <w:r w:rsidR="00356ACC">
        <w:rPr>
          <w:rFonts w:ascii="Arial" w:hAnsi="Arial"/>
          <w:sz w:val="22"/>
          <w:szCs w:val="22"/>
        </w:rPr>
        <w:t xml:space="preserve"> MoU</w:t>
      </w:r>
      <w:r w:rsidR="00EB4F1E" w:rsidRPr="0040798F">
        <w:rPr>
          <w:rFonts w:ascii="Arial" w:hAnsi="Arial"/>
          <w:sz w:val="22"/>
          <w:szCs w:val="22"/>
        </w:rPr>
        <w:t xml:space="preserve"> with the Mediation Associa</w:t>
      </w:r>
      <w:r w:rsidR="0040798F">
        <w:rPr>
          <w:rFonts w:ascii="Arial" w:hAnsi="Arial"/>
          <w:sz w:val="22"/>
          <w:szCs w:val="22"/>
        </w:rPr>
        <w:t xml:space="preserve">tion of Georgia will be </w:t>
      </w:r>
      <w:r w:rsidR="00EB4F1E" w:rsidRPr="0040798F">
        <w:rPr>
          <w:rFonts w:ascii="Arial" w:hAnsi="Arial"/>
          <w:sz w:val="22"/>
          <w:szCs w:val="22"/>
        </w:rPr>
        <w:t>signed to allow civil servants to engage in external mediation if necessary.</w:t>
      </w:r>
      <w:r w:rsidR="00EB4F1E">
        <w:rPr>
          <w:rFonts w:ascii="Arial" w:hAnsi="Arial"/>
          <w:sz w:val="22"/>
          <w:szCs w:val="22"/>
        </w:rPr>
        <w:t xml:space="preserve"> Since these activities are underway, further attention will be needed during the next project phase. If successful and accepted, formalizing the approach and methodology will be necessary. </w:t>
      </w:r>
      <w:r>
        <w:rPr>
          <w:rFonts w:ascii="Arial" w:hAnsi="Arial"/>
          <w:sz w:val="22"/>
          <w:szCs w:val="22"/>
        </w:rPr>
        <w:t xml:space="preserve"> </w:t>
      </w:r>
    </w:p>
    <w:p w14:paraId="24D290AE" w14:textId="77777777" w:rsidR="00EB4F1E" w:rsidRPr="000934F0" w:rsidRDefault="00EB4F1E" w:rsidP="00EB4F1E">
      <w:pPr>
        <w:jc w:val="both"/>
        <w:rPr>
          <w:rFonts w:ascii="Arial" w:hAnsi="Arial"/>
          <w:sz w:val="22"/>
          <w:szCs w:val="22"/>
        </w:rPr>
      </w:pPr>
    </w:p>
    <w:p w14:paraId="3D051E54" w14:textId="5775CF30" w:rsidR="00EB4F1E" w:rsidRPr="000934F0" w:rsidRDefault="00EB4F1E" w:rsidP="00EB4F1E">
      <w:pPr>
        <w:jc w:val="both"/>
        <w:rPr>
          <w:rFonts w:ascii="Arial" w:hAnsi="Arial"/>
          <w:sz w:val="22"/>
          <w:szCs w:val="22"/>
        </w:rPr>
      </w:pPr>
      <w:r>
        <w:rPr>
          <w:rFonts w:ascii="Arial" w:hAnsi="Arial"/>
          <w:b/>
          <w:i/>
          <w:sz w:val="22"/>
          <w:szCs w:val="22"/>
          <w:u w:val="single"/>
        </w:rPr>
        <w:t>Public Service Delivery</w:t>
      </w:r>
    </w:p>
    <w:p w14:paraId="0869626C" w14:textId="77777777" w:rsidR="00EB4F1E" w:rsidRPr="000934F0" w:rsidRDefault="00EB4F1E" w:rsidP="00EB4F1E">
      <w:pPr>
        <w:jc w:val="both"/>
        <w:rPr>
          <w:rFonts w:ascii="Arial" w:hAnsi="Arial"/>
          <w:sz w:val="22"/>
          <w:szCs w:val="22"/>
        </w:rPr>
      </w:pPr>
    </w:p>
    <w:p w14:paraId="776DB904" w14:textId="55569CAC" w:rsidR="0009133B" w:rsidRDefault="00225B0D" w:rsidP="00A859FF">
      <w:pPr>
        <w:pStyle w:val="ListParagraph"/>
        <w:numPr>
          <w:ilvl w:val="0"/>
          <w:numId w:val="56"/>
        </w:numPr>
        <w:ind w:left="360"/>
        <w:jc w:val="both"/>
        <w:rPr>
          <w:rFonts w:ascii="Arial" w:hAnsi="Arial"/>
          <w:sz w:val="22"/>
          <w:szCs w:val="22"/>
        </w:rPr>
      </w:pPr>
      <w:r>
        <w:rPr>
          <w:rFonts w:ascii="Arial" w:hAnsi="Arial"/>
          <w:i/>
          <w:sz w:val="22"/>
          <w:szCs w:val="22"/>
        </w:rPr>
        <w:t>UPSDD</w:t>
      </w:r>
      <w:r w:rsidR="0009133B" w:rsidRPr="0040798F">
        <w:rPr>
          <w:rFonts w:ascii="Arial" w:hAnsi="Arial"/>
          <w:i/>
          <w:sz w:val="22"/>
          <w:szCs w:val="22"/>
        </w:rPr>
        <w:t xml:space="preserve"> Full Implementation</w:t>
      </w:r>
      <w:r>
        <w:rPr>
          <w:rFonts w:ascii="Arial" w:hAnsi="Arial"/>
          <w:i/>
          <w:sz w:val="22"/>
          <w:szCs w:val="22"/>
        </w:rPr>
        <w:t xml:space="preserve"> Government-Wide</w:t>
      </w:r>
      <w:r w:rsidR="00EB4F1E" w:rsidRPr="0040798F">
        <w:rPr>
          <w:rFonts w:ascii="Arial" w:hAnsi="Arial"/>
          <w:i/>
          <w:sz w:val="22"/>
          <w:szCs w:val="22"/>
        </w:rPr>
        <w:t>:</w:t>
      </w:r>
      <w:r w:rsidR="0009133B">
        <w:rPr>
          <w:rFonts w:ascii="Arial" w:hAnsi="Arial"/>
          <w:sz w:val="22"/>
          <w:szCs w:val="22"/>
        </w:rPr>
        <w:t xml:space="preserve"> The UPSDD is designed and implemented in two pilot entities that provide service</w:t>
      </w:r>
      <w:r w:rsidR="006612A3">
        <w:rPr>
          <w:rFonts w:ascii="Arial" w:hAnsi="Arial"/>
          <w:sz w:val="22"/>
          <w:szCs w:val="22"/>
        </w:rPr>
        <w:t>s Georgia-wide. The pilots are reportedly</w:t>
      </w:r>
      <w:r w:rsidR="0009133B">
        <w:rPr>
          <w:rFonts w:ascii="Arial" w:hAnsi="Arial"/>
          <w:sz w:val="22"/>
          <w:szCs w:val="22"/>
        </w:rPr>
        <w:t xml:space="preserve"> success</w:t>
      </w:r>
      <w:r w:rsidR="006612A3">
        <w:rPr>
          <w:rFonts w:ascii="Arial" w:hAnsi="Arial"/>
          <w:sz w:val="22"/>
          <w:szCs w:val="22"/>
        </w:rPr>
        <w:t>ful. However, the standards are not yet</w:t>
      </w:r>
      <w:r w:rsidR="0009133B">
        <w:rPr>
          <w:rFonts w:ascii="Arial" w:hAnsi="Arial"/>
          <w:sz w:val="22"/>
          <w:szCs w:val="22"/>
        </w:rPr>
        <w:t xml:space="preserve"> approved. It appears that </w:t>
      </w:r>
      <w:r>
        <w:rPr>
          <w:rFonts w:ascii="Arial" w:hAnsi="Arial"/>
          <w:sz w:val="22"/>
          <w:szCs w:val="22"/>
        </w:rPr>
        <w:t>PSDA is prepared to coordinate</w:t>
      </w:r>
      <w:r w:rsidR="0009133B">
        <w:rPr>
          <w:rFonts w:ascii="Arial" w:hAnsi="Arial"/>
          <w:sz w:val="22"/>
          <w:szCs w:val="22"/>
        </w:rPr>
        <w:t xml:space="preserve"> the application of the standards. Future senior level support may be needed to spur formal acceptance of the standards so they can be applied government-wide. The COVID-19 pandemic is a good reason </w:t>
      </w:r>
      <w:r w:rsidR="0040798F">
        <w:rPr>
          <w:rFonts w:ascii="Arial" w:hAnsi="Arial"/>
          <w:sz w:val="22"/>
          <w:szCs w:val="22"/>
        </w:rPr>
        <w:t xml:space="preserve">for the standards </w:t>
      </w:r>
      <w:r w:rsidR="0009133B">
        <w:rPr>
          <w:rFonts w:ascii="Arial" w:hAnsi="Arial"/>
          <w:sz w:val="22"/>
          <w:szCs w:val="22"/>
        </w:rPr>
        <w:t>and provides</w:t>
      </w:r>
      <w:r w:rsidR="0040798F">
        <w:rPr>
          <w:rFonts w:ascii="Arial" w:hAnsi="Arial"/>
          <w:sz w:val="22"/>
          <w:szCs w:val="22"/>
        </w:rPr>
        <w:t xml:space="preserve"> evidence</w:t>
      </w:r>
      <w:r w:rsidR="0061464F">
        <w:rPr>
          <w:rFonts w:ascii="Arial" w:hAnsi="Arial"/>
          <w:sz w:val="22"/>
          <w:szCs w:val="22"/>
        </w:rPr>
        <w:t xml:space="preserve"> for adopting such standards immediately.</w:t>
      </w:r>
    </w:p>
    <w:p w14:paraId="0CBBFBC8" w14:textId="77777777" w:rsidR="0009133B" w:rsidRPr="0009133B" w:rsidRDefault="0009133B" w:rsidP="0009133B">
      <w:pPr>
        <w:jc w:val="both"/>
        <w:rPr>
          <w:rFonts w:ascii="Arial" w:hAnsi="Arial"/>
          <w:sz w:val="22"/>
          <w:szCs w:val="22"/>
        </w:rPr>
      </w:pPr>
    </w:p>
    <w:p w14:paraId="167B8130" w14:textId="5BB8935F" w:rsidR="00627492" w:rsidRPr="006139DE" w:rsidRDefault="0009133B" w:rsidP="00A859FF">
      <w:pPr>
        <w:pStyle w:val="ListParagraph"/>
        <w:numPr>
          <w:ilvl w:val="0"/>
          <w:numId w:val="56"/>
        </w:numPr>
        <w:ind w:left="360"/>
        <w:jc w:val="both"/>
        <w:rPr>
          <w:rFonts w:ascii="Arial" w:hAnsi="Arial"/>
          <w:sz w:val="22"/>
          <w:szCs w:val="22"/>
        </w:rPr>
      </w:pPr>
      <w:r w:rsidRPr="0040798F">
        <w:rPr>
          <w:rFonts w:ascii="Arial" w:hAnsi="Arial"/>
          <w:i/>
          <w:sz w:val="22"/>
          <w:szCs w:val="22"/>
        </w:rPr>
        <w:t>Monitoring of CSO Input into Public Service Provision</w:t>
      </w:r>
      <w:r w:rsidR="006139DE" w:rsidRPr="0040798F">
        <w:rPr>
          <w:rFonts w:ascii="Arial" w:hAnsi="Arial"/>
          <w:i/>
          <w:sz w:val="22"/>
          <w:szCs w:val="22"/>
        </w:rPr>
        <w:t xml:space="preserve"> and Comparative Perception Survey Study</w:t>
      </w:r>
      <w:r w:rsidRPr="0040798F">
        <w:rPr>
          <w:rFonts w:ascii="Arial" w:hAnsi="Arial"/>
          <w:i/>
          <w:sz w:val="22"/>
          <w:szCs w:val="22"/>
        </w:rPr>
        <w:t>:</w:t>
      </w:r>
      <w:r w:rsidR="00CB1D2C">
        <w:rPr>
          <w:rFonts w:ascii="Arial" w:hAnsi="Arial"/>
          <w:sz w:val="22"/>
          <w:szCs w:val="22"/>
        </w:rPr>
        <w:t xml:space="preserve"> Avenues were</w:t>
      </w:r>
      <w:r>
        <w:rPr>
          <w:rFonts w:ascii="Arial" w:hAnsi="Arial"/>
          <w:sz w:val="22"/>
          <w:szCs w:val="22"/>
        </w:rPr>
        <w:t xml:space="preserve"> built and capacities developed through various project interventions to allow for CSO input and feedback. Duri</w:t>
      </w:r>
      <w:r w:rsidR="006139DE">
        <w:rPr>
          <w:rFonts w:ascii="Arial" w:hAnsi="Arial"/>
          <w:sz w:val="22"/>
          <w:szCs w:val="22"/>
        </w:rPr>
        <w:t>n</w:t>
      </w:r>
      <w:r>
        <w:rPr>
          <w:rFonts w:ascii="Arial" w:hAnsi="Arial"/>
          <w:sz w:val="22"/>
          <w:szCs w:val="22"/>
        </w:rPr>
        <w:t xml:space="preserve">g the next phase of the project, such input and feedback should be monitored to measure if CSOs interests are being considered. Also, the </w:t>
      </w:r>
      <w:r w:rsidR="006139DE">
        <w:rPr>
          <w:rFonts w:ascii="Arial" w:hAnsi="Arial"/>
          <w:sz w:val="22"/>
          <w:szCs w:val="22"/>
        </w:rPr>
        <w:t>project</w:t>
      </w:r>
      <w:r w:rsidR="00225B0D">
        <w:rPr>
          <w:rFonts w:ascii="Arial" w:hAnsi="Arial"/>
          <w:sz w:val="22"/>
          <w:szCs w:val="22"/>
        </w:rPr>
        <w:t xml:space="preserve"> has supported three</w:t>
      </w:r>
      <w:r>
        <w:rPr>
          <w:rFonts w:ascii="Arial" w:hAnsi="Arial"/>
          <w:sz w:val="22"/>
          <w:szCs w:val="22"/>
        </w:rPr>
        <w:t xml:space="preserve"> public and civil servant perception surveys. If not done </w:t>
      </w:r>
      <w:r w:rsidR="0040798F">
        <w:rPr>
          <w:rFonts w:ascii="Arial" w:hAnsi="Arial"/>
          <w:sz w:val="22"/>
          <w:szCs w:val="22"/>
        </w:rPr>
        <w:t>in the survey report to be completed</w:t>
      </w:r>
      <w:r>
        <w:rPr>
          <w:rFonts w:ascii="Arial" w:hAnsi="Arial"/>
          <w:sz w:val="22"/>
          <w:szCs w:val="22"/>
        </w:rPr>
        <w:t xml:space="preserve"> in March 2021, there should be a comparative assessment of the surveys’ findings to show how perceptions have changed over the years and </w:t>
      </w:r>
      <w:r w:rsidR="006139DE">
        <w:rPr>
          <w:rFonts w:ascii="Arial" w:hAnsi="Arial"/>
          <w:sz w:val="22"/>
          <w:szCs w:val="22"/>
        </w:rPr>
        <w:t>what areas need further attention in the future. The survey results should be information input</w:t>
      </w:r>
      <w:r w:rsidR="006612A3">
        <w:rPr>
          <w:rFonts w:ascii="Arial" w:hAnsi="Arial"/>
          <w:sz w:val="22"/>
          <w:szCs w:val="22"/>
        </w:rPr>
        <w:t xml:space="preserve">s to the </w:t>
      </w:r>
      <w:proofErr w:type="spellStart"/>
      <w:r w:rsidR="006612A3">
        <w:rPr>
          <w:rFonts w:ascii="Arial" w:hAnsi="Arial"/>
          <w:sz w:val="22"/>
          <w:szCs w:val="22"/>
        </w:rPr>
        <w:t>AoG</w:t>
      </w:r>
      <w:proofErr w:type="spellEnd"/>
      <w:r w:rsidR="006612A3">
        <w:rPr>
          <w:rFonts w:ascii="Arial" w:hAnsi="Arial"/>
          <w:sz w:val="22"/>
          <w:szCs w:val="22"/>
        </w:rPr>
        <w:t>, CSB, PSDA, DGA, PAR development partners</w:t>
      </w:r>
      <w:r w:rsidR="00225B0D">
        <w:rPr>
          <w:rFonts w:ascii="Arial" w:hAnsi="Arial"/>
          <w:sz w:val="22"/>
          <w:szCs w:val="22"/>
        </w:rPr>
        <w:t>,</w:t>
      </w:r>
      <w:r w:rsidR="006612A3">
        <w:rPr>
          <w:rFonts w:ascii="Arial" w:hAnsi="Arial"/>
          <w:sz w:val="22"/>
          <w:szCs w:val="22"/>
        </w:rPr>
        <w:t xml:space="preserve"> and the project team</w:t>
      </w:r>
      <w:r w:rsidR="006139DE">
        <w:rPr>
          <w:rFonts w:ascii="Arial" w:hAnsi="Arial"/>
          <w:sz w:val="22"/>
          <w:szCs w:val="22"/>
        </w:rPr>
        <w:t>.</w:t>
      </w:r>
    </w:p>
    <w:p w14:paraId="0CA2C59E" w14:textId="4359CBBE" w:rsidR="00503E65" w:rsidRDefault="00503E65" w:rsidP="00EB743C">
      <w:pPr>
        <w:pStyle w:val="Heading2"/>
        <w:numPr>
          <w:ilvl w:val="0"/>
          <w:numId w:val="5"/>
        </w:numPr>
      </w:pPr>
      <w:bookmarkStart w:id="30" w:name="_Toc478138881"/>
      <w:r>
        <w:t>Recommendations to Move Forward</w:t>
      </w:r>
      <w:bookmarkEnd w:id="30"/>
    </w:p>
    <w:p w14:paraId="2D64BC91" w14:textId="77777777" w:rsidR="00503E65" w:rsidRDefault="00503E65" w:rsidP="00542C62">
      <w:pPr>
        <w:jc w:val="both"/>
        <w:rPr>
          <w:rFonts w:ascii="Arial" w:hAnsi="Arial"/>
          <w:sz w:val="22"/>
          <w:szCs w:val="22"/>
        </w:rPr>
      </w:pPr>
    </w:p>
    <w:p w14:paraId="66EA0772" w14:textId="0C7DA1C4" w:rsidR="00503E65" w:rsidRDefault="0061464F" w:rsidP="00542C62">
      <w:pPr>
        <w:jc w:val="both"/>
        <w:rPr>
          <w:rFonts w:ascii="Arial" w:hAnsi="Arial"/>
          <w:sz w:val="22"/>
          <w:szCs w:val="22"/>
        </w:rPr>
      </w:pPr>
      <w:r>
        <w:rPr>
          <w:rFonts w:ascii="Arial" w:hAnsi="Arial"/>
          <w:sz w:val="22"/>
          <w:szCs w:val="22"/>
        </w:rPr>
        <w:t>The following is</w:t>
      </w:r>
      <w:r w:rsidR="0040538D">
        <w:rPr>
          <w:rFonts w:ascii="Arial" w:hAnsi="Arial"/>
          <w:sz w:val="22"/>
          <w:szCs w:val="22"/>
        </w:rPr>
        <w:t xml:space="preserve"> a set of recommendations to help move the PAR effort forward. Any project intervention needs</w:t>
      </w:r>
      <w:r w:rsidR="00C66BBC">
        <w:rPr>
          <w:rFonts w:ascii="Arial" w:hAnsi="Arial"/>
          <w:sz w:val="22"/>
          <w:szCs w:val="22"/>
        </w:rPr>
        <w:t xml:space="preserve"> to be fully aligned with the</w:t>
      </w:r>
      <w:r w:rsidR="0040538D">
        <w:rPr>
          <w:rFonts w:ascii="Arial" w:hAnsi="Arial"/>
          <w:sz w:val="22"/>
          <w:szCs w:val="22"/>
        </w:rPr>
        <w:t xml:space="preserve"> PAR </w:t>
      </w:r>
      <w:r w:rsidR="00503E65">
        <w:rPr>
          <w:rFonts w:ascii="Arial" w:hAnsi="Arial"/>
          <w:sz w:val="22"/>
          <w:szCs w:val="22"/>
        </w:rPr>
        <w:t xml:space="preserve">Roadmap </w:t>
      </w:r>
      <w:r w:rsidR="0040538D">
        <w:rPr>
          <w:rFonts w:ascii="Arial" w:hAnsi="Arial"/>
          <w:sz w:val="22"/>
          <w:szCs w:val="22"/>
        </w:rPr>
        <w:t>strategy now under development. Such alignment, with the project staying “within its lanes</w:t>
      </w:r>
      <w:r w:rsidR="00512CE8">
        <w:rPr>
          <w:rFonts w:ascii="Arial" w:hAnsi="Arial"/>
          <w:sz w:val="22"/>
          <w:szCs w:val="22"/>
        </w:rPr>
        <w:t>,</w:t>
      </w:r>
      <w:r w:rsidR="0040538D">
        <w:rPr>
          <w:rFonts w:ascii="Arial" w:hAnsi="Arial"/>
          <w:sz w:val="22"/>
          <w:szCs w:val="22"/>
        </w:rPr>
        <w:t>” helped to make progress in each of the outcome areas. Some of the recommendations are aimed at PAR in general whil</w:t>
      </w:r>
      <w:r w:rsidR="00C66BBC">
        <w:rPr>
          <w:rFonts w:ascii="Arial" w:hAnsi="Arial"/>
          <w:sz w:val="22"/>
          <w:szCs w:val="22"/>
        </w:rPr>
        <w:t xml:space="preserve">e some are more related to a </w:t>
      </w:r>
      <w:r w:rsidR="0040538D">
        <w:rPr>
          <w:rFonts w:ascii="Arial" w:hAnsi="Arial"/>
          <w:sz w:val="22"/>
          <w:szCs w:val="22"/>
        </w:rPr>
        <w:t>PAR project intervention.</w:t>
      </w:r>
    </w:p>
    <w:p w14:paraId="743267CC" w14:textId="77777777" w:rsidR="0069115F" w:rsidRDefault="0069115F" w:rsidP="00DB4538">
      <w:pPr>
        <w:jc w:val="both"/>
        <w:rPr>
          <w:rFonts w:ascii="Arial" w:hAnsi="Arial"/>
          <w:sz w:val="22"/>
          <w:szCs w:val="22"/>
        </w:rPr>
      </w:pPr>
    </w:p>
    <w:p w14:paraId="5557EB9F" w14:textId="42BFF434" w:rsidR="00F80555" w:rsidRDefault="0069115F" w:rsidP="00512CE8">
      <w:pPr>
        <w:pStyle w:val="ListParagraph"/>
        <w:numPr>
          <w:ilvl w:val="0"/>
          <w:numId w:val="57"/>
        </w:numPr>
        <w:ind w:left="360"/>
        <w:jc w:val="both"/>
        <w:rPr>
          <w:rFonts w:ascii="Arial" w:hAnsi="Arial"/>
          <w:sz w:val="22"/>
          <w:szCs w:val="22"/>
        </w:rPr>
      </w:pPr>
      <w:r w:rsidRPr="00F80555">
        <w:rPr>
          <w:rFonts w:ascii="Arial" w:hAnsi="Arial"/>
          <w:i/>
          <w:sz w:val="22"/>
          <w:szCs w:val="22"/>
        </w:rPr>
        <w:t xml:space="preserve">Leadership </w:t>
      </w:r>
      <w:r w:rsidR="0040538D" w:rsidRPr="00F80555">
        <w:rPr>
          <w:rFonts w:ascii="Arial" w:hAnsi="Arial"/>
          <w:i/>
          <w:sz w:val="22"/>
          <w:szCs w:val="22"/>
        </w:rPr>
        <w:t xml:space="preserve">and Ownership of the </w:t>
      </w:r>
      <w:r w:rsidRPr="00F80555">
        <w:rPr>
          <w:rFonts w:ascii="Arial" w:hAnsi="Arial"/>
          <w:i/>
          <w:sz w:val="22"/>
          <w:szCs w:val="22"/>
        </w:rPr>
        <w:t>of PAR Proces</w:t>
      </w:r>
      <w:r w:rsidR="00F80555" w:rsidRPr="00F80555">
        <w:rPr>
          <w:rFonts w:ascii="Arial" w:hAnsi="Arial"/>
          <w:i/>
          <w:sz w:val="22"/>
          <w:szCs w:val="22"/>
        </w:rPr>
        <w:t>s:</w:t>
      </w:r>
      <w:r w:rsidR="00F80555">
        <w:rPr>
          <w:rFonts w:ascii="Arial" w:hAnsi="Arial"/>
          <w:sz w:val="22"/>
          <w:szCs w:val="22"/>
        </w:rPr>
        <w:t xml:space="preserve"> The project,</w:t>
      </w:r>
      <w:r w:rsidR="0040538D">
        <w:rPr>
          <w:rFonts w:ascii="Arial" w:hAnsi="Arial"/>
          <w:sz w:val="22"/>
          <w:szCs w:val="22"/>
        </w:rPr>
        <w:t xml:space="preserve"> development partners as well as actions by the </w:t>
      </w:r>
      <w:proofErr w:type="spellStart"/>
      <w:r w:rsidR="0040538D">
        <w:rPr>
          <w:rFonts w:ascii="Arial" w:hAnsi="Arial"/>
          <w:sz w:val="22"/>
          <w:szCs w:val="22"/>
        </w:rPr>
        <w:t>GoG</w:t>
      </w:r>
      <w:proofErr w:type="spellEnd"/>
      <w:r w:rsidR="0040538D">
        <w:rPr>
          <w:rFonts w:ascii="Arial" w:hAnsi="Arial"/>
          <w:sz w:val="22"/>
          <w:szCs w:val="22"/>
        </w:rPr>
        <w:t xml:space="preserve"> itself show that </w:t>
      </w:r>
      <w:r w:rsidR="00F80555">
        <w:rPr>
          <w:rFonts w:ascii="Arial" w:hAnsi="Arial"/>
          <w:sz w:val="22"/>
          <w:szCs w:val="22"/>
        </w:rPr>
        <w:t xml:space="preserve">PAR </w:t>
      </w:r>
      <w:r w:rsidR="0040538D">
        <w:rPr>
          <w:rFonts w:ascii="Arial" w:hAnsi="Arial"/>
          <w:sz w:val="22"/>
          <w:szCs w:val="22"/>
        </w:rPr>
        <w:t xml:space="preserve">leadership and ownership are with the </w:t>
      </w:r>
      <w:proofErr w:type="spellStart"/>
      <w:r w:rsidR="0040538D">
        <w:rPr>
          <w:rFonts w:ascii="Arial" w:hAnsi="Arial"/>
          <w:sz w:val="22"/>
          <w:szCs w:val="22"/>
        </w:rPr>
        <w:t>GoG</w:t>
      </w:r>
      <w:proofErr w:type="spellEnd"/>
      <w:r w:rsidR="0040538D">
        <w:rPr>
          <w:rFonts w:ascii="Arial" w:hAnsi="Arial"/>
          <w:sz w:val="22"/>
          <w:szCs w:val="22"/>
        </w:rPr>
        <w:t>. While the support and advancement may not have been as consistent as initially envisioned, despite a changing environment PAR continues to advance. Development partner support will remain crucial t</w:t>
      </w:r>
      <w:r w:rsidR="00F80555">
        <w:rPr>
          <w:rFonts w:ascii="Arial" w:hAnsi="Arial"/>
          <w:sz w:val="22"/>
          <w:szCs w:val="22"/>
        </w:rPr>
        <w:t>o help advance the reforms. The PAR Roadmap, currently under development, will help to set the direction for further interventions. The pr</w:t>
      </w:r>
      <w:r w:rsidR="00C66BBC">
        <w:rPr>
          <w:rFonts w:ascii="Arial" w:hAnsi="Arial"/>
          <w:sz w:val="22"/>
          <w:szCs w:val="22"/>
        </w:rPr>
        <w:t xml:space="preserve">oject was well placed </w:t>
      </w:r>
      <w:r w:rsidR="00F80555">
        <w:rPr>
          <w:rFonts w:ascii="Arial" w:hAnsi="Arial"/>
          <w:sz w:val="22"/>
          <w:szCs w:val="22"/>
        </w:rPr>
        <w:t xml:space="preserve">as a catalytic actor that helped to advance change in a constructive, collaborative and results-oriented manner. The project team showed resourcefulness even when outputs or activities appeared stalled. </w:t>
      </w:r>
    </w:p>
    <w:p w14:paraId="64A77F98" w14:textId="77777777" w:rsidR="00F80555" w:rsidRDefault="00F80555" w:rsidP="00F80555">
      <w:pPr>
        <w:jc w:val="both"/>
        <w:rPr>
          <w:rFonts w:ascii="Arial" w:hAnsi="Arial"/>
          <w:sz w:val="22"/>
          <w:szCs w:val="22"/>
        </w:rPr>
      </w:pPr>
    </w:p>
    <w:p w14:paraId="2C0C2F2A" w14:textId="0199FC6D" w:rsidR="00F80555" w:rsidRDefault="00F80555" w:rsidP="00F80555">
      <w:pPr>
        <w:ind w:left="360"/>
        <w:jc w:val="both"/>
        <w:rPr>
          <w:rFonts w:ascii="Arial" w:hAnsi="Arial"/>
          <w:sz w:val="22"/>
          <w:szCs w:val="22"/>
        </w:rPr>
      </w:pPr>
      <w:r>
        <w:rPr>
          <w:rFonts w:ascii="Arial" w:hAnsi="Arial"/>
          <w:sz w:val="22"/>
          <w:szCs w:val="22"/>
        </w:rPr>
        <w:lastRenderedPageBreak/>
        <w:t xml:space="preserve">While </w:t>
      </w:r>
      <w:r w:rsidR="0061464F">
        <w:rPr>
          <w:rFonts w:ascii="Arial" w:hAnsi="Arial"/>
          <w:sz w:val="22"/>
          <w:szCs w:val="22"/>
        </w:rPr>
        <w:t>external support (leadership, expertise</w:t>
      </w:r>
      <w:r>
        <w:rPr>
          <w:rFonts w:ascii="Arial" w:hAnsi="Arial"/>
          <w:sz w:val="22"/>
          <w:szCs w:val="22"/>
        </w:rPr>
        <w:t>, finance resources) must be provided to those entities responsible</w:t>
      </w:r>
      <w:r w:rsidR="00C66BBC">
        <w:rPr>
          <w:rFonts w:ascii="Arial" w:hAnsi="Arial"/>
          <w:sz w:val="22"/>
          <w:szCs w:val="22"/>
        </w:rPr>
        <w:t>,</w:t>
      </w:r>
      <w:r>
        <w:rPr>
          <w:rFonts w:ascii="Arial" w:hAnsi="Arial"/>
          <w:sz w:val="22"/>
          <w:szCs w:val="22"/>
        </w:rPr>
        <w:t xml:space="preserve"> such support should be carefully gauged and planned out so that there is a clear transition from any future project support to </w:t>
      </w:r>
      <w:proofErr w:type="spellStart"/>
      <w:r>
        <w:rPr>
          <w:rFonts w:ascii="Arial" w:hAnsi="Arial"/>
          <w:sz w:val="22"/>
          <w:szCs w:val="22"/>
        </w:rPr>
        <w:t>GoG</w:t>
      </w:r>
      <w:proofErr w:type="spellEnd"/>
      <w:r>
        <w:rPr>
          <w:rFonts w:ascii="Arial" w:hAnsi="Arial"/>
          <w:sz w:val="22"/>
          <w:szCs w:val="22"/>
        </w:rPr>
        <w:t xml:space="preserve"> management and implementation. Such transition should account for </w:t>
      </w:r>
      <w:r w:rsidR="00F35505">
        <w:rPr>
          <w:rFonts w:ascii="Arial" w:hAnsi="Arial"/>
          <w:sz w:val="22"/>
          <w:szCs w:val="22"/>
        </w:rPr>
        <w:t xml:space="preserve">government </w:t>
      </w:r>
      <w:r>
        <w:rPr>
          <w:rFonts w:ascii="Arial" w:hAnsi="Arial"/>
          <w:sz w:val="22"/>
          <w:szCs w:val="22"/>
        </w:rPr>
        <w:t>leadership, personnel and financial resources to take on the roles and responsibilities developed.</w:t>
      </w:r>
    </w:p>
    <w:p w14:paraId="7AA91CE2" w14:textId="77777777" w:rsidR="00F80555" w:rsidRDefault="00F80555" w:rsidP="00F80555">
      <w:pPr>
        <w:ind w:left="360"/>
        <w:jc w:val="both"/>
        <w:rPr>
          <w:rFonts w:ascii="Arial" w:hAnsi="Arial"/>
          <w:sz w:val="22"/>
          <w:szCs w:val="22"/>
        </w:rPr>
      </w:pPr>
    </w:p>
    <w:p w14:paraId="7E690E5A" w14:textId="4FF178A5" w:rsidR="00F80555" w:rsidRDefault="00F80555" w:rsidP="00F80555">
      <w:pPr>
        <w:ind w:left="360"/>
        <w:jc w:val="both"/>
        <w:rPr>
          <w:rFonts w:ascii="Arial" w:hAnsi="Arial"/>
          <w:sz w:val="22"/>
          <w:szCs w:val="22"/>
        </w:rPr>
      </w:pPr>
      <w:r>
        <w:rPr>
          <w:rFonts w:ascii="Arial" w:hAnsi="Arial"/>
          <w:sz w:val="22"/>
          <w:szCs w:val="22"/>
        </w:rPr>
        <w:t>And, as has been shown through the project and other efforts, the adoption and tailoring of EU and international standards is possible</w:t>
      </w:r>
      <w:r w:rsidR="00A249C9">
        <w:rPr>
          <w:rFonts w:ascii="Arial" w:hAnsi="Arial"/>
          <w:sz w:val="22"/>
          <w:szCs w:val="22"/>
        </w:rPr>
        <w:t xml:space="preserve">, practical and having an impact. Sometimes it takes several efforts, as was done with attempting to address dispute settlement. Such EU and international standards should continue to be pursued and applied though some require some adjustments to apply </w:t>
      </w:r>
      <w:r w:rsidR="00F35505">
        <w:rPr>
          <w:rFonts w:ascii="Arial" w:hAnsi="Arial"/>
          <w:sz w:val="22"/>
          <w:szCs w:val="22"/>
        </w:rPr>
        <w:t xml:space="preserve">to </w:t>
      </w:r>
      <w:r w:rsidR="00A249C9">
        <w:rPr>
          <w:rFonts w:ascii="Arial" w:hAnsi="Arial"/>
          <w:sz w:val="22"/>
          <w:szCs w:val="22"/>
        </w:rPr>
        <w:t>the Georgian context.</w:t>
      </w:r>
    </w:p>
    <w:p w14:paraId="4A800352" w14:textId="77777777" w:rsidR="00F80555" w:rsidRPr="00F80555" w:rsidRDefault="00F80555" w:rsidP="00F80555">
      <w:pPr>
        <w:jc w:val="both"/>
        <w:rPr>
          <w:rFonts w:ascii="Arial" w:hAnsi="Arial"/>
          <w:sz w:val="22"/>
          <w:szCs w:val="22"/>
        </w:rPr>
      </w:pPr>
    </w:p>
    <w:p w14:paraId="7F4631DF" w14:textId="7DAE41E1" w:rsidR="00A249C9" w:rsidRDefault="00A249C9" w:rsidP="00512CE8">
      <w:pPr>
        <w:pStyle w:val="ListParagraph"/>
        <w:numPr>
          <w:ilvl w:val="0"/>
          <w:numId w:val="57"/>
        </w:numPr>
        <w:ind w:left="360"/>
        <w:jc w:val="both"/>
        <w:rPr>
          <w:rFonts w:ascii="Arial" w:hAnsi="Arial"/>
          <w:sz w:val="22"/>
          <w:szCs w:val="22"/>
        </w:rPr>
      </w:pPr>
      <w:r w:rsidRPr="00546E4E">
        <w:rPr>
          <w:rFonts w:ascii="Arial" w:hAnsi="Arial"/>
          <w:i/>
          <w:sz w:val="22"/>
          <w:szCs w:val="22"/>
        </w:rPr>
        <w:t xml:space="preserve">Developing </w:t>
      </w:r>
      <w:r w:rsidR="0069115F" w:rsidRPr="00546E4E">
        <w:rPr>
          <w:rFonts w:ascii="Arial" w:hAnsi="Arial"/>
          <w:i/>
          <w:sz w:val="22"/>
          <w:szCs w:val="22"/>
        </w:rPr>
        <w:t xml:space="preserve">Linkages </w:t>
      </w:r>
      <w:r w:rsidRPr="00546E4E">
        <w:rPr>
          <w:rFonts w:ascii="Arial" w:hAnsi="Arial"/>
          <w:i/>
          <w:sz w:val="22"/>
          <w:szCs w:val="22"/>
        </w:rPr>
        <w:t>Within and Between PAR Components:</w:t>
      </w:r>
      <w:r>
        <w:rPr>
          <w:rFonts w:ascii="Arial" w:hAnsi="Arial"/>
          <w:sz w:val="22"/>
          <w:szCs w:val="22"/>
        </w:rPr>
        <w:t xml:space="preserve"> The project has developed several components of different systems and approaches within each of the outcome areas. Toward project end, these components began to be linked. Examples are the policy planning policy, monitoring and eva</w:t>
      </w:r>
      <w:r w:rsidR="0039591B">
        <w:rPr>
          <w:rFonts w:ascii="Arial" w:hAnsi="Arial"/>
          <w:sz w:val="22"/>
          <w:szCs w:val="22"/>
        </w:rPr>
        <w:t>luation process and methodology;</w:t>
      </w:r>
      <w:r>
        <w:rPr>
          <w:rFonts w:ascii="Arial" w:hAnsi="Arial"/>
          <w:sz w:val="22"/>
          <w:szCs w:val="22"/>
        </w:rPr>
        <w:t xml:space="preserve"> performance appraisal and human resource</w:t>
      </w:r>
      <w:r w:rsidR="0039591B">
        <w:rPr>
          <w:rFonts w:ascii="Arial" w:hAnsi="Arial"/>
          <w:sz w:val="22"/>
          <w:szCs w:val="22"/>
        </w:rPr>
        <w:t xml:space="preserve"> development planning;</w:t>
      </w:r>
      <w:r>
        <w:rPr>
          <w:rFonts w:ascii="Arial" w:hAnsi="Arial"/>
          <w:sz w:val="22"/>
          <w:szCs w:val="22"/>
        </w:rPr>
        <w:t xml:space="preserve"> and public service assessment and standard setting to upgrade public services. Also toward project end, there were some synergies with placing the policy planning, monitoring and evaluation training as an e-course</w:t>
      </w:r>
      <w:r w:rsidR="0039591B">
        <w:rPr>
          <w:rFonts w:ascii="Arial" w:hAnsi="Arial"/>
          <w:sz w:val="22"/>
          <w:szCs w:val="22"/>
        </w:rPr>
        <w:t xml:space="preserve"> (and </w:t>
      </w:r>
      <w:proofErr w:type="spellStart"/>
      <w:r w:rsidR="0039591B">
        <w:rPr>
          <w:rFonts w:ascii="Arial" w:hAnsi="Arial"/>
          <w:sz w:val="22"/>
          <w:szCs w:val="22"/>
        </w:rPr>
        <w:t>AoG</w:t>
      </w:r>
      <w:proofErr w:type="spellEnd"/>
      <w:r w:rsidR="0039591B">
        <w:rPr>
          <w:rFonts w:ascii="Arial" w:hAnsi="Arial"/>
          <w:sz w:val="22"/>
          <w:szCs w:val="22"/>
        </w:rPr>
        <w:t xml:space="preserve"> and CSB agreement to do so), developing the accompanying </w:t>
      </w:r>
      <w:proofErr w:type="spellStart"/>
      <w:r w:rsidR="0039591B">
        <w:rPr>
          <w:rFonts w:ascii="Arial" w:hAnsi="Arial"/>
          <w:sz w:val="22"/>
          <w:szCs w:val="22"/>
        </w:rPr>
        <w:t>e-systems</w:t>
      </w:r>
      <w:proofErr w:type="spellEnd"/>
      <w:r w:rsidR="0039591B">
        <w:rPr>
          <w:rFonts w:ascii="Arial" w:hAnsi="Arial"/>
          <w:sz w:val="22"/>
          <w:szCs w:val="22"/>
        </w:rPr>
        <w:t xml:space="preserve"> for training, policy planning </w:t>
      </w:r>
      <w:r w:rsidR="00F35505">
        <w:rPr>
          <w:rFonts w:ascii="Arial" w:hAnsi="Arial"/>
          <w:sz w:val="22"/>
          <w:szCs w:val="22"/>
        </w:rPr>
        <w:t xml:space="preserve">and </w:t>
      </w:r>
      <w:r w:rsidR="0039591B">
        <w:rPr>
          <w:rFonts w:ascii="Arial" w:hAnsi="Arial"/>
          <w:sz w:val="22"/>
          <w:szCs w:val="22"/>
        </w:rPr>
        <w:t>e-HRMS on-line with the cooperation of various entities (</w:t>
      </w:r>
      <w:proofErr w:type="spellStart"/>
      <w:r w:rsidR="0039591B">
        <w:rPr>
          <w:rFonts w:ascii="Arial" w:hAnsi="Arial"/>
          <w:sz w:val="22"/>
          <w:szCs w:val="22"/>
        </w:rPr>
        <w:t>AoG</w:t>
      </w:r>
      <w:proofErr w:type="spellEnd"/>
      <w:r w:rsidR="0039591B">
        <w:rPr>
          <w:rFonts w:ascii="Arial" w:hAnsi="Arial"/>
          <w:sz w:val="22"/>
          <w:szCs w:val="22"/>
        </w:rPr>
        <w:t>, CSB, DGA); and applying the UPSDD and CAF even though not approved (PSDA). There is room for more such synergies as these processes and systems are rolled out and implemented past the pilot phase.</w:t>
      </w:r>
    </w:p>
    <w:p w14:paraId="61429E8A" w14:textId="77777777" w:rsidR="0039591B" w:rsidRPr="0039591B" w:rsidRDefault="0039591B" w:rsidP="0039591B">
      <w:pPr>
        <w:jc w:val="both"/>
        <w:rPr>
          <w:rFonts w:ascii="Arial" w:hAnsi="Arial"/>
          <w:sz w:val="22"/>
          <w:szCs w:val="22"/>
        </w:rPr>
      </w:pPr>
    </w:p>
    <w:p w14:paraId="767541D1" w14:textId="59B722A6" w:rsidR="0039591B" w:rsidRPr="00E8321B" w:rsidRDefault="0039591B" w:rsidP="0039591B">
      <w:pPr>
        <w:ind w:left="360"/>
        <w:jc w:val="both"/>
        <w:rPr>
          <w:rFonts w:ascii="Arial" w:hAnsi="Arial"/>
          <w:sz w:val="22"/>
          <w:szCs w:val="22"/>
        </w:rPr>
      </w:pPr>
      <w:r>
        <w:rPr>
          <w:rFonts w:ascii="Arial" w:hAnsi="Arial"/>
          <w:sz w:val="22"/>
          <w:szCs w:val="22"/>
        </w:rPr>
        <w:t xml:space="preserve">For the next PAR phase, </w:t>
      </w:r>
      <w:r w:rsidRPr="00E8321B">
        <w:rPr>
          <w:rFonts w:ascii="Arial" w:hAnsi="Arial"/>
          <w:sz w:val="22"/>
          <w:szCs w:val="22"/>
        </w:rPr>
        <w:t>such cooperation and collaboration should be sought at the beginning of intervention planning rather than tow</w:t>
      </w:r>
      <w:r w:rsidR="00223F43" w:rsidRPr="00E8321B">
        <w:rPr>
          <w:rFonts w:ascii="Arial" w:hAnsi="Arial"/>
          <w:sz w:val="22"/>
          <w:szCs w:val="22"/>
        </w:rPr>
        <w:t>ards the end. Such collaboration</w:t>
      </w:r>
      <w:r w:rsidRPr="00E8321B">
        <w:rPr>
          <w:rFonts w:ascii="Arial" w:hAnsi="Arial"/>
          <w:sz w:val="22"/>
          <w:szCs w:val="22"/>
        </w:rPr>
        <w:t xml:space="preserve"> will provide more </w:t>
      </w:r>
      <w:proofErr w:type="spellStart"/>
      <w:r w:rsidRPr="00E8321B">
        <w:rPr>
          <w:rFonts w:ascii="Arial" w:hAnsi="Arial"/>
          <w:sz w:val="22"/>
          <w:szCs w:val="22"/>
        </w:rPr>
        <w:t>GoG</w:t>
      </w:r>
      <w:proofErr w:type="spellEnd"/>
      <w:r w:rsidRPr="00E8321B">
        <w:rPr>
          <w:rFonts w:ascii="Arial" w:hAnsi="Arial"/>
          <w:sz w:val="22"/>
          <w:szCs w:val="22"/>
        </w:rPr>
        <w:t xml:space="preserve"> owner</w:t>
      </w:r>
      <w:r w:rsidR="00223F43" w:rsidRPr="00E8321B">
        <w:rPr>
          <w:rFonts w:ascii="Arial" w:hAnsi="Arial"/>
          <w:sz w:val="22"/>
          <w:szCs w:val="22"/>
        </w:rPr>
        <w:t xml:space="preserve">ship and help facilitate </w:t>
      </w:r>
      <w:r w:rsidRPr="00E8321B">
        <w:rPr>
          <w:rFonts w:ascii="Arial" w:hAnsi="Arial"/>
          <w:sz w:val="22"/>
          <w:szCs w:val="22"/>
        </w:rPr>
        <w:t>implement</w:t>
      </w:r>
      <w:r w:rsidR="00223F43" w:rsidRPr="00E8321B">
        <w:rPr>
          <w:rFonts w:ascii="Arial" w:hAnsi="Arial"/>
          <w:sz w:val="22"/>
          <w:szCs w:val="22"/>
        </w:rPr>
        <w:t>ation</w:t>
      </w:r>
      <w:r w:rsidRPr="00E8321B">
        <w:rPr>
          <w:rFonts w:ascii="Arial" w:hAnsi="Arial"/>
          <w:sz w:val="22"/>
          <w:szCs w:val="22"/>
        </w:rPr>
        <w:t xml:space="preserve"> at a more rapid pace.</w:t>
      </w:r>
    </w:p>
    <w:p w14:paraId="1F3DAB76" w14:textId="77777777" w:rsidR="0039591B" w:rsidRPr="00E8321B" w:rsidRDefault="0039591B" w:rsidP="0039591B">
      <w:pPr>
        <w:jc w:val="both"/>
        <w:rPr>
          <w:rFonts w:ascii="Arial" w:hAnsi="Arial"/>
          <w:sz w:val="22"/>
          <w:szCs w:val="22"/>
        </w:rPr>
      </w:pPr>
    </w:p>
    <w:p w14:paraId="5157FDBA" w14:textId="2A3A7A9D" w:rsidR="00546E4E" w:rsidRPr="00E8321B" w:rsidRDefault="00546E4E" w:rsidP="00546E4E">
      <w:pPr>
        <w:pStyle w:val="ListParagraph"/>
        <w:numPr>
          <w:ilvl w:val="0"/>
          <w:numId w:val="57"/>
        </w:numPr>
        <w:ind w:left="360"/>
        <w:jc w:val="both"/>
        <w:rPr>
          <w:rFonts w:ascii="Arial" w:hAnsi="Arial"/>
          <w:sz w:val="22"/>
        </w:rPr>
      </w:pPr>
      <w:r w:rsidRPr="00E8321B">
        <w:rPr>
          <w:rFonts w:ascii="Arial" w:hAnsi="Arial"/>
          <w:i/>
          <w:sz w:val="22"/>
        </w:rPr>
        <w:t>Medium Term Depth and Breadth of PAR:</w:t>
      </w:r>
      <w:r w:rsidRPr="00E8321B">
        <w:rPr>
          <w:rFonts w:ascii="Arial" w:hAnsi="Arial"/>
          <w:sz w:val="22"/>
        </w:rPr>
        <w:t xml:space="preserve"> Applying PAR government-wide takes time and cycles of activity. The legal/regulatory framework is mostly in place. At this time, various reform areas have been addressed with components in place or at le</w:t>
      </w:r>
      <w:r w:rsidR="00223F43" w:rsidRPr="00E8321B">
        <w:rPr>
          <w:rFonts w:ascii="Arial" w:hAnsi="Arial"/>
          <w:sz w:val="22"/>
        </w:rPr>
        <w:t>a</w:t>
      </w:r>
      <w:r w:rsidRPr="00E8321B">
        <w:rPr>
          <w:rFonts w:ascii="Arial" w:hAnsi="Arial"/>
          <w:sz w:val="22"/>
        </w:rPr>
        <w:t>st piloted. The challenge now is to keep on conforming to the legal/regulatory framework and applying</w:t>
      </w:r>
      <w:r w:rsidR="00223F43" w:rsidRPr="00E8321B">
        <w:rPr>
          <w:rFonts w:ascii="Arial" w:hAnsi="Arial"/>
          <w:sz w:val="22"/>
        </w:rPr>
        <w:t xml:space="preserve"> the requirements by using the</w:t>
      </w:r>
      <w:r w:rsidRPr="00E8321B">
        <w:rPr>
          <w:rFonts w:ascii="Arial" w:hAnsi="Arial"/>
          <w:sz w:val="22"/>
        </w:rPr>
        <w:t xml:space="preserve"> methodologies, systems and processes developed. This will take time and attention of the political leadership as well as a</w:t>
      </w:r>
      <w:r w:rsidR="00520199" w:rsidRPr="00E8321B">
        <w:rPr>
          <w:rFonts w:ascii="Arial" w:hAnsi="Arial"/>
          <w:sz w:val="22"/>
        </w:rPr>
        <w:t>ll levels of the civil service</w:t>
      </w:r>
      <w:r w:rsidRPr="00E8321B">
        <w:rPr>
          <w:rFonts w:ascii="Arial" w:hAnsi="Arial"/>
          <w:sz w:val="22"/>
        </w:rPr>
        <w:t>. There will also be trial and error. Public feedback sh</w:t>
      </w:r>
      <w:r w:rsidR="00520199" w:rsidRPr="00E8321B">
        <w:rPr>
          <w:rFonts w:ascii="Arial" w:hAnsi="Arial"/>
          <w:sz w:val="22"/>
        </w:rPr>
        <w:t>ould be a key ingredient and</w:t>
      </w:r>
      <w:r w:rsidRPr="00E8321B">
        <w:rPr>
          <w:rFonts w:ascii="Arial" w:hAnsi="Arial"/>
          <w:sz w:val="22"/>
        </w:rPr>
        <w:t xml:space="preserve"> some </w:t>
      </w:r>
      <w:r w:rsidR="00520199" w:rsidRPr="00E8321B">
        <w:rPr>
          <w:rFonts w:ascii="Arial" w:hAnsi="Arial"/>
          <w:sz w:val="22"/>
        </w:rPr>
        <w:t>advancement has</w:t>
      </w:r>
      <w:r w:rsidRPr="00E8321B">
        <w:rPr>
          <w:rFonts w:ascii="Arial" w:hAnsi="Arial"/>
          <w:sz w:val="22"/>
        </w:rPr>
        <w:t xml:space="preserve"> been made to allow it to happen</w:t>
      </w:r>
      <w:r w:rsidR="0061464F" w:rsidRPr="00E8321B">
        <w:rPr>
          <w:rFonts w:ascii="Arial" w:hAnsi="Arial"/>
          <w:sz w:val="22"/>
        </w:rPr>
        <w:t>.</w:t>
      </w:r>
    </w:p>
    <w:p w14:paraId="207E9475" w14:textId="77777777" w:rsidR="007157DC" w:rsidRPr="00E8321B" w:rsidRDefault="007157DC" w:rsidP="007157DC">
      <w:pPr>
        <w:jc w:val="both"/>
        <w:rPr>
          <w:rFonts w:ascii="Arial" w:hAnsi="Arial"/>
          <w:sz w:val="22"/>
        </w:rPr>
      </w:pPr>
    </w:p>
    <w:p w14:paraId="49E8E351" w14:textId="34BADF22" w:rsidR="00546E4E" w:rsidRPr="00E8321B" w:rsidRDefault="00546E4E" w:rsidP="007E428D">
      <w:pPr>
        <w:ind w:left="360"/>
        <w:jc w:val="both"/>
        <w:rPr>
          <w:rFonts w:ascii="Arial" w:hAnsi="Arial"/>
          <w:sz w:val="22"/>
        </w:rPr>
      </w:pPr>
      <w:r w:rsidRPr="00E8321B">
        <w:rPr>
          <w:rFonts w:ascii="Arial" w:hAnsi="Arial"/>
          <w:sz w:val="22"/>
        </w:rPr>
        <w:t>The challenge will be to keep on applying</w:t>
      </w:r>
      <w:r w:rsidR="00C66BBC" w:rsidRPr="00E8321B">
        <w:rPr>
          <w:rFonts w:ascii="Arial" w:hAnsi="Arial"/>
          <w:sz w:val="22"/>
        </w:rPr>
        <w:t xml:space="preserve"> what the project, other development partner</w:t>
      </w:r>
      <w:r w:rsidR="00223F43" w:rsidRPr="00E8321B">
        <w:rPr>
          <w:rFonts w:ascii="Arial" w:hAnsi="Arial"/>
          <w:sz w:val="22"/>
        </w:rPr>
        <w:t>s</w:t>
      </w:r>
      <w:r w:rsidR="00C66BBC" w:rsidRPr="00E8321B">
        <w:rPr>
          <w:rFonts w:ascii="Arial" w:hAnsi="Arial"/>
          <w:sz w:val="22"/>
        </w:rPr>
        <w:t xml:space="preserve"> and the </w:t>
      </w:r>
      <w:proofErr w:type="spellStart"/>
      <w:r w:rsidR="00C66BBC" w:rsidRPr="00E8321B">
        <w:rPr>
          <w:rFonts w:ascii="Arial" w:hAnsi="Arial"/>
          <w:sz w:val="22"/>
        </w:rPr>
        <w:t>GoG</w:t>
      </w:r>
      <w:proofErr w:type="spellEnd"/>
      <w:r w:rsidR="00C66BBC" w:rsidRPr="00E8321B">
        <w:rPr>
          <w:rFonts w:ascii="Arial" w:hAnsi="Arial"/>
          <w:sz w:val="22"/>
        </w:rPr>
        <w:t xml:space="preserve"> have developed </w:t>
      </w:r>
      <w:r w:rsidRPr="00E8321B">
        <w:rPr>
          <w:rFonts w:ascii="Arial" w:hAnsi="Arial"/>
          <w:sz w:val="22"/>
        </w:rPr>
        <w:t xml:space="preserve">so </w:t>
      </w:r>
      <w:r w:rsidR="001D6352" w:rsidRPr="00E8321B">
        <w:rPr>
          <w:rFonts w:ascii="Arial" w:hAnsi="Arial"/>
          <w:sz w:val="22"/>
        </w:rPr>
        <w:t xml:space="preserve">that </w:t>
      </w:r>
      <w:r w:rsidRPr="00E8321B">
        <w:rPr>
          <w:rFonts w:ascii="Arial" w:hAnsi="Arial"/>
          <w:sz w:val="22"/>
        </w:rPr>
        <w:t>PAR and its specific components can move forward. There has been much “push” in the last five years. The “push” of these advances must continue</w:t>
      </w:r>
      <w:r w:rsidR="00520199" w:rsidRPr="00E8321B">
        <w:rPr>
          <w:rFonts w:ascii="Arial" w:hAnsi="Arial"/>
          <w:sz w:val="22"/>
        </w:rPr>
        <w:t xml:space="preserve"> so they become ingrained and routine</w:t>
      </w:r>
      <w:r w:rsidRPr="00E8321B">
        <w:rPr>
          <w:rFonts w:ascii="Arial" w:hAnsi="Arial"/>
          <w:sz w:val="22"/>
        </w:rPr>
        <w:t xml:space="preserve">. </w:t>
      </w:r>
    </w:p>
    <w:p w14:paraId="1B2C24C3" w14:textId="77777777" w:rsidR="00520199" w:rsidRPr="00E8321B" w:rsidRDefault="00520199" w:rsidP="007E428D">
      <w:pPr>
        <w:ind w:left="360"/>
        <w:jc w:val="both"/>
        <w:rPr>
          <w:rFonts w:ascii="Arial" w:hAnsi="Arial"/>
          <w:sz w:val="22"/>
        </w:rPr>
      </w:pPr>
    </w:p>
    <w:p w14:paraId="5BDCE9A8" w14:textId="646550D4" w:rsidR="00520199" w:rsidRPr="00E8321B" w:rsidRDefault="00520199" w:rsidP="007E428D">
      <w:pPr>
        <w:ind w:left="360"/>
        <w:jc w:val="both"/>
        <w:rPr>
          <w:rFonts w:ascii="Arial" w:hAnsi="Arial"/>
          <w:sz w:val="22"/>
        </w:rPr>
      </w:pPr>
      <w:r w:rsidRPr="00E8321B">
        <w:rPr>
          <w:rFonts w:ascii="Arial" w:hAnsi="Arial"/>
          <w:sz w:val="22"/>
        </w:rPr>
        <w:t>Two issues remain outstanding</w:t>
      </w:r>
      <w:r w:rsidR="00356ACC" w:rsidRPr="00E8321B">
        <w:rPr>
          <w:rFonts w:ascii="Arial" w:hAnsi="Arial"/>
          <w:sz w:val="22"/>
        </w:rPr>
        <w:t xml:space="preserve"> and one suggestion</w:t>
      </w:r>
      <w:r w:rsidRPr="00E8321B">
        <w:rPr>
          <w:rFonts w:ascii="Arial" w:hAnsi="Arial"/>
          <w:sz w:val="22"/>
        </w:rPr>
        <w:t xml:space="preserve">. </w:t>
      </w:r>
    </w:p>
    <w:p w14:paraId="2FF2324D" w14:textId="77777777" w:rsidR="00520199" w:rsidRPr="00E8321B" w:rsidRDefault="00520199" w:rsidP="007E428D">
      <w:pPr>
        <w:ind w:left="360"/>
        <w:jc w:val="both"/>
        <w:rPr>
          <w:rFonts w:ascii="Arial" w:hAnsi="Arial"/>
          <w:sz w:val="22"/>
        </w:rPr>
      </w:pPr>
    </w:p>
    <w:p w14:paraId="271F40C5" w14:textId="3DA8A45D" w:rsidR="00520199" w:rsidRPr="00E8321B" w:rsidRDefault="00520199" w:rsidP="007E428D">
      <w:pPr>
        <w:ind w:left="360"/>
        <w:jc w:val="both"/>
        <w:rPr>
          <w:rFonts w:ascii="Arial" w:hAnsi="Arial"/>
          <w:sz w:val="22"/>
        </w:rPr>
      </w:pPr>
      <w:r w:rsidRPr="00E8321B">
        <w:rPr>
          <w:rFonts w:ascii="Arial" w:hAnsi="Arial"/>
          <w:sz w:val="22"/>
        </w:rPr>
        <w:t>First, while there have been advances on a professional and merit-based civil service, the question of “independence” still lingers. Changes in government over the project’s timeframe and the public and civil servant perception of independence, keeps independence as a front burner issue. The project has attempted to raise attention to this is</w:t>
      </w:r>
      <w:r w:rsidR="007E428D" w:rsidRPr="00E8321B">
        <w:rPr>
          <w:rFonts w:ascii="Arial" w:hAnsi="Arial"/>
          <w:sz w:val="22"/>
        </w:rPr>
        <w:t xml:space="preserve">sue. For instance, the </w:t>
      </w:r>
      <w:r w:rsidR="007E428D" w:rsidRPr="00E8321B">
        <w:rPr>
          <w:rFonts w:ascii="Arial" w:hAnsi="Arial"/>
          <w:sz w:val="22"/>
        </w:rPr>
        <w:lastRenderedPageBreak/>
        <w:t>prospect</w:t>
      </w:r>
      <w:r w:rsidRPr="00E8321B">
        <w:rPr>
          <w:rFonts w:ascii="Arial" w:hAnsi="Arial"/>
          <w:sz w:val="22"/>
        </w:rPr>
        <w:t xml:space="preserve"> of having a senior civ</w:t>
      </w:r>
      <w:r w:rsidR="007E428D" w:rsidRPr="00E8321B">
        <w:rPr>
          <w:rFonts w:ascii="Arial" w:hAnsi="Arial"/>
          <w:sz w:val="22"/>
        </w:rPr>
        <w:t>il servant at each ministry was</w:t>
      </w:r>
      <w:r w:rsidRPr="00E8321B">
        <w:rPr>
          <w:rFonts w:ascii="Arial" w:hAnsi="Arial"/>
          <w:sz w:val="22"/>
        </w:rPr>
        <w:t xml:space="preserve"> reviewed. While such an approach may not be suitable for the </w:t>
      </w:r>
      <w:proofErr w:type="spellStart"/>
      <w:r w:rsidRPr="00E8321B">
        <w:rPr>
          <w:rFonts w:ascii="Arial" w:hAnsi="Arial"/>
          <w:sz w:val="22"/>
        </w:rPr>
        <w:t>GoG</w:t>
      </w:r>
      <w:proofErr w:type="spellEnd"/>
      <w:r w:rsidRPr="00E8321B">
        <w:rPr>
          <w:rFonts w:ascii="Arial" w:hAnsi="Arial"/>
          <w:sz w:val="22"/>
        </w:rPr>
        <w:t xml:space="preserve"> context, the issue</w:t>
      </w:r>
      <w:r w:rsidR="007E428D" w:rsidRPr="00E8321B">
        <w:rPr>
          <w:rFonts w:ascii="Arial" w:hAnsi="Arial"/>
          <w:sz w:val="22"/>
        </w:rPr>
        <w:t xml:space="preserve"> of independence continues to warrant attention</w:t>
      </w:r>
      <w:r w:rsidR="00E23DEE" w:rsidRPr="00E8321B">
        <w:rPr>
          <w:rFonts w:ascii="Arial" w:hAnsi="Arial"/>
          <w:sz w:val="22"/>
          <w:szCs w:val="22"/>
        </w:rPr>
        <w:t xml:space="preserve"> and needs to be pursued</w:t>
      </w:r>
      <w:r w:rsidRPr="00E8321B">
        <w:rPr>
          <w:rFonts w:ascii="Arial" w:hAnsi="Arial"/>
          <w:sz w:val="22"/>
          <w:szCs w:val="22"/>
        </w:rPr>
        <w:t>.</w:t>
      </w:r>
      <w:r w:rsidRPr="00E8321B">
        <w:rPr>
          <w:rFonts w:ascii="Arial" w:hAnsi="Arial"/>
          <w:sz w:val="22"/>
        </w:rPr>
        <w:t xml:space="preserve"> The effort to address dispute resolution is a good example of using various avenues and tools to address a sensitive topic.</w:t>
      </w:r>
      <w:r w:rsidR="004764F7" w:rsidRPr="00E8321B">
        <w:rPr>
          <w:rFonts w:ascii="Arial" w:hAnsi="Arial"/>
          <w:sz w:val="22"/>
        </w:rPr>
        <w:t xml:space="preserve"> A transparent and accountable civil service should continue to be a main PAR priority. There are many examples of what other countries have done to develop such independence.</w:t>
      </w:r>
    </w:p>
    <w:p w14:paraId="4C4D56FF" w14:textId="77777777" w:rsidR="00520199" w:rsidRPr="00E8321B" w:rsidRDefault="00520199" w:rsidP="007E428D">
      <w:pPr>
        <w:ind w:left="360"/>
        <w:jc w:val="both"/>
        <w:rPr>
          <w:rFonts w:ascii="Arial" w:hAnsi="Arial"/>
          <w:sz w:val="22"/>
        </w:rPr>
      </w:pPr>
    </w:p>
    <w:p w14:paraId="19C8F754" w14:textId="6D9A0A02" w:rsidR="007E428D" w:rsidRPr="00E8321B" w:rsidRDefault="007E428D" w:rsidP="007E428D">
      <w:pPr>
        <w:ind w:left="360"/>
        <w:jc w:val="both"/>
        <w:rPr>
          <w:rFonts w:ascii="Arial" w:hAnsi="Arial"/>
          <w:sz w:val="22"/>
        </w:rPr>
      </w:pPr>
      <w:r w:rsidRPr="00E8321B">
        <w:rPr>
          <w:rFonts w:ascii="Arial" w:hAnsi="Arial"/>
          <w:sz w:val="22"/>
        </w:rPr>
        <w:t xml:space="preserve">Second, the status of LEPLs also seems to be an issue for PAR. Though not an output area for the project, the project has had to work with LEPLs as stakeholders as well as participants in project activities. While PAR is being undertaken, LEPLs seem to be treated differently and there are similarities and dissimilarities between LEPLs themselves. If the </w:t>
      </w:r>
      <w:proofErr w:type="spellStart"/>
      <w:r w:rsidRPr="00E8321B">
        <w:rPr>
          <w:rFonts w:ascii="Arial" w:hAnsi="Arial"/>
          <w:sz w:val="22"/>
        </w:rPr>
        <w:t>GoG</w:t>
      </w:r>
      <w:proofErr w:type="spellEnd"/>
      <w:r w:rsidRPr="00E8321B">
        <w:rPr>
          <w:rFonts w:ascii="Arial" w:hAnsi="Arial"/>
          <w:sz w:val="22"/>
        </w:rPr>
        <w:t xml:space="preserve"> is truly interested in PAR, such rules, regulations, etc., should be applied equally and across government. Currently, LEPLs operate in a different manner than line ministries and agencies yet also provides public services and help to administer the state. The current approach creates distortions for all of PAR. As reported by the project early on, there was proposed legislation to reform LEPLs but it has not advanced. Future attention is warranted if the </w:t>
      </w:r>
      <w:proofErr w:type="spellStart"/>
      <w:r w:rsidRPr="00E8321B">
        <w:rPr>
          <w:rFonts w:ascii="Arial" w:hAnsi="Arial"/>
          <w:sz w:val="22"/>
        </w:rPr>
        <w:t>GoG</w:t>
      </w:r>
      <w:proofErr w:type="spellEnd"/>
      <w:r w:rsidRPr="00E8321B">
        <w:rPr>
          <w:rFonts w:ascii="Arial" w:hAnsi="Arial"/>
          <w:sz w:val="22"/>
        </w:rPr>
        <w:t xml:space="preserve"> truly wants PAR to apply government-wide.</w:t>
      </w:r>
      <w:r w:rsidR="00E23DEE" w:rsidRPr="00E8321B">
        <w:rPr>
          <w:rFonts w:ascii="Arial" w:hAnsi="Arial"/>
          <w:sz w:val="22"/>
          <w:szCs w:val="22"/>
        </w:rPr>
        <w:t xml:space="preserve"> The LEPL situation needs to be addressed so there is more conformity with the public administration framework, laws and policies.</w:t>
      </w:r>
    </w:p>
    <w:p w14:paraId="647A61A8" w14:textId="77777777" w:rsidR="005B52B6" w:rsidRPr="00E8321B" w:rsidRDefault="005B52B6" w:rsidP="007E428D">
      <w:pPr>
        <w:ind w:left="360"/>
        <w:jc w:val="both"/>
        <w:rPr>
          <w:rFonts w:ascii="Arial" w:hAnsi="Arial"/>
          <w:sz w:val="22"/>
        </w:rPr>
      </w:pPr>
    </w:p>
    <w:p w14:paraId="4601496A" w14:textId="27A8F281" w:rsidR="005B52B6" w:rsidRPr="00E8321B" w:rsidRDefault="00356ACC" w:rsidP="007E428D">
      <w:pPr>
        <w:ind w:left="360"/>
        <w:jc w:val="both"/>
        <w:rPr>
          <w:rFonts w:ascii="Arial" w:hAnsi="Arial"/>
          <w:sz w:val="22"/>
          <w:szCs w:val="22"/>
        </w:rPr>
      </w:pPr>
      <w:r w:rsidRPr="00E8321B">
        <w:rPr>
          <w:rFonts w:ascii="Arial" w:hAnsi="Arial"/>
          <w:sz w:val="22"/>
        </w:rPr>
        <w:t>The suggestion is in regard to the</w:t>
      </w:r>
      <w:r w:rsidR="005B52B6" w:rsidRPr="00E8321B">
        <w:rPr>
          <w:rFonts w:ascii="Arial" w:hAnsi="Arial"/>
          <w:sz w:val="22"/>
        </w:rPr>
        <w:t xml:space="preserve"> </w:t>
      </w:r>
      <w:r w:rsidRPr="00E8321B">
        <w:rPr>
          <w:rFonts w:ascii="Arial" w:hAnsi="Arial"/>
          <w:sz w:val="22"/>
        </w:rPr>
        <w:t xml:space="preserve">PAR </w:t>
      </w:r>
      <w:r w:rsidR="005B52B6" w:rsidRPr="00E8321B">
        <w:rPr>
          <w:rFonts w:ascii="Arial" w:hAnsi="Arial"/>
          <w:sz w:val="22"/>
        </w:rPr>
        <w:t xml:space="preserve">civil service and public </w:t>
      </w:r>
      <w:r w:rsidRPr="00E8321B">
        <w:rPr>
          <w:rFonts w:ascii="Arial" w:hAnsi="Arial"/>
          <w:sz w:val="22"/>
        </w:rPr>
        <w:t xml:space="preserve">perception </w:t>
      </w:r>
      <w:r w:rsidR="005B52B6" w:rsidRPr="00E8321B">
        <w:rPr>
          <w:rFonts w:ascii="Arial" w:hAnsi="Arial"/>
          <w:sz w:val="22"/>
        </w:rPr>
        <w:t>surveys</w:t>
      </w:r>
      <w:r w:rsidRPr="00E8321B">
        <w:rPr>
          <w:rFonts w:ascii="Arial" w:hAnsi="Arial"/>
          <w:sz w:val="22"/>
        </w:rPr>
        <w:t xml:space="preserve">. The surveys are </w:t>
      </w:r>
      <w:r w:rsidR="00E113CA" w:rsidRPr="00E8321B">
        <w:rPr>
          <w:rFonts w:ascii="Arial" w:hAnsi="Arial"/>
          <w:sz w:val="22"/>
        </w:rPr>
        <w:t>excellent tools to measure PAR performance. However, not all data is comparable between the two completed surveys and the one scheduled for completion in March 2021. First, there should be an assessment to compare date across the surveys to the extend possible. Second, for any future surveys, the framework should be built so that the data could definitely be comparable from survey to survey. Such comparative information will help show progression, weaknesses, and gaps. The information should be used for PAR-related planning (not only roadmaps) and development partner project design.</w:t>
      </w:r>
    </w:p>
    <w:p w14:paraId="1C827440" w14:textId="77777777" w:rsidR="007E428D" w:rsidRPr="00E8321B" w:rsidRDefault="007E428D" w:rsidP="00546E4E">
      <w:pPr>
        <w:jc w:val="both"/>
        <w:rPr>
          <w:rFonts w:ascii="Arial" w:hAnsi="Arial"/>
          <w:sz w:val="22"/>
          <w:szCs w:val="22"/>
        </w:rPr>
      </w:pPr>
    </w:p>
    <w:p w14:paraId="0E621050" w14:textId="0E9C9363" w:rsidR="00EB4305" w:rsidRDefault="004764F7" w:rsidP="00512CE8">
      <w:pPr>
        <w:pStyle w:val="ListParagraph"/>
        <w:numPr>
          <w:ilvl w:val="0"/>
          <w:numId w:val="57"/>
        </w:numPr>
        <w:ind w:left="360"/>
        <w:jc w:val="both"/>
        <w:rPr>
          <w:rFonts w:ascii="Arial" w:hAnsi="Arial"/>
          <w:sz w:val="22"/>
          <w:szCs w:val="22"/>
        </w:rPr>
      </w:pPr>
      <w:r w:rsidRPr="00E8321B">
        <w:rPr>
          <w:rFonts w:ascii="Arial" w:hAnsi="Arial"/>
          <w:i/>
          <w:sz w:val="22"/>
          <w:szCs w:val="22"/>
        </w:rPr>
        <w:t>Human Rights-Based PAR Addressing Gender, Various Community Needs and Civil Society Input:</w:t>
      </w:r>
      <w:r w:rsidRPr="00E8321B">
        <w:rPr>
          <w:rFonts w:ascii="Arial" w:hAnsi="Arial"/>
          <w:sz w:val="22"/>
          <w:szCs w:val="22"/>
        </w:rPr>
        <w:t xml:space="preserve"> The project has made significant gains to help </w:t>
      </w:r>
      <w:r w:rsidR="00EB4305" w:rsidRPr="00E8321B">
        <w:rPr>
          <w:rFonts w:ascii="Arial" w:hAnsi="Arial"/>
          <w:sz w:val="22"/>
          <w:szCs w:val="22"/>
        </w:rPr>
        <w:t>streamline and implement a human rights-based PAR. Though it is in the early stage to tell the impact, some of the tools have been developed as well as avenues opened to allow for civil society input and feedback. For the next round of the PAR Roadmap, it is reported that this focus will continue. UN Women has helped with the formulation of the next roadmap. Human rights based approaches</w:t>
      </w:r>
      <w:r w:rsidR="00301F3A" w:rsidRPr="00E8321B">
        <w:rPr>
          <w:rFonts w:ascii="Arial" w:hAnsi="Arial"/>
          <w:sz w:val="22"/>
          <w:szCs w:val="22"/>
        </w:rPr>
        <w:t>, including addressing SDGs,</w:t>
      </w:r>
      <w:r w:rsidR="00EB4305" w:rsidRPr="00E8321B">
        <w:rPr>
          <w:rFonts w:ascii="Arial" w:hAnsi="Arial"/>
          <w:sz w:val="22"/>
          <w:szCs w:val="22"/>
        </w:rPr>
        <w:t xml:space="preserve"> are built into the policy planning monitoring and reporting methodology and approach and there are avenues for input for civil society that are required as well as monitoring information from civil society that will also be required. Civil service training, </w:t>
      </w:r>
      <w:r w:rsidR="00C66BBC" w:rsidRPr="00E8321B">
        <w:rPr>
          <w:rFonts w:ascii="Arial" w:hAnsi="Arial"/>
          <w:sz w:val="22"/>
          <w:szCs w:val="22"/>
        </w:rPr>
        <w:t xml:space="preserve">hiring rules, </w:t>
      </w:r>
      <w:r w:rsidR="00EB4305" w:rsidRPr="00E8321B">
        <w:rPr>
          <w:rFonts w:ascii="Arial" w:hAnsi="Arial"/>
          <w:sz w:val="22"/>
          <w:szCs w:val="22"/>
        </w:rPr>
        <w:t>performance appraisals, dispute resolution or mediation, are all elements to a more equitable and merit-based civil service that is open to all with equal opportunity. And, the new service delivery standards have emphasized broadening use</w:t>
      </w:r>
      <w:r w:rsidR="00EB4305">
        <w:rPr>
          <w:rFonts w:ascii="Arial" w:hAnsi="Arial"/>
          <w:sz w:val="22"/>
          <w:szCs w:val="22"/>
        </w:rPr>
        <w:t xml:space="preserve"> or make bette</w:t>
      </w:r>
      <w:r w:rsidR="00C66BBC">
        <w:rPr>
          <w:rFonts w:ascii="Arial" w:hAnsi="Arial"/>
          <w:sz w:val="22"/>
          <w:szCs w:val="22"/>
        </w:rPr>
        <w:t>r use of services for</w:t>
      </w:r>
      <w:r w:rsidR="00EB4305">
        <w:rPr>
          <w:rFonts w:ascii="Arial" w:hAnsi="Arial"/>
          <w:sz w:val="22"/>
          <w:szCs w:val="22"/>
        </w:rPr>
        <w:t xml:space="preserve"> those wi</w:t>
      </w:r>
      <w:r w:rsidR="00301F3A">
        <w:rPr>
          <w:rFonts w:ascii="Arial" w:hAnsi="Arial"/>
          <w:sz w:val="22"/>
          <w:szCs w:val="22"/>
        </w:rPr>
        <w:t>th disabilities</w:t>
      </w:r>
      <w:r w:rsidR="00EB4305">
        <w:rPr>
          <w:rFonts w:ascii="Arial" w:hAnsi="Arial"/>
          <w:sz w:val="22"/>
          <w:szCs w:val="22"/>
        </w:rPr>
        <w:t xml:space="preserve"> as well as inc</w:t>
      </w:r>
      <w:r w:rsidR="00223F43">
        <w:rPr>
          <w:rFonts w:ascii="Arial" w:hAnsi="Arial"/>
          <w:sz w:val="22"/>
          <w:szCs w:val="22"/>
        </w:rPr>
        <w:t>reasing access for all citizens</w:t>
      </w:r>
      <w:r w:rsidR="00EB4305">
        <w:rPr>
          <w:rFonts w:ascii="Arial" w:hAnsi="Arial"/>
          <w:sz w:val="22"/>
          <w:szCs w:val="22"/>
        </w:rPr>
        <w:t xml:space="preserve"> across the country. </w:t>
      </w:r>
    </w:p>
    <w:p w14:paraId="15594128" w14:textId="77777777" w:rsidR="00EB4305" w:rsidRDefault="00EB4305" w:rsidP="00EB4305">
      <w:pPr>
        <w:jc w:val="both"/>
        <w:rPr>
          <w:rFonts w:ascii="Arial" w:hAnsi="Arial"/>
          <w:sz w:val="22"/>
          <w:szCs w:val="22"/>
        </w:rPr>
      </w:pPr>
    </w:p>
    <w:p w14:paraId="1C254B1D" w14:textId="390674B2" w:rsidR="00EB4305" w:rsidRDefault="00EB4305" w:rsidP="00EB4305">
      <w:pPr>
        <w:ind w:left="360"/>
        <w:jc w:val="both"/>
        <w:rPr>
          <w:rFonts w:ascii="Arial" w:hAnsi="Arial"/>
          <w:sz w:val="22"/>
          <w:szCs w:val="22"/>
        </w:rPr>
      </w:pPr>
      <w:r>
        <w:rPr>
          <w:rFonts w:ascii="Arial" w:hAnsi="Arial"/>
          <w:sz w:val="22"/>
          <w:szCs w:val="22"/>
        </w:rPr>
        <w:t xml:space="preserve">While the above advances have been made, the </w:t>
      </w:r>
      <w:r w:rsidR="008D272D">
        <w:rPr>
          <w:rFonts w:ascii="Arial" w:hAnsi="Arial"/>
          <w:sz w:val="22"/>
          <w:szCs w:val="22"/>
        </w:rPr>
        <w:t xml:space="preserve">human rights emphasis needs to continue. </w:t>
      </w:r>
      <w:r>
        <w:rPr>
          <w:rFonts w:ascii="Arial" w:hAnsi="Arial"/>
          <w:sz w:val="22"/>
          <w:szCs w:val="22"/>
        </w:rPr>
        <w:t>Implementatio</w:t>
      </w:r>
      <w:r w:rsidR="008D272D">
        <w:rPr>
          <w:rFonts w:ascii="Arial" w:hAnsi="Arial"/>
          <w:sz w:val="22"/>
          <w:szCs w:val="22"/>
        </w:rPr>
        <w:t>n is always challenging and</w:t>
      </w:r>
      <w:r>
        <w:rPr>
          <w:rFonts w:ascii="Arial" w:hAnsi="Arial"/>
          <w:sz w:val="22"/>
          <w:szCs w:val="22"/>
        </w:rPr>
        <w:t xml:space="preserve"> attention can </w:t>
      </w:r>
      <w:r w:rsidR="008D272D">
        <w:rPr>
          <w:rFonts w:ascii="Arial" w:hAnsi="Arial"/>
          <w:sz w:val="22"/>
          <w:szCs w:val="22"/>
        </w:rPr>
        <w:t xml:space="preserve">be </w:t>
      </w:r>
      <w:r>
        <w:rPr>
          <w:rFonts w:ascii="Arial" w:hAnsi="Arial"/>
          <w:sz w:val="22"/>
          <w:szCs w:val="22"/>
        </w:rPr>
        <w:t xml:space="preserve">refocused elsewhere. </w:t>
      </w:r>
      <w:r w:rsidR="008D272D">
        <w:rPr>
          <w:rFonts w:ascii="Arial" w:hAnsi="Arial"/>
          <w:sz w:val="22"/>
          <w:szCs w:val="22"/>
        </w:rPr>
        <w:t xml:space="preserve">For the next phase of the project, indicators should be identified at the beginning along with collection modalities so the impact can be better measured. </w:t>
      </w:r>
      <w:r>
        <w:rPr>
          <w:rFonts w:ascii="Arial" w:hAnsi="Arial"/>
          <w:sz w:val="22"/>
          <w:szCs w:val="22"/>
        </w:rPr>
        <w:t xml:space="preserve">There should be constant </w:t>
      </w:r>
      <w:r>
        <w:rPr>
          <w:rFonts w:ascii="Arial" w:hAnsi="Arial"/>
          <w:sz w:val="22"/>
          <w:szCs w:val="22"/>
        </w:rPr>
        <w:lastRenderedPageBreak/>
        <w:t>monitoring of indicators to make sure the appropriate feedback is being provided from civil society so that needs are met.</w:t>
      </w:r>
    </w:p>
    <w:p w14:paraId="6EDD0C54" w14:textId="6B4BB196" w:rsidR="004764F7" w:rsidRDefault="004764F7" w:rsidP="008D272D">
      <w:pPr>
        <w:jc w:val="both"/>
        <w:rPr>
          <w:rFonts w:ascii="Arial" w:hAnsi="Arial"/>
          <w:sz w:val="22"/>
          <w:szCs w:val="22"/>
        </w:rPr>
      </w:pPr>
    </w:p>
    <w:p w14:paraId="1C1D73C9" w14:textId="1B301599" w:rsidR="00D66985" w:rsidRDefault="008D272D" w:rsidP="00512CE8">
      <w:pPr>
        <w:pStyle w:val="ListParagraph"/>
        <w:numPr>
          <w:ilvl w:val="0"/>
          <w:numId w:val="57"/>
        </w:numPr>
        <w:ind w:left="360"/>
        <w:jc w:val="both"/>
        <w:rPr>
          <w:rFonts w:ascii="Arial" w:hAnsi="Arial"/>
          <w:sz w:val="22"/>
          <w:szCs w:val="22"/>
        </w:rPr>
      </w:pPr>
      <w:r w:rsidRPr="00E501DE">
        <w:rPr>
          <w:rFonts w:ascii="Arial" w:hAnsi="Arial"/>
          <w:i/>
          <w:sz w:val="22"/>
          <w:szCs w:val="22"/>
        </w:rPr>
        <w:t>Decentralization and Local G</w:t>
      </w:r>
      <w:r w:rsidR="00D66985" w:rsidRPr="00E501DE">
        <w:rPr>
          <w:rFonts w:ascii="Arial" w:hAnsi="Arial"/>
          <w:i/>
          <w:sz w:val="22"/>
          <w:szCs w:val="22"/>
        </w:rPr>
        <w:t>overnment</w:t>
      </w:r>
      <w:r>
        <w:rPr>
          <w:rFonts w:ascii="Arial" w:hAnsi="Arial"/>
          <w:sz w:val="22"/>
          <w:szCs w:val="22"/>
        </w:rPr>
        <w:t xml:space="preserve">: </w:t>
      </w:r>
      <w:r w:rsidR="00EA1F4C">
        <w:rPr>
          <w:rFonts w:ascii="Arial" w:hAnsi="Arial"/>
          <w:sz w:val="22"/>
          <w:szCs w:val="22"/>
        </w:rPr>
        <w:t>Decentralization and local governance deve</w:t>
      </w:r>
      <w:r w:rsidR="009020FB">
        <w:rPr>
          <w:rFonts w:ascii="Arial" w:hAnsi="Arial"/>
          <w:sz w:val="22"/>
          <w:szCs w:val="22"/>
        </w:rPr>
        <w:t>lopment are priority</w:t>
      </w:r>
      <w:r w:rsidR="00EA1F4C">
        <w:rPr>
          <w:rFonts w:ascii="Arial" w:hAnsi="Arial"/>
          <w:sz w:val="22"/>
          <w:szCs w:val="22"/>
        </w:rPr>
        <w:t xml:space="preserve"> areas as indicated by the decentralization strategy and various local government strengthening efforts, including those supported by UNDP and other development partners. It appears that the project touched upon local governance to a certain extent. This effort has been somewhat piecemeal</w:t>
      </w:r>
      <w:r w:rsidR="00301F3A">
        <w:rPr>
          <w:rFonts w:ascii="Arial" w:hAnsi="Arial"/>
          <w:sz w:val="22"/>
          <w:szCs w:val="22"/>
        </w:rPr>
        <w:t>.</w:t>
      </w:r>
      <w:r w:rsidR="00EA1F4C">
        <w:rPr>
          <w:rFonts w:ascii="Arial" w:hAnsi="Arial"/>
          <w:sz w:val="22"/>
          <w:szCs w:val="22"/>
        </w:rPr>
        <w:t xml:space="preserve"> </w:t>
      </w:r>
      <w:r w:rsidR="00301F3A">
        <w:rPr>
          <w:rFonts w:ascii="Arial" w:hAnsi="Arial"/>
          <w:sz w:val="22"/>
          <w:szCs w:val="22"/>
        </w:rPr>
        <w:t>For t</w:t>
      </w:r>
      <w:r w:rsidR="00EA1F4C">
        <w:rPr>
          <w:rFonts w:ascii="Arial" w:hAnsi="Arial"/>
          <w:sz w:val="22"/>
          <w:szCs w:val="22"/>
        </w:rPr>
        <w:t xml:space="preserve">rue decentralization and local government development to occur that is on par and synchronized with the central level PAR, a more concerted effort is </w:t>
      </w:r>
      <w:r w:rsidR="009020FB">
        <w:rPr>
          <w:rFonts w:ascii="Arial" w:hAnsi="Arial"/>
          <w:sz w:val="22"/>
          <w:szCs w:val="22"/>
        </w:rPr>
        <w:t>needed. It is not currently</w:t>
      </w:r>
      <w:r w:rsidR="00EA1F4C">
        <w:rPr>
          <w:rFonts w:ascii="Arial" w:hAnsi="Arial"/>
          <w:sz w:val="22"/>
          <w:szCs w:val="22"/>
        </w:rPr>
        <w:t xml:space="preserve"> foreseen that the next phase of the project will be able to address applying what has been</w:t>
      </w:r>
      <w:r w:rsidR="009020FB">
        <w:rPr>
          <w:rFonts w:ascii="Arial" w:hAnsi="Arial"/>
          <w:sz w:val="22"/>
          <w:szCs w:val="22"/>
        </w:rPr>
        <w:t xml:space="preserve"> developed through the project at the local level. Such activities could be integrated into projects that are currently active at the local level, if additional funding is added to such a project. Or, additional funding could be added to bring the next phase of the PAR project’s activities to the local level.</w:t>
      </w:r>
    </w:p>
    <w:p w14:paraId="1C780F3B" w14:textId="77777777" w:rsidR="009020FB" w:rsidRPr="009020FB" w:rsidRDefault="009020FB" w:rsidP="009020FB">
      <w:pPr>
        <w:jc w:val="both"/>
        <w:rPr>
          <w:rFonts w:ascii="Arial" w:hAnsi="Arial"/>
          <w:sz w:val="22"/>
          <w:szCs w:val="22"/>
        </w:rPr>
      </w:pPr>
    </w:p>
    <w:p w14:paraId="00BD771B" w14:textId="26830C0C" w:rsidR="00383BE7" w:rsidRDefault="009020FB" w:rsidP="00383BE7">
      <w:pPr>
        <w:pStyle w:val="ListParagraph"/>
        <w:numPr>
          <w:ilvl w:val="0"/>
          <w:numId w:val="57"/>
        </w:numPr>
        <w:ind w:left="360"/>
        <w:jc w:val="both"/>
        <w:rPr>
          <w:rFonts w:ascii="Arial" w:hAnsi="Arial"/>
          <w:sz w:val="22"/>
          <w:szCs w:val="22"/>
        </w:rPr>
      </w:pPr>
      <w:proofErr w:type="spellStart"/>
      <w:r w:rsidRPr="00835477">
        <w:rPr>
          <w:rFonts w:ascii="Arial" w:hAnsi="Arial"/>
          <w:i/>
          <w:sz w:val="22"/>
          <w:szCs w:val="22"/>
        </w:rPr>
        <w:t>GoG</w:t>
      </w:r>
      <w:proofErr w:type="spellEnd"/>
      <w:r w:rsidRPr="00835477">
        <w:rPr>
          <w:rFonts w:ascii="Arial" w:hAnsi="Arial"/>
          <w:i/>
          <w:sz w:val="22"/>
          <w:szCs w:val="22"/>
        </w:rPr>
        <w:t xml:space="preserve"> External Assistance Coordination:</w:t>
      </w:r>
      <w:r w:rsidR="00E501DE" w:rsidRPr="00835477">
        <w:rPr>
          <w:rFonts w:ascii="Arial" w:hAnsi="Arial"/>
          <w:sz w:val="22"/>
          <w:szCs w:val="22"/>
        </w:rPr>
        <w:t xml:space="preserve"> As previously mentioned</w:t>
      </w:r>
      <w:r w:rsidR="003F1413" w:rsidRPr="00835477">
        <w:rPr>
          <w:rFonts w:ascii="Arial" w:hAnsi="Arial"/>
          <w:sz w:val="22"/>
          <w:szCs w:val="22"/>
        </w:rPr>
        <w:t>,</w:t>
      </w:r>
      <w:r w:rsidR="00E501DE" w:rsidRPr="00835477">
        <w:rPr>
          <w:rFonts w:ascii="Arial" w:hAnsi="Arial"/>
          <w:sz w:val="22"/>
          <w:szCs w:val="22"/>
        </w:rPr>
        <w:t xml:space="preserve"> development partner</w:t>
      </w:r>
      <w:r w:rsidRPr="00835477">
        <w:rPr>
          <w:rFonts w:ascii="Arial" w:hAnsi="Arial"/>
          <w:sz w:val="22"/>
          <w:szCs w:val="22"/>
        </w:rPr>
        <w:t xml:space="preserve"> coordination is happening by the</w:t>
      </w:r>
      <w:r w:rsidR="00E501DE" w:rsidRPr="00835477">
        <w:rPr>
          <w:rFonts w:ascii="Arial" w:hAnsi="Arial"/>
          <w:sz w:val="22"/>
          <w:szCs w:val="22"/>
        </w:rPr>
        <w:t xml:space="preserve"> development partners</w:t>
      </w:r>
      <w:r w:rsidRPr="00835477">
        <w:rPr>
          <w:rFonts w:ascii="Arial" w:hAnsi="Arial"/>
          <w:sz w:val="22"/>
          <w:szCs w:val="22"/>
        </w:rPr>
        <w:t xml:space="preserve"> amongst themselves and with government stakeholders as required. However, given that the PAR is intended to be government-wide a</w:t>
      </w:r>
      <w:r w:rsidR="003F1413" w:rsidRPr="00835477">
        <w:rPr>
          <w:rFonts w:ascii="Arial" w:hAnsi="Arial"/>
          <w:sz w:val="22"/>
          <w:szCs w:val="22"/>
        </w:rPr>
        <w:t>nd given the depth that is needed</w:t>
      </w:r>
      <w:r w:rsidRPr="00835477">
        <w:rPr>
          <w:rFonts w:ascii="Arial" w:hAnsi="Arial"/>
          <w:sz w:val="22"/>
          <w:szCs w:val="22"/>
        </w:rPr>
        <w:t xml:space="preserve"> across government, there seems to be the ne</w:t>
      </w:r>
      <w:r w:rsidR="00E501DE" w:rsidRPr="00835477">
        <w:rPr>
          <w:rFonts w:ascii="Arial" w:hAnsi="Arial"/>
          <w:sz w:val="22"/>
          <w:szCs w:val="22"/>
        </w:rPr>
        <w:t>ed for more government-led development partner</w:t>
      </w:r>
      <w:r w:rsidRPr="00835477">
        <w:rPr>
          <w:rFonts w:ascii="Arial" w:hAnsi="Arial"/>
          <w:sz w:val="22"/>
          <w:szCs w:val="22"/>
        </w:rPr>
        <w:t xml:space="preserve"> coordination. Such coordinati</w:t>
      </w:r>
      <w:r w:rsidR="00E501DE" w:rsidRPr="00835477">
        <w:rPr>
          <w:rFonts w:ascii="Arial" w:hAnsi="Arial"/>
          <w:sz w:val="22"/>
          <w:szCs w:val="22"/>
        </w:rPr>
        <w:t>o</w:t>
      </w:r>
      <w:r w:rsidRPr="00835477">
        <w:rPr>
          <w:rFonts w:ascii="Arial" w:hAnsi="Arial"/>
          <w:sz w:val="22"/>
          <w:szCs w:val="22"/>
        </w:rPr>
        <w:t xml:space="preserve">n could help </w:t>
      </w:r>
      <w:r w:rsidR="00E501DE" w:rsidRPr="00835477">
        <w:rPr>
          <w:rFonts w:ascii="Arial" w:hAnsi="Arial"/>
          <w:sz w:val="22"/>
          <w:szCs w:val="22"/>
        </w:rPr>
        <w:t xml:space="preserve">PAR </w:t>
      </w:r>
      <w:r w:rsidRPr="00835477">
        <w:rPr>
          <w:rFonts w:ascii="Arial" w:hAnsi="Arial"/>
          <w:sz w:val="22"/>
          <w:szCs w:val="22"/>
        </w:rPr>
        <w:t xml:space="preserve">to move at a more rapid </w:t>
      </w:r>
      <w:r w:rsidR="00E501DE" w:rsidRPr="00835477">
        <w:rPr>
          <w:rFonts w:ascii="Arial" w:hAnsi="Arial"/>
          <w:sz w:val="22"/>
          <w:szCs w:val="22"/>
        </w:rPr>
        <w:t>pace, concentrate r</w:t>
      </w:r>
      <w:r w:rsidRPr="00835477">
        <w:rPr>
          <w:rFonts w:ascii="Arial" w:hAnsi="Arial"/>
          <w:sz w:val="22"/>
          <w:szCs w:val="22"/>
        </w:rPr>
        <w:t>esour</w:t>
      </w:r>
      <w:r w:rsidR="00E501DE" w:rsidRPr="00835477">
        <w:rPr>
          <w:rFonts w:ascii="Arial" w:hAnsi="Arial"/>
          <w:sz w:val="22"/>
          <w:szCs w:val="22"/>
        </w:rPr>
        <w:t>ces on priorities, and address</w:t>
      </w:r>
      <w:r w:rsidRPr="00835477">
        <w:rPr>
          <w:rFonts w:ascii="Arial" w:hAnsi="Arial"/>
          <w:sz w:val="22"/>
          <w:szCs w:val="22"/>
        </w:rPr>
        <w:t xml:space="preserve"> issue that seem sensitive or difficult. Development partners are key collaborators and the current coordination has helped to avoid repetition and has contributed to some concentrati</w:t>
      </w:r>
      <w:r w:rsidR="00E501DE" w:rsidRPr="00835477">
        <w:rPr>
          <w:rFonts w:ascii="Arial" w:hAnsi="Arial"/>
          <w:sz w:val="22"/>
          <w:szCs w:val="22"/>
        </w:rPr>
        <w:t>o</w:t>
      </w:r>
      <w:r w:rsidRPr="00835477">
        <w:rPr>
          <w:rFonts w:ascii="Arial" w:hAnsi="Arial"/>
          <w:sz w:val="22"/>
          <w:szCs w:val="22"/>
        </w:rPr>
        <w:t xml:space="preserve">n of attention and resources. However, given a further stage of PAR about to begin, </w:t>
      </w:r>
      <w:r w:rsidR="00E501DE" w:rsidRPr="00835477">
        <w:rPr>
          <w:rFonts w:ascii="Arial" w:hAnsi="Arial"/>
          <w:sz w:val="22"/>
          <w:szCs w:val="22"/>
        </w:rPr>
        <w:t>and in line with leadership, ownership, transparency and accountability, such government-led c</w:t>
      </w:r>
      <w:r w:rsidRPr="00835477">
        <w:rPr>
          <w:rFonts w:ascii="Arial" w:hAnsi="Arial"/>
          <w:sz w:val="22"/>
          <w:szCs w:val="22"/>
        </w:rPr>
        <w:t>oordinati</w:t>
      </w:r>
      <w:r w:rsidR="00E501DE" w:rsidRPr="00835477">
        <w:rPr>
          <w:rFonts w:ascii="Arial" w:hAnsi="Arial"/>
          <w:sz w:val="22"/>
          <w:szCs w:val="22"/>
        </w:rPr>
        <w:t>o</w:t>
      </w:r>
      <w:r w:rsidRPr="00835477">
        <w:rPr>
          <w:rFonts w:ascii="Arial" w:hAnsi="Arial"/>
          <w:sz w:val="22"/>
          <w:szCs w:val="22"/>
        </w:rPr>
        <w:t xml:space="preserve">n appears </w:t>
      </w:r>
      <w:r w:rsidR="00E501DE" w:rsidRPr="00835477">
        <w:rPr>
          <w:rFonts w:ascii="Arial" w:hAnsi="Arial"/>
          <w:sz w:val="22"/>
          <w:szCs w:val="22"/>
        </w:rPr>
        <w:t xml:space="preserve">appropriate. An emphasis should be on government management and execution. </w:t>
      </w:r>
      <w:r w:rsidRPr="00835477">
        <w:rPr>
          <w:rFonts w:ascii="Arial" w:hAnsi="Arial"/>
          <w:sz w:val="22"/>
          <w:szCs w:val="22"/>
        </w:rPr>
        <w:t>Also, it may give impetus for the PAR Council to be more active. Its activity</w:t>
      </w:r>
      <w:r w:rsidR="00E501DE" w:rsidRPr="00835477">
        <w:rPr>
          <w:rFonts w:ascii="Arial" w:hAnsi="Arial"/>
          <w:sz w:val="22"/>
          <w:szCs w:val="22"/>
        </w:rPr>
        <w:t xml:space="preserve"> has waned the l</w:t>
      </w:r>
      <w:r w:rsidRPr="00835477">
        <w:rPr>
          <w:rFonts w:ascii="Arial" w:hAnsi="Arial"/>
          <w:sz w:val="22"/>
          <w:szCs w:val="22"/>
        </w:rPr>
        <w:t>a</w:t>
      </w:r>
      <w:r w:rsidR="00E501DE" w:rsidRPr="00835477">
        <w:rPr>
          <w:rFonts w:ascii="Arial" w:hAnsi="Arial"/>
          <w:sz w:val="22"/>
          <w:szCs w:val="22"/>
        </w:rPr>
        <w:t>s</w:t>
      </w:r>
      <w:r w:rsidRPr="00835477">
        <w:rPr>
          <w:rFonts w:ascii="Arial" w:hAnsi="Arial"/>
          <w:sz w:val="22"/>
          <w:szCs w:val="22"/>
        </w:rPr>
        <w:t xml:space="preserve">t two years. This has slowed some approvals. </w:t>
      </w:r>
    </w:p>
    <w:p w14:paraId="0C71ED39" w14:textId="77777777" w:rsidR="00835477" w:rsidRPr="00835477" w:rsidRDefault="00835477" w:rsidP="00835477">
      <w:pPr>
        <w:jc w:val="both"/>
        <w:rPr>
          <w:rFonts w:ascii="Arial" w:hAnsi="Arial"/>
          <w:sz w:val="22"/>
          <w:szCs w:val="22"/>
        </w:rPr>
      </w:pPr>
    </w:p>
    <w:p w14:paraId="213224C8" w14:textId="3955396C" w:rsidR="00383BE7" w:rsidRDefault="00383BE7" w:rsidP="00383BE7">
      <w:pPr>
        <w:ind w:left="360" w:hanging="360"/>
        <w:jc w:val="both"/>
        <w:rPr>
          <w:rFonts w:ascii="Arial" w:hAnsi="Arial"/>
          <w:sz w:val="22"/>
          <w:szCs w:val="22"/>
        </w:rPr>
      </w:pPr>
      <w:r>
        <w:rPr>
          <w:rFonts w:ascii="Arial" w:hAnsi="Arial"/>
          <w:sz w:val="22"/>
          <w:szCs w:val="22"/>
        </w:rPr>
        <w:tab/>
        <w:t xml:space="preserve">Also, the governance and PAR space has many players working throughout government to include, the parliament, policy planning and management, civil service reform, public service delivery, decentralization, local governance, public finance, anti-corruption, etc. The </w:t>
      </w:r>
      <w:proofErr w:type="spellStart"/>
      <w:r>
        <w:rPr>
          <w:rFonts w:ascii="Arial" w:hAnsi="Arial"/>
          <w:sz w:val="22"/>
          <w:szCs w:val="22"/>
        </w:rPr>
        <w:t>GoG</w:t>
      </w:r>
      <w:proofErr w:type="spellEnd"/>
      <w:r>
        <w:rPr>
          <w:rFonts w:ascii="Arial" w:hAnsi="Arial"/>
          <w:sz w:val="22"/>
          <w:szCs w:val="22"/>
        </w:rPr>
        <w:t xml:space="preserve"> and development partners may benefit to have an inventory of all such interventions. It is reported that USAID</w:t>
      </w:r>
      <w:r w:rsidR="00E113CA">
        <w:rPr>
          <w:rFonts w:ascii="Arial" w:hAnsi="Arial"/>
          <w:sz w:val="22"/>
          <w:szCs w:val="22"/>
        </w:rPr>
        <w:t xml:space="preserve"> is preparing a list of PAR projects</w:t>
      </w:r>
      <w:r>
        <w:rPr>
          <w:rFonts w:ascii="Arial" w:hAnsi="Arial"/>
          <w:sz w:val="22"/>
          <w:szCs w:val="22"/>
        </w:rPr>
        <w:t xml:space="preserve">. Such an inventory should be thorough and show what areas are being addressed, timelines and counterparts/stakeholders. </w:t>
      </w:r>
      <w:r w:rsidR="00835477">
        <w:rPr>
          <w:rFonts w:ascii="Arial" w:hAnsi="Arial"/>
          <w:sz w:val="22"/>
          <w:szCs w:val="22"/>
        </w:rPr>
        <w:t xml:space="preserve">It should also be aligned with the new PAR Roadmap to show what areas are being addressed and what areas need attentions. </w:t>
      </w:r>
      <w:r>
        <w:rPr>
          <w:rFonts w:ascii="Arial" w:hAnsi="Arial"/>
          <w:sz w:val="22"/>
          <w:szCs w:val="22"/>
        </w:rPr>
        <w:t xml:space="preserve">Such an effort will help the </w:t>
      </w:r>
      <w:proofErr w:type="spellStart"/>
      <w:r>
        <w:rPr>
          <w:rFonts w:ascii="Arial" w:hAnsi="Arial"/>
          <w:sz w:val="22"/>
          <w:szCs w:val="22"/>
        </w:rPr>
        <w:t>GoG</w:t>
      </w:r>
      <w:proofErr w:type="spellEnd"/>
      <w:r>
        <w:rPr>
          <w:rFonts w:ascii="Arial" w:hAnsi="Arial"/>
          <w:sz w:val="22"/>
          <w:szCs w:val="22"/>
        </w:rPr>
        <w:t xml:space="preserve"> and all development partners to be on the same page. It will also show what government agencies are doing since some entities are involved in</w:t>
      </w:r>
      <w:r w:rsidR="00835477">
        <w:rPr>
          <w:rFonts w:ascii="Arial" w:hAnsi="Arial"/>
          <w:sz w:val="22"/>
          <w:szCs w:val="22"/>
        </w:rPr>
        <w:t xml:space="preserve"> several interventions at once. </w:t>
      </w:r>
      <w:r>
        <w:rPr>
          <w:rFonts w:ascii="Arial" w:hAnsi="Arial"/>
          <w:sz w:val="22"/>
          <w:szCs w:val="22"/>
        </w:rPr>
        <w:t>Such an inventory is essential for government-development partner coordination.</w:t>
      </w:r>
    </w:p>
    <w:p w14:paraId="0F42808B" w14:textId="77777777" w:rsidR="003F1413" w:rsidRDefault="003F1413" w:rsidP="00383BE7">
      <w:pPr>
        <w:ind w:left="360" w:hanging="360"/>
        <w:jc w:val="both"/>
        <w:rPr>
          <w:rFonts w:ascii="Arial" w:hAnsi="Arial"/>
          <w:sz w:val="22"/>
          <w:szCs w:val="22"/>
        </w:rPr>
      </w:pPr>
    </w:p>
    <w:p w14:paraId="054A002F" w14:textId="3209CB55" w:rsidR="003F1413" w:rsidRPr="00383BE7" w:rsidRDefault="003F1413" w:rsidP="00383BE7">
      <w:pPr>
        <w:ind w:left="360" w:hanging="360"/>
        <w:jc w:val="both"/>
        <w:rPr>
          <w:rFonts w:ascii="Arial" w:hAnsi="Arial"/>
          <w:sz w:val="22"/>
          <w:szCs w:val="22"/>
        </w:rPr>
      </w:pPr>
      <w:r>
        <w:rPr>
          <w:rFonts w:ascii="Arial" w:hAnsi="Arial"/>
          <w:sz w:val="22"/>
          <w:szCs w:val="22"/>
        </w:rPr>
        <w:tab/>
        <w:t>UNDP is positioned to assist in facilitating this government-led coordination given its experience with the governance reform agenda and its objective stance.</w:t>
      </w:r>
    </w:p>
    <w:p w14:paraId="1F34C3AA" w14:textId="77777777" w:rsidR="00E501DE" w:rsidRPr="00E501DE" w:rsidRDefault="00E501DE" w:rsidP="00E501DE">
      <w:pPr>
        <w:jc w:val="both"/>
        <w:rPr>
          <w:rFonts w:ascii="Arial" w:hAnsi="Arial"/>
          <w:sz w:val="22"/>
          <w:szCs w:val="22"/>
        </w:rPr>
      </w:pPr>
    </w:p>
    <w:p w14:paraId="169C526D" w14:textId="372641C5" w:rsidR="00E501DE" w:rsidRDefault="00E501DE" w:rsidP="00512CE8">
      <w:pPr>
        <w:pStyle w:val="ListParagraph"/>
        <w:numPr>
          <w:ilvl w:val="0"/>
          <w:numId w:val="57"/>
        </w:numPr>
        <w:ind w:left="360"/>
        <w:jc w:val="both"/>
        <w:rPr>
          <w:rFonts w:ascii="Arial" w:hAnsi="Arial"/>
          <w:sz w:val="22"/>
          <w:szCs w:val="22"/>
        </w:rPr>
      </w:pPr>
      <w:r>
        <w:rPr>
          <w:rFonts w:ascii="Arial" w:hAnsi="Arial"/>
          <w:i/>
          <w:sz w:val="22"/>
          <w:szCs w:val="22"/>
        </w:rPr>
        <w:t>Exist Strategy, Exit Strategy, Exit Strategy:</w:t>
      </w:r>
      <w:r>
        <w:rPr>
          <w:rFonts w:ascii="Arial" w:hAnsi="Arial"/>
          <w:sz w:val="22"/>
          <w:szCs w:val="22"/>
        </w:rPr>
        <w:t xml:space="preserve"> </w:t>
      </w:r>
      <w:r w:rsidR="00221D6B">
        <w:rPr>
          <w:rFonts w:ascii="Arial" w:hAnsi="Arial"/>
          <w:sz w:val="22"/>
          <w:szCs w:val="22"/>
        </w:rPr>
        <w:t>The next phase of the project should have an exit strategy fo</w:t>
      </w:r>
      <w:r w:rsidR="00383BE7">
        <w:rPr>
          <w:rFonts w:ascii="Arial" w:hAnsi="Arial"/>
          <w:sz w:val="22"/>
          <w:szCs w:val="22"/>
        </w:rPr>
        <w:t xml:space="preserve">r each </w:t>
      </w:r>
      <w:r w:rsidR="00835477">
        <w:rPr>
          <w:rFonts w:ascii="Arial" w:hAnsi="Arial"/>
          <w:sz w:val="22"/>
          <w:szCs w:val="22"/>
        </w:rPr>
        <w:t>outcome area</w:t>
      </w:r>
      <w:r w:rsidR="00221D6B">
        <w:rPr>
          <w:rFonts w:ascii="Arial" w:hAnsi="Arial"/>
          <w:sz w:val="22"/>
          <w:szCs w:val="22"/>
        </w:rPr>
        <w:t>. The respective st</w:t>
      </w:r>
      <w:r w:rsidR="00301F3A">
        <w:rPr>
          <w:rFonts w:ascii="Arial" w:hAnsi="Arial"/>
          <w:sz w:val="22"/>
          <w:szCs w:val="22"/>
        </w:rPr>
        <w:t>rategies should be agreed to with each stakeholder</w:t>
      </w:r>
      <w:r w:rsidR="00221D6B">
        <w:rPr>
          <w:rFonts w:ascii="Arial" w:hAnsi="Arial"/>
          <w:sz w:val="22"/>
          <w:szCs w:val="22"/>
        </w:rPr>
        <w:t xml:space="preserve"> and a</w:t>
      </w:r>
      <w:r w:rsidR="00835477">
        <w:rPr>
          <w:rFonts w:ascii="Arial" w:hAnsi="Arial"/>
          <w:sz w:val="22"/>
          <w:szCs w:val="22"/>
        </w:rPr>
        <w:t xml:space="preserve"> “handover” timeline prepared</w:t>
      </w:r>
      <w:r w:rsidR="00221D6B">
        <w:rPr>
          <w:rFonts w:ascii="Arial" w:hAnsi="Arial"/>
          <w:sz w:val="22"/>
          <w:szCs w:val="22"/>
        </w:rPr>
        <w:t xml:space="preserve">. Included in the strategy should be </w:t>
      </w:r>
      <w:r w:rsidR="00301F3A">
        <w:rPr>
          <w:rFonts w:ascii="Arial" w:hAnsi="Arial"/>
          <w:sz w:val="22"/>
          <w:szCs w:val="22"/>
        </w:rPr>
        <w:t>the “elements of sustainability” to identify what is needed for</w:t>
      </w:r>
      <w:r w:rsidR="00221D6B">
        <w:rPr>
          <w:rFonts w:ascii="Arial" w:hAnsi="Arial"/>
          <w:sz w:val="22"/>
          <w:szCs w:val="22"/>
        </w:rPr>
        <w:t xml:space="preserve"> </w:t>
      </w:r>
      <w:r w:rsidR="00301F3A">
        <w:rPr>
          <w:rFonts w:ascii="Arial" w:hAnsi="Arial"/>
          <w:sz w:val="22"/>
          <w:szCs w:val="22"/>
        </w:rPr>
        <w:t>interventions sustainability</w:t>
      </w:r>
      <w:r w:rsidR="00383BE7">
        <w:rPr>
          <w:rFonts w:ascii="Arial" w:hAnsi="Arial"/>
          <w:sz w:val="22"/>
          <w:szCs w:val="22"/>
        </w:rPr>
        <w:t>. For instance, if an e-system is being transferred over, what is needed to maintain it (time, human</w:t>
      </w:r>
      <w:r w:rsidR="00301F3A">
        <w:rPr>
          <w:rFonts w:ascii="Arial" w:hAnsi="Arial"/>
          <w:sz w:val="22"/>
          <w:szCs w:val="22"/>
        </w:rPr>
        <w:t xml:space="preserve"> </w:t>
      </w:r>
      <w:r w:rsidR="00301F3A">
        <w:rPr>
          <w:rFonts w:ascii="Arial" w:hAnsi="Arial"/>
          <w:sz w:val="22"/>
          <w:szCs w:val="22"/>
        </w:rPr>
        <w:lastRenderedPageBreak/>
        <w:t>and financial resources, etc.)?</w:t>
      </w:r>
      <w:r w:rsidR="00383BE7">
        <w:rPr>
          <w:rFonts w:ascii="Arial" w:hAnsi="Arial"/>
          <w:sz w:val="22"/>
          <w:szCs w:val="22"/>
        </w:rPr>
        <w:t xml:space="preserve"> If a mid-term review is being contemplated for the </w:t>
      </w:r>
      <w:r w:rsidR="00301F3A">
        <w:rPr>
          <w:rFonts w:ascii="Arial" w:hAnsi="Arial"/>
          <w:sz w:val="22"/>
          <w:szCs w:val="22"/>
        </w:rPr>
        <w:t xml:space="preserve">project, one of its emphases </w:t>
      </w:r>
      <w:r w:rsidR="00383BE7">
        <w:rPr>
          <w:rFonts w:ascii="Arial" w:hAnsi="Arial"/>
          <w:sz w:val="22"/>
          <w:szCs w:val="22"/>
        </w:rPr>
        <w:t>should be regard</w:t>
      </w:r>
      <w:r w:rsidR="00301F3A">
        <w:rPr>
          <w:rFonts w:ascii="Arial" w:hAnsi="Arial"/>
          <w:sz w:val="22"/>
          <w:szCs w:val="22"/>
        </w:rPr>
        <w:t>ing the status of the</w:t>
      </w:r>
      <w:r w:rsidR="00383BE7">
        <w:rPr>
          <w:rFonts w:ascii="Arial" w:hAnsi="Arial"/>
          <w:sz w:val="22"/>
          <w:szCs w:val="22"/>
        </w:rPr>
        <w:t xml:space="preserve"> output exit strategies. </w:t>
      </w:r>
    </w:p>
    <w:p w14:paraId="4F39244A" w14:textId="77777777" w:rsidR="00383BE7" w:rsidRDefault="00383BE7" w:rsidP="00383BE7">
      <w:pPr>
        <w:jc w:val="both"/>
        <w:rPr>
          <w:rFonts w:ascii="Arial" w:hAnsi="Arial"/>
          <w:sz w:val="22"/>
          <w:szCs w:val="22"/>
        </w:rPr>
      </w:pPr>
    </w:p>
    <w:p w14:paraId="12B68945" w14:textId="014E1E79" w:rsidR="009020FB" w:rsidRDefault="008775A6" w:rsidP="004E1581">
      <w:pPr>
        <w:ind w:left="360"/>
        <w:jc w:val="both"/>
        <w:rPr>
          <w:rFonts w:ascii="Arial" w:hAnsi="Arial"/>
          <w:sz w:val="22"/>
          <w:szCs w:val="22"/>
        </w:rPr>
      </w:pPr>
      <w:r>
        <w:rPr>
          <w:rFonts w:ascii="Arial" w:hAnsi="Arial"/>
          <w:sz w:val="22"/>
          <w:szCs w:val="22"/>
        </w:rPr>
        <w:t>It is not known at this time if the research and CSO grant schemes and emerging needs sub projects will be continued with the next phase of the project. These interventions have helped the project in a variety of ways</w:t>
      </w:r>
      <w:r w:rsidR="00301F3A">
        <w:rPr>
          <w:rFonts w:ascii="Arial" w:hAnsi="Arial"/>
          <w:sz w:val="22"/>
          <w:szCs w:val="22"/>
        </w:rPr>
        <w:t xml:space="preserve"> as described previously. S</w:t>
      </w:r>
      <w:r>
        <w:rPr>
          <w:rFonts w:ascii="Arial" w:hAnsi="Arial"/>
          <w:sz w:val="22"/>
          <w:szCs w:val="22"/>
        </w:rPr>
        <w:t>uch grant schemes and sub projects can’t continue unlimited. If future grants or sub projects are planned they should be discrete and targeted and directly related to a project output. One of the criteria should be how the grant would integrate a human rights based approach and address key issues such as gender and vulnerable groups.</w:t>
      </w:r>
      <w:r w:rsidR="003F1413">
        <w:rPr>
          <w:rFonts w:ascii="Arial" w:hAnsi="Arial"/>
          <w:sz w:val="22"/>
          <w:szCs w:val="22"/>
        </w:rPr>
        <w:br w:type="page"/>
      </w:r>
    </w:p>
    <w:p w14:paraId="2FBFC7F8" w14:textId="77777777" w:rsidR="00875CC3" w:rsidRPr="00B87E53" w:rsidRDefault="00B87E53" w:rsidP="00B87E53">
      <w:pPr>
        <w:pStyle w:val="Heading1"/>
      </w:pPr>
      <w:bookmarkStart w:id="31" w:name="_Toc478138882"/>
      <w:r>
        <w:lastRenderedPageBreak/>
        <w:t>Annex A:</w:t>
      </w:r>
      <w:r>
        <w:tab/>
      </w:r>
      <w:r w:rsidR="00C21390" w:rsidRPr="00B87E53">
        <w:t>Terms of Reference</w:t>
      </w:r>
      <w:bookmarkEnd w:id="31"/>
    </w:p>
    <w:p w14:paraId="3EE7F16E" w14:textId="77777777" w:rsidR="00AB5FA9" w:rsidRPr="006E56C4" w:rsidRDefault="00AB5FA9" w:rsidP="00AB5FA9">
      <w:pPr>
        <w:tabs>
          <w:tab w:val="left" w:pos="1410"/>
        </w:tabs>
        <w:spacing w:before="240"/>
        <w:rPr>
          <w:rFonts w:cstheme="minorHAnsi"/>
          <w:lang w:val="en-GB"/>
        </w:rPr>
      </w:pPr>
      <w:bookmarkStart w:id="32" w:name="_Hlk57628339"/>
      <w:r w:rsidRPr="006E56C4">
        <w:rPr>
          <w:rFonts w:cstheme="minorHAnsi"/>
          <w:lang w:val="en-GB"/>
        </w:rPr>
        <w:t xml:space="preserve">Location: </w:t>
      </w:r>
      <w:r w:rsidRPr="006E56C4">
        <w:rPr>
          <w:rFonts w:cstheme="minorHAnsi"/>
          <w:lang w:val="en-GB"/>
        </w:rPr>
        <w:tab/>
      </w:r>
      <w:r w:rsidRPr="006E56C4">
        <w:rPr>
          <w:rFonts w:cstheme="minorHAnsi"/>
          <w:lang w:val="en-GB"/>
        </w:rPr>
        <w:tab/>
      </w:r>
      <w:r w:rsidRPr="006E56C4">
        <w:rPr>
          <w:rFonts w:cstheme="minorHAnsi"/>
          <w:lang w:val="en-GB"/>
        </w:rPr>
        <w:tab/>
      </w:r>
      <w:r w:rsidRPr="006E56C4">
        <w:rPr>
          <w:rFonts w:cstheme="minorHAnsi"/>
          <w:lang w:val="en-GB"/>
        </w:rPr>
        <w:tab/>
        <w:t xml:space="preserve">       </w:t>
      </w:r>
      <w:r>
        <w:rPr>
          <w:rFonts w:cstheme="minorHAnsi"/>
          <w:lang w:val="en-GB"/>
        </w:rPr>
        <w:t xml:space="preserve">   </w:t>
      </w:r>
      <w:r w:rsidRPr="006E56C4">
        <w:rPr>
          <w:rFonts w:cstheme="minorHAnsi"/>
          <w:lang w:val="en-GB"/>
        </w:rPr>
        <w:t xml:space="preserve">Home based (remotely)  </w:t>
      </w:r>
    </w:p>
    <w:p w14:paraId="6325D8D5" w14:textId="77777777" w:rsidR="00AB5FA9" w:rsidRPr="006E56C4" w:rsidRDefault="00AB5FA9" w:rsidP="00AB5FA9">
      <w:pPr>
        <w:tabs>
          <w:tab w:val="left" w:pos="1410"/>
        </w:tabs>
        <w:rPr>
          <w:rFonts w:cstheme="minorHAnsi"/>
          <w:lang w:val="en-GB"/>
        </w:rPr>
      </w:pPr>
      <w:r w:rsidRPr="006E56C4">
        <w:rPr>
          <w:rFonts w:cstheme="minorHAnsi"/>
          <w:lang w:val="en-GB"/>
        </w:rPr>
        <w:t>Type of Contract:</w:t>
      </w:r>
      <w:r w:rsidRPr="006E56C4">
        <w:rPr>
          <w:rFonts w:cstheme="minorHAnsi"/>
          <w:lang w:val="en-GB"/>
        </w:rPr>
        <w:tab/>
      </w:r>
      <w:r w:rsidRPr="006E56C4">
        <w:rPr>
          <w:rFonts w:cstheme="minorHAnsi"/>
          <w:lang w:val="en-GB"/>
        </w:rPr>
        <w:tab/>
        <w:t xml:space="preserve">      </w:t>
      </w:r>
      <w:r>
        <w:rPr>
          <w:rFonts w:cstheme="minorHAnsi"/>
          <w:lang w:val="en-GB"/>
        </w:rPr>
        <w:t xml:space="preserve">  </w:t>
      </w:r>
      <w:r w:rsidRPr="006E56C4">
        <w:rPr>
          <w:rFonts w:cstheme="minorHAnsi"/>
          <w:lang w:val="en-GB"/>
        </w:rPr>
        <w:t xml:space="preserve">  Individual Contract</w:t>
      </w:r>
    </w:p>
    <w:p w14:paraId="3DFC5558" w14:textId="77777777" w:rsidR="00AB5FA9" w:rsidRPr="006E56C4" w:rsidRDefault="00AB5FA9" w:rsidP="00AB5FA9">
      <w:pPr>
        <w:tabs>
          <w:tab w:val="left" w:pos="1410"/>
        </w:tabs>
        <w:jc w:val="both"/>
        <w:rPr>
          <w:rFonts w:cstheme="minorHAnsi"/>
          <w:b/>
          <w:lang w:val="en-GB"/>
        </w:rPr>
      </w:pPr>
      <w:r w:rsidRPr="006E56C4">
        <w:rPr>
          <w:rFonts w:cstheme="minorHAnsi"/>
          <w:lang w:val="en-GB"/>
        </w:rPr>
        <w:t xml:space="preserve">Job Title: </w:t>
      </w:r>
      <w:r w:rsidRPr="006E56C4">
        <w:rPr>
          <w:rFonts w:cstheme="minorHAnsi"/>
          <w:lang w:val="en-GB"/>
        </w:rPr>
        <w:tab/>
      </w:r>
      <w:r w:rsidRPr="006E56C4">
        <w:rPr>
          <w:rFonts w:cstheme="minorHAnsi"/>
          <w:lang w:val="en-GB"/>
        </w:rPr>
        <w:tab/>
      </w:r>
      <w:r w:rsidRPr="006E56C4">
        <w:rPr>
          <w:rFonts w:cstheme="minorHAnsi"/>
          <w:lang w:val="en-GB"/>
        </w:rPr>
        <w:tab/>
      </w:r>
      <w:r w:rsidRPr="006E56C4">
        <w:rPr>
          <w:rFonts w:cstheme="minorHAnsi"/>
          <w:lang w:val="en-GB"/>
        </w:rPr>
        <w:tab/>
        <w:t xml:space="preserve">       </w:t>
      </w:r>
      <w:r>
        <w:rPr>
          <w:rFonts w:cstheme="minorHAnsi"/>
          <w:lang w:val="en-GB"/>
        </w:rPr>
        <w:t xml:space="preserve">  </w:t>
      </w:r>
      <w:r w:rsidRPr="006E56C4">
        <w:rPr>
          <w:rFonts w:cstheme="minorHAnsi"/>
          <w:lang w:val="en-GB"/>
        </w:rPr>
        <w:t xml:space="preserve"> International Consultant for External Evaluation</w:t>
      </w:r>
      <w:r w:rsidRPr="006E56C4">
        <w:rPr>
          <w:rFonts w:cstheme="minorHAnsi"/>
          <w:bCs/>
          <w:lang w:val="en-GB"/>
        </w:rPr>
        <w:t xml:space="preserve"> of the Project</w:t>
      </w:r>
      <w:r w:rsidRPr="006E56C4">
        <w:rPr>
          <w:rFonts w:cstheme="minorHAnsi"/>
          <w:lang w:val="en-GB"/>
        </w:rPr>
        <w:tab/>
      </w:r>
      <w:r w:rsidRPr="006E56C4">
        <w:rPr>
          <w:rFonts w:cstheme="minorHAnsi"/>
          <w:bCs/>
          <w:lang w:val="en-GB"/>
        </w:rPr>
        <w:t xml:space="preserve"> </w:t>
      </w:r>
      <w:r w:rsidRPr="006E56C4">
        <w:rPr>
          <w:rFonts w:cstheme="minorHAnsi"/>
          <w:b/>
          <w:lang w:val="en-GB"/>
        </w:rPr>
        <w:t xml:space="preserve"> </w:t>
      </w:r>
    </w:p>
    <w:p w14:paraId="1462F560" w14:textId="77777777" w:rsidR="00AB5FA9" w:rsidRPr="006E56C4" w:rsidRDefault="00AB5FA9" w:rsidP="00AB5FA9">
      <w:pPr>
        <w:tabs>
          <w:tab w:val="left" w:pos="1410"/>
        </w:tabs>
        <w:jc w:val="both"/>
        <w:rPr>
          <w:rFonts w:cstheme="minorHAnsi"/>
          <w:lang w:val="en-GB"/>
        </w:rPr>
      </w:pPr>
      <w:r w:rsidRPr="006E56C4">
        <w:rPr>
          <w:rFonts w:cstheme="minorHAnsi"/>
          <w:lang w:val="en-GB"/>
        </w:rPr>
        <w:t xml:space="preserve">Expected Duration of Assignment: </w:t>
      </w:r>
      <w:r>
        <w:rPr>
          <w:rFonts w:cstheme="minorHAnsi"/>
          <w:lang w:val="en-GB"/>
        </w:rPr>
        <w:t xml:space="preserve">    </w:t>
      </w:r>
      <w:r w:rsidRPr="006E56C4">
        <w:rPr>
          <w:rFonts w:cstheme="minorHAnsi"/>
          <w:lang w:val="en-GB"/>
        </w:rPr>
        <w:t xml:space="preserve">Up to 40 working days within a 4 </w:t>
      </w:r>
      <w:proofErr w:type="gramStart"/>
      <w:r w:rsidRPr="006E56C4">
        <w:rPr>
          <w:rFonts w:cstheme="minorHAnsi"/>
          <w:lang w:val="en-GB"/>
        </w:rPr>
        <w:t>months</w:t>
      </w:r>
      <w:proofErr w:type="gramEnd"/>
      <w:r w:rsidRPr="006E56C4">
        <w:rPr>
          <w:rFonts w:cstheme="minorHAnsi"/>
          <w:lang w:val="en-GB"/>
        </w:rPr>
        <w:t xml:space="preserve"> period (December 2020-March 2021) </w:t>
      </w:r>
    </w:p>
    <w:p w14:paraId="336C26A3" w14:textId="77777777" w:rsidR="00AB5FA9" w:rsidRPr="006E56C4" w:rsidRDefault="00AB5FA9" w:rsidP="00AB5FA9">
      <w:pPr>
        <w:rPr>
          <w:rFonts w:cstheme="minorHAnsi"/>
          <w:lang w:val="en-GB"/>
        </w:rPr>
      </w:pPr>
    </w:p>
    <w:p w14:paraId="57130EFC"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1 BACKGROUND AND CONTEXT:</w:t>
      </w:r>
    </w:p>
    <w:p w14:paraId="1132B63D" w14:textId="77777777" w:rsidR="00AB5FA9" w:rsidRPr="006E56C4" w:rsidRDefault="00AB5FA9" w:rsidP="00AB5FA9">
      <w:pPr>
        <w:rPr>
          <w:rFonts w:eastAsia="MS Mincho" w:cstheme="minorHAnsi"/>
          <w:b/>
          <w:lang w:val="en-GB"/>
        </w:rPr>
      </w:pPr>
    </w:p>
    <w:p w14:paraId="6185E9B8" w14:textId="77777777" w:rsidR="00AB5FA9" w:rsidRPr="006E56C4" w:rsidRDefault="00AB5FA9" w:rsidP="00AB5FA9">
      <w:pPr>
        <w:jc w:val="both"/>
        <w:rPr>
          <w:rFonts w:eastAsia="MS Mincho" w:cstheme="minorHAnsi"/>
          <w:lang w:val="en-GB"/>
        </w:rPr>
      </w:pPr>
      <w:r w:rsidRPr="006E56C4">
        <w:rPr>
          <w:rFonts w:eastAsia="MS Mincho" w:cstheme="minorHAnsi"/>
          <w:lang w:val="en-GB"/>
        </w:rPr>
        <w:t xml:space="preserve">In 2016 UNDP Georgia rolled out the multi-year project “Supporting Public Administration Reform in Georgia” (PAR Project), funded by the UK Government.  The project addresses a complementary, but distinct, set of specific, predetermined needs in three crucial areas of the ongoing Public Administration Reform (PAR) - </w:t>
      </w:r>
      <w:r w:rsidRPr="006E56C4">
        <w:rPr>
          <w:rFonts w:eastAsia="MS Mincho" w:cstheme="minorHAnsi"/>
          <w:u w:val="single"/>
          <w:lang w:val="en-GB"/>
        </w:rPr>
        <w:t>Policy Development and Cooperation</w:t>
      </w:r>
      <w:r w:rsidRPr="006E56C4">
        <w:rPr>
          <w:rFonts w:eastAsia="MS Mincho" w:cstheme="minorHAnsi"/>
          <w:lang w:val="en-GB"/>
        </w:rPr>
        <w:t xml:space="preserve">; </w:t>
      </w:r>
      <w:r w:rsidRPr="006E56C4">
        <w:rPr>
          <w:rFonts w:eastAsia="MS Mincho" w:cstheme="minorHAnsi"/>
          <w:u w:val="single"/>
          <w:lang w:val="en-GB"/>
        </w:rPr>
        <w:t>Civil Service and Human Resource Management</w:t>
      </w:r>
      <w:r w:rsidRPr="006E56C4">
        <w:rPr>
          <w:rFonts w:eastAsia="MS Mincho" w:cstheme="minorHAnsi"/>
          <w:lang w:val="en-GB"/>
        </w:rPr>
        <w:t xml:space="preserve">, and </w:t>
      </w:r>
      <w:r w:rsidRPr="006E56C4">
        <w:rPr>
          <w:rFonts w:eastAsia="MS Mincho" w:cstheme="minorHAnsi"/>
          <w:u w:val="single"/>
          <w:lang w:val="en-GB"/>
        </w:rPr>
        <w:t>Service Delivery</w:t>
      </w:r>
      <w:r w:rsidRPr="006E56C4">
        <w:rPr>
          <w:rFonts w:eastAsia="MS Mincho" w:cstheme="minorHAnsi"/>
          <w:lang w:val="en-GB"/>
        </w:rPr>
        <w:t xml:space="preserve">, as stipulated by the PAR Reform Roadmap 2020. The initiative intends to sustain, support, and build key institutions and processes required for advancing Public Administration Reform by offering consultancy, capacity building, technical assistance, etc. </w:t>
      </w:r>
    </w:p>
    <w:p w14:paraId="69643473" w14:textId="77777777" w:rsidR="00AB5FA9" w:rsidRPr="006E56C4" w:rsidRDefault="00AB5FA9" w:rsidP="00AB5FA9">
      <w:pPr>
        <w:spacing w:before="240"/>
        <w:jc w:val="both"/>
        <w:rPr>
          <w:rFonts w:eastAsia="MS Mincho" w:cstheme="minorHAnsi"/>
          <w:lang w:val="en-GB"/>
        </w:rPr>
      </w:pPr>
      <w:r w:rsidRPr="006E56C4">
        <w:rPr>
          <w:rFonts w:eastAsia="MS Mincho" w:cstheme="minorHAnsi"/>
          <w:lang w:val="en-GB"/>
        </w:rPr>
        <w:t xml:space="preserve">The project aims to support the Government of Georgia to increase the level of professionalism, independence and credibility of the civil service, develop a whole-of-government approaches in national level policy making and further improve service delivery, by introducing the unified system of professional development, coaching and strategic policy planning, monitoring and evaluation practices, mediation and dispute-settlement mechanisms, staff performance evaluations across the civil service,  development of unified principles for service design and delivery, etc. </w:t>
      </w:r>
    </w:p>
    <w:p w14:paraId="443CFC3D" w14:textId="77777777" w:rsidR="00AB5FA9" w:rsidRPr="006E56C4" w:rsidRDefault="00AB5FA9" w:rsidP="00AB5FA9">
      <w:pPr>
        <w:spacing w:before="240"/>
        <w:jc w:val="both"/>
        <w:rPr>
          <w:rFonts w:eastAsia="MS Mincho" w:cstheme="minorHAnsi"/>
          <w:i/>
          <w:iCs/>
          <w:lang w:val="en-GB"/>
        </w:rPr>
      </w:pPr>
      <w:r w:rsidRPr="006E56C4">
        <w:rPr>
          <w:rFonts w:eastAsia="MS Mincho" w:cstheme="minorHAnsi"/>
          <w:lang w:val="en-GB"/>
        </w:rPr>
        <w:t xml:space="preserve">The expected project impact contributes directly to the overall UN Partnership for Sustainable Development priority, which foresees that by 2020, </w:t>
      </w:r>
      <w:r w:rsidRPr="006E56C4">
        <w:rPr>
          <w:rFonts w:eastAsia="MS Mincho" w:cstheme="minorHAnsi"/>
          <w:i/>
          <w:iCs/>
          <w:lang w:val="en-GB"/>
        </w:rPr>
        <w:t xml:space="preserve">expectations of citizens of Georgia for voice, rule of law, public sector reforms, and accountability are met by stronger systems of democratic governance at all levels. </w:t>
      </w:r>
    </w:p>
    <w:p w14:paraId="72A58F8B" w14:textId="77777777" w:rsidR="00AB5FA9" w:rsidRPr="006E56C4" w:rsidRDefault="00AB5FA9" w:rsidP="00AB5FA9">
      <w:pPr>
        <w:autoSpaceDE w:val="0"/>
        <w:autoSpaceDN w:val="0"/>
        <w:adjustRightInd w:val="0"/>
        <w:spacing w:before="240"/>
        <w:jc w:val="both"/>
        <w:rPr>
          <w:rFonts w:eastAsiaTheme="minorHAnsi" w:cstheme="minorHAnsi"/>
          <w:b/>
          <w:lang w:val="en-GB"/>
        </w:rPr>
      </w:pPr>
      <w:r w:rsidRPr="006E56C4">
        <w:rPr>
          <w:rFonts w:eastAsiaTheme="minorHAnsi" w:cstheme="minorHAnsi"/>
          <w:b/>
          <w:lang w:val="en-GB"/>
        </w:rPr>
        <w:t>The targeted outcomes of the project are as follows:</w:t>
      </w:r>
    </w:p>
    <w:p w14:paraId="5480AA1A" w14:textId="77777777" w:rsidR="00AB5FA9" w:rsidRPr="006E56C4" w:rsidRDefault="00AB5FA9" w:rsidP="00AB5FA9">
      <w:pPr>
        <w:autoSpaceDE w:val="0"/>
        <w:autoSpaceDN w:val="0"/>
        <w:adjustRightInd w:val="0"/>
        <w:jc w:val="both"/>
        <w:rPr>
          <w:rFonts w:cstheme="minorHAnsi"/>
          <w:bCs/>
          <w:lang w:val="en-GB"/>
        </w:rPr>
      </w:pPr>
      <w:r w:rsidRPr="006E56C4">
        <w:rPr>
          <w:rFonts w:eastAsiaTheme="minorHAnsi" w:cstheme="minorHAnsi"/>
          <w:b/>
          <w:lang w:val="en-GB"/>
        </w:rPr>
        <w:t xml:space="preserve">Outcome 1: </w:t>
      </w:r>
      <w:r w:rsidRPr="006E56C4">
        <w:rPr>
          <w:rFonts w:eastAsiaTheme="minorHAnsi" w:cstheme="minorHAnsi"/>
          <w:bCs/>
          <w:lang w:val="en-GB"/>
        </w:rPr>
        <w:t xml:space="preserve">Government of Georgia ensures enhanced participatory policy making and coordination between its institutions in PAR </w:t>
      </w:r>
      <w:proofErr w:type="gramStart"/>
      <w:r w:rsidRPr="006E56C4">
        <w:rPr>
          <w:rFonts w:eastAsiaTheme="minorHAnsi" w:cstheme="minorHAnsi"/>
          <w:bCs/>
          <w:lang w:val="en-GB"/>
        </w:rPr>
        <w:t>implementation</w:t>
      </w:r>
      <w:r w:rsidRPr="006E56C4">
        <w:rPr>
          <w:rFonts w:cstheme="minorHAnsi"/>
          <w:bCs/>
          <w:lang w:val="en-GB"/>
        </w:rPr>
        <w:t>;</w:t>
      </w:r>
      <w:proofErr w:type="gramEnd"/>
    </w:p>
    <w:p w14:paraId="670A82C8" w14:textId="77777777" w:rsidR="00AB5FA9" w:rsidRPr="006E56C4" w:rsidRDefault="00AB5FA9" w:rsidP="00AB5FA9">
      <w:pPr>
        <w:autoSpaceDE w:val="0"/>
        <w:autoSpaceDN w:val="0"/>
        <w:adjustRightInd w:val="0"/>
        <w:jc w:val="both"/>
        <w:rPr>
          <w:rFonts w:eastAsiaTheme="minorHAnsi" w:cstheme="minorHAnsi"/>
          <w:bCs/>
          <w:lang w:val="en-GB"/>
        </w:rPr>
      </w:pPr>
      <w:r w:rsidRPr="006E56C4">
        <w:rPr>
          <w:rFonts w:cstheme="minorHAnsi"/>
          <w:b/>
          <w:lang w:val="en-GB"/>
        </w:rPr>
        <w:t>Outcome 2:</w:t>
      </w:r>
      <w:r w:rsidRPr="006E56C4">
        <w:rPr>
          <w:rFonts w:cstheme="minorHAnsi"/>
          <w:bCs/>
          <w:lang w:val="en-GB"/>
        </w:rPr>
        <w:t xml:space="preserve"> Performance of Civil Service is more professional and </w:t>
      </w:r>
      <w:proofErr w:type="gramStart"/>
      <w:r w:rsidRPr="006E56C4">
        <w:rPr>
          <w:rFonts w:cstheme="minorHAnsi"/>
          <w:bCs/>
          <w:lang w:val="en-GB"/>
        </w:rPr>
        <w:t>effective;</w:t>
      </w:r>
      <w:proofErr w:type="gramEnd"/>
    </w:p>
    <w:p w14:paraId="19481C9C" w14:textId="77777777" w:rsidR="00AB5FA9" w:rsidRPr="006E56C4" w:rsidRDefault="00AB5FA9" w:rsidP="00AB5FA9">
      <w:pPr>
        <w:autoSpaceDE w:val="0"/>
        <w:autoSpaceDN w:val="0"/>
        <w:adjustRightInd w:val="0"/>
        <w:jc w:val="both"/>
        <w:rPr>
          <w:rFonts w:eastAsiaTheme="minorHAnsi" w:cstheme="minorHAnsi"/>
          <w:lang w:val="en-GB"/>
        </w:rPr>
      </w:pPr>
      <w:r w:rsidRPr="006E56C4">
        <w:rPr>
          <w:rFonts w:eastAsiaTheme="minorHAnsi" w:cstheme="minorHAnsi"/>
          <w:b/>
          <w:bCs/>
          <w:lang w:val="en-GB"/>
        </w:rPr>
        <w:t>Outcome 3:</w:t>
      </w:r>
      <w:r w:rsidRPr="006E56C4">
        <w:rPr>
          <w:rFonts w:eastAsiaTheme="minorHAnsi" w:cstheme="minorHAnsi"/>
          <w:lang w:val="en-GB"/>
        </w:rPr>
        <w:t xml:space="preserve"> </w:t>
      </w:r>
      <w:proofErr w:type="spellStart"/>
      <w:r w:rsidRPr="006E56C4">
        <w:rPr>
          <w:rFonts w:eastAsiaTheme="minorHAnsi" w:cstheme="minorHAnsi"/>
          <w:lang w:val="en-GB"/>
        </w:rPr>
        <w:t>GoG</w:t>
      </w:r>
      <w:proofErr w:type="spellEnd"/>
      <w:r w:rsidRPr="006E56C4">
        <w:rPr>
          <w:rFonts w:eastAsiaTheme="minorHAnsi" w:cstheme="minorHAnsi"/>
          <w:lang w:val="en-GB"/>
        </w:rPr>
        <w:t xml:space="preserve"> delivers higher quality, (digitally) more accessible and inclusive services to citizens.</w:t>
      </w:r>
    </w:p>
    <w:p w14:paraId="7E7E3A00" w14:textId="77777777" w:rsidR="00AB5FA9" w:rsidRPr="006E56C4" w:rsidRDefault="00AB5FA9" w:rsidP="00AB5FA9">
      <w:pPr>
        <w:spacing w:before="240"/>
        <w:jc w:val="both"/>
        <w:rPr>
          <w:rFonts w:eastAsia="MS Mincho" w:cstheme="minorHAnsi"/>
          <w:lang w:val="en-GB"/>
        </w:rPr>
      </w:pPr>
      <w:r w:rsidRPr="006E56C4">
        <w:rPr>
          <w:rFonts w:eastAsia="MS Mincho" w:cstheme="minorHAnsi"/>
          <w:lang w:val="en-GB"/>
        </w:rPr>
        <w:t>More specifically</w:t>
      </w:r>
      <w:r w:rsidRPr="006E56C4">
        <w:rPr>
          <w:rFonts w:eastAsia="MS Mincho" w:cstheme="minorHAnsi"/>
          <w:b/>
          <w:lang w:val="en-GB"/>
        </w:rPr>
        <w:t>,</w:t>
      </w:r>
      <w:r w:rsidRPr="006E56C4">
        <w:rPr>
          <w:rFonts w:eastAsia="MS Mincho" w:cstheme="minorHAnsi"/>
          <w:lang w:val="en-GB"/>
        </w:rPr>
        <w:t xml:space="preserve"> under the </w:t>
      </w:r>
      <w:r w:rsidRPr="006E56C4">
        <w:rPr>
          <w:rFonts w:eastAsia="MS Mincho" w:cstheme="minorHAnsi"/>
          <w:u w:val="single"/>
          <w:lang w:val="en-GB"/>
        </w:rPr>
        <w:t>Policy Development and Coordination</w:t>
      </w:r>
      <w:r w:rsidRPr="006E56C4">
        <w:rPr>
          <w:rFonts w:eastAsia="MS Mincho" w:cstheme="minorHAnsi"/>
          <w:lang w:val="en-GB"/>
        </w:rPr>
        <w:t xml:space="preserve"> pillar the project has been aiming at advancement of the policy making process in the country through enhancement of policy planning and coordination and introduction of strong mechanisms for government-wide monitoring and evaluation, coupled with strengthening the capacity </w:t>
      </w:r>
      <w:r w:rsidRPr="006E56C4">
        <w:rPr>
          <w:rFonts w:eastAsia="MS Mincho" w:cstheme="minorHAnsi"/>
          <w:lang w:val="en-GB"/>
        </w:rPr>
        <w:lastRenderedPageBreak/>
        <w:t>of the policy units of the line ministries. National level policy planning, monitoring and evaluation mechanisms are being strengthened through provision of hands-on assistance and consultancy support to the Administration of the Government of Georgia (</w:t>
      </w:r>
      <w:proofErr w:type="spellStart"/>
      <w:r w:rsidRPr="006E56C4">
        <w:rPr>
          <w:rFonts w:eastAsia="MS Mincho" w:cstheme="minorHAnsi"/>
          <w:lang w:val="en-GB"/>
        </w:rPr>
        <w:t>AoG</w:t>
      </w:r>
      <w:proofErr w:type="spellEnd"/>
      <w:r w:rsidRPr="006E56C4">
        <w:rPr>
          <w:rFonts w:eastAsia="MS Mincho" w:cstheme="minorHAnsi"/>
          <w:lang w:val="en-GB"/>
        </w:rPr>
        <w:t xml:space="preserve">) in the development and deployment of unified standards for whole-of-government policy planning and coordination along with necessary electronic tools for tracking and monitoring of government-wide programs, while at the same time strengthening public participation in policy making processes. </w:t>
      </w:r>
    </w:p>
    <w:p w14:paraId="4B840E15" w14:textId="77777777" w:rsidR="00AB5FA9" w:rsidRPr="006E56C4" w:rsidRDefault="00AB5FA9" w:rsidP="00AB5FA9">
      <w:pPr>
        <w:jc w:val="both"/>
        <w:rPr>
          <w:rFonts w:eastAsia="MS Mincho" w:cstheme="minorHAnsi"/>
          <w:b/>
          <w:lang w:val="en-GB"/>
        </w:rPr>
      </w:pPr>
    </w:p>
    <w:p w14:paraId="241D0DAD" w14:textId="77777777" w:rsidR="00AB5FA9" w:rsidRPr="006E56C4" w:rsidRDefault="00AB5FA9" w:rsidP="00AB5FA9">
      <w:pPr>
        <w:jc w:val="both"/>
        <w:rPr>
          <w:rFonts w:eastAsia="MS Mincho" w:cstheme="minorHAnsi"/>
          <w:lang w:val="en-GB"/>
        </w:rPr>
      </w:pPr>
      <w:r w:rsidRPr="006E56C4">
        <w:rPr>
          <w:rFonts w:eastAsia="MS Mincho" w:cstheme="minorHAnsi"/>
          <w:lang w:val="en-GB"/>
        </w:rPr>
        <w:t xml:space="preserve">Through the </w:t>
      </w:r>
      <w:r w:rsidRPr="006E56C4">
        <w:rPr>
          <w:rFonts w:eastAsia="MS Mincho" w:cstheme="minorHAnsi"/>
          <w:u w:val="single"/>
          <w:lang w:val="en-GB"/>
        </w:rPr>
        <w:t>Civil Service Reform</w:t>
      </w:r>
      <w:r w:rsidRPr="006E56C4">
        <w:rPr>
          <w:rFonts w:eastAsia="MS Mincho" w:cstheme="minorHAnsi"/>
          <w:lang w:val="en-GB"/>
        </w:rPr>
        <w:t xml:space="preserve"> pillar, the project has been supporting the national partners – Civil Service Bureau of Georgia (CSB) and the line ministries towards development of an increasingly professional, uniformly trained civil service that is protected from arbitrary decisions.  This is being achieved by: interactive, tailor-made trainings to increase knowledge and awareness among civil servants about ongoing civil service reform and its </w:t>
      </w:r>
      <w:proofErr w:type="gramStart"/>
      <w:r w:rsidRPr="006E56C4">
        <w:rPr>
          <w:rFonts w:eastAsia="MS Mincho" w:cstheme="minorHAnsi"/>
          <w:lang w:val="en-GB"/>
        </w:rPr>
        <w:t>implications;  operationalization</w:t>
      </w:r>
      <w:proofErr w:type="gramEnd"/>
      <w:r w:rsidRPr="006E56C4">
        <w:rPr>
          <w:rFonts w:eastAsia="MS Mincho" w:cstheme="minorHAnsi"/>
          <w:lang w:val="en-GB"/>
        </w:rPr>
        <w:t xml:space="preserve"> of unified training system for civil servants; introduction of staff performance appraisal systems based on effective international models and with due consideration of the local context; development of tools for alternative dispute resolution mechanisms in civil service. </w:t>
      </w:r>
      <w:r w:rsidRPr="006E56C4">
        <w:rPr>
          <w:rFonts w:eastAsia="Times New Roman" w:cstheme="minorHAnsi"/>
          <w:szCs w:val="20"/>
          <w:lang w:val="en-GB"/>
        </w:rPr>
        <w:t xml:space="preserve">Furthermore, the project has been supporting the CSB to build the capacity of civil servants and public officials on the new Law on Civil Service and new Anti-Corruption mechanisms thereby contributing to effective implementation of the Civil Service Reform in Georgia. </w:t>
      </w:r>
    </w:p>
    <w:p w14:paraId="09A27BB8" w14:textId="77777777" w:rsidR="00AB5FA9" w:rsidRPr="006E56C4" w:rsidRDefault="00AB5FA9" w:rsidP="00AB5FA9">
      <w:pPr>
        <w:jc w:val="both"/>
        <w:rPr>
          <w:rFonts w:eastAsia="MS Mincho" w:cstheme="minorHAnsi"/>
          <w:lang w:val="en-GB"/>
        </w:rPr>
      </w:pPr>
    </w:p>
    <w:p w14:paraId="3970FB77" w14:textId="77777777" w:rsidR="00AB5FA9" w:rsidRPr="006E56C4" w:rsidRDefault="00AB5FA9" w:rsidP="00AB5FA9">
      <w:pPr>
        <w:jc w:val="both"/>
        <w:rPr>
          <w:rFonts w:eastAsia="Times New Roman" w:cstheme="minorHAnsi"/>
          <w:szCs w:val="20"/>
          <w:lang w:val="en-GB"/>
        </w:rPr>
      </w:pPr>
      <w:r w:rsidRPr="006E56C4">
        <w:rPr>
          <w:rFonts w:eastAsia="Times New Roman" w:cstheme="minorHAnsi"/>
          <w:szCs w:val="20"/>
          <w:lang w:val="en-GB"/>
        </w:rPr>
        <w:t xml:space="preserve">As part of </w:t>
      </w:r>
      <w:r w:rsidRPr="006E56C4">
        <w:rPr>
          <w:rFonts w:eastAsia="Times New Roman" w:cstheme="minorHAnsi"/>
          <w:szCs w:val="20"/>
          <w:u w:val="single"/>
          <w:lang w:val="en-GB"/>
        </w:rPr>
        <w:t>Service Delivery</w:t>
      </w:r>
      <w:r w:rsidRPr="006E56C4">
        <w:rPr>
          <w:rFonts w:eastAsia="Times New Roman" w:cstheme="minorHAnsi"/>
          <w:szCs w:val="20"/>
          <w:lang w:val="en-GB"/>
        </w:rPr>
        <w:t xml:space="preserve"> pillar, the project has helped its primary national partners – the Public Service Development Agency (PSDA) and the Digital Governance Agency (DGA) in laying solid foundations for the creation of unified standards for public service design and delivery. These measures target the established discrepancies in the quality of public service delivery in Georgia, between various service provider agencies, but also between the national and local levels. Creation of the common service delivery standards and their subsequent implementation is intended to impact the overall quality of public services, and to also have a knock-on positive effect on the level of support to PAR among citizens and civil servants. </w:t>
      </w:r>
    </w:p>
    <w:p w14:paraId="3E6BD1DB" w14:textId="77777777" w:rsidR="00AB5FA9" w:rsidRPr="006E56C4" w:rsidRDefault="00AB5FA9" w:rsidP="00AB5FA9">
      <w:pPr>
        <w:spacing w:before="240"/>
        <w:jc w:val="both"/>
        <w:rPr>
          <w:rFonts w:eastAsia="Times New Roman" w:cstheme="minorHAnsi"/>
          <w:szCs w:val="20"/>
          <w:lang w:val="en-GB"/>
        </w:rPr>
      </w:pPr>
      <w:r w:rsidRPr="006E56C4">
        <w:rPr>
          <w:rFonts w:eastAsia="Times New Roman" w:cstheme="minorHAnsi"/>
          <w:szCs w:val="20"/>
          <w:lang w:val="en-GB"/>
        </w:rPr>
        <w:t xml:space="preserve">By introducing common standards of public service delivery, the project assists the Government of Georgia to further institutionalize the significant achievements made in service provision and ensure that they are sustainable, replicable and cover the ever-widening array of the government agencies. Supporting e-Governance development, increasing digitization of public services, coupled with enhancing the uptake of e-services is yet another component falling under the wider service delivery pillar of the project, which became even more critical amid the COVID-19 pandemic and associated restrictive measures prompting Government agencies to speed up the digitization of public services and reemphasize the “digital-by-default” principle by fully harnessing the technologies internally, within their organizations, as well as externally, when interacting with citizens.  </w:t>
      </w:r>
    </w:p>
    <w:p w14:paraId="495E9F4A" w14:textId="77777777" w:rsidR="00AB5FA9" w:rsidRPr="006E56C4" w:rsidRDefault="00AB5FA9" w:rsidP="00AB5FA9">
      <w:pPr>
        <w:jc w:val="both"/>
        <w:rPr>
          <w:rFonts w:eastAsia="Times New Roman" w:cstheme="minorHAnsi"/>
          <w:szCs w:val="20"/>
          <w:lang w:val="en-GB"/>
        </w:rPr>
      </w:pPr>
    </w:p>
    <w:p w14:paraId="4E11C6D4" w14:textId="77777777" w:rsidR="00AB5FA9" w:rsidRPr="006E56C4" w:rsidRDefault="00AB5FA9" w:rsidP="00AB5FA9">
      <w:pPr>
        <w:jc w:val="both"/>
        <w:rPr>
          <w:rFonts w:eastAsia="Times New Roman" w:cstheme="minorHAnsi"/>
          <w:szCs w:val="20"/>
          <w:lang w:val="en-GB"/>
        </w:rPr>
      </w:pPr>
      <w:r w:rsidRPr="006E56C4">
        <w:rPr>
          <w:rFonts w:eastAsia="Times New Roman" w:cstheme="minorHAnsi"/>
          <w:szCs w:val="20"/>
          <w:lang w:val="en-GB"/>
        </w:rPr>
        <w:t xml:space="preserve">The </w:t>
      </w:r>
      <w:r w:rsidRPr="006E56C4">
        <w:rPr>
          <w:rFonts w:eastAsia="Times New Roman" w:cstheme="minorHAnsi"/>
          <w:szCs w:val="20"/>
          <w:u w:val="single"/>
          <w:lang w:val="en-GB"/>
        </w:rPr>
        <w:t>Civil Society Organizations’ (CSO) engagement</w:t>
      </w:r>
      <w:r w:rsidRPr="006E56C4">
        <w:rPr>
          <w:rFonts w:eastAsia="Times New Roman" w:cstheme="minorHAnsi"/>
          <w:szCs w:val="20"/>
          <w:lang w:val="en-GB"/>
        </w:rPr>
        <w:t xml:space="preserve"> component of the project cuts across its all three outcomes and aims at fostering engagement of CSOs and academia to provide </w:t>
      </w:r>
      <w:r w:rsidRPr="006E56C4">
        <w:rPr>
          <w:rFonts w:eastAsia="Times New Roman" w:cstheme="minorHAnsi"/>
          <w:szCs w:val="20"/>
          <w:lang w:val="en-GB"/>
        </w:rPr>
        <w:lastRenderedPageBreak/>
        <w:t xml:space="preserve">evidence and practical solutions for enhancing policy planning, advancing civil service reform and improving public service delivery. </w:t>
      </w:r>
    </w:p>
    <w:p w14:paraId="1B0590E7" w14:textId="77777777" w:rsidR="00AB5FA9" w:rsidRPr="006E56C4" w:rsidRDefault="00AB5FA9" w:rsidP="00AB5FA9">
      <w:pPr>
        <w:jc w:val="both"/>
        <w:rPr>
          <w:rFonts w:eastAsia="Times New Roman" w:cstheme="minorHAnsi"/>
          <w:szCs w:val="20"/>
          <w:lang w:val="en-GB"/>
        </w:rPr>
      </w:pPr>
    </w:p>
    <w:p w14:paraId="3F94B83F" w14:textId="77777777" w:rsidR="00AB5FA9" w:rsidRPr="006E56C4" w:rsidRDefault="00AB5FA9" w:rsidP="00AB5FA9">
      <w:pPr>
        <w:jc w:val="both"/>
        <w:rPr>
          <w:rFonts w:eastAsia="MS Mincho" w:cstheme="minorHAnsi"/>
          <w:lang w:val="en-GB"/>
        </w:rPr>
      </w:pPr>
      <w:r w:rsidRPr="006E56C4">
        <w:rPr>
          <w:rFonts w:eastAsia="MS Mincho" w:cstheme="minorHAnsi"/>
          <w:lang w:val="en-GB"/>
        </w:rPr>
        <w:t>Predictably, the spread of the Covid-19 pandemic affected the planned activities of the project starting from March 2020, as the virus-related restrictions interfered with the scheduled trainings, workshops and forums. The project team together with the partner agencies moved to online collaboration platforms to keep up with the plans. By the end of 2020 while the restrictions still apply, the project is on track with the planned activities as the workshops and trainings have been moved online.  Apart from adapting to the new working modalities, the PAR project also responded to some of the urgent needs identified by the Administration of the Government of Georgia (</w:t>
      </w:r>
      <w:proofErr w:type="spellStart"/>
      <w:r w:rsidRPr="006E56C4">
        <w:rPr>
          <w:rFonts w:eastAsia="MS Mincho" w:cstheme="minorHAnsi"/>
          <w:lang w:val="en-GB"/>
        </w:rPr>
        <w:t>AoG</w:t>
      </w:r>
      <w:proofErr w:type="spellEnd"/>
      <w:r w:rsidRPr="006E56C4">
        <w:rPr>
          <w:rFonts w:eastAsia="MS Mincho" w:cstheme="minorHAnsi"/>
          <w:lang w:val="en-GB"/>
        </w:rPr>
        <w:t>) while still remaining within the overall broader scope of the project, by fine-tuning its CSO and Emerging Needs’ components to offer emergency support to partner agencies and to foster collaborative initiatives between the government and civil society.</w:t>
      </w:r>
      <w:r w:rsidRPr="006E56C4">
        <w:rPr>
          <w:rFonts w:cstheme="minorHAnsi"/>
          <w:b/>
          <w:bCs/>
          <w:lang w:val="en-GB"/>
        </w:rPr>
        <w:t xml:space="preserve">  </w:t>
      </w:r>
    </w:p>
    <w:p w14:paraId="476D29EB"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2. Evaluation purpose, scope and objectives</w:t>
      </w:r>
    </w:p>
    <w:p w14:paraId="41EDFED4" w14:textId="77777777" w:rsidR="00AB5FA9" w:rsidRPr="006E56C4" w:rsidRDefault="00AB5FA9" w:rsidP="00AB5FA9">
      <w:pPr>
        <w:rPr>
          <w:rFonts w:eastAsia="MS Mincho" w:cstheme="minorHAnsi"/>
          <w:b/>
          <w:u w:val="single"/>
          <w:lang w:val="en-GB"/>
        </w:rPr>
      </w:pPr>
    </w:p>
    <w:p w14:paraId="6255D86A" w14:textId="77777777" w:rsidR="00AB5FA9" w:rsidRPr="006E56C4" w:rsidRDefault="00AB5FA9" w:rsidP="00AB5FA9">
      <w:pPr>
        <w:jc w:val="both"/>
        <w:rPr>
          <w:rFonts w:eastAsia="MS Mincho" w:cstheme="minorHAnsi"/>
          <w:lang w:val="en-GB"/>
        </w:rPr>
      </w:pPr>
      <w:r w:rsidRPr="006E56C4">
        <w:rPr>
          <w:rFonts w:eastAsia="MS Mincho" w:cstheme="minorHAnsi"/>
          <w:lang w:val="en-GB"/>
        </w:rPr>
        <w:t>The main objective of the final external evaluation is to assess the efficacy of the project design and structure, relevance of the project outcomes and outputs, specific contributions and impact, efficiency and effectiveness of assistance, and sustainability of interventions. The evaluation must include an analysis of how PAR interventions address Human Rights and Gender Equality (HR and GE) principles</w:t>
      </w:r>
      <w:r w:rsidRPr="006E56C4">
        <w:rPr>
          <w:rStyle w:val="FootnoteReference"/>
          <w:rFonts w:eastAsia="MS Mincho" w:cstheme="minorHAnsi"/>
          <w:lang w:val="en-GB"/>
        </w:rPr>
        <w:footnoteReference w:id="45"/>
      </w:r>
      <w:r w:rsidRPr="006E56C4">
        <w:rPr>
          <w:rFonts w:eastAsia="MS Mincho" w:cstheme="minorHAnsi"/>
          <w:lang w:val="en-GB"/>
        </w:rPr>
        <w:t>.</w:t>
      </w:r>
    </w:p>
    <w:p w14:paraId="125C4CB4" w14:textId="77777777" w:rsidR="00AB5FA9" w:rsidRPr="006E56C4" w:rsidRDefault="00AB5FA9" w:rsidP="00AB5FA9">
      <w:pPr>
        <w:jc w:val="both"/>
        <w:rPr>
          <w:rFonts w:eastAsia="MS Mincho" w:cstheme="minorHAnsi"/>
          <w:lang w:val="en-GB"/>
        </w:rPr>
      </w:pPr>
    </w:p>
    <w:p w14:paraId="79F741F8" w14:textId="77777777" w:rsidR="00AB5FA9" w:rsidRPr="006E56C4" w:rsidRDefault="00AB5FA9" w:rsidP="00AB5FA9">
      <w:pPr>
        <w:jc w:val="both"/>
        <w:rPr>
          <w:rFonts w:eastAsia="MS Mincho" w:cstheme="minorHAnsi"/>
          <w:lang w:val="en-GB"/>
        </w:rPr>
      </w:pPr>
      <w:r w:rsidRPr="006E56C4">
        <w:rPr>
          <w:rFonts w:eastAsia="MS Mincho" w:cstheme="minorHAnsi"/>
          <w:lang w:val="en-GB"/>
        </w:rPr>
        <w:t xml:space="preserve">The project underwent the Mid-Term Evaluation (MTE) covering the period from the project’s initiation in 2016 through the end of December 2018.  Given the project’s designated end date of March 2021, MTE allowed to track the progress achieved through 2018 and chart out the next steps in the process. The final evaluation is expected to cover the full cycle of the project (2016-2021) covering all three key pillars of Policy Planning and Coordination, Civil Service Reform and Public Service Delivery and focusing more on the period after the MTE was conducted (2019-2021). However, considering the specific context of PAR, where the results take longer to materialize, some of the MTE findings might need to be revisited and validated. </w:t>
      </w:r>
    </w:p>
    <w:p w14:paraId="1DAACA38" w14:textId="77777777" w:rsidR="00AB5FA9" w:rsidRPr="006E56C4" w:rsidRDefault="00AB5FA9" w:rsidP="00AB5FA9">
      <w:pPr>
        <w:jc w:val="both"/>
        <w:rPr>
          <w:rFonts w:eastAsia="MS Mincho" w:cstheme="minorHAnsi"/>
          <w:lang w:val="en-GB"/>
        </w:rPr>
      </w:pPr>
    </w:p>
    <w:p w14:paraId="3C1C9B63" w14:textId="77777777" w:rsidR="00AB5FA9" w:rsidRPr="006E56C4" w:rsidRDefault="00AB5FA9" w:rsidP="00AB5FA9">
      <w:pPr>
        <w:jc w:val="both"/>
        <w:rPr>
          <w:rFonts w:eastAsia="MS Mincho" w:cstheme="minorHAnsi"/>
          <w:lang w:val="en-GB"/>
        </w:rPr>
      </w:pPr>
      <w:r w:rsidRPr="006E56C4">
        <w:rPr>
          <w:rFonts w:eastAsia="MS Mincho" w:cstheme="minorHAnsi"/>
          <w:lang w:val="en-GB"/>
        </w:rPr>
        <w:t xml:space="preserve">The international consultant will be tasked to perform the final evaluation of the </w:t>
      </w:r>
      <w:r w:rsidRPr="006E56C4">
        <w:rPr>
          <w:rFonts w:eastAsia="Times New Roman" w:cstheme="minorHAnsi"/>
          <w:bCs/>
          <w:lang w:val="en-GB"/>
        </w:rPr>
        <w:t xml:space="preserve">Supporting Public Administration Reform (PAR Project) in Georgia </w:t>
      </w:r>
      <w:r w:rsidRPr="006E56C4">
        <w:rPr>
          <w:rFonts w:eastAsia="MS Mincho" w:cstheme="minorHAnsi"/>
          <w:lang w:val="en-GB"/>
        </w:rPr>
        <w:t xml:space="preserve">outcomes with corresponding outputs as set out in the Results Framework of the project. The evaluation also aims to inform decision-making on the continuation and designing of the subsequent phase of the project through a methodologically sound, credible, impartial and independent assessment of the achievements and shortcomings of the project, as well as lessons learned and recommendations for future interventions. </w:t>
      </w:r>
    </w:p>
    <w:p w14:paraId="30820506" w14:textId="77777777" w:rsidR="00AB5FA9" w:rsidRPr="006E56C4" w:rsidRDefault="00AB5FA9" w:rsidP="00AB5FA9">
      <w:pPr>
        <w:jc w:val="both"/>
        <w:rPr>
          <w:rFonts w:eastAsia="MS Mincho" w:cstheme="minorHAnsi"/>
          <w:lang w:val="en-GB"/>
        </w:rPr>
      </w:pPr>
    </w:p>
    <w:p w14:paraId="07078BC7" w14:textId="77777777" w:rsidR="00AB5FA9" w:rsidRPr="006E56C4" w:rsidRDefault="00AB5FA9" w:rsidP="00AB5FA9">
      <w:pPr>
        <w:jc w:val="both"/>
        <w:rPr>
          <w:rFonts w:eastAsia="MS Mincho" w:cstheme="minorHAnsi"/>
          <w:lang w:val="en-GB"/>
        </w:rPr>
      </w:pPr>
      <w:bookmarkStart w:id="33" w:name="_Hlk66810266"/>
      <w:r w:rsidRPr="006E56C4">
        <w:rPr>
          <w:rFonts w:eastAsia="MS Mincho" w:cstheme="minorHAnsi"/>
          <w:lang w:val="en-GB"/>
        </w:rPr>
        <w:t>The specific objectives of this final evaluation are:</w:t>
      </w:r>
    </w:p>
    <w:p w14:paraId="478A078A" w14:textId="77777777" w:rsidR="00AB5FA9" w:rsidRPr="006E56C4" w:rsidRDefault="00AB5FA9" w:rsidP="00EB743C">
      <w:pPr>
        <w:pStyle w:val="ListParagraph"/>
        <w:numPr>
          <w:ilvl w:val="0"/>
          <w:numId w:val="23"/>
        </w:numPr>
        <w:ind w:left="540" w:hanging="270"/>
        <w:jc w:val="both"/>
        <w:rPr>
          <w:rFonts w:cstheme="minorHAnsi"/>
          <w:lang w:val="en-GB"/>
        </w:rPr>
      </w:pPr>
      <w:r w:rsidRPr="006E56C4">
        <w:rPr>
          <w:rFonts w:eastAsia="MS Mincho" w:cstheme="minorHAnsi"/>
          <w:lang w:val="en-GB"/>
        </w:rPr>
        <w:t xml:space="preserve">To evaluate the achievements against the project’s objectives and expected outcomes; </w:t>
      </w:r>
    </w:p>
    <w:p w14:paraId="15502675" w14:textId="77777777" w:rsidR="00AB5FA9" w:rsidRPr="006E56C4" w:rsidRDefault="00AB5FA9" w:rsidP="00EB743C">
      <w:pPr>
        <w:pStyle w:val="ListParagraph"/>
        <w:numPr>
          <w:ilvl w:val="0"/>
          <w:numId w:val="23"/>
        </w:numPr>
        <w:ind w:left="540" w:hanging="270"/>
        <w:jc w:val="both"/>
        <w:rPr>
          <w:rFonts w:cstheme="minorHAnsi"/>
          <w:lang w:val="en-GB"/>
        </w:rPr>
      </w:pPr>
      <w:r w:rsidRPr="006E56C4">
        <w:rPr>
          <w:rFonts w:eastAsia="MS Mincho" w:cstheme="minorHAnsi"/>
          <w:lang w:val="en-GB"/>
        </w:rPr>
        <w:t>To identify strengths and weaknesses in design and implementation;</w:t>
      </w:r>
    </w:p>
    <w:p w14:paraId="3EE00A81" w14:textId="77777777" w:rsidR="00AB5FA9" w:rsidRPr="006E56C4" w:rsidRDefault="00AB5FA9" w:rsidP="00EB743C">
      <w:pPr>
        <w:pStyle w:val="ListParagraph"/>
        <w:numPr>
          <w:ilvl w:val="0"/>
          <w:numId w:val="23"/>
        </w:numPr>
        <w:ind w:left="540" w:hanging="270"/>
        <w:jc w:val="both"/>
        <w:rPr>
          <w:rFonts w:cstheme="minorHAnsi"/>
          <w:lang w:val="en-GB"/>
        </w:rPr>
      </w:pPr>
      <w:r w:rsidRPr="006E56C4">
        <w:rPr>
          <w:rFonts w:eastAsia="MS Mincho" w:cstheme="minorHAnsi"/>
          <w:lang w:val="en-GB"/>
        </w:rPr>
        <w:t>To assess the effectiveness, efficiency and added value of the project in terms of achieved outputs and results and its contribution to Country Program Document (CPD) outcome;</w:t>
      </w:r>
    </w:p>
    <w:p w14:paraId="33FFD2F4" w14:textId="77777777" w:rsidR="00AB5FA9" w:rsidRPr="006E56C4" w:rsidRDefault="00AB5FA9" w:rsidP="00EB743C">
      <w:pPr>
        <w:pStyle w:val="ListParagraph"/>
        <w:numPr>
          <w:ilvl w:val="0"/>
          <w:numId w:val="23"/>
        </w:numPr>
        <w:ind w:left="540" w:hanging="270"/>
        <w:jc w:val="both"/>
        <w:rPr>
          <w:rFonts w:cstheme="minorHAnsi"/>
          <w:lang w:val="en-GB"/>
        </w:rPr>
      </w:pPr>
      <w:r w:rsidRPr="006E56C4">
        <w:rPr>
          <w:rFonts w:eastAsia="MS Mincho" w:cstheme="minorHAnsi"/>
          <w:lang w:val="en-GB"/>
        </w:rPr>
        <w:t>To identify lessons learned and good practices;</w:t>
      </w:r>
    </w:p>
    <w:p w14:paraId="784C972E" w14:textId="77777777" w:rsidR="00AB5FA9" w:rsidRPr="006E56C4" w:rsidRDefault="00AB5FA9" w:rsidP="00EB743C">
      <w:pPr>
        <w:pStyle w:val="ListParagraph"/>
        <w:numPr>
          <w:ilvl w:val="0"/>
          <w:numId w:val="23"/>
        </w:numPr>
        <w:ind w:left="540" w:hanging="270"/>
        <w:jc w:val="both"/>
        <w:rPr>
          <w:rFonts w:cstheme="minorHAnsi"/>
          <w:lang w:val="en-GB"/>
        </w:rPr>
      </w:pPr>
      <w:r w:rsidRPr="006E56C4">
        <w:rPr>
          <w:rFonts w:eastAsia="MS Mincho" w:cstheme="minorHAnsi"/>
          <w:lang w:val="en-GB"/>
        </w:rPr>
        <w:t xml:space="preserve">To provide recommendations for future phase of the project. </w:t>
      </w:r>
    </w:p>
    <w:p w14:paraId="2D50B6EC" w14:textId="77777777" w:rsidR="00AB5FA9" w:rsidRPr="006E56C4" w:rsidRDefault="00AB5FA9" w:rsidP="00AB5FA9">
      <w:pPr>
        <w:jc w:val="both"/>
        <w:rPr>
          <w:rFonts w:cstheme="minorHAnsi"/>
          <w:lang w:val="en-GB"/>
        </w:rPr>
      </w:pPr>
    </w:p>
    <w:p w14:paraId="0C865547" w14:textId="77777777" w:rsidR="00AB5FA9" w:rsidRPr="006E56C4" w:rsidRDefault="00AB5FA9" w:rsidP="00AB5FA9">
      <w:pPr>
        <w:jc w:val="both"/>
        <w:rPr>
          <w:rFonts w:eastAsia="MS Mincho" w:cstheme="minorHAnsi"/>
          <w:lang w:val="en-GB"/>
        </w:rPr>
      </w:pPr>
      <w:r w:rsidRPr="006E56C4">
        <w:rPr>
          <w:rFonts w:eastAsia="MS Mincho" w:cstheme="minorHAnsi"/>
          <w:lang w:val="en-GB"/>
        </w:rPr>
        <w:t>The scope of work for consultancy will include, but may not be limited to:</w:t>
      </w:r>
    </w:p>
    <w:p w14:paraId="18823A98" w14:textId="77777777" w:rsidR="00AB5FA9" w:rsidRPr="006E56C4" w:rsidRDefault="00AB5FA9" w:rsidP="00EB743C">
      <w:pPr>
        <w:numPr>
          <w:ilvl w:val="0"/>
          <w:numId w:val="21"/>
        </w:numPr>
        <w:spacing w:before="240" w:after="200"/>
        <w:ind w:left="540" w:hanging="270"/>
        <w:contextualSpacing/>
        <w:jc w:val="both"/>
        <w:rPr>
          <w:rFonts w:eastAsia="MS Mincho" w:cstheme="minorHAnsi"/>
          <w:lang w:val="en-GB"/>
        </w:rPr>
      </w:pPr>
      <w:r w:rsidRPr="006E56C4">
        <w:rPr>
          <w:rFonts w:eastAsia="MS Mincho" w:cstheme="minorHAnsi"/>
          <w:lang w:val="en-GB"/>
        </w:rPr>
        <w:t>Complete a desk review of all project-related documents including the project document, budgetary documents, reports, and internal evaluations;</w:t>
      </w:r>
    </w:p>
    <w:p w14:paraId="570E9CBA"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Elaborate an evaluation matrix using evaluation criteria/questions provided below as a basis to develop the evaluation questions (and, where needed, sub-questions), the data sources required to answer the questions, the data collection and data analysis methods;</w:t>
      </w:r>
    </w:p>
    <w:p w14:paraId="669F7EA8"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Conduct meetings/interviews with current team members, along with the counterparts at the Government of Georgia, donors and key partners, and the UNDP Country Office;</w:t>
      </w:r>
    </w:p>
    <w:p w14:paraId="0FCAF33D"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Facilitate a workshop with PAR project team and key partners on project outcomes and outputs, conducted activities, and the likelihood of achieving an impact;</w:t>
      </w:r>
    </w:p>
    <w:p w14:paraId="77E21677"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Collect quantitative data, including retrieving public information from government agencies (if needed), necessary for the evaluation;</w:t>
      </w:r>
    </w:p>
    <w:p w14:paraId="3784D2FC"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Analyse data in accordance with the evaluation objectives per component, and in a broader context: against the project's objectives and project’s impact;</w:t>
      </w:r>
    </w:p>
    <w:p w14:paraId="7D9EDBD8"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Analyse the project’s contribution to UN Sustainable Development Goals (SDGs) – Goal 16: Peace, justice and strong institutions;</w:t>
      </w:r>
      <w:r w:rsidRPr="006E56C4" w:rsidDel="00632FA0">
        <w:rPr>
          <w:rFonts w:eastAsia="MS Mincho" w:cstheme="minorHAnsi"/>
          <w:lang w:val="en-GB"/>
        </w:rPr>
        <w:t xml:space="preserve"> </w:t>
      </w:r>
    </w:p>
    <w:p w14:paraId="5264E68D"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 xml:space="preserve">Assess and – as relevant - Incorporate the findings of Evaluation of Civic Innovation and Research Grants including Grants in response to Covid-19, commissioned separately within the PAR project into the final evaluation of the project; </w:t>
      </w:r>
    </w:p>
    <w:p w14:paraId="03ED9D72" w14:textId="77777777" w:rsidR="00AB5FA9" w:rsidRPr="006E56C4" w:rsidRDefault="00AB5FA9" w:rsidP="00AB5FA9">
      <w:pPr>
        <w:ind w:left="540"/>
        <w:contextualSpacing/>
        <w:jc w:val="both"/>
        <w:rPr>
          <w:rFonts w:eastAsia="MS Mincho" w:cstheme="minorHAnsi"/>
          <w:lang w:val="en-GB"/>
        </w:rPr>
      </w:pPr>
      <w:r w:rsidRPr="006E56C4">
        <w:rPr>
          <w:rFonts w:eastAsia="MS Mincho" w:cstheme="minorHAnsi"/>
          <w:lang w:val="en-GB"/>
        </w:rPr>
        <w:t>Assess the project strategy for knowledge transfer, identify encountered risks and ’lessons learned’; assess the potential for continuation or up scaling of UNDP’s work in respective area and develop recommendations incorporating project experience for future programming likely to lead to improvements, adjustments to the implementation approach, and alternatives as required in the context of future phase of the project;</w:t>
      </w:r>
    </w:p>
    <w:p w14:paraId="4DBDD94F"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Prepare a draft evaluation report providing descriptive overviews, laying out the evidence, analysing project’s contribution based on evaluation criteria and SDGs, providing conclusions and recommendations;</w:t>
      </w:r>
    </w:p>
    <w:p w14:paraId="07467CB3"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t>Finalize the evaluation report based on solicited feedback from UNDP team and the key project stakeholders;</w:t>
      </w:r>
    </w:p>
    <w:p w14:paraId="362AA011" w14:textId="77777777" w:rsidR="00AB5FA9" w:rsidRPr="006E56C4" w:rsidRDefault="00AB5FA9" w:rsidP="00EB743C">
      <w:pPr>
        <w:numPr>
          <w:ilvl w:val="0"/>
          <w:numId w:val="21"/>
        </w:numPr>
        <w:ind w:left="540" w:hanging="270"/>
        <w:contextualSpacing/>
        <w:jc w:val="both"/>
        <w:rPr>
          <w:rFonts w:eastAsia="MS Mincho" w:cstheme="minorHAnsi"/>
          <w:lang w:val="en-GB"/>
        </w:rPr>
      </w:pPr>
      <w:r w:rsidRPr="006E56C4">
        <w:rPr>
          <w:rFonts w:eastAsia="MS Mincho" w:cstheme="minorHAnsi"/>
          <w:lang w:val="en-GB"/>
        </w:rPr>
        <w:lastRenderedPageBreak/>
        <w:t xml:space="preserve">Present the document to the national partners, project donors and the other key stakeholders, as needed through a dissemination workshop. </w:t>
      </w:r>
    </w:p>
    <w:bookmarkEnd w:id="33"/>
    <w:p w14:paraId="1C4B7921" w14:textId="77777777" w:rsidR="00AB5FA9" w:rsidRPr="006E56C4" w:rsidRDefault="00AB5FA9" w:rsidP="00AB5FA9">
      <w:pPr>
        <w:ind w:left="450" w:hanging="360"/>
        <w:jc w:val="both"/>
        <w:rPr>
          <w:rFonts w:eastAsia="MS Mincho" w:cstheme="minorHAnsi"/>
          <w:b/>
          <w:u w:val="single"/>
          <w:lang w:val="en-GB"/>
        </w:rPr>
      </w:pPr>
    </w:p>
    <w:p w14:paraId="1672AF5F"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 xml:space="preserve">3. Evaluation criteria and key guiding questions </w:t>
      </w:r>
    </w:p>
    <w:p w14:paraId="48BE94D2" w14:textId="77777777" w:rsidR="00AB5FA9" w:rsidRPr="006E56C4" w:rsidRDefault="00AB5FA9" w:rsidP="00AB5FA9">
      <w:pPr>
        <w:rPr>
          <w:rFonts w:eastAsia="MS Mincho" w:cstheme="minorHAnsi"/>
          <w:b/>
          <w:u w:val="single"/>
          <w:lang w:val="en-GB"/>
        </w:rPr>
      </w:pPr>
    </w:p>
    <w:p w14:paraId="526016CD" w14:textId="77777777" w:rsidR="00AB5FA9" w:rsidRPr="006E56C4" w:rsidRDefault="00AB5FA9" w:rsidP="00AB5FA9">
      <w:pPr>
        <w:jc w:val="both"/>
        <w:rPr>
          <w:rFonts w:eastAsia="MS Mincho" w:cstheme="minorHAnsi"/>
          <w:lang w:val="en-GB"/>
        </w:rPr>
      </w:pPr>
      <w:r w:rsidRPr="006E56C4">
        <w:rPr>
          <w:rFonts w:eastAsia="MS Mincho" w:cstheme="minorHAnsi"/>
          <w:lang w:val="en-GB"/>
        </w:rPr>
        <w:t>The incumbent</w:t>
      </w:r>
      <w:r w:rsidRPr="006E56C4">
        <w:rPr>
          <w:rFonts w:cstheme="minorHAnsi"/>
          <w:lang w:val="en-GB"/>
        </w:rPr>
        <w:t xml:space="preserve"> </w:t>
      </w:r>
      <w:r w:rsidRPr="006E56C4">
        <w:rPr>
          <w:rFonts w:eastAsia="MS Mincho" w:cstheme="minorHAnsi"/>
          <w:lang w:val="en-GB"/>
        </w:rPr>
        <w:t>will be tasked to conduct the evaluation as per UNDP Evaluation Policy</w:t>
      </w:r>
      <w:r w:rsidRPr="006E56C4">
        <w:rPr>
          <w:rStyle w:val="FootnoteReference"/>
          <w:rFonts w:eastAsia="MS Mincho" w:cstheme="minorHAnsi"/>
          <w:lang w:val="en-GB"/>
        </w:rPr>
        <w:footnoteReference w:id="46"/>
      </w:r>
      <w:r w:rsidRPr="006E56C4">
        <w:rPr>
          <w:rFonts w:eastAsia="MS Mincho" w:cstheme="minorHAnsi"/>
          <w:lang w:val="en-GB"/>
        </w:rPr>
        <w:t xml:space="preserve">, as well as OECD/DAC criteria and assess the relevance, effectiveness, efficiency, results, impact, coordination and sustainability of PAR efforts in all three pillars of the project. Evaluation should consider using participatory approach and use HR and GE lenses during data collection, data analysis and evaluation process. The following are guiding questions within the framework of the evaluation criteria to be used as a basis and further elaborated by the consultant in the evaluation inception phase. </w:t>
      </w:r>
    </w:p>
    <w:p w14:paraId="4B57A07F" w14:textId="77777777" w:rsidR="00AB5FA9" w:rsidRPr="006E56C4" w:rsidRDefault="00AB5FA9" w:rsidP="00AB5FA9">
      <w:pPr>
        <w:jc w:val="both"/>
        <w:rPr>
          <w:rFonts w:eastAsia="MS Mincho" w:cstheme="minorHAnsi"/>
          <w:lang w:val="en-GB"/>
        </w:rPr>
      </w:pPr>
    </w:p>
    <w:p w14:paraId="7BB502CC" w14:textId="77777777" w:rsidR="00AB5FA9" w:rsidRPr="006E56C4" w:rsidRDefault="00AB5FA9" w:rsidP="00AB5FA9">
      <w:pPr>
        <w:jc w:val="both"/>
        <w:rPr>
          <w:rFonts w:eastAsia="MS Mincho" w:cstheme="minorHAnsi"/>
          <w:b/>
          <w:lang w:val="en-GB"/>
        </w:rPr>
      </w:pPr>
      <w:r w:rsidRPr="006E56C4">
        <w:rPr>
          <w:rFonts w:eastAsia="MS Mincho" w:cstheme="minorHAnsi"/>
          <w:b/>
          <w:lang w:val="en-GB"/>
        </w:rPr>
        <w:t>Relevance:</w:t>
      </w:r>
    </w:p>
    <w:p w14:paraId="6A394411"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 xml:space="preserve">To what extent did project interventions address the needs of the targeted group/partner organizations? </w:t>
      </w:r>
    </w:p>
    <w:p w14:paraId="31F53909"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To what extent were perspectives of those who could affect the outcomes, and those who could contribute information or other resources to the attainment of stated results, taken into account during the project design processes?</w:t>
      </w:r>
    </w:p>
    <w:p w14:paraId="2799E796"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To what extent has the project been appropriately responsive to political, legal, economic, institutional, etc., changes in the country?</w:t>
      </w:r>
    </w:p>
    <w:p w14:paraId="56562CBF"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To what extent has the project been appropriately responsive to the needs of the national constituents and changing partner priorities?</w:t>
      </w:r>
    </w:p>
    <w:p w14:paraId="42FF91A0"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 xml:space="preserve">To what extent has the project been appropriately responsive to Covid-19 health crisis and the respective changes amid pandemic? </w:t>
      </w:r>
    </w:p>
    <w:p w14:paraId="618272BA" w14:textId="77777777" w:rsidR="00AB5FA9" w:rsidRPr="006E56C4" w:rsidRDefault="00AB5FA9" w:rsidP="00AB5FA9">
      <w:pPr>
        <w:jc w:val="both"/>
        <w:rPr>
          <w:rFonts w:cstheme="minorHAnsi"/>
          <w:lang w:val="en-GB"/>
        </w:rPr>
      </w:pPr>
    </w:p>
    <w:p w14:paraId="64782DF9" w14:textId="77777777" w:rsidR="00AB5FA9" w:rsidRPr="006E56C4" w:rsidRDefault="00AB5FA9" w:rsidP="00AB5FA9">
      <w:pPr>
        <w:jc w:val="both"/>
        <w:rPr>
          <w:rFonts w:eastAsia="MS Mincho" w:cstheme="minorHAnsi"/>
          <w:b/>
          <w:lang w:val="en-GB"/>
        </w:rPr>
      </w:pPr>
      <w:r w:rsidRPr="006E56C4">
        <w:rPr>
          <w:rFonts w:eastAsia="MS Mincho" w:cstheme="minorHAnsi"/>
          <w:b/>
          <w:lang w:val="en-GB"/>
        </w:rPr>
        <w:t>Effectiveness and Results:</w:t>
      </w:r>
    </w:p>
    <w:p w14:paraId="71889294"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 xml:space="preserve">To what extent were the project’s intermediary outcomes achieved? </w:t>
      </w:r>
    </w:p>
    <w:p w14:paraId="1F6C31E7" w14:textId="77777777" w:rsidR="00AB5FA9" w:rsidRPr="006E56C4" w:rsidRDefault="00AB5FA9" w:rsidP="00EB743C">
      <w:pPr>
        <w:pStyle w:val="ListParagraph"/>
        <w:numPr>
          <w:ilvl w:val="0"/>
          <w:numId w:val="45"/>
        </w:numPr>
        <w:spacing w:after="160" w:line="259" w:lineRule="auto"/>
        <w:jc w:val="both"/>
        <w:rPr>
          <w:rFonts w:cstheme="minorHAnsi"/>
          <w:lang w:val="en-GB"/>
        </w:rPr>
      </w:pPr>
      <w:r w:rsidRPr="006E56C4">
        <w:rPr>
          <w:rFonts w:cstheme="minorHAnsi"/>
          <w:lang w:val="en-GB"/>
        </w:rPr>
        <w:t>What progress been made towards achievement of project outcomes? What has been the projects’ contribution to the observed change?</w:t>
      </w:r>
    </w:p>
    <w:p w14:paraId="14C32165"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What factors have contributed to achieving or not achieving intended CPD outputs and CPD outcomes?</w:t>
      </w:r>
    </w:p>
    <w:p w14:paraId="1CE4D531"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 xml:space="preserve">To what extent has the PAR Project partnership strategy been appropriate and effective including during the times of the health crisis of Covid-19? </w:t>
      </w:r>
    </w:p>
    <w:p w14:paraId="11D386CE"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 xml:space="preserve">In which areas does the project have the greatest achievements? How these achievements can be used for future project designing and programming? </w:t>
      </w:r>
    </w:p>
    <w:p w14:paraId="7AE743AE"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In which areas does the project have the least achievements? What have been the constraining factors and why? How can they or could they be overcome? Did the project identify these constraints/ failures early and stop activities?</w:t>
      </w:r>
    </w:p>
    <w:p w14:paraId="151C68EB"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lastRenderedPageBreak/>
        <w:t xml:space="preserve">What, if any, alternative strategies could have been more effective in achieving the project’s objectives or should be considered in the potential next phase of the project? </w:t>
      </w:r>
    </w:p>
    <w:p w14:paraId="7DF1B8D6"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To what extent have stakeholders been involved in project implementation? How much capability has been built and which areas can government now lead on independently?</w:t>
      </w:r>
    </w:p>
    <w:p w14:paraId="3D4CF629"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To what extent is project management and implementation participatory and is this participation contributing towards achievement of the project objectives?</w:t>
      </w:r>
    </w:p>
    <w:p w14:paraId="4C8C45A8"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 xml:space="preserve">What are the strengths and weaknesses in terms of project management, implementation and monitoring? </w:t>
      </w:r>
    </w:p>
    <w:p w14:paraId="3C5911CD"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Did the project have nay unintended consequences? If yes what were they?</w:t>
      </w:r>
    </w:p>
    <w:p w14:paraId="400CC229" w14:textId="77777777" w:rsidR="00AB5FA9" w:rsidRPr="006E56C4" w:rsidRDefault="00AB5FA9" w:rsidP="00AB5FA9">
      <w:pPr>
        <w:jc w:val="both"/>
        <w:rPr>
          <w:rFonts w:cstheme="minorHAnsi"/>
          <w:b/>
          <w:bCs/>
          <w:lang w:val="en-GB"/>
        </w:rPr>
      </w:pPr>
      <w:r w:rsidRPr="006E56C4">
        <w:rPr>
          <w:rFonts w:cstheme="minorHAnsi"/>
          <w:b/>
          <w:bCs/>
          <w:lang w:val="en-GB"/>
        </w:rPr>
        <w:t xml:space="preserve">Efficiency: </w:t>
      </w:r>
    </w:p>
    <w:p w14:paraId="44816CD2"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To what extent was the project management structure as outlined in the Project Document efficient in generating the expected results?</w:t>
      </w:r>
    </w:p>
    <w:p w14:paraId="34388A88"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To what extent has the project implementation strategy and execution been efficient and cost effective?</w:t>
      </w:r>
    </w:p>
    <w:p w14:paraId="78275FDD"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To what extent has there been an economical use of financial and human resources? Have resources (funds, human resources, time, expertise, etc.) been allocated strategically to achieve outcomes? Are there any alternatives for achieving the same results with less inputs/funds?</w:t>
      </w:r>
    </w:p>
    <w:p w14:paraId="1995A709" w14:textId="77777777" w:rsidR="00AB5FA9" w:rsidRPr="006E56C4" w:rsidDel="00DF3220" w:rsidRDefault="00AB5FA9" w:rsidP="00EB743C">
      <w:pPr>
        <w:pStyle w:val="ListParagraph"/>
        <w:numPr>
          <w:ilvl w:val="0"/>
          <w:numId w:val="24"/>
        </w:numPr>
        <w:spacing w:after="200"/>
        <w:jc w:val="both"/>
        <w:rPr>
          <w:rFonts w:cstheme="minorHAnsi"/>
          <w:lang w:val="en-GB"/>
        </w:rPr>
      </w:pPr>
      <w:r w:rsidRPr="006E56C4">
        <w:rPr>
          <w:rFonts w:cstheme="minorHAnsi"/>
          <w:lang w:val="en-GB"/>
        </w:rPr>
        <w:t>To what extent do the monitoring and evaluation systems utilized by UNDP ensure effective and efficient project management?</w:t>
      </w:r>
    </w:p>
    <w:p w14:paraId="1D35C097" w14:textId="77777777" w:rsidR="00AB5FA9" w:rsidRPr="006E56C4" w:rsidRDefault="00AB5FA9" w:rsidP="00AB5FA9">
      <w:pPr>
        <w:jc w:val="both"/>
        <w:rPr>
          <w:rFonts w:cstheme="minorHAnsi"/>
          <w:b/>
          <w:bCs/>
          <w:lang w:val="en-GB"/>
        </w:rPr>
      </w:pPr>
      <w:r w:rsidRPr="006E56C4">
        <w:rPr>
          <w:rFonts w:cstheme="minorHAnsi"/>
          <w:b/>
          <w:bCs/>
          <w:lang w:val="en-GB"/>
        </w:rPr>
        <w:t xml:space="preserve">Impact: </w:t>
      </w:r>
    </w:p>
    <w:p w14:paraId="322A1CCD" w14:textId="77777777" w:rsidR="00AB5FA9" w:rsidRPr="006E56C4" w:rsidRDefault="00AB5FA9" w:rsidP="00EB743C">
      <w:pPr>
        <w:pStyle w:val="ListParagraph"/>
        <w:numPr>
          <w:ilvl w:val="0"/>
          <w:numId w:val="24"/>
        </w:numPr>
        <w:jc w:val="both"/>
        <w:rPr>
          <w:rFonts w:eastAsia="MS Mincho" w:cstheme="minorHAnsi"/>
          <w:lang w:val="en-GB"/>
        </w:rPr>
      </w:pPr>
      <w:r w:rsidRPr="006E56C4">
        <w:rPr>
          <w:rFonts w:eastAsia="MS Mincho" w:cstheme="minorHAnsi"/>
          <w:lang w:val="en-GB"/>
        </w:rPr>
        <w:t xml:space="preserve">What impact did the PAR Project have on ongoing Public Administration Reform? </w:t>
      </w:r>
    </w:p>
    <w:p w14:paraId="149FA3F1" w14:textId="77777777" w:rsidR="00AB5FA9" w:rsidRPr="006E56C4" w:rsidRDefault="00AB5FA9" w:rsidP="00EB743C">
      <w:pPr>
        <w:pStyle w:val="ListParagraph"/>
        <w:numPr>
          <w:ilvl w:val="0"/>
          <w:numId w:val="24"/>
        </w:numPr>
        <w:jc w:val="both"/>
        <w:rPr>
          <w:rFonts w:eastAsia="MS Mincho" w:cstheme="minorHAnsi"/>
          <w:lang w:val="en-GB"/>
        </w:rPr>
      </w:pPr>
      <w:r w:rsidRPr="006E56C4">
        <w:rPr>
          <w:rFonts w:eastAsia="MS Mincho" w:cstheme="minorHAnsi"/>
          <w:lang w:val="en-GB"/>
        </w:rPr>
        <w:t xml:space="preserve">What impact did the PAR Project have on the policy development and </w:t>
      </w:r>
      <w:proofErr w:type="gramStart"/>
      <w:r w:rsidRPr="006E56C4">
        <w:rPr>
          <w:rFonts w:eastAsia="MS Mincho" w:cstheme="minorHAnsi"/>
          <w:lang w:val="en-GB"/>
        </w:rPr>
        <w:t>coordination;</w:t>
      </w:r>
      <w:proofErr w:type="gramEnd"/>
      <w:r w:rsidRPr="006E56C4">
        <w:rPr>
          <w:rFonts w:eastAsia="MS Mincho" w:cstheme="minorHAnsi"/>
          <w:lang w:val="en-GB"/>
        </w:rPr>
        <w:t xml:space="preserve"> Performance of Civil Service and Service delivery?</w:t>
      </w:r>
    </w:p>
    <w:p w14:paraId="4B610242" w14:textId="77777777" w:rsidR="00AB5FA9" w:rsidRPr="006E56C4" w:rsidRDefault="00AB5FA9" w:rsidP="00EB743C">
      <w:pPr>
        <w:pStyle w:val="ListParagraph"/>
        <w:numPr>
          <w:ilvl w:val="0"/>
          <w:numId w:val="24"/>
        </w:numPr>
        <w:jc w:val="both"/>
        <w:rPr>
          <w:rFonts w:eastAsia="MS Mincho" w:cstheme="minorHAnsi"/>
          <w:lang w:val="en-GB"/>
        </w:rPr>
      </w:pPr>
      <w:r w:rsidRPr="006E56C4">
        <w:rPr>
          <w:rFonts w:eastAsia="MS Mincho" w:cstheme="minorHAnsi"/>
          <w:lang w:val="en-GB"/>
        </w:rPr>
        <w:t>What Impact did the PAR Project have on Civil Society Organizations (CSOs) capacity building and engagement in PAR? Did government use the research, evidence and innovations carried out by civil society?</w:t>
      </w:r>
    </w:p>
    <w:p w14:paraId="63A0702C" w14:textId="77777777" w:rsidR="00AB5FA9" w:rsidRDefault="00AB5FA9" w:rsidP="00EB743C">
      <w:pPr>
        <w:pStyle w:val="ListParagraph"/>
        <w:numPr>
          <w:ilvl w:val="0"/>
          <w:numId w:val="24"/>
        </w:numPr>
        <w:spacing w:after="200" w:line="276" w:lineRule="auto"/>
        <w:jc w:val="both"/>
        <w:rPr>
          <w:rFonts w:cstheme="minorHAnsi"/>
          <w:lang w:val="en-GB"/>
        </w:rPr>
      </w:pPr>
      <w:r w:rsidRPr="006E56C4">
        <w:rPr>
          <w:rFonts w:cstheme="minorHAnsi"/>
          <w:lang w:val="en-GB"/>
        </w:rPr>
        <w:t xml:space="preserve">What is the forecasted impact of the </w:t>
      </w:r>
      <w:r w:rsidRPr="006E56C4">
        <w:rPr>
          <w:rFonts w:eastAsia="MS Mincho" w:cstheme="minorHAnsi"/>
          <w:lang w:val="en-GB"/>
        </w:rPr>
        <w:t>PAR Project on policy planning, advancing civil service reform and improving public service delivery</w:t>
      </w:r>
      <w:r w:rsidRPr="006E56C4">
        <w:rPr>
          <w:rFonts w:cstheme="minorHAnsi"/>
          <w:lang w:val="en-GB"/>
        </w:rPr>
        <w:t>?</w:t>
      </w:r>
    </w:p>
    <w:p w14:paraId="1CFC2BCB" w14:textId="77777777" w:rsidR="00AB5FA9" w:rsidRPr="006E56C4" w:rsidRDefault="00AB5FA9" w:rsidP="00AB5FA9">
      <w:pPr>
        <w:pStyle w:val="ListParagraph"/>
        <w:jc w:val="both"/>
        <w:rPr>
          <w:rFonts w:cstheme="minorHAnsi"/>
          <w:lang w:val="en-GB"/>
        </w:rPr>
      </w:pPr>
    </w:p>
    <w:p w14:paraId="1128BC21" w14:textId="77777777" w:rsidR="00AB5FA9" w:rsidRPr="006E56C4" w:rsidRDefault="00AB5FA9" w:rsidP="00AB5FA9">
      <w:pPr>
        <w:jc w:val="both"/>
        <w:rPr>
          <w:rFonts w:cstheme="minorHAnsi"/>
          <w:b/>
          <w:bCs/>
          <w:lang w:val="en-GB"/>
        </w:rPr>
      </w:pPr>
      <w:r w:rsidRPr="006E56C4">
        <w:rPr>
          <w:rFonts w:cstheme="minorHAnsi"/>
          <w:b/>
          <w:bCs/>
          <w:lang w:val="en-GB"/>
        </w:rPr>
        <w:t>Sustainability:</w:t>
      </w:r>
    </w:p>
    <w:p w14:paraId="62C5E600"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Examine the political, organizational, human resource, and financial sustainability of PAR sub-projects/consultancies. What threats exist to sustainability, and how has the risk of these threats been mitigated/anticipated?</w:t>
      </w:r>
    </w:p>
    <w:p w14:paraId="5D1567B0"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Which of the PAR strategies/policy frameworks developed and supported through this programme are actively used? If not, why not?</w:t>
      </w:r>
    </w:p>
    <w:p w14:paraId="1937B50A"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To what extent will financial and economic resources be available to sustain the benefits achieved by the project?</w:t>
      </w:r>
    </w:p>
    <w:p w14:paraId="0928FBE8"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lastRenderedPageBreak/>
        <w:t>Do the legal frameworks, policies and governance structures and processes within which the project operates pose risks that may jeopardize sustainability of project benefits?</w:t>
      </w:r>
    </w:p>
    <w:p w14:paraId="04549A66" w14:textId="77777777" w:rsidR="00AB5FA9" w:rsidRPr="006E56C4" w:rsidRDefault="00AB5FA9" w:rsidP="00EB743C">
      <w:pPr>
        <w:pStyle w:val="ListParagraph"/>
        <w:numPr>
          <w:ilvl w:val="0"/>
          <w:numId w:val="24"/>
        </w:numPr>
        <w:spacing w:after="200"/>
        <w:jc w:val="both"/>
        <w:rPr>
          <w:rFonts w:cstheme="minorHAnsi"/>
          <w:lang w:val="en-GB"/>
        </w:rPr>
      </w:pPr>
      <w:r w:rsidRPr="006E56C4">
        <w:rPr>
          <w:rFonts w:cstheme="minorHAnsi"/>
          <w:lang w:val="en-GB"/>
        </w:rPr>
        <w:t>To what extent do stakeholders support the project’s long-term objectives?</w:t>
      </w:r>
    </w:p>
    <w:p w14:paraId="3CB3E77D" w14:textId="77777777" w:rsidR="00AB5FA9" w:rsidRPr="006E56C4" w:rsidRDefault="00AB5FA9" w:rsidP="00EB743C">
      <w:pPr>
        <w:pStyle w:val="ListParagraph"/>
        <w:numPr>
          <w:ilvl w:val="0"/>
          <w:numId w:val="24"/>
        </w:numPr>
        <w:jc w:val="both"/>
        <w:rPr>
          <w:rFonts w:eastAsia="MS Mincho" w:cstheme="minorHAnsi"/>
          <w:lang w:val="en-GB"/>
        </w:rPr>
      </w:pPr>
      <w:r w:rsidRPr="006E56C4">
        <w:rPr>
          <w:rFonts w:eastAsia="MS Mincho" w:cstheme="minorHAnsi"/>
          <w:lang w:val="en-GB"/>
        </w:rPr>
        <w:t>To what extent PAR Project has taken the necessary steps to transfer capacities and skills to its key partners? To what extent are these results long-lasting? How could transfer be strengthened?</w:t>
      </w:r>
    </w:p>
    <w:p w14:paraId="5CC4753C" w14:textId="77777777" w:rsidR="00AB5FA9" w:rsidRPr="006E56C4" w:rsidRDefault="00AB5FA9" w:rsidP="00EB743C">
      <w:pPr>
        <w:pStyle w:val="ListParagraph"/>
        <w:numPr>
          <w:ilvl w:val="0"/>
          <w:numId w:val="24"/>
        </w:numPr>
        <w:jc w:val="both"/>
        <w:rPr>
          <w:rFonts w:eastAsia="MS Mincho" w:cstheme="minorHAnsi"/>
          <w:lang w:val="en-GB"/>
        </w:rPr>
      </w:pPr>
      <w:r w:rsidRPr="006E56C4">
        <w:rPr>
          <w:rFonts w:eastAsia="MS Mincho" w:cstheme="minorHAnsi"/>
          <w:lang w:val="en-GB"/>
        </w:rPr>
        <w:t>How, and to what extent did PAR Project’s design, implementation strategy/partnership foster ownership and capacity development? How could this be strengthened?</w:t>
      </w:r>
    </w:p>
    <w:p w14:paraId="77D25BEE" w14:textId="77777777" w:rsidR="00AB5FA9" w:rsidRPr="006E56C4" w:rsidRDefault="00AB5FA9" w:rsidP="00AB5FA9">
      <w:pPr>
        <w:spacing w:before="240"/>
        <w:jc w:val="both"/>
        <w:rPr>
          <w:rFonts w:cstheme="minorHAnsi"/>
          <w:b/>
          <w:bCs/>
          <w:lang w:val="en-GB"/>
        </w:rPr>
      </w:pPr>
      <w:r w:rsidRPr="006E56C4">
        <w:rPr>
          <w:rFonts w:cstheme="minorHAnsi"/>
          <w:b/>
          <w:bCs/>
          <w:lang w:val="en-GB"/>
        </w:rPr>
        <w:t>Coordination:</w:t>
      </w:r>
    </w:p>
    <w:p w14:paraId="5C1DB132" w14:textId="77777777" w:rsidR="00AB5FA9" w:rsidRPr="006E56C4" w:rsidRDefault="00AB5FA9" w:rsidP="00EB743C">
      <w:pPr>
        <w:pStyle w:val="ListParagraph"/>
        <w:numPr>
          <w:ilvl w:val="0"/>
          <w:numId w:val="24"/>
        </w:numPr>
        <w:spacing w:after="200"/>
        <w:jc w:val="both"/>
        <w:rPr>
          <w:rFonts w:eastAsia="MS Mincho" w:cstheme="minorHAnsi"/>
          <w:lang w:val="en-GB"/>
        </w:rPr>
      </w:pPr>
      <w:r w:rsidRPr="006E56C4">
        <w:rPr>
          <w:rFonts w:eastAsia="MS Mincho" w:cstheme="minorHAnsi"/>
          <w:lang w:val="en-GB"/>
        </w:rPr>
        <w:t>To what extent the project was effective in coordinating its activities with UN agencies/UNDP, relevant development partners, donors, CSO, NGOs and academic institution?</w:t>
      </w:r>
    </w:p>
    <w:p w14:paraId="7A23AF31" w14:textId="77777777" w:rsidR="00AB5FA9" w:rsidRPr="006E56C4" w:rsidRDefault="00AB5FA9" w:rsidP="00AB5FA9">
      <w:pPr>
        <w:rPr>
          <w:rFonts w:cstheme="minorHAnsi"/>
          <w:b/>
          <w:bCs/>
          <w:lang w:val="en-GB"/>
        </w:rPr>
      </w:pPr>
      <w:r w:rsidRPr="006E56C4">
        <w:rPr>
          <w:rFonts w:cstheme="minorHAnsi"/>
          <w:b/>
          <w:bCs/>
          <w:lang w:val="en-GB"/>
        </w:rPr>
        <w:t>Gender and Inclusion:</w:t>
      </w:r>
    </w:p>
    <w:p w14:paraId="4604D772" w14:textId="77777777" w:rsidR="00AB5FA9" w:rsidRPr="006E56C4" w:rsidRDefault="00AB5FA9" w:rsidP="00EB743C">
      <w:pPr>
        <w:pStyle w:val="ListParagraph"/>
        <w:numPr>
          <w:ilvl w:val="0"/>
          <w:numId w:val="24"/>
        </w:numPr>
        <w:spacing w:after="200"/>
        <w:jc w:val="both"/>
        <w:rPr>
          <w:rFonts w:cstheme="minorHAnsi"/>
          <w:b/>
          <w:bCs/>
          <w:lang w:val="en-GB"/>
        </w:rPr>
      </w:pPr>
      <w:r w:rsidRPr="006E56C4">
        <w:rPr>
          <w:rFonts w:cstheme="minorHAnsi"/>
          <w:lang w:val="en-GB"/>
        </w:rPr>
        <w:t>To what extent and how has the project contributed to gender equality and the empowerment of women, and social inclusion/human rights been addressed in the design, implementation and monitoring of the project? What are potential opportunities to strengthen contribution to gender equality in future?</w:t>
      </w:r>
    </w:p>
    <w:p w14:paraId="42CA18F0" w14:textId="77777777" w:rsidR="00AB5FA9" w:rsidRPr="006E56C4" w:rsidRDefault="00AB5FA9" w:rsidP="00EB743C">
      <w:pPr>
        <w:pStyle w:val="ListParagraph"/>
        <w:numPr>
          <w:ilvl w:val="0"/>
          <w:numId w:val="24"/>
        </w:numPr>
        <w:spacing w:before="240" w:after="200"/>
        <w:jc w:val="both"/>
        <w:rPr>
          <w:rFonts w:cstheme="minorHAnsi"/>
          <w:lang w:val="en-GB"/>
        </w:rPr>
      </w:pPr>
      <w:r w:rsidRPr="006E56C4">
        <w:rPr>
          <w:rFonts w:cstheme="minorHAnsi"/>
          <w:lang w:val="en-GB"/>
        </w:rPr>
        <w:t>To what extent has the project promoted positive changes in gender equality and the empowerment of women, and social inclusion? Were there any unintended effects?</w:t>
      </w:r>
    </w:p>
    <w:p w14:paraId="5E2B97F0" w14:textId="77777777" w:rsidR="00AB5FA9" w:rsidRPr="006E56C4" w:rsidRDefault="00AB5FA9" w:rsidP="00AB5FA9">
      <w:pPr>
        <w:spacing w:before="240"/>
        <w:rPr>
          <w:rFonts w:eastAsia="MS Mincho" w:cstheme="minorHAnsi"/>
          <w:b/>
          <w:u w:val="single"/>
          <w:lang w:val="en-GB"/>
        </w:rPr>
      </w:pPr>
      <w:r w:rsidRPr="006E56C4">
        <w:rPr>
          <w:rFonts w:eastAsia="MS Mincho" w:cstheme="minorHAnsi"/>
          <w:b/>
          <w:u w:val="single"/>
          <w:lang w:val="en-GB"/>
        </w:rPr>
        <w:t>4. Methodology</w:t>
      </w:r>
    </w:p>
    <w:p w14:paraId="4970A97B" w14:textId="77777777" w:rsidR="00AB5FA9" w:rsidRPr="006E56C4" w:rsidRDefault="00AB5FA9" w:rsidP="00AB5FA9">
      <w:pPr>
        <w:ind w:left="-567"/>
        <w:rPr>
          <w:rFonts w:eastAsia="MS Mincho" w:cstheme="minorHAnsi"/>
          <w:b/>
          <w:u w:val="single"/>
          <w:lang w:val="en-GB"/>
        </w:rPr>
      </w:pPr>
    </w:p>
    <w:p w14:paraId="02229E9E" w14:textId="77777777" w:rsidR="00AB5FA9" w:rsidRPr="006E56C4" w:rsidRDefault="00AB5FA9" w:rsidP="00AB5FA9">
      <w:pPr>
        <w:spacing w:after="120"/>
        <w:jc w:val="both"/>
        <w:rPr>
          <w:rFonts w:cstheme="minorHAnsi"/>
          <w:spacing w:val="-2"/>
          <w:lang w:val="en-GB"/>
        </w:rPr>
      </w:pPr>
      <w:r w:rsidRPr="006E56C4">
        <w:rPr>
          <w:rFonts w:cstheme="minorHAnsi"/>
          <w:lang w:val="en-GB"/>
        </w:rPr>
        <w:t xml:space="preserve">The consultant will work together with the project team in the preparation of a methodology to answer the key research questions outlined above, as well as any other pertinent questions that may arise to adequately assess the final picture. </w:t>
      </w:r>
      <w:r w:rsidRPr="006E56C4">
        <w:rPr>
          <w:rFonts w:cstheme="minorHAnsi"/>
          <w:spacing w:val="-2"/>
          <w:lang w:val="en-GB"/>
        </w:rPr>
        <w:t xml:space="preserve">The incumbent must take into account </w:t>
      </w:r>
      <w:hyperlink r:id="rId13" w:history="1">
        <w:r w:rsidRPr="006E56C4">
          <w:rPr>
            <w:rStyle w:val="Hyperlink"/>
            <w:rFonts w:cstheme="minorHAnsi"/>
            <w:spacing w:val="-2"/>
            <w:lang w:val="en-GB"/>
          </w:rPr>
          <w:t>UNDP Monitoring and Evaluation Guidelines (2019)</w:t>
        </w:r>
      </w:hyperlink>
      <w:r w:rsidRPr="006E56C4">
        <w:rPr>
          <w:rFonts w:cstheme="minorHAnsi"/>
          <w:spacing w:val="-2"/>
          <w:lang w:val="en-GB"/>
        </w:rPr>
        <w:t xml:space="preserve"> and relevant programmatic documents, which will be supplied to the consultant at the beginning of the assignment. </w:t>
      </w:r>
      <w:r w:rsidRPr="006E56C4">
        <w:rPr>
          <w:rFonts w:cstheme="minorHAnsi"/>
          <w:lang w:val="en-GB"/>
        </w:rPr>
        <w:t xml:space="preserve">As a result of this exercise the consultant </w:t>
      </w:r>
      <w:r w:rsidRPr="006E56C4">
        <w:rPr>
          <w:rFonts w:cstheme="minorHAnsi"/>
          <w:spacing w:val="-2"/>
          <w:lang w:val="en-GB"/>
        </w:rPr>
        <w:t xml:space="preserve">will propose an evaluation methodology and agree on a detailed plan for the assignment as part of the evaluation inception report.  The final methodology should be approved by UNDP.   </w:t>
      </w:r>
    </w:p>
    <w:p w14:paraId="052BB917" w14:textId="77777777" w:rsidR="00AB5FA9" w:rsidRPr="006E56C4" w:rsidRDefault="00AB5FA9" w:rsidP="00AB5FA9">
      <w:pPr>
        <w:spacing w:after="120"/>
        <w:jc w:val="both"/>
        <w:rPr>
          <w:rFonts w:cstheme="minorHAnsi"/>
          <w:spacing w:val="-2"/>
          <w:lang w:val="en-GB"/>
        </w:rPr>
      </w:pPr>
      <w:r w:rsidRPr="006E56C4">
        <w:rPr>
          <w:rFonts w:cstheme="minorHAnsi"/>
          <w:spacing w:val="-2"/>
          <w:lang w:val="en-GB"/>
        </w:rPr>
        <w:t xml:space="preserve">Given the specific nature of the Public Administration Reform and the project targeting the given area, where results take longer to materialize, the consultant should adopt an integrated mixed-method approach involving a combination of data collection and analysis tools to capture both the tangible and the unquantifiable impacts of the PAR Project and generate concrete evidence to substantiate all findings. The methodology should be robust enough to ensure high quality, triangulation of data sources, and verifiability of information. It is expected that the evaluation methodology will comprise of the following elements: </w:t>
      </w:r>
    </w:p>
    <w:p w14:paraId="796868D8" w14:textId="77777777" w:rsidR="00AB5FA9" w:rsidRPr="006E56C4" w:rsidRDefault="00AB5FA9" w:rsidP="00EB743C">
      <w:pPr>
        <w:pStyle w:val="ListParagraph"/>
        <w:numPr>
          <w:ilvl w:val="0"/>
          <w:numId w:val="25"/>
        </w:numPr>
        <w:spacing w:after="120"/>
        <w:contextualSpacing w:val="0"/>
        <w:jc w:val="both"/>
        <w:rPr>
          <w:rFonts w:cstheme="minorHAnsi"/>
          <w:lang w:val="en-GB"/>
        </w:rPr>
      </w:pPr>
      <w:r w:rsidRPr="006E56C4">
        <w:rPr>
          <w:rFonts w:cstheme="minorHAnsi"/>
          <w:lang w:val="en-GB"/>
        </w:rPr>
        <w:t>Secondary research:</w:t>
      </w:r>
    </w:p>
    <w:p w14:paraId="358B0DDD" w14:textId="77777777" w:rsidR="00AB5FA9" w:rsidRPr="006E56C4" w:rsidRDefault="00AB5FA9" w:rsidP="00EB743C">
      <w:pPr>
        <w:pStyle w:val="ListParagraph"/>
        <w:numPr>
          <w:ilvl w:val="1"/>
          <w:numId w:val="25"/>
        </w:numPr>
        <w:contextualSpacing w:val="0"/>
        <w:jc w:val="both"/>
        <w:rPr>
          <w:rFonts w:cstheme="minorHAnsi"/>
          <w:spacing w:val="-2"/>
          <w:lang w:val="en-GB"/>
        </w:rPr>
      </w:pPr>
      <w:r w:rsidRPr="006E56C4">
        <w:rPr>
          <w:rFonts w:cstheme="minorHAnsi"/>
          <w:spacing w:val="-2"/>
          <w:lang w:val="en-GB"/>
        </w:rPr>
        <w:lastRenderedPageBreak/>
        <w:t>Document Review of all relevant project documentation: Project Document, Results Frameworks, Monitoring and Evaluation Plan, Theory of Change, Annual/Semi-Annual/Quarterly Reports, Mid-Term Evaluation of the Project and other relevant knowledge products;</w:t>
      </w:r>
    </w:p>
    <w:p w14:paraId="329F951A" w14:textId="77777777" w:rsidR="00AB5FA9" w:rsidRPr="006E56C4" w:rsidRDefault="00AB5FA9" w:rsidP="00EB743C">
      <w:pPr>
        <w:pStyle w:val="ListParagraph"/>
        <w:numPr>
          <w:ilvl w:val="1"/>
          <w:numId w:val="25"/>
        </w:numPr>
        <w:spacing w:after="200"/>
        <w:rPr>
          <w:rFonts w:cstheme="minorHAnsi"/>
          <w:spacing w:val="-2"/>
          <w:lang w:val="en-GB"/>
        </w:rPr>
      </w:pPr>
      <w:r w:rsidRPr="006E56C4">
        <w:rPr>
          <w:rFonts w:cstheme="minorHAnsi"/>
          <w:spacing w:val="-2"/>
          <w:lang w:val="en-GB"/>
        </w:rPr>
        <w:t>Collect quantitative data, including retrieving public information from government agencies (if needed), necessary for the evaluation.</w:t>
      </w:r>
    </w:p>
    <w:p w14:paraId="2F27DAAB" w14:textId="77777777" w:rsidR="00AB5FA9" w:rsidRPr="006E56C4" w:rsidRDefault="00AB5FA9" w:rsidP="00EB743C">
      <w:pPr>
        <w:pStyle w:val="ListParagraph"/>
        <w:numPr>
          <w:ilvl w:val="0"/>
          <w:numId w:val="25"/>
        </w:numPr>
        <w:spacing w:after="120"/>
        <w:contextualSpacing w:val="0"/>
        <w:jc w:val="both"/>
        <w:rPr>
          <w:rFonts w:cstheme="minorHAnsi"/>
          <w:lang w:val="en-GB"/>
        </w:rPr>
      </w:pPr>
      <w:r w:rsidRPr="006E56C4">
        <w:rPr>
          <w:rFonts w:cstheme="minorHAnsi"/>
          <w:lang w:val="en-GB"/>
        </w:rPr>
        <w:t>Primary research – aimed at forming new knowledge by collecting information through:</w:t>
      </w:r>
    </w:p>
    <w:p w14:paraId="26FC8BE5" w14:textId="77777777" w:rsidR="00AB5FA9" w:rsidRPr="006E56C4" w:rsidRDefault="00AB5FA9" w:rsidP="00EB743C">
      <w:pPr>
        <w:pStyle w:val="ListParagraph"/>
        <w:numPr>
          <w:ilvl w:val="1"/>
          <w:numId w:val="25"/>
        </w:numPr>
        <w:contextualSpacing w:val="0"/>
        <w:jc w:val="both"/>
        <w:rPr>
          <w:rFonts w:cstheme="minorHAnsi"/>
          <w:lang w:val="en-GB"/>
        </w:rPr>
      </w:pPr>
      <w:r w:rsidRPr="006E56C4">
        <w:rPr>
          <w:rFonts w:cstheme="minorHAnsi"/>
          <w:lang w:val="en-GB"/>
        </w:rPr>
        <w:t xml:space="preserve">Key informant interviews (KIIs), semi-structured interviews, stakeholder consultations and other participatory methods; </w:t>
      </w:r>
    </w:p>
    <w:p w14:paraId="418F8564" w14:textId="77777777" w:rsidR="00AB5FA9" w:rsidRPr="006E56C4" w:rsidRDefault="00AB5FA9" w:rsidP="00EB743C">
      <w:pPr>
        <w:pStyle w:val="ListParagraph"/>
        <w:numPr>
          <w:ilvl w:val="1"/>
          <w:numId w:val="25"/>
        </w:numPr>
        <w:contextualSpacing w:val="0"/>
        <w:jc w:val="both"/>
        <w:rPr>
          <w:rFonts w:cstheme="minorHAnsi"/>
          <w:lang w:val="en-GB"/>
        </w:rPr>
      </w:pPr>
      <w:r w:rsidRPr="006E56C4">
        <w:rPr>
          <w:rFonts w:cstheme="minorHAnsi"/>
          <w:lang w:val="en-GB"/>
        </w:rPr>
        <w:t>Focus Group Discussions (FGDs) and workshops with different Government and non‐government institutions, donors and external stakeholders;</w:t>
      </w:r>
    </w:p>
    <w:p w14:paraId="39FD25D2" w14:textId="77777777" w:rsidR="00AB5FA9" w:rsidRPr="006E56C4" w:rsidRDefault="00AB5FA9" w:rsidP="00AB5FA9">
      <w:pPr>
        <w:spacing w:before="240" w:after="120"/>
        <w:jc w:val="both"/>
        <w:rPr>
          <w:rFonts w:cstheme="minorHAnsi"/>
          <w:spacing w:val="-2"/>
          <w:lang w:val="en-GB"/>
        </w:rPr>
      </w:pPr>
      <w:r w:rsidRPr="006E56C4">
        <w:rPr>
          <w:rFonts w:eastAsia="MS Mincho" w:cstheme="minorHAnsi"/>
          <w:lang w:val="en-GB"/>
        </w:rPr>
        <w:t xml:space="preserve">Other quantitative data collection methods as required. </w:t>
      </w:r>
      <w:r w:rsidRPr="006E56C4">
        <w:rPr>
          <w:rFonts w:cstheme="minorHAnsi"/>
          <w:spacing w:val="-2"/>
          <w:lang w:val="en-GB"/>
        </w:rPr>
        <w:t xml:space="preserve">Considering all the safety measures enforced by the Government of Georgia to stop the spread of the Covid-19 virus, most of the activities envisaged by the external evaluation methodology might have to be conducted remotely. If it is not possible to travel to or within the country by the time of the data collection, workshops and meetings are planned, </w:t>
      </w:r>
      <w:proofErr w:type="gramStart"/>
      <w:r w:rsidRPr="006E56C4">
        <w:rPr>
          <w:rFonts w:cstheme="minorHAnsi"/>
          <w:spacing w:val="-2"/>
          <w:lang w:val="en-GB"/>
        </w:rPr>
        <w:t xml:space="preserve">the  </w:t>
      </w:r>
      <w:r w:rsidRPr="006E56C4">
        <w:rPr>
          <w:rFonts w:eastAsia="MS Mincho" w:cstheme="minorHAnsi"/>
          <w:lang w:val="en-GB"/>
        </w:rPr>
        <w:t>international</w:t>
      </w:r>
      <w:proofErr w:type="gramEnd"/>
      <w:r w:rsidRPr="006E56C4">
        <w:rPr>
          <w:rFonts w:eastAsia="MS Mincho" w:cstheme="minorHAnsi"/>
          <w:lang w:val="en-GB"/>
        </w:rPr>
        <w:t xml:space="preserve"> consultant </w:t>
      </w:r>
      <w:r w:rsidRPr="006E56C4">
        <w:rPr>
          <w:rFonts w:cstheme="minorHAnsi"/>
          <w:spacing w:val="-2"/>
          <w:lang w:val="en-GB"/>
        </w:rPr>
        <w:t xml:space="preserve">should develop a methodology that takes this into account and conducts the evaluation virtually and remotely, including the use of remote interview methods and extended desk reviews, data analysis, surveys and evaluation questionnaires. This should be detailed in the Inception report and agreed with the UNDP’s commissioning unit (Governance Team Leader and M&amp;E specialist).  </w:t>
      </w:r>
    </w:p>
    <w:p w14:paraId="3FA0B09F" w14:textId="77777777" w:rsidR="00AB5FA9" w:rsidRPr="006E56C4" w:rsidRDefault="00AB5FA9" w:rsidP="00AB5FA9">
      <w:pPr>
        <w:rPr>
          <w:rFonts w:eastAsia="MS Mincho" w:cstheme="minorHAnsi"/>
          <w:b/>
          <w:u w:val="single"/>
          <w:lang w:val="en-GB"/>
        </w:rPr>
      </w:pPr>
    </w:p>
    <w:p w14:paraId="12A49A9B"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5. Deliverables</w:t>
      </w:r>
    </w:p>
    <w:p w14:paraId="4FCBF3CA" w14:textId="77777777" w:rsidR="00AB5FA9" w:rsidRPr="006E56C4" w:rsidRDefault="00AB5FA9" w:rsidP="00AB5FA9">
      <w:pPr>
        <w:spacing w:before="240"/>
        <w:contextualSpacing/>
        <w:rPr>
          <w:rFonts w:eastAsia="MS Mincho" w:cstheme="minorHAnsi"/>
          <w:b/>
          <w:lang w:val="en-GB"/>
        </w:rPr>
      </w:pPr>
    </w:p>
    <w:p w14:paraId="5E547129" w14:textId="77777777" w:rsidR="00AB5FA9" w:rsidRPr="006E56C4" w:rsidRDefault="00AB5FA9" w:rsidP="00EB743C">
      <w:pPr>
        <w:numPr>
          <w:ilvl w:val="0"/>
          <w:numId w:val="21"/>
        </w:numPr>
        <w:ind w:left="270" w:hanging="270"/>
        <w:contextualSpacing/>
        <w:jc w:val="both"/>
        <w:rPr>
          <w:rFonts w:eastAsia="MS Mincho" w:cstheme="minorHAnsi"/>
          <w:lang w:val="en-GB"/>
        </w:rPr>
      </w:pPr>
      <w:r w:rsidRPr="006E56C4">
        <w:rPr>
          <w:rFonts w:eastAsia="MS Mincho" w:cstheme="minorHAnsi"/>
          <w:b/>
          <w:bCs/>
          <w:lang w:val="en-GB"/>
        </w:rPr>
        <w:t>Inception report</w:t>
      </w:r>
      <w:r w:rsidRPr="006E56C4">
        <w:rPr>
          <w:rFonts w:eastAsia="MS Mincho" w:cstheme="minorHAnsi"/>
          <w:lang w:val="en-GB"/>
        </w:rPr>
        <w:t xml:space="preserve"> including the evaluation matrix, evaluation methodology, and evaluation plan, schedule of data collection, study instruments, report outline, etc.;</w:t>
      </w:r>
    </w:p>
    <w:p w14:paraId="6886177F" w14:textId="77777777" w:rsidR="00AB5FA9" w:rsidRPr="006E56C4" w:rsidRDefault="00AB5FA9" w:rsidP="00EB743C">
      <w:pPr>
        <w:numPr>
          <w:ilvl w:val="0"/>
          <w:numId w:val="21"/>
        </w:numPr>
        <w:ind w:left="270" w:hanging="270"/>
        <w:contextualSpacing/>
        <w:jc w:val="both"/>
        <w:rPr>
          <w:rFonts w:eastAsia="MS Mincho" w:cstheme="minorHAnsi"/>
          <w:lang w:val="en-GB"/>
        </w:rPr>
      </w:pPr>
      <w:r w:rsidRPr="006E56C4">
        <w:rPr>
          <w:rFonts w:eastAsia="MS Mincho" w:cstheme="minorHAnsi"/>
          <w:b/>
          <w:bCs/>
          <w:lang w:val="en-GB"/>
        </w:rPr>
        <w:t>A draft of an evaluation report</w:t>
      </w:r>
      <w:r w:rsidRPr="006E56C4">
        <w:rPr>
          <w:rFonts w:eastAsia="MS Mincho" w:cstheme="minorHAnsi"/>
          <w:lang w:val="en-GB"/>
        </w:rPr>
        <w:t xml:space="preserve"> with the following key chapters, but not limited to:</w:t>
      </w:r>
    </w:p>
    <w:p w14:paraId="7B4048A9" w14:textId="77777777" w:rsidR="00AB5FA9" w:rsidRPr="006E56C4" w:rsidRDefault="00AB5FA9" w:rsidP="00EB743C">
      <w:pPr>
        <w:pStyle w:val="ListParagraph"/>
        <w:numPr>
          <w:ilvl w:val="0"/>
          <w:numId w:val="22"/>
        </w:numPr>
        <w:ind w:left="630" w:hanging="270"/>
        <w:jc w:val="both"/>
        <w:rPr>
          <w:rFonts w:eastAsia="MS Mincho" w:cstheme="minorHAnsi"/>
          <w:lang w:val="en-GB"/>
        </w:rPr>
      </w:pPr>
      <w:r w:rsidRPr="006E56C4">
        <w:rPr>
          <w:rFonts w:eastAsia="MS Mincho" w:cstheme="minorHAnsi"/>
          <w:lang w:val="en-GB"/>
        </w:rPr>
        <w:t>Executive Summary (brief description of the project, context and purpose of the evaluation, main conclusions, lessons learnt, recommendations for future programming, etc);</w:t>
      </w:r>
    </w:p>
    <w:p w14:paraId="6C308051" w14:textId="77777777" w:rsidR="00AB5FA9" w:rsidRPr="006E56C4" w:rsidRDefault="00AB5FA9" w:rsidP="00EB743C">
      <w:pPr>
        <w:numPr>
          <w:ilvl w:val="0"/>
          <w:numId w:val="22"/>
        </w:numPr>
        <w:autoSpaceDE w:val="0"/>
        <w:autoSpaceDN w:val="0"/>
        <w:adjustRightInd w:val="0"/>
        <w:ind w:left="630" w:hanging="270"/>
        <w:contextualSpacing/>
        <w:jc w:val="both"/>
        <w:rPr>
          <w:rFonts w:eastAsia="MS Mincho" w:cstheme="minorHAnsi"/>
          <w:lang w:val="en-GB"/>
        </w:rPr>
      </w:pPr>
      <w:r w:rsidRPr="006E56C4">
        <w:rPr>
          <w:rFonts w:eastAsia="MS Mincho" w:cstheme="minorHAnsi"/>
          <w:lang w:val="en-GB"/>
        </w:rPr>
        <w:t>Introduction (purpose of the evaluation, key issues addressed, methodology of the evaluation, structure of the evaluation, etc);</w:t>
      </w:r>
    </w:p>
    <w:p w14:paraId="1BB78642" w14:textId="77777777" w:rsidR="00AB5FA9" w:rsidRPr="006E56C4" w:rsidRDefault="00AB5FA9" w:rsidP="00EB743C">
      <w:pPr>
        <w:numPr>
          <w:ilvl w:val="0"/>
          <w:numId w:val="22"/>
        </w:numPr>
        <w:autoSpaceDE w:val="0"/>
        <w:autoSpaceDN w:val="0"/>
        <w:adjustRightInd w:val="0"/>
        <w:ind w:left="630" w:hanging="270"/>
        <w:contextualSpacing/>
        <w:jc w:val="both"/>
        <w:rPr>
          <w:rFonts w:eastAsia="MS Mincho" w:cstheme="minorHAnsi"/>
          <w:lang w:val="en-GB"/>
        </w:rPr>
      </w:pPr>
      <w:r w:rsidRPr="006E56C4">
        <w:rPr>
          <w:rFonts w:eastAsia="MS Mincho" w:cstheme="minorHAnsi"/>
          <w:lang w:val="en-GB"/>
        </w:rPr>
        <w:t>The project and its implementation context (project start and its duration, problems/challenges’, the immediate and development objectives of the project, main stakeholders, results achieved, etc.);</w:t>
      </w:r>
    </w:p>
    <w:p w14:paraId="6AA65BEE" w14:textId="77777777" w:rsidR="00AB5FA9" w:rsidRPr="006E56C4" w:rsidRDefault="00AB5FA9" w:rsidP="00EB743C">
      <w:pPr>
        <w:numPr>
          <w:ilvl w:val="0"/>
          <w:numId w:val="22"/>
        </w:numPr>
        <w:autoSpaceDE w:val="0"/>
        <w:autoSpaceDN w:val="0"/>
        <w:adjustRightInd w:val="0"/>
        <w:ind w:left="630" w:hanging="270"/>
        <w:contextualSpacing/>
        <w:jc w:val="both"/>
        <w:rPr>
          <w:rFonts w:eastAsia="MS Mincho" w:cstheme="minorHAnsi"/>
          <w:lang w:val="en-GB"/>
        </w:rPr>
      </w:pPr>
      <w:r w:rsidRPr="006E56C4">
        <w:rPr>
          <w:rFonts w:eastAsia="MS Mincho" w:cstheme="minorHAnsi"/>
          <w:lang w:val="en-GB"/>
        </w:rPr>
        <w:t>Evaluation findings (assessment of project outcomes per evaluation criteria (relevance, effectiveness and results, efficiency, impact, sustainability), assessment of coordination and analysis through HR and GE lens, relevance and contribution to SDGs, etc.);</w:t>
      </w:r>
    </w:p>
    <w:p w14:paraId="0B219E05" w14:textId="77777777" w:rsidR="00AB5FA9" w:rsidRPr="006E56C4" w:rsidRDefault="00AB5FA9" w:rsidP="00EB743C">
      <w:pPr>
        <w:numPr>
          <w:ilvl w:val="0"/>
          <w:numId w:val="22"/>
        </w:numPr>
        <w:autoSpaceDE w:val="0"/>
        <w:autoSpaceDN w:val="0"/>
        <w:adjustRightInd w:val="0"/>
        <w:ind w:left="630" w:hanging="270"/>
        <w:contextualSpacing/>
        <w:jc w:val="both"/>
        <w:rPr>
          <w:rFonts w:eastAsia="MS Mincho" w:cstheme="minorHAnsi"/>
          <w:lang w:val="en-GB"/>
        </w:rPr>
      </w:pPr>
      <w:r w:rsidRPr="006E56C4">
        <w:rPr>
          <w:rFonts w:eastAsia="MS Mincho" w:cstheme="minorHAnsi"/>
          <w:lang w:val="en-GB"/>
        </w:rPr>
        <w:lastRenderedPageBreak/>
        <w:t>Recommendations and Lessons Learned (overview of project encountered risks and ’lessons learned’, recommendations incorporating project experience for future programming)</w:t>
      </w:r>
    </w:p>
    <w:p w14:paraId="23B7D027" w14:textId="77777777" w:rsidR="00AB5FA9" w:rsidRPr="006E56C4" w:rsidRDefault="00AB5FA9" w:rsidP="00EB743C">
      <w:pPr>
        <w:numPr>
          <w:ilvl w:val="0"/>
          <w:numId w:val="21"/>
        </w:numPr>
        <w:ind w:left="270" w:hanging="270"/>
        <w:contextualSpacing/>
        <w:jc w:val="both"/>
        <w:rPr>
          <w:rFonts w:eastAsia="MS Mincho" w:cstheme="minorHAnsi"/>
          <w:lang w:val="en-GB"/>
        </w:rPr>
      </w:pPr>
      <w:r w:rsidRPr="006E56C4">
        <w:rPr>
          <w:rFonts w:eastAsia="MS Mincho" w:cstheme="minorHAnsi"/>
          <w:b/>
          <w:bCs/>
          <w:lang w:val="en-GB"/>
        </w:rPr>
        <w:t>Final Evaluation Report</w:t>
      </w:r>
      <w:r w:rsidRPr="006E56C4">
        <w:rPr>
          <w:rFonts w:eastAsia="MS Mincho" w:cstheme="minorHAnsi"/>
          <w:lang w:val="en-GB"/>
        </w:rPr>
        <w:t xml:space="preserve"> </w:t>
      </w:r>
      <w:proofErr w:type="gramStart"/>
      <w:r w:rsidRPr="006E56C4">
        <w:rPr>
          <w:rFonts w:eastAsia="MS Mincho" w:cstheme="minorHAnsi"/>
          <w:lang w:val="en-GB"/>
        </w:rPr>
        <w:t>taking into account</w:t>
      </w:r>
      <w:proofErr w:type="gramEnd"/>
      <w:r w:rsidRPr="006E56C4">
        <w:rPr>
          <w:rFonts w:eastAsia="MS Mincho" w:cstheme="minorHAnsi"/>
          <w:lang w:val="en-GB"/>
        </w:rPr>
        <w:t xml:space="preserve"> the initial comments from UNDP team and/or key partners as applicable.</w:t>
      </w:r>
    </w:p>
    <w:p w14:paraId="5DB933B2" w14:textId="77777777" w:rsidR="00AB5FA9" w:rsidRPr="006E56C4" w:rsidRDefault="00AB5FA9" w:rsidP="00EB743C">
      <w:pPr>
        <w:numPr>
          <w:ilvl w:val="0"/>
          <w:numId w:val="21"/>
        </w:numPr>
        <w:ind w:left="270" w:hanging="270"/>
        <w:contextualSpacing/>
        <w:jc w:val="both"/>
        <w:rPr>
          <w:rFonts w:eastAsia="MS Mincho" w:cstheme="minorHAnsi"/>
          <w:lang w:val="en-GB"/>
        </w:rPr>
      </w:pPr>
      <w:r w:rsidRPr="006E56C4">
        <w:rPr>
          <w:rFonts w:eastAsia="MS Mincho" w:cstheme="minorHAnsi"/>
          <w:b/>
          <w:bCs/>
          <w:lang w:val="en-GB"/>
        </w:rPr>
        <w:t>Presentation</w:t>
      </w:r>
      <w:r w:rsidRPr="006E56C4">
        <w:rPr>
          <w:rFonts w:eastAsia="MS Mincho" w:cstheme="minorHAnsi"/>
          <w:lang w:val="en-GB"/>
        </w:rPr>
        <w:t xml:space="preserve"> of the evaluation results on the dissemination workshop for the national partners, project donors and the other key stakeholders</w:t>
      </w:r>
      <w:r w:rsidRPr="006E56C4">
        <w:rPr>
          <w:rStyle w:val="FootnoteReference"/>
          <w:rFonts w:eastAsia="MS Mincho" w:cstheme="minorHAnsi"/>
          <w:lang w:val="en-GB"/>
        </w:rPr>
        <w:footnoteReference w:id="47"/>
      </w:r>
      <w:r w:rsidRPr="006E56C4">
        <w:rPr>
          <w:rFonts w:eastAsia="MS Mincho" w:cstheme="minorHAnsi"/>
          <w:lang w:val="en-GB"/>
        </w:rPr>
        <w:t>.</w:t>
      </w:r>
    </w:p>
    <w:p w14:paraId="2501111A" w14:textId="77777777" w:rsidR="00AB5FA9" w:rsidRPr="006E56C4" w:rsidRDefault="00AB5FA9" w:rsidP="00AB5FA9">
      <w:pPr>
        <w:contextualSpacing/>
        <w:jc w:val="both"/>
        <w:rPr>
          <w:rFonts w:eastAsia="MS Mincho" w:cstheme="minorHAnsi"/>
          <w:lang w:val="en-GB"/>
        </w:rPr>
      </w:pPr>
    </w:p>
    <w:p w14:paraId="34F9D954" w14:textId="77777777" w:rsidR="00AB5FA9" w:rsidRPr="006E56C4" w:rsidRDefault="00AB5FA9" w:rsidP="00AB5FA9">
      <w:pPr>
        <w:contextualSpacing/>
        <w:jc w:val="both"/>
        <w:rPr>
          <w:rFonts w:eastAsia="MS Mincho" w:cstheme="minorHAnsi"/>
          <w:i/>
          <w:iCs/>
          <w:lang w:val="en-GB"/>
        </w:rPr>
      </w:pPr>
      <w:r w:rsidRPr="006E56C4">
        <w:rPr>
          <w:rFonts w:eastAsia="MS Mincho" w:cstheme="minorHAnsi"/>
          <w:i/>
          <w:iCs/>
          <w:lang w:val="en-GB"/>
        </w:rPr>
        <w:t>In line with the UNDP’s financial regulations, when determined by the Country Office and/or the consultant that a deliverable or service cannot be satisfactorily completed due to the impact of COVID-19 and limitations to the evaluation, that deliverable or service will not be paid.</w:t>
      </w:r>
    </w:p>
    <w:p w14:paraId="70133EE9" w14:textId="77777777" w:rsidR="00AB5FA9" w:rsidRPr="006E56C4" w:rsidRDefault="00AB5FA9" w:rsidP="00AB5FA9">
      <w:pPr>
        <w:contextualSpacing/>
        <w:jc w:val="both"/>
        <w:rPr>
          <w:rFonts w:eastAsia="MS Mincho" w:cstheme="minorHAnsi"/>
          <w:i/>
          <w:iCs/>
          <w:lang w:val="en-GB"/>
        </w:rPr>
      </w:pPr>
    </w:p>
    <w:p w14:paraId="2D6150DB" w14:textId="77777777" w:rsidR="00AB5FA9" w:rsidRPr="006E56C4" w:rsidRDefault="00AB5FA9" w:rsidP="00AB5FA9">
      <w:pPr>
        <w:contextualSpacing/>
        <w:jc w:val="both"/>
        <w:rPr>
          <w:rFonts w:eastAsia="MS Mincho" w:cstheme="minorHAnsi"/>
          <w:i/>
          <w:iCs/>
          <w:lang w:val="en-GB"/>
        </w:rPr>
      </w:pPr>
      <w:r w:rsidRPr="006E56C4">
        <w:rPr>
          <w:rFonts w:eastAsia="MS Mincho" w:cstheme="minorHAnsi"/>
          <w:i/>
          <w:iCs/>
          <w:lang w:val="en-GB"/>
        </w:rPr>
        <w:t>Due to the current COVID-19 situation and its implications, a partial payment may be considered if the consultant invested time towards the deliverable but was unable to complete due to circumstances beyond his/her control.</w:t>
      </w:r>
    </w:p>
    <w:p w14:paraId="09679DBB" w14:textId="77777777" w:rsidR="00AB5FA9" w:rsidRPr="006E56C4" w:rsidRDefault="00AB5FA9" w:rsidP="00AB5FA9">
      <w:pPr>
        <w:jc w:val="both"/>
        <w:rPr>
          <w:rFonts w:eastAsia="MS Mincho" w:cstheme="minorHAnsi"/>
          <w:lang w:val="en-GB" w:eastAsia="ru-RU"/>
        </w:rPr>
      </w:pPr>
    </w:p>
    <w:p w14:paraId="671ABCF0"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 xml:space="preserve">6. Required competencies </w:t>
      </w:r>
    </w:p>
    <w:p w14:paraId="07CF3143" w14:textId="77777777" w:rsidR="00AB5FA9" w:rsidRPr="006E56C4" w:rsidRDefault="00AB5FA9" w:rsidP="00AB5FA9">
      <w:pPr>
        <w:jc w:val="both"/>
        <w:rPr>
          <w:rFonts w:eastAsia="MS Mincho" w:cstheme="minorHAnsi"/>
          <w:lang w:val="en-GB" w:eastAsia="ru-RU"/>
        </w:rPr>
      </w:pPr>
    </w:p>
    <w:p w14:paraId="32A1844C" w14:textId="77777777" w:rsidR="00AB5FA9" w:rsidRPr="006E56C4" w:rsidRDefault="00AB5FA9" w:rsidP="00AB5FA9">
      <w:pPr>
        <w:rPr>
          <w:rFonts w:eastAsia="MS Mincho" w:cstheme="minorHAnsi"/>
          <w:lang w:val="en-GB"/>
        </w:rPr>
      </w:pPr>
      <w:r w:rsidRPr="006E56C4">
        <w:rPr>
          <w:rFonts w:eastAsia="MS Mincho" w:cstheme="minorHAnsi"/>
          <w:lang w:val="en-GB"/>
        </w:rPr>
        <w:t xml:space="preserve">Required Qualifications and competencies for International Consultant envisage the following: </w:t>
      </w:r>
    </w:p>
    <w:p w14:paraId="795D30D9" w14:textId="77777777" w:rsidR="00AB5FA9" w:rsidRPr="006E56C4" w:rsidRDefault="00AB5FA9" w:rsidP="00AB5FA9">
      <w:pPr>
        <w:rPr>
          <w:rFonts w:eastAsia="MS Mincho" w:cstheme="minorHAnsi"/>
          <w:lang w:val="en-GB"/>
        </w:rPr>
      </w:pPr>
    </w:p>
    <w:p w14:paraId="0727DB7D" w14:textId="77777777" w:rsidR="00AB5FA9" w:rsidRPr="006E56C4" w:rsidRDefault="00AB5FA9" w:rsidP="00AB5FA9">
      <w:pPr>
        <w:jc w:val="both"/>
        <w:rPr>
          <w:rFonts w:eastAsia="MS Mincho" w:cstheme="minorHAnsi"/>
          <w:b/>
          <w:lang w:val="en-GB"/>
        </w:rPr>
      </w:pPr>
      <w:r w:rsidRPr="006E56C4">
        <w:rPr>
          <w:rFonts w:eastAsia="MS Mincho" w:cstheme="minorHAnsi"/>
          <w:b/>
          <w:lang w:val="en-GB"/>
        </w:rPr>
        <w:t>Education:</w:t>
      </w:r>
    </w:p>
    <w:p w14:paraId="1F1BF832" w14:textId="77777777" w:rsidR="00AB5FA9" w:rsidRPr="006E56C4" w:rsidRDefault="00AB5FA9" w:rsidP="00EB743C">
      <w:pPr>
        <w:numPr>
          <w:ilvl w:val="0"/>
          <w:numId w:val="21"/>
        </w:numPr>
        <w:spacing w:before="240"/>
        <w:ind w:left="540" w:hanging="180"/>
        <w:contextualSpacing/>
        <w:jc w:val="both"/>
        <w:rPr>
          <w:rFonts w:eastAsia="MS Mincho" w:cstheme="minorHAnsi"/>
          <w:lang w:val="en-GB"/>
        </w:rPr>
      </w:pPr>
      <w:r w:rsidRPr="006E56C4">
        <w:rPr>
          <w:rFonts w:eastAsia="MS Mincho" w:cstheme="minorHAnsi"/>
          <w:lang w:val="en-GB"/>
        </w:rPr>
        <w:t>At least Master’s degree in Public Administration, Public Policy, Political Science, Management or related Social Science fields (minimum requirement).</w:t>
      </w:r>
    </w:p>
    <w:p w14:paraId="0F0D48F8" w14:textId="77777777" w:rsidR="00AB5FA9" w:rsidRPr="006E56C4" w:rsidRDefault="00AB5FA9" w:rsidP="00AB5FA9">
      <w:pPr>
        <w:contextualSpacing/>
        <w:jc w:val="both"/>
        <w:rPr>
          <w:rFonts w:eastAsia="MS Mincho" w:cstheme="minorHAnsi"/>
          <w:lang w:val="en-GB"/>
        </w:rPr>
      </w:pPr>
    </w:p>
    <w:p w14:paraId="0BB50B6B" w14:textId="77777777" w:rsidR="00AB5FA9" w:rsidRPr="006E56C4" w:rsidRDefault="00AB5FA9" w:rsidP="00AB5FA9">
      <w:pPr>
        <w:jc w:val="both"/>
        <w:rPr>
          <w:rFonts w:eastAsia="MS Mincho" w:cstheme="minorHAnsi"/>
          <w:b/>
          <w:lang w:val="en-GB"/>
        </w:rPr>
      </w:pPr>
      <w:r w:rsidRPr="006E56C4">
        <w:rPr>
          <w:rFonts w:eastAsia="MS Mincho" w:cstheme="minorHAnsi"/>
          <w:b/>
          <w:lang w:val="en-GB"/>
        </w:rPr>
        <w:t>Experience</w:t>
      </w:r>
    </w:p>
    <w:p w14:paraId="3B83B9A0"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t>At least 10 years of professional experience in Projects’ Monitoring and Evaluation, preferably in governance (minimum requirement);</w:t>
      </w:r>
    </w:p>
    <w:p w14:paraId="4774F9FA"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t>Advanced knowledge of the public administration reform framework (minimum requirement);</w:t>
      </w:r>
    </w:p>
    <w:p w14:paraId="6DA6D744"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t>At least 15 projects on conducting baseline, mid-term and final evaluations, out of which at least 3 are in international setting (minimum requirement);</w:t>
      </w:r>
      <w:r w:rsidRPr="006E56C4" w:rsidDel="007D117E">
        <w:rPr>
          <w:rFonts w:eastAsia="MS Mincho" w:cstheme="minorHAnsi"/>
          <w:lang w:val="en-GB"/>
        </w:rPr>
        <w:t xml:space="preserve"> </w:t>
      </w:r>
    </w:p>
    <w:p w14:paraId="349D37AD"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t>Solid understanding of contemporary thinking related to development practices and public administration reform programmes, notably in the given region;</w:t>
      </w:r>
    </w:p>
    <w:p w14:paraId="0E6DB7F3"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t>Familiarity with the region (particularly Georgia), its overall governance features, development needs, and directions;</w:t>
      </w:r>
    </w:p>
    <w:p w14:paraId="22369F6D"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t>Hands-on knowledge of evaluation methodologies and data collection methods;</w:t>
      </w:r>
    </w:p>
    <w:p w14:paraId="248ECA47"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lastRenderedPageBreak/>
        <w:t xml:space="preserve">Hands-on knowledge on online collaboration platforms to be used for remote workshops and interviews and online data collection methods; </w:t>
      </w:r>
    </w:p>
    <w:p w14:paraId="14F2C9AE" w14:textId="77777777" w:rsidR="00AB5FA9" w:rsidRPr="006E56C4" w:rsidRDefault="00AB5FA9" w:rsidP="00EB743C">
      <w:pPr>
        <w:numPr>
          <w:ilvl w:val="0"/>
          <w:numId w:val="21"/>
        </w:numPr>
        <w:ind w:left="540" w:hanging="180"/>
        <w:contextualSpacing/>
        <w:jc w:val="both"/>
        <w:rPr>
          <w:rFonts w:eastAsia="MS Mincho" w:cstheme="minorHAnsi"/>
          <w:lang w:val="en-GB"/>
        </w:rPr>
      </w:pPr>
      <w:r w:rsidRPr="006E56C4">
        <w:rPr>
          <w:rFonts w:eastAsia="MS Mincho" w:cstheme="minorHAnsi"/>
          <w:lang w:val="en-GB"/>
        </w:rPr>
        <w:t xml:space="preserve">Experience with the UN organization is an asset. </w:t>
      </w:r>
    </w:p>
    <w:p w14:paraId="412FE16B" w14:textId="77777777" w:rsidR="00AB5FA9" w:rsidRPr="006E56C4" w:rsidRDefault="00AB5FA9" w:rsidP="00AB5FA9">
      <w:pPr>
        <w:spacing w:before="240" w:after="160"/>
        <w:jc w:val="both"/>
        <w:rPr>
          <w:rFonts w:eastAsia="Cambria" w:cstheme="minorHAnsi"/>
          <w:b/>
          <w:lang w:val="en-GB"/>
        </w:rPr>
      </w:pPr>
      <w:r w:rsidRPr="006E56C4">
        <w:rPr>
          <w:rFonts w:eastAsia="Cambria" w:cstheme="minorHAnsi"/>
          <w:b/>
          <w:lang w:val="en-GB"/>
        </w:rPr>
        <w:t>Language:</w:t>
      </w:r>
    </w:p>
    <w:p w14:paraId="64E78B1A" w14:textId="77777777" w:rsidR="00AB5FA9" w:rsidRPr="006E56C4" w:rsidRDefault="00AB5FA9" w:rsidP="00EB743C">
      <w:pPr>
        <w:numPr>
          <w:ilvl w:val="0"/>
          <w:numId w:val="18"/>
        </w:numPr>
        <w:shd w:val="clear" w:color="auto" w:fill="FFFFFF"/>
        <w:spacing w:after="150"/>
        <w:ind w:left="540" w:hanging="180"/>
        <w:jc w:val="both"/>
        <w:rPr>
          <w:rFonts w:eastAsia="MS Mincho" w:cstheme="minorHAnsi"/>
          <w:lang w:val="en-GB"/>
        </w:rPr>
      </w:pPr>
      <w:r w:rsidRPr="006E56C4">
        <w:rPr>
          <w:rFonts w:eastAsia="MS Mincho" w:cstheme="minorHAnsi"/>
          <w:lang w:val="en-GB"/>
        </w:rPr>
        <w:t>Excellent command of written and spoken English.</w:t>
      </w:r>
    </w:p>
    <w:p w14:paraId="21D05E5B" w14:textId="77777777" w:rsidR="00AB5FA9" w:rsidRPr="006E56C4" w:rsidRDefault="00AB5FA9" w:rsidP="00AB5FA9">
      <w:pPr>
        <w:spacing w:after="160"/>
        <w:jc w:val="both"/>
        <w:rPr>
          <w:rFonts w:eastAsia="Cambria" w:cstheme="minorHAnsi"/>
          <w:b/>
          <w:lang w:val="en-GB"/>
        </w:rPr>
      </w:pPr>
      <w:r w:rsidRPr="006E56C4">
        <w:rPr>
          <w:rFonts w:eastAsia="Cambria" w:cstheme="minorHAnsi"/>
          <w:b/>
          <w:lang w:val="en-GB"/>
        </w:rPr>
        <w:t>Corporate competencies:</w:t>
      </w:r>
    </w:p>
    <w:p w14:paraId="51C090D7" w14:textId="77777777" w:rsidR="00AB5FA9" w:rsidRPr="006E56C4" w:rsidRDefault="00AB5FA9" w:rsidP="00EB743C">
      <w:pPr>
        <w:numPr>
          <w:ilvl w:val="0"/>
          <w:numId w:val="19"/>
        </w:numPr>
        <w:spacing w:after="160" w:line="259" w:lineRule="auto"/>
        <w:ind w:left="540" w:hanging="180"/>
        <w:contextualSpacing/>
        <w:jc w:val="both"/>
        <w:rPr>
          <w:rFonts w:eastAsia="Cambria" w:cstheme="minorHAnsi"/>
          <w:lang w:val="en-GB"/>
        </w:rPr>
      </w:pPr>
      <w:r w:rsidRPr="006E56C4">
        <w:rPr>
          <w:rFonts w:eastAsia="Cambria" w:cstheme="minorHAnsi"/>
          <w:lang w:val="en-GB"/>
        </w:rPr>
        <w:t xml:space="preserve">Demonstrates integrity by modelling the UN’s values and ethical standards; </w:t>
      </w:r>
    </w:p>
    <w:p w14:paraId="63816264" w14:textId="77777777" w:rsidR="00AB5FA9" w:rsidRPr="006E56C4" w:rsidRDefault="00AB5FA9" w:rsidP="00EB743C">
      <w:pPr>
        <w:numPr>
          <w:ilvl w:val="0"/>
          <w:numId w:val="19"/>
        </w:numPr>
        <w:spacing w:after="160" w:line="259" w:lineRule="auto"/>
        <w:ind w:left="540" w:hanging="180"/>
        <w:contextualSpacing/>
        <w:jc w:val="both"/>
        <w:rPr>
          <w:rFonts w:eastAsia="Cambria" w:cstheme="minorHAnsi"/>
          <w:lang w:val="en-GB"/>
        </w:rPr>
      </w:pPr>
      <w:r w:rsidRPr="006E56C4">
        <w:rPr>
          <w:rFonts w:eastAsia="Cambria" w:cstheme="minorHAnsi"/>
          <w:lang w:val="en-GB"/>
        </w:rPr>
        <w:t>Understanding of the mandate and the role of UNDP would be an asset;</w:t>
      </w:r>
    </w:p>
    <w:p w14:paraId="75A891CF"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Promotes the vision, mission and strategic goals of UNDP;</w:t>
      </w:r>
    </w:p>
    <w:p w14:paraId="5EEE9939"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Displays cultural, gender, religion, race, nationality and age sensitivity and adaptability;</w:t>
      </w:r>
    </w:p>
    <w:p w14:paraId="0279169F"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Treats all people fairly without favouritism.</w:t>
      </w:r>
    </w:p>
    <w:p w14:paraId="7A658F59" w14:textId="77777777" w:rsidR="00AB5FA9" w:rsidRPr="006E56C4" w:rsidRDefault="00AB5FA9" w:rsidP="00AB5FA9">
      <w:pPr>
        <w:spacing w:after="160"/>
        <w:contextualSpacing/>
        <w:jc w:val="both"/>
        <w:rPr>
          <w:rFonts w:eastAsia="Cambria" w:cstheme="minorHAnsi"/>
          <w:lang w:val="en-GB"/>
        </w:rPr>
      </w:pPr>
    </w:p>
    <w:p w14:paraId="25395561" w14:textId="77777777" w:rsidR="00AB5FA9" w:rsidRPr="006E56C4" w:rsidRDefault="00AB5FA9" w:rsidP="00AB5FA9">
      <w:pPr>
        <w:spacing w:after="160"/>
        <w:jc w:val="both"/>
        <w:rPr>
          <w:rFonts w:eastAsia="Cambria" w:cstheme="minorHAnsi"/>
          <w:b/>
          <w:lang w:val="en-GB"/>
        </w:rPr>
      </w:pPr>
      <w:r w:rsidRPr="006E56C4">
        <w:rPr>
          <w:rFonts w:eastAsia="Cambria" w:cstheme="minorHAnsi"/>
          <w:b/>
          <w:lang w:val="en-GB"/>
        </w:rPr>
        <w:t>Functional competencies:</w:t>
      </w:r>
    </w:p>
    <w:p w14:paraId="238D2103"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Strong communication and analytical skills;</w:t>
      </w:r>
    </w:p>
    <w:p w14:paraId="78384175"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Demonstrated skills in drafting reports;</w:t>
      </w:r>
    </w:p>
    <w:p w14:paraId="21342FC0"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Ability to work under pressure with several tasks and various deadlines;</w:t>
      </w:r>
    </w:p>
    <w:p w14:paraId="6A18912B"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Actively generates creative, practical approaches and solutions to overcome challenging situations;</w:t>
      </w:r>
    </w:p>
    <w:p w14:paraId="4B861635"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 xml:space="preserve">Excellent writing, presentation/public speaking skills; </w:t>
      </w:r>
    </w:p>
    <w:p w14:paraId="720EC532" w14:textId="77777777" w:rsidR="00AB5FA9" w:rsidRPr="006E56C4"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A pro-active approach to problem-solving;</w:t>
      </w:r>
    </w:p>
    <w:p w14:paraId="3BAFF61E" w14:textId="77777777" w:rsidR="00AB5FA9" w:rsidRPr="005C1019" w:rsidRDefault="00AB5FA9" w:rsidP="00EB743C">
      <w:pPr>
        <w:numPr>
          <w:ilvl w:val="0"/>
          <w:numId w:val="18"/>
        </w:numPr>
        <w:spacing w:after="160" w:line="259" w:lineRule="auto"/>
        <w:ind w:left="540" w:hanging="180"/>
        <w:contextualSpacing/>
        <w:jc w:val="both"/>
        <w:rPr>
          <w:rFonts w:eastAsia="Cambria" w:cstheme="minorHAnsi"/>
          <w:lang w:val="en-GB"/>
        </w:rPr>
      </w:pPr>
      <w:r w:rsidRPr="006E56C4">
        <w:rPr>
          <w:rFonts w:eastAsia="Cambria" w:cstheme="minorHAnsi"/>
          <w:lang w:val="en-GB"/>
        </w:rPr>
        <w:t>Computer literacy.</w:t>
      </w:r>
    </w:p>
    <w:p w14:paraId="6881A68D" w14:textId="77777777" w:rsidR="00AB5FA9" w:rsidRPr="006E56C4" w:rsidRDefault="00AB5FA9" w:rsidP="00AB5FA9">
      <w:pPr>
        <w:spacing w:after="160" w:line="259" w:lineRule="auto"/>
        <w:contextualSpacing/>
        <w:jc w:val="both"/>
        <w:rPr>
          <w:rFonts w:eastAsia="Cambria" w:cstheme="minorHAnsi"/>
          <w:lang w:val="en-GB"/>
        </w:rPr>
      </w:pPr>
    </w:p>
    <w:p w14:paraId="50DF5E44" w14:textId="77777777" w:rsidR="00AB5FA9" w:rsidRPr="006E56C4" w:rsidRDefault="00AB5FA9" w:rsidP="00AB5FA9">
      <w:pPr>
        <w:spacing w:after="160"/>
        <w:jc w:val="both"/>
        <w:rPr>
          <w:rFonts w:eastAsia="Cambria" w:cstheme="minorHAnsi"/>
          <w:b/>
          <w:lang w:val="en-GB"/>
        </w:rPr>
      </w:pPr>
      <w:r w:rsidRPr="006E56C4">
        <w:rPr>
          <w:rFonts w:eastAsia="Cambria" w:cstheme="minorHAnsi"/>
          <w:b/>
          <w:lang w:val="en-GB"/>
        </w:rPr>
        <w:t>Leadership and Self-Management skills:</w:t>
      </w:r>
    </w:p>
    <w:p w14:paraId="243037E3"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Builds strong relationships with the working group and with the project partners; focuses on impact and results for the project partners and responds positively to feedback;</w:t>
      </w:r>
    </w:p>
    <w:p w14:paraId="68DCC97E"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Cooperates with the working group effectively and demonstrates strong conflict resolution skills;</w:t>
      </w:r>
    </w:p>
    <w:p w14:paraId="792AD24B"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Consistently approaches work with energy, positivity and a constructive attitude;</w:t>
      </w:r>
    </w:p>
    <w:p w14:paraId="7AD27A2F"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Demonstrates strong influencing and facilitation skills;</w:t>
      </w:r>
    </w:p>
    <w:p w14:paraId="77A64F7D"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 xml:space="preserve">Remains calm, in control and good </w:t>
      </w:r>
      <w:proofErr w:type="spellStart"/>
      <w:r w:rsidRPr="006E56C4">
        <w:rPr>
          <w:rFonts w:eastAsia="Cambria" w:cstheme="minorHAnsi"/>
          <w:lang w:val="en-GB"/>
        </w:rPr>
        <w:t>humored</w:t>
      </w:r>
      <w:proofErr w:type="spellEnd"/>
      <w:r w:rsidRPr="006E56C4">
        <w:rPr>
          <w:rFonts w:eastAsia="Cambria" w:cstheme="minorHAnsi"/>
          <w:lang w:val="en-GB"/>
        </w:rPr>
        <w:t xml:space="preserve"> under pressure;</w:t>
      </w:r>
    </w:p>
    <w:p w14:paraId="42445656"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Demonstrates openness to change, new ideas, and ability to manage ambiguity;</w:t>
      </w:r>
    </w:p>
    <w:p w14:paraId="52B0F8AF"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Demonstrates strong oral and written communication skills;</w:t>
      </w:r>
    </w:p>
    <w:p w14:paraId="6A412A70"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Demonstrates ability to transfer knowledge and competencies;</w:t>
      </w:r>
    </w:p>
    <w:p w14:paraId="6105F4DC" w14:textId="77777777" w:rsidR="00AB5FA9" w:rsidRPr="006E56C4" w:rsidRDefault="00AB5FA9" w:rsidP="00EB743C">
      <w:pPr>
        <w:numPr>
          <w:ilvl w:val="0"/>
          <w:numId w:val="20"/>
        </w:numPr>
        <w:spacing w:after="160" w:line="259" w:lineRule="auto"/>
        <w:ind w:left="450" w:firstLine="0"/>
        <w:contextualSpacing/>
        <w:jc w:val="both"/>
        <w:rPr>
          <w:rFonts w:eastAsia="Cambria" w:cstheme="minorHAnsi"/>
          <w:lang w:val="en-GB"/>
        </w:rPr>
      </w:pPr>
      <w:r w:rsidRPr="006E56C4">
        <w:rPr>
          <w:rFonts w:eastAsia="Cambria" w:cstheme="minorHAnsi"/>
          <w:lang w:val="en-GB"/>
        </w:rPr>
        <w:t>Is able to work independently and manage competing priorities.</w:t>
      </w:r>
    </w:p>
    <w:p w14:paraId="3C8F8486" w14:textId="77777777" w:rsidR="00AB5FA9" w:rsidRPr="006E56C4" w:rsidRDefault="00AB5FA9" w:rsidP="00AB5FA9">
      <w:pPr>
        <w:spacing w:after="160" w:line="259" w:lineRule="auto"/>
        <w:ind w:left="450"/>
        <w:contextualSpacing/>
        <w:jc w:val="both"/>
        <w:rPr>
          <w:rFonts w:eastAsia="Cambria" w:cstheme="minorHAnsi"/>
          <w:lang w:val="en-GB"/>
        </w:rPr>
      </w:pPr>
    </w:p>
    <w:p w14:paraId="68DBD208" w14:textId="77777777" w:rsidR="00AB5FA9" w:rsidRPr="006E56C4" w:rsidRDefault="00AB5FA9" w:rsidP="00AB5FA9">
      <w:pPr>
        <w:widowControl w:val="0"/>
        <w:jc w:val="both"/>
        <w:rPr>
          <w:rFonts w:eastAsia="Times New Roman" w:cstheme="minorHAnsi"/>
          <w:b/>
          <w:bCs/>
          <w:lang w:val="en-GB" w:eastAsia="ru-RU"/>
        </w:rPr>
      </w:pPr>
      <w:r w:rsidRPr="006E56C4">
        <w:rPr>
          <w:rFonts w:eastAsia="Times New Roman" w:cstheme="minorHAnsi"/>
          <w:b/>
          <w:bCs/>
          <w:lang w:val="en-GB" w:eastAsia="ru-RU"/>
        </w:rPr>
        <w:lastRenderedPageBreak/>
        <w:t>Conflict of interest:</w:t>
      </w:r>
    </w:p>
    <w:p w14:paraId="54157670" w14:textId="77777777" w:rsidR="00AB5FA9" w:rsidRPr="006E56C4" w:rsidRDefault="00AB5FA9" w:rsidP="00AB5FA9">
      <w:pPr>
        <w:spacing w:after="160" w:line="259" w:lineRule="auto"/>
        <w:contextualSpacing/>
        <w:jc w:val="both"/>
        <w:rPr>
          <w:rFonts w:eastAsia="Times New Roman" w:cstheme="minorHAnsi"/>
          <w:lang w:val="en-GB" w:eastAsia="ru-RU"/>
        </w:rPr>
      </w:pPr>
      <w:r w:rsidRPr="006E56C4">
        <w:rPr>
          <w:rFonts w:eastAsia="Times New Roman" w:cstheme="minorHAnsi"/>
          <w:lang w:val="en-GB" w:eastAsia="ru-RU"/>
        </w:rPr>
        <w:t>To ensure impartiality and objectivity of the evaluation, as well as to avoid the conflict of interest, UNDP will not consider the applications from the candidates that have had prior involvement in the design, formulation, implementation or evaluation of the above-indicated project.</w:t>
      </w:r>
    </w:p>
    <w:p w14:paraId="566D985A" w14:textId="77777777" w:rsidR="00AB5FA9" w:rsidRPr="006E56C4" w:rsidRDefault="00AB5FA9" w:rsidP="00AB5FA9">
      <w:pPr>
        <w:jc w:val="both"/>
        <w:rPr>
          <w:rFonts w:eastAsia="MS Mincho" w:cstheme="minorHAnsi"/>
          <w:b/>
          <w:u w:val="single"/>
          <w:lang w:val="en-GB"/>
        </w:rPr>
      </w:pPr>
    </w:p>
    <w:p w14:paraId="457AA397"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7. Evaluation ethics</w:t>
      </w:r>
    </w:p>
    <w:p w14:paraId="0CE2AB1B" w14:textId="77777777" w:rsidR="00AB5FA9" w:rsidRPr="006E56C4" w:rsidRDefault="00AB5FA9" w:rsidP="00AB5FA9">
      <w:pPr>
        <w:jc w:val="both"/>
        <w:rPr>
          <w:rFonts w:eastAsia="MS Mincho" w:cstheme="minorHAnsi"/>
          <w:b/>
          <w:u w:val="single"/>
          <w:lang w:val="en-GB"/>
        </w:rPr>
      </w:pPr>
    </w:p>
    <w:p w14:paraId="6ECAD6B7" w14:textId="77777777" w:rsidR="00AB5FA9" w:rsidRPr="006E56C4" w:rsidRDefault="00AB5FA9" w:rsidP="00AB5FA9">
      <w:pPr>
        <w:jc w:val="both"/>
        <w:rPr>
          <w:rFonts w:eastAsia="Times New Roman" w:cstheme="minorHAnsi"/>
          <w:lang w:val="en-GB" w:eastAsia="ru-RU"/>
        </w:rPr>
      </w:pPr>
      <w:r w:rsidRPr="006E56C4">
        <w:rPr>
          <w:rFonts w:eastAsia="Times New Roman" w:cstheme="minorHAnsi"/>
          <w:lang w:val="en-GB" w:eastAsia="ru-RU"/>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the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769C1540" w14:textId="77777777" w:rsidR="00AB5FA9" w:rsidRPr="006E56C4" w:rsidRDefault="00AB5FA9" w:rsidP="00AB5FA9">
      <w:pPr>
        <w:jc w:val="both"/>
        <w:rPr>
          <w:rFonts w:eastAsia="Times New Roman" w:cstheme="minorHAnsi"/>
          <w:lang w:val="en-GB" w:eastAsia="ru-RU"/>
        </w:rPr>
      </w:pPr>
    </w:p>
    <w:p w14:paraId="5CE8324F"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8. Implementation arrangements</w:t>
      </w:r>
    </w:p>
    <w:p w14:paraId="52DED67E" w14:textId="77777777" w:rsidR="00AB5FA9" w:rsidRPr="006E56C4" w:rsidRDefault="00AB5FA9" w:rsidP="00AB5FA9">
      <w:pPr>
        <w:jc w:val="both"/>
        <w:rPr>
          <w:rFonts w:eastAsia="MS Mincho" w:cstheme="minorHAnsi"/>
          <w:b/>
          <w:u w:val="single"/>
          <w:lang w:val="en-GB"/>
        </w:rPr>
      </w:pPr>
    </w:p>
    <w:p w14:paraId="49D778CA" w14:textId="77777777" w:rsidR="00AB5FA9" w:rsidRPr="006E56C4" w:rsidRDefault="00AB5FA9" w:rsidP="00AB5FA9">
      <w:pPr>
        <w:jc w:val="both"/>
        <w:rPr>
          <w:rFonts w:eastAsia="MS Mincho" w:cstheme="minorHAnsi"/>
          <w:lang w:val="en-GB"/>
        </w:rPr>
      </w:pPr>
      <w:r w:rsidRPr="006E56C4">
        <w:rPr>
          <w:rFonts w:eastAsia="MS Mincho" w:cstheme="minorHAnsi"/>
          <w:lang w:val="en-GB"/>
        </w:rPr>
        <w:t>The International Consultant will work under the overall oversight of UNDP’s commissioning unit (Governance Team Leader and M&amp;E specialist). PAR Project Manager will provide necessary information for the evaluation and will be the primary point of contact for the evaluator. The PAR project team will be responsible to share relevant documents, contact details and other necessary information with the evaluator.</w:t>
      </w:r>
    </w:p>
    <w:p w14:paraId="6A41AF21" w14:textId="77777777" w:rsidR="00AB5FA9" w:rsidRPr="006E56C4" w:rsidRDefault="00AB5FA9" w:rsidP="00AB5FA9">
      <w:pPr>
        <w:spacing w:before="240"/>
        <w:jc w:val="both"/>
        <w:rPr>
          <w:rFonts w:eastAsia="MS Mincho" w:cstheme="minorHAnsi"/>
          <w:lang w:val="en-GB"/>
        </w:rPr>
      </w:pPr>
      <w:r w:rsidRPr="006E56C4">
        <w:rPr>
          <w:rFonts w:eastAsia="MS Mincho" w:cstheme="minorHAnsi"/>
          <w:lang w:val="en-GB"/>
        </w:rPr>
        <w:t>The Consultant will report to the Governance Team Leader. UNDP M&amp;E specialist will be assigned to oversee and support the overall evaluation process. The CO Senior Management will take responsibility for the approval of the evaluation report.</w:t>
      </w:r>
    </w:p>
    <w:p w14:paraId="74E86558" w14:textId="77777777" w:rsidR="00AB5FA9" w:rsidRPr="006E56C4" w:rsidRDefault="00AB5FA9" w:rsidP="00AB5FA9">
      <w:pPr>
        <w:jc w:val="both"/>
        <w:rPr>
          <w:rFonts w:eastAsia="MS Mincho" w:cstheme="minorHAnsi"/>
          <w:lang w:val="en-GB" w:eastAsia="ru-RU"/>
        </w:rPr>
      </w:pPr>
    </w:p>
    <w:p w14:paraId="1284D170" w14:textId="77777777" w:rsidR="00AB5FA9" w:rsidRPr="006E56C4" w:rsidRDefault="00AB5FA9" w:rsidP="00AB5FA9">
      <w:pPr>
        <w:jc w:val="both"/>
        <w:rPr>
          <w:rFonts w:eastAsia="MS Mincho" w:cstheme="minorHAnsi"/>
          <w:lang w:val="en-GB" w:eastAsia="ru-RU"/>
        </w:rPr>
      </w:pPr>
      <w:r w:rsidRPr="006E56C4">
        <w:rPr>
          <w:rFonts w:eastAsia="MS Mincho" w:cstheme="minorHAnsi"/>
          <w:lang w:val="en-GB" w:eastAsia="ru-RU"/>
        </w:rPr>
        <w:t>During the final evaluation, the evaluator is expected to interact with/interview the implementing partners of the “Supporting Public Administration Reform” project, including: Policy Planning and Coordination Department of Administration of the Government of Georgia (</w:t>
      </w:r>
      <w:proofErr w:type="spellStart"/>
      <w:r w:rsidRPr="006E56C4">
        <w:rPr>
          <w:rFonts w:eastAsia="MS Mincho" w:cstheme="minorHAnsi"/>
          <w:lang w:val="en-GB" w:eastAsia="ru-RU"/>
        </w:rPr>
        <w:t>AoG</w:t>
      </w:r>
      <w:proofErr w:type="spellEnd"/>
      <w:r w:rsidRPr="006E56C4">
        <w:rPr>
          <w:rFonts w:eastAsia="MS Mincho" w:cstheme="minorHAnsi"/>
          <w:lang w:val="en-GB" w:eastAsia="ru-RU"/>
        </w:rPr>
        <w:t xml:space="preserve">), Civil Service Bureau (CSB); Ministry of Justice – LEPL Public Service Development Agency (PSDA), LEPL Digital Governance Agency (DGA) and other line ministries, public agencies, donor agencies, consultants, civil society organizations and all other relevant stakeholders whose list and contact details will be provided to the </w:t>
      </w:r>
      <w:r w:rsidRPr="006E56C4">
        <w:rPr>
          <w:rFonts w:eastAsia="MS Mincho" w:cstheme="minorHAnsi"/>
          <w:lang w:val="en-GB"/>
        </w:rPr>
        <w:t>International Consultant</w:t>
      </w:r>
      <w:r w:rsidRPr="006E56C4">
        <w:rPr>
          <w:rFonts w:eastAsia="MS Mincho" w:cstheme="minorHAnsi"/>
          <w:lang w:val="en-GB" w:eastAsia="ru-RU"/>
        </w:rPr>
        <w:t xml:space="preserve"> by the commencement of the contract.</w:t>
      </w:r>
    </w:p>
    <w:p w14:paraId="0C6381E5" w14:textId="77777777" w:rsidR="00AB5FA9" w:rsidRPr="006E56C4" w:rsidRDefault="00AB5FA9" w:rsidP="00AB5FA9">
      <w:pPr>
        <w:jc w:val="both"/>
        <w:rPr>
          <w:rFonts w:eastAsia="MS Mincho" w:cstheme="minorHAnsi"/>
          <w:lang w:val="en-GB" w:eastAsia="ru-RU"/>
        </w:rPr>
      </w:pPr>
    </w:p>
    <w:p w14:paraId="607AD740" w14:textId="77777777" w:rsidR="00AB5FA9" w:rsidRPr="006E56C4" w:rsidRDefault="00AB5FA9" w:rsidP="00AB5FA9">
      <w:pPr>
        <w:jc w:val="both"/>
        <w:rPr>
          <w:rFonts w:eastAsia="MS Mincho" w:cstheme="minorHAnsi"/>
          <w:lang w:val="en-GB" w:eastAsia="ru-RU"/>
        </w:rPr>
      </w:pPr>
      <w:r w:rsidRPr="006E56C4">
        <w:rPr>
          <w:rFonts w:eastAsia="MS Mincho" w:cstheme="minorHAnsi"/>
          <w:lang w:val="en-GB" w:eastAsia="ru-RU"/>
        </w:rPr>
        <w:t xml:space="preserve">In case the evaluation is conducted remotely or partially remotely, the PAR Project team will assist the international consultant with the planning of the online activities and workshops and ensure the stakeholder engagement. </w:t>
      </w:r>
    </w:p>
    <w:p w14:paraId="63A0A0C4" w14:textId="77777777" w:rsidR="00AB5FA9" w:rsidRPr="006E56C4" w:rsidRDefault="00AB5FA9" w:rsidP="00AB5FA9">
      <w:pPr>
        <w:jc w:val="both"/>
        <w:rPr>
          <w:rFonts w:cstheme="minorHAnsi"/>
          <w:lang w:val="en-GB"/>
        </w:rPr>
      </w:pPr>
    </w:p>
    <w:p w14:paraId="24447C56" w14:textId="77777777" w:rsidR="00AB5FA9" w:rsidRPr="006E56C4" w:rsidRDefault="00AB5FA9" w:rsidP="00AB5FA9">
      <w:pPr>
        <w:rPr>
          <w:rFonts w:eastAsia="MS Mincho" w:cstheme="minorHAnsi"/>
          <w:b/>
          <w:u w:val="single"/>
          <w:lang w:val="en-GB"/>
        </w:rPr>
      </w:pPr>
      <w:r w:rsidRPr="006E56C4">
        <w:rPr>
          <w:rFonts w:eastAsia="MS Mincho" w:cstheme="minorHAnsi"/>
          <w:b/>
          <w:u w:val="single"/>
          <w:lang w:val="en-GB"/>
        </w:rPr>
        <w:t>9. Timeframe for the evaluation process</w:t>
      </w:r>
    </w:p>
    <w:p w14:paraId="7262AFC1" w14:textId="77777777" w:rsidR="00AB5FA9" w:rsidRPr="006E56C4" w:rsidRDefault="00AB5FA9" w:rsidP="00AB5FA9">
      <w:pPr>
        <w:jc w:val="both"/>
        <w:rPr>
          <w:rFonts w:eastAsia="MS Mincho" w:cstheme="minorHAnsi"/>
          <w:lang w:val="en-GB" w:eastAsia="ru-RU"/>
        </w:rPr>
      </w:pPr>
    </w:p>
    <w:p w14:paraId="4EFD6803" w14:textId="77777777" w:rsidR="00AB5FA9" w:rsidRPr="006E56C4" w:rsidRDefault="00AB5FA9" w:rsidP="00AB5FA9">
      <w:pPr>
        <w:jc w:val="both"/>
        <w:rPr>
          <w:rFonts w:eastAsia="MS Mincho" w:cstheme="minorHAnsi"/>
          <w:lang w:val="en-GB" w:eastAsia="ru-RU"/>
        </w:rPr>
      </w:pPr>
      <w:r w:rsidRPr="006E56C4">
        <w:rPr>
          <w:rFonts w:eastAsia="MS Mincho" w:cstheme="minorHAnsi"/>
          <w:lang w:val="en-GB" w:eastAsia="ru-RU"/>
        </w:rPr>
        <w:t xml:space="preserve">The consultancy is expected to be carried out in </w:t>
      </w:r>
      <w:r>
        <w:rPr>
          <w:rFonts w:eastAsia="MS Mincho" w:cstheme="minorHAnsi"/>
          <w:lang w:val="en-GB" w:eastAsia="ru-RU"/>
        </w:rPr>
        <w:t>40</w:t>
      </w:r>
      <w:r w:rsidRPr="006E56C4">
        <w:rPr>
          <w:rFonts w:eastAsia="MS Mincho" w:cstheme="minorHAnsi"/>
          <w:lang w:val="en-GB" w:eastAsia="ru-RU"/>
        </w:rPr>
        <w:t xml:space="preserve"> working days over a period of </w:t>
      </w:r>
      <w:r>
        <w:rPr>
          <w:rFonts w:eastAsia="MS Mincho" w:cstheme="minorHAnsi"/>
          <w:lang w:val="en-GB" w:eastAsia="ru-RU"/>
        </w:rPr>
        <w:t>4</w:t>
      </w:r>
      <w:r w:rsidRPr="006E56C4">
        <w:rPr>
          <w:rFonts w:eastAsia="MS Mincho" w:cstheme="minorHAnsi"/>
          <w:lang w:val="en-GB" w:eastAsia="ru-RU"/>
        </w:rPr>
        <w:t xml:space="preserve"> months from </w:t>
      </w:r>
      <w:r>
        <w:rPr>
          <w:rFonts w:eastAsia="MS Mincho" w:cstheme="minorHAnsi"/>
          <w:lang w:val="en-GB" w:eastAsia="ru-RU"/>
        </w:rPr>
        <w:t>December</w:t>
      </w:r>
      <w:r w:rsidRPr="006E56C4">
        <w:rPr>
          <w:rFonts w:eastAsia="MS Mincho" w:cstheme="minorHAnsi"/>
          <w:lang w:val="en-GB" w:eastAsia="ru-RU"/>
        </w:rPr>
        <w:t xml:space="preserve"> - March 2021. The timeline for submission of specific deliverables is the following: </w:t>
      </w:r>
    </w:p>
    <w:p w14:paraId="6A8C2051" w14:textId="77777777" w:rsidR="00AB5FA9" w:rsidRPr="006E56C4" w:rsidRDefault="00AB5FA9" w:rsidP="00AB5FA9">
      <w:pPr>
        <w:jc w:val="both"/>
        <w:rPr>
          <w:rFonts w:eastAsia="MS Mincho" w:cstheme="minorHAnsi"/>
          <w:lang w:val="en-GB"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2264"/>
        <w:gridCol w:w="3832"/>
      </w:tblGrid>
      <w:tr w:rsidR="00AB5FA9" w:rsidRPr="006E56C4" w14:paraId="4D5D0717" w14:textId="77777777" w:rsidTr="00AB5FA9">
        <w:trPr>
          <w:trHeight w:val="244"/>
          <w:tblHeader/>
        </w:trPr>
        <w:tc>
          <w:tcPr>
            <w:tcW w:w="3395" w:type="dxa"/>
          </w:tcPr>
          <w:p w14:paraId="1CC0AC7A" w14:textId="77777777" w:rsidR="00AB5FA9" w:rsidRPr="006E56C4" w:rsidRDefault="00AB5FA9" w:rsidP="00AB5FA9">
            <w:pPr>
              <w:tabs>
                <w:tab w:val="center" w:pos="4320"/>
                <w:tab w:val="right" w:pos="8640"/>
              </w:tabs>
              <w:jc w:val="center"/>
              <w:rPr>
                <w:rFonts w:cstheme="minorHAnsi"/>
                <w:b/>
                <w:sz w:val="20"/>
                <w:szCs w:val="20"/>
                <w:lang w:val="en-GB"/>
              </w:rPr>
            </w:pPr>
            <w:r w:rsidRPr="006E56C4">
              <w:rPr>
                <w:rFonts w:cstheme="minorHAnsi"/>
                <w:b/>
                <w:sz w:val="20"/>
                <w:szCs w:val="20"/>
                <w:lang w:val="en-GB"/>
              </w:rPr>
              <w:t>Deliverables</w:t>
            </w:r>
          </w:p>
        </w:tc>
        <w:tc>
          <w:tcPr>
            <w:tcW w:w="2264" w:type="dxa"/>
          </w:tcPr>
          <w:p w14:paraId="26A59120" w14:textId="77777777" w:rsidR="00AB5FA9" w:rsidRPr="006E56C4" w:rsidRDefault="00AB5FA9" w:rsidP="00AB5FA9">
            <w:pPr>
              <w:tabs>
                <w:tab w:val="center" w:pos="4320"/>
                <w:tab w:val="right" w:pos="8640"/>
              </w:tabs>
              <w:jc w:val="center"/>
              <w:rPr>
                <w:rFonts w:cstheme="minorHAnsi"/>
                <w:b/>
                <w:sz w:val="20"/>
                <w:szCs w:val="20"/>
                <w:lang w:val="en-GB"/>
              </w:rPr>
            </w:pPr>
            <w:r w:rsidRPr="006E56C4">
              <w:rPr>
                <w:rFonts w:cstheme="minorHAnsi"/>
                <w:b/>
                <w:sz w:val="20"/>
                <w:szCs w:val="20"/>
                <w:lang w:val="en-GB"/>
              </w:rPr>
              <w:t>Duration (working days)</w:t>
            </w:r>
          </w:p>
        </w:tc>
        <w:tc>
          <w:tcPr>
            <w:tcW w:w="3832" w:type="dxa"/>
          </w:tcPr>
          <w:p w14:paraId="38BD3312" w14:textId="77777777" w:rsidR="00AB5FA9" w:rsidRPr="006E56C4" w:rsidRDefault="00AB5FA9" w:rsidP="00AB5FA9">
            <w:pPr>
              <w:tabs>
                <w:tab w:val="center" w:pos="4320"/>
                <w:tab w:val="right" w:pos="8640"/>
              </w:tabs>
              <w:jc w:val="center"/>
              <w:rPr>
                <w:rFonts w:cstheme="minorHAnsi"/>
                <w:b/>
                <w:sz w:val="20"/>
                <w:szCs w:val="20"/>
                <w:lang w:val="en-GB"/>
              </w:rPr>
            </w:pPr>
            <w:r w:rsidRPr="006E56C4">
              <w:rPr>
                <w:rFonts w:cstheme="minorHAnsi"/>
                <w:b/>
                <w:sz w:val="20"/>
                <w:szCs w:val="20"/>
                <w:lang w:val="en-GB"/>
              </w:rPr>
              <w:t>Due dates</w:t>
            </w:r>
          </w:p>
        </w:tc>
      </w:tr>
      <w:tr w:rsidR="00AB5FA9" w:rsidRPr="006E56C4" w14:paraId="31B32F60" w14:textId="77777777" w:rsidTr="00AB5FA9">
        <w:trPr>
          <w:trHeight w:val="723"/>
        </w:trPr>
        <w:tc>
          <w:tcPr>
            <w:tcW w:w="3395" w:type="dxa"/>
          </w:tcPr>
          <w:p w14:paraId="04E5D720"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1/ Inception report including the evaluation matrix, evaluation methodology, and evaluation plan (suggested content in Annex 1)</w:t>
            </w:r>
          </w:p>
        </w:tc>
        <w:tc>
          <w:tcPr>
            <w:tcW w:w="2264" w:type="dxa"/>
          </w:tcPr>
          <w:p w14:paraId="007A8AF8"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7 working days</w:t>
            </w:r>
          </w:p>
        </w:tc>
        <w:tc>
          <w:tcPr>
            <w:tcW w:w="3832" w:type="dxa"/>
          </w:tcPr>
          <w:p w14:paraId="7832033D"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 xml:space="preserve">Within 2 weeks upon signing the contract </w:t>
            </w:r>
          </w:p>
        </w:tc>
      </w:tr>
      <w:tr w:rsidR="00AB5FA9" w:rsidRPr="006E56C4" w14:paraId="7D582502" w14:textId="77777777" w:rsidTr="00AB5FA9">
        <w:trPr>
          <w:trHeight w:val="355"/>
        </w:trPr>
        <w:tc>
          <w:tcPr>
            <w:tcW w:w="3395" w:type="dxa"/>
          </w:tcPr>
          <w:p w14:paraId="422D50C3"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2/ Draft Evaluation Report prepared and accepted (suggested template in Annex 2)</w:t>
            </w:r>
          </w:p>
        </w:tc>
        <w:tc>
          <w:tcPr>
            <w:tcW w:w="2264" w:type="dxa"/>
          </w:tcPr>
          <w:p w14:paraId="5F802F57"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30 working days</w:t>
            </w:r>
          </w:p>
        </w:tc>
        <w:tc>
          <w:tcPr>
            <w:tcW w:w="3832" w:type="dxa"/>
          </w:tcPr>
          <w:p w14:paraId="53A50907"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Within 2,5 months upon submission of Inception report</w:t>
            </w:r>
          </w:p>
        </w:tc>
      </w:tr>
      <w:tr w:rsidR="00AB5FA9" w:rsidRPr="006E56C4" w14:paraId="76E30F3B" w14:textId="77777777" w:rsidTr="00AB5FA9">
        <w:trPr>
          <w:trHeight w:val="744"/>
        </w:trPr>
        <w:tc>
          <w:tcPr>
            <w:tcW w:w="3395" w:type="dxa"/>
          </w:tcPr>
          <w:p w14:paraId="3990CB44"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3/ Final Evaluation report and presentation for the dissemination workshops</w:t>
            </w:r>
          </w:p>
        </w:tc>
        <w:tc>
          <w:tcPr>
            <w:tcW w:w="2264" w:type="dxa"/>
          </w:tcPr>
          <w:p w14:paraId="02D2CE31"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3 working days</w:t>
            </w:r>
          </w:p>
        </w:tc>
        <w:tc>
          <w:tcPr>
            <w:tcW w:w="3832" w:type="dxa"/>
          </w:tcPr>
          <w:p w14:paraId="6C3CE326" w14:textId="77777777" w:rsidR="00AB5FA9" w:rsidRPr="006E56C4" w:rsidRDefault="00AB5FA9" w:rsidP="00AB5FA9">
            <w:pPr>
              <w:tabs>
                <w:tab w:val="center" w:pos="4320"/>
                <w:tab w:val="right" w:pos="8640"/>
              </w:tabs>
              <w:rPr>
                <w:rFonts w:cstheme="minorHAnsi"/>
                <w:sz w:val="20"/>
                <w:szCs w:val="20"/>
                <w:lang w:val="en-GB"/>
              </w:rPr>
            </w:pPr>
            <w:r w:rsidRPr="006E56C4">
              <w:rPr>
                <w:rFonts w:cstheme="minorHAnsi"/>
                <w:sz w:val="20"/>
                <w:szCs w:val="20"/>
                <w:lang w:val="en-GB"/>
              </w:rPr>
              <w:t>Within 2 weeks after receiving the comments from UNDP.</w:t>
            </w:r>
          </w:p>
        </w:tc>
      </w:tr>
    </w:tbl>
    <w:p w14:paraId="7FCC46E3" w14:textId="77777777" w:rsidR="00AB5FA9" w:rsidRPr="006E56C4" w:rsidRDefault="00AB5FA9" w:rsidP="00AB5FA9">
      <w:pPr>
        <w:jc w:val="both"/>
        <w:rPr>
          <w:rFonts w:eastAsia="MS Mincho" w:cstheme="minorHAnsi"/>
          <w:lang w:val="en-GB" w:eastAsia="ru-RU"/>
        </w:rPr>
      </w:pPr>
    </w:p>
    <w:p w14:paraId="5AC8676D" w14:textId="77777777" w:rsidR="00AB5FA9" w:rsidRPr="006E56C4" w:rsidRDefault="00AB5FA9" w:rsidP="00AB5FA9">
      <w:pPr>
        <w:jc w:val="both"/>
        <w:rPr>
          <w:rFonts w:eastAsia="MS Mincho" w:cstheme="minorHAnsi"/>
          <w:lang w:val="en-GB" w:eastAsia="ru-RU"/>
        </w:rPr>
      </w:pPr>
      <w:r w:rsidRPr="006E56C4">
        <w:rPr>
          <w:rFonts w:eastAsia="MS Mincho" w:cstheme="minorHAnsi"/>
          <w:lang w:val="en-GB" w:eastAsia="ru-RU"/>
        </w:rPr>
        <w:t xml:space="preserve">The timeline of the activities will be detailed in the inception report including flexibility and delays in the timeframe for the evaluation, with additional time for implementing evaluation virtually recognising possible delays in accessing stakeholder groups due to COVID-19. </w:t>
      </w:r>
    </w:p>
    <w:p w14:paraId="5534AF44" w14:textId="77777777" w:rsidR="00AB5FA9" w:rsidRPr="006E56C4" w:rsidRDefault="00AB5FA9" w:rsidP="00AB5FA9">
      <w:pPr>
        <w:jc w:val="both"/>
        <w:rPr>
          <w:rFonts w:eastAsia="MS Mincho" w:cstheme="minorHAnsi"/>
          <w:lang w:val="en-GB" w:eastAsia="ru-RU"/>
        </w:rPr>
      </w:pPr>
    </w:p>
    <w:p w14:paraId="6134A868" w14:textId="77777777" w:rsidR="00AB5FA9" w:rsidRPr="006E56C4" w:rsidRDefault="00AB5FA9" w:rsidP="00AB5FA9">
      <w:pPr>
        <w:jc w:val="both"/>
        <w:rPr>
          <w:rFonts w:eastAsia="MS Mincho" w:cstheme="minorHAnsi"/>
          <w:b/>
          <w:bCs/>
          <w:u w:val="single"/>
          <w:lang w:val="en-GB" w:eastAsia="ru-RU"/>
        </w:rPr>
      </w:pPr>
      <w:r w:rsidRPr="006E56C4">
        <w:rPr>
          <w:rFonts w:eastAsia="MS Mincho" w:cstheme="minorHAnsi"/>
          <w:b/>
          <w:bCs/>
          <w:u w:val="single"/>
          <w:lang w:val="en-GB" w:eastAsia="ru-RU"/>
        </w:rPr>
        <w:t xml:space="preserve">10. Payment modality: </w:t>
      </w:r>
    </w:p>
    <w:p w14:paraId="3C2D7C6B" w14:textId="77777777" w:rsidR="00AB5FA9" w:rsidRPr="006E56C4" w:rsidRDefault="00AB5FA9" w:rsidP="00AB5FA9">
      <w:pPr>
        <w:jc w:val="both"/>
        <w:rPr>
          <w:rFonts w:eastAsia="MS Mincho" w:cstheme="minorHAnsi"/>
          <w:b/>
          <w:bCs/>
          <w:lang w:val="en-GB" w:eastAsia="ru-RU"/>
        </w:rPr>
      </w:pPr>
    </w:p>
    <w:p w14:paraId="380AD828" w14:textId="77777777" w:rsidR="00AB5FA9" w:rsidRPr="006E56C4" w:rsidRDefault="00AB5FA9" w:rsidP="00AB5FA9">
      <w:pPr>
        <w:jc w:val="both"/>
        <w:rPr>
          <w:rFonts w:cstheme="minorHAnsi"/>
          <w:lang w:val="en-GB" w:eastAsia="ru-RU"/>
        </w:rPr>
      </w:pPr>
      <w:r w:rsidRPr="006E56C4">
        <w:rPr>
          <w:rFonts w:cstheme="minorHAnsi"/>
          <w:lang w:val="en-GB" w:eastAsia="ru-RU"/>
        </w:rPr>
        <w:t>The payment will be made through four instalments upon satisfactory submission and approval of the deliverables:</w:t>
      </w:r>
    </w:p>
    <w:p w14:paraId="131354B8" w14:textId="77777777" w:rsidR="00AB5FA9" w:rsidRPr="006E56C4" w:rsidRDefault="00AB5FA9" w:rsidP="00EB743C">
      <w:pPr>
        <w:pStyle w:val="ListParagraph"/>
        <w:numPr>
          <w:ilvl w:val="0"/>
          <w:numId w:val="44"/>
        </w:numPr>
        <w:spacing w:after="200" w:line="276" w:lineRule="auto"/>
        <w:jc w:val="both"/>
        <w:rPr>
          <w:rFonts w:cstheme="minorHAnsi"/>
          <w:lang w:val="en-GB"/>
        </w:rPr>
      </w:pPr>
      <w:r w:rsidRPr="006E56C4">
        <w:rPr>
          <w:rFonts w:cstheme="minorHAnsi"/>
          <w:lang w:val="en-GB"/>
        </w:rPr>
        <w:t xml:space="preserve">Deliverable 1– 30% of the </w:t>
      </w:r>
      <w:r w:rsidRPr="006E56C4">
        <w:rPr>
          <w:rFonts w:cstheme="minorHAnsi"/>
          <w:color w:val="0E101A"/>
          <w:lang w:val="en-GB"/>
        </w:rPr>
        <w:t>of the consultancy;</w:t>
      </w:r>
    </w:p>
    <w:p w14:paraId="67A5D6AE" w14:textId="77777777" w:rsidR="00AB5FA9" w:rsidRPr="006E56C4" w:rsidRDefault="00AB5FA9" w:rsidP="00EB743C">
      <w:pPr>
        <w:pStyle w:val="ListParagraph"/>
        <w:numPr>
          <w:ilvl w:val="0"/>
          <w:numId w:val="44"/>
        </w:numPr>
        <w:spacing w:after="200" w:line="276" w:lineRule="auto"/>
        <w:jc w:val="both"/>
        <w:rPr>
          <w:rFonts w:cstheme="minorHAnsi"/>
          <w:lang w:val="en-GB"/>
        </w:rPr>
      </w:pPr>
      <w:r w:rsidRPr="006E56C4">
        <w:rPr>
          <w:rFonts w:cstheme="minorHAnsi"/>
          <w:lang w:val="en-GB"/>
        </w:rPr>
        <w:t xml:space="preserve">Deliverable 2 – 30% of the </w:t>
      </w:r>
      <w:r w:rsidRPr="006E56C4">
        <w:rPr>
          <w:rFonts w:cstheme="minorHAnsi"/>
          <w:color w:val="0E101A"/>
          <w:lang w:val="en-GB"/>
        </w:rPr>
        <w:t>of the consultancy;</w:t>
      </w:r>
    </w:p>
    <w:p w14:paraId="6029C81F" w14:textId="77777777" w:rsidR="00AB5FA9" w:rsidRPr="005C1019" w:rsidRDefault="00AB5FA9" w:rsidP="00EB743C">
      <w:pPr>
        <w:pStyle w:val="ListParagraph"/>
        <w:numPr>
          <w:ilvl w:val="0"/>
          <w:numId w:val="44"/>
        </w:numPr>
        <w:spacing w:after="200" w:line="276" w:lineRule="auto"/>
        <w:jc w:val="both"/>
        <w:rPr>
          <w:rFonts w:cstheme="minorHAnsi"/>
          <w:lang w:val="en-GB"/>
        </w:rPr>
      </w:pPr>
      <w:r w:rsidRPr="006E56C4">
        <w:rPr>
          <w:rFonts w:cstheme="minorHAnsi"/>
          <w:lang w:val="en-GB"/>
        </w:rPr>
        <w:t xml:space="preserve">Deliverable 3 – 40% of the </w:t>
      </w:r>
      <w:r w:rsidRPr="006E56C4">
        <w:rPr>
          <w:rFonts w:cstheme="minorHAnsi"/>
          <w:color w:val="0E101A"/>
          <w:lang w:val="en-GB"/>
        </w:rPr>
        <w:t>of the consultancy.</w:t>
      </w:r>
      <w:bookmarkEnd w:id="32"/>
      <w:r w:rsidRPr="005C1019">
        <w:rPr>
          <w:rFonts w:cstheme="minorHAnsi"/>
          <w:b/>
          <w:lang w:val="en-GB"/>
        </w:rPr>
        <w:br w:type="page"/>
      </w:r>
    </w:p>
    <w:p w14:paraId="3DEF3137" w14:textId="77777777" w:rsidR="00AB5FA9" w:rsidRPr="006E56C4" w:rsidRDefault="00AB5FA9" w:rsidP="00AB5FA9">
      <w:pPr>
        <w:jc w:val="right"/>
        <w:rPr>
          <w:rFonts w:cstheme="minorHAnsi"/>
          <w:b/>
          <w:lang w:val="en-GB"/>
        </w:rPr>
      </w:pPr>
      <w:r w:rsidRPr="006E56C4">
        <w:rPr>
          <w:rFonts w:cstheme="minorHAnsi"/>
          <w:b/>
          <w:lang w:val="en-GB"/>
        </w:rPr>
        <w:lastRenderedPageBreak/>
        <w:t>Annex 1</w:t>
      </w:r>
    </w:p>
    <w:p w14:paraId="1C3FF0A9" w14:textId="77777777" w:rsidR="00AB5FA9" w:rsidRPr="006E56C4" w:rsidRDefault="00AB5FA9" w:rsidP="00AB5FA9">
      <w:pPr>
        <w:jc w:val="center"/>
        <w:rPr>
          <w:rFonts w:cstheme="minorHAnsi"/>
          <w:b/>
          <w:lang w:val="en-GB"/>
        </w:rPr>
      </w:pPr>
      <w:r w:rsidRPr="006E56C4">
        <w:rPr>
          <w:rFonts w:cstheme="minorHAnsi"/>
          <w:b/>
          <w:lang w:val="en-GB"/>
        </w:rPr>
        <w:t xml:space="preserve">Inception report </w:t>
      </w:r>
    </w:p>
    <w:p w14:paraId="5C004987" w14:textId="77777777" w:rsidR="00AB5FA9" w:rsidRPr="006E56C4" w:rsidRDefault="00AB5FA9" w:rsidP="00AB5FA9">
      <w:pPr>
        <w:jc w:val="center"/>
        <w:rPr>
          <w:rFonts w:cstheme="minorHAnsi"/>
          <w:b/>
          <w:sz w:val="20"/>
          <w:szCs w:val="20"/>
          <w:lang w:val="en-GB"/>
        </w:rPr>
      </w:pPr>
      <w:r w:rsidRPr="006E56C4">
        <w:rPr>
          <w:rFonts w:cstheme="minorHAnsi"/>
          <w:b/>
          <w:sz w:val="20"/>
          <w:szCs w:val="20"/>
          <w:lang w:val="en-GB"/>
        </w:rPr>
        <w:t>(Suggested content)</w:t>
      </w:r>
    </w:p>
    <w:p w14:paraId="12119A7C"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Background and context illustrating the understanding of the project/outcome to be evaluated.</w:t>
      </w:r>
    </w:p>
    <w:p w14:paraId="486043BD"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 xml:space="preserve">Evaluation objective, purpose and scope. A clear statement of the objectives of the evaluation and the main aspects or elements of the initiative to be examined. </w:t>
      </w:r>
    </w:p>
    <w:p w14:paraId="30138872"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Evaluation criteria and questions. The criteria the evaluation will use to assess performance and rationale. The stakeholders to be met and interview questions should be included and agreed as well as a proposed schedule for field site visits.</w:t>
      </w:r>
    </w:p>
    <w:p w14:paraId="78664EA2"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Evaluability analysis. Illustrate the evaluability analysis based on formal (clear outputs, indicators, baselines, data) and substantive (identification of problem addressed, theory of change, results framework) and the implication on the proposed methodology.</w:t>
      </w:r>
    </w:p>
    <w:p w14:paraId="07E39929"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 xml:space="preserve">Cross-cutting issues. Provide details of how cross-cutting issues will be evaluated, </w:t>
      </w:r>
      <w:proofErr w:type="gramStart"/>
      <w:r w:rsidRPr="006E56C4">
        <w:rPr>
          <w:rFonts w:cstheme="minorHAnsi"/>
          <w:sz w:val="20"/>
          <w:szCs w:val="20"/>
          <w:lang w:val="en-GB"/>
        </w:rPr>
        <w:t>considered</w:t>
      </w:r>
      <w:proofErr w:type="gramEnd"/>
      <w:r w:rsidRPr="006E56C4">
        <w:rPr>
          <w:rFonts w:cstheme="minorHAnsi"/>
          <w:sz w:val="20"/>
          <w:szCs w:val="20"/>
          <w:lang w:val="en-GB"/>
        </w:rPr>
        <w:t xml:space="preserve"> and analysed throughout the evaluation. The description should specify how methods for data collection and analysis will integrate gender considerations, ensure that data collected is disaggregated by sex and other relevant categories, and employ a diverse range of data sources and processes to ensure inclusion of diverse stakeholders, including the most vulnerable where appropriate.</w:t>
      </w:r>
    </w:p>
    <w:p w14:paraId="41777A8F"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 xml:space="preserve">Evaluation approach and methodology, highlighting the conceptual models adopted with a description of data-collection methods, sources and analytical approaches to be employed, including the rationale for their selection (how they will inform the evaluation) and their limitations; data-collection tools, instruments and protocols; and discussion of reliability and validity for the evaluation and the sampling plan, including the rationale and limitations. </w:t>
      </w:r>
    </w:p>
    <w:p w14:paraId="1FA5906D"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Evaluation matrix. This identifies the key evaluation questions and how they will be answered via the methods selected.</w:t>
      </w:r>
    </w:p>
    <w:p w14:paraId="2DA25C39"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 xml:space="preserve">A revised schedule of key milestones, deliverables and responsibilities including the evaluation phases (data collection, data analysis and reporting). </w:t>
      </w:r>
    </w:p>
    <w:p w14:paraId="48B8BA24"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 xml:space="preserve">Detailed resource requirements tied to evaluation activities and deliverables detailed in the workplan. Include specific assistance required from UNDP such as providing arrangements for visiting particular field offices or sites or scheduling online meetings, interviews and workshops amid COVID-19 restrictions. </w:t>
      </w:r>
    </w:p>
    <w:p w14:paraId="71C9E332" w14:textId="77777777" w:rsidR="00AB5FA9" w:rsidRPr="006E56C4" w:rsidRDefault="00AB5FA9" w:rsidP="00EB743C">
      <w:pPr>
        <w:pStyle w:val="ListParagraph"/>
        <w:numPr>
          <w:ilvl w:val="0"/>
          <w:numId w:val="34"/>
        </w:numPr>
        <w:spacing w:after="200" w:line="276" w:lineRule="auto"/>
        <w:jc w:val="both"/>
        <w:rPr>
          <w:rFonts w:cstheme="minorHAnsi"/>
          <w:sz w:val="20"/>
          <w:szCs w:val="20"/>
          <w:lang w:val="en-GB"/>
        </w:rPr>
      </w:pPr>
      <w:r w:rsidRPr="006E56C4">
        <w:rPr>
          <w:rFonts w:cstheme="minorHAnsi"/>
          <w:sz w:val="20"/>
          <w:szCs w:val="20"/>
          <w:lang w:val="en-GB"/>
        </w:rPr>
        <w:t xml:space="preserve">Outline of the draft/final report as detailed in UNDP Evaluation Guidelines (2019) and ensuring quality and usability. The agreed report outline should meet the quality goals outlined in these guidelines and also meet the quality assessment requirements outlined in Annex 3. </w:t>
      </w:r>
    </w:p>
    <w:p w14:paraId="691DF97C" w14:textId="77777777" w:rsidR="00AB5FA9" w:rsidRPr="006E56C4" w:rsidRDefault="00AB5FA9" w:rsidP="00AB5FA9">
      <w:pPr>
        <w:jc w:val="both"/>
        <w:rPr>
          <w:rFonts w:cstheme="minorHAnsi"/>
          <w:sz w:val="20"/>
          <w:szCs w:val="20"/>
          <w:lang w:val="en-GB"/>
        </w:rPr>
      </w:pPr>
    </w:p>
    <w:p w14:paraId="3DF901DC" w14:textId="77777777" w:rsidR="00AB5FA9" w:rsidRPr="006E56C4" w:rsidRDefault="00AB5FA9" w:rsidP="00AB5FA9">
      <w:pPr>
        <w:jc w:val="both"/>
        <w:rPr>
          <w:rFonts w:cstheme="minorHAnsi"/>
          <w:sz w:val="20"/>
          <w:szCs w:val="20"/>
          <w:lang w:val="en-GB"/>
        </w:rPr>
        <w:sectPr w:rsidR="00AB5FA9" w:rsidRPr="006E56C4" w:rsidSect="00AB5FA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pgNumType w:start="0"/>
          <w:cols w:space="708"/>
          <w:titlePg/>
          <w:docGrid w:linePitch="360"/>
        </w:sectPr>
      </w:pPr>
    </w:p>
    <w:p w14:paraId="14C91969" w14:textId="77777777" w:rsidR="00AB5FA9" w:rsidRPr="006E56C4" w:rsidRDefault="00AB5FA9" w:rsidP="00AB5FA9">
      <w:pPr>
        <w:jc w:val="right"/>
        <w:rPr>
          <w:rFonts w:cstheme="minorHAnsi"/>
          <w:b/>
          <w:lang w:val="en-GB"/>
        </w:rPr>
      </w:pPr>
      <w:r w:rsidRPr="006E56C4">
        <w:rPr>
          <w:rFonts w:cstheme="minorHAnsi"/>
          <w:b/>
          <w:lang w:val="en-GB"/>
        </w:rPr>
        <w:lastRenderedPageBreak/>
        <w:t>Annex 2</w:t>
      </w:r>
    </w:p>
    <w:p w14:paraId="01E08560" w14:textId="77777777" w:rsidR="00AB5FA9" w:rsidRPr="006E56C4" w:rsidRDefault="00AB5FA9" w:rsidP="00AB5FA9">
      <w:pPr>
        <w:jc w:val="center"/>
        <w:rPr>
          <w:rFonts w:cstheme="minorHAnsi"/>
          <w:b/>
          <w:lang w:val="en-GB"/>
        </w:rPr>
      </w:pPr>
      <w:r w:rsidRPr="006E56C4">
        <w:rPr>
          <w:rFonts w:cstheme="minorHAnsi"/>
          <w:b/>
          <w:lang w:val="en-GB"/>
        </w:rPr>
        <w:t>Evaluation Report Template</w:t>
      </w:r>
    </w:p>
    <w:p w14:paraId="1D695825" w14:textId="77777777" w:rsidR="00AB5FA9" w:rsidRPr="006E56C4" w:rsidRDefault="00AB5FA9" w:rsidP="00AB5FA9">
      <w:pPr>
        <w:ind w:right="760"/>
        <w:jc w:val="both"/>
        <w:rPr>
          <w:rFonts w:cstheme="minorHAnsi"/>
          <w:sz w:val="20"/>
          <w:szCs w:val="20"/>
          <w:lang w:val="en-GB"/>
        </w:rPr>
      </w:pPr>
      <w:r w:rsidRPr="006E56C4">
        <w:rPr>
          <w:rFonts w:cstheme="minorHAnsi"/>
          <w:sz w:val="20"/>
          <w:szCs w:val="20"/>
          <w:lang w:val="en-GB"/>
        </w:rPr>
        <w:t xml:space="preserve">This </w:t>
      </w:r>
      <w:r w:rsidRPr="006E56C4">
        <w:rPr>
          <w:rFonts w:cstheme="minorHAnsi"/>
          <w:b/>
          <w:sz w:val="20"/>
          <w:szCs w:val="20"/>
          <w:lang w:val="en-GB"/>
        </w:rPr>
        <w:t>evaluation report template</w:t>
      </w:r>
      <w:r w:rsidRPr="006E56C4">
        <w:rPr>
          <w:rFonts w:cstheme="minorHAnsi"/>
          <w:sz w:val="20"/>
          <w:szCs w:val="20"/>
          <w:lang w:val="en-GB"/>
        </w:rPr>
        <w:t xml:space="preserve"> is intended to serve as a guide for preparing meaningful, useful and credible evaluation reports that meet quality standards. It does not prescribe a definitive section-by-section format that all evaluation reports should follow. Rather, it suggests the content that should be included in a quality evaluation report.</w:t>
      </w:r>
    </w:p>
    <w:p w14:paraId="6D67339F" w14:textId="77777777" w:rsidR="00AB5FA9" w:rsidRPr="006E56C4" w:rsidRDefault="00AB5FA9" w:rsidP="00AB5FA9">
      <w:pPr>
        <w:ind w:right="760"/>
        <w:jc w:val="both"/>
        <w:rPr>
          <w:rFonts w:cstheme="minorHAnsi"/>
          <w:sz w:val="20"/>
          <w:szCs w:val="20"/>
          <w:lang w:val="en-GB"/>
        </w:rPr>
      </w:pPr>
      <w:r w:rsidRPr="006E56C4">
        <w:rPr>
          <w:rFonts w:cstheme="minorHAnsi"/>
          <w:sz w:val="20"/>
          <w:szCs w:val="20"/>
          <w:lang w:val="en-GB"/>
        </w:rPr>
        <w:t>The evaluation report should be complete and logically organized. It should be written clearly and be understandable to the intended audience. In a country context, the report should be translated into local languages whenever possible. The report should also include the following:</w:t>
      </w:r>
    </w:p>
    <w:p w14:paraId="2B3443BD" w14:textId="77777777" w:rsidR="00AB5FA9" w:rsidRPr="006E56C4" w:rsidRDefault="00AB5FA9" w:rsidP="00EB743C">
      <w:pPr>
        <w:numPr>
          <w:ilvl w:val="0"/>
          <w:numId w:val="26"/>
        </w:numPr>
        <w:tabs>
          <w:tab w:val="left" w:pos="142"/>
        </w:tabs>
        <w:spacing w:line="276" w:lineRule="auto"/>
        <w:ind w:left="709" w:hanging="720"/>
        <w:rPr>
          <w:rFonts w:cstheme="minorHAnsi"/>
          <w:sz w:val="20"/>
          <w:szCs w:val="20"/>
          <w:lang w:val="en-GB"/>
        </w:rPr>
      </w:pPr>
      <w:r w:rsidRPr="006E56C4">
        <w:rPr>
          <w:rFonts w:cstheme="minorHAnsi"/>
          <w:b/>
          <w:sz w:val="20"/>
          <w:szCs w:val="20"/>
          <w:lang w:val="en-GB"/>
        </w:rPr>
        <w:t xml:space="preserve"> Title and opening pages </w:t>
      </w:r>
      <w:r w:rsidRPr="006E56C4">
        <w:rPr>
          <w:rFonts w:cstheme="minorHAnsi"/>
          <w:sz w:val="20"/>
          <w:szCs w:val="20"/>
          <w:lang w:val="en-GB"/>
        </w:rPr>
        <w:t>should provide the following basic information:</w:t>
      </w:r>
    </w:p>
    <w:p w14:paraId="0F176F92" w14:textId="77777777" w:rsidR="00AB5FA9" w:rsidRPr="006E56C4" w:rsidRDefault="00AB5FA9" w:rsidP="00EB743C">
      <w:pPr>
        <w:pStyle w:val="ListParagraph"/>
        <w:numPr>
          <w:ilvl w:val="0"/>
          <w:numId w:val="32"/>
        </w:numPr>
        <w:tabs>
          <w:tab w:val="left" w:pos="1440"/>
        </w:tabs>
        <w:spacing w:line="276" w:lineRule="auto"/>
        <w:rPr>
          <w:rFonts w:cstheme="minorHAnsi"/>
          <w:sz w:val="20"/>
          <w:szCs w:val="20"/>
          <w:lang w:val="en-GB"/>
        </w:rPr>
      </w:pPr>
      <w:r w:rsidRPr="006E56C4">
        <w:rPr>
          <w:rFonts w:cstheme="minorHAnsi"/>
          <w:sz w:val="20"/>
          <w:szCs w:val="20"/>
          <w:lang w:val="en-GB"/>
        </w:rPr>
        <w:t>Name of the evaluation intervention.</w:t>
      </w:r>
    </w:p>
    <w:p w14:paraId="111FF993" w14:textId="77777777" w:rsidR="00AB5FA9" w:rsidRPr="006E56C4" w:rsidRDefault="00AB5FA9" w:rsidP="00EB743C">
      <w:pPr>
        <w:pStyle w:val="ListParagraph"/>
        <w:numPr>
          <w:ilvl w:val="0"/>
          <w:numId w:val="32"/>
        </w:numPr>
        <w:tabs>
          <w:tab w:val="left" w:pos="1440"/>
        </w:tabs>
        <w:spacing w:line="276" w:lineRule="auto"/>
        <w:rPr>
          <w:rFonts w:cstheme="minorHAnsi"/>
          <w:sz w:val="20"/>
          <w:szCs w:val="20"/>
          <w:lang w:val="en-GB"/>
        </w:rPr>
      </w:pPr>
      <w:r w:rsidRPr="006E56C4">
        <w:rPr>
          <w:rFonts w:cstheme="minorHAnsi"/>
          <w:sz w:val="20"/>
          <w:szCs w:val="20"/>
          <w:lang w:val="en-GB"/>
        </w:rPr>
        <w:t>Time frame of the evaluation and date of the report.</w:t>
      </w:r>
    </w:p>
    <w:p w14:paraId="12B64576" w14:textId="77777777" w:rsidR="00AB5FA9" w:rsidRPr="006E56C4" w:rsidRDefault="00AB5FA9" w:rsidP="00EB743C">
      <w:pPr>
        <w:pStyle w:val="ListParagraph"/>
        <w:numPr>
          <w:ilvl w:val="0"/>
          <w:numId w:val="32"/>
        </w:numPr>
        <w:tabs>
          <w:tab w:val="left" w:pos="1440"/>
        </w:tabs>
        <w:spacing w:line="276" w:lineRule="auto"/>
        <w:rPr>
          <w:rFonts w:cstheme="minorHAnsi"/>
          <w:sz w:val="20"/>
          <w:szCs w:val="20"/>
          <w:lang w:val="en-GB"/>
        </w:rPr>
      </w:pPr>
      <w:r w:rsidRPr="006E56C4">
        <w:rPr>
          <w:rFonts w:cstheme="minorHAnsi"/>
          <w:sz w:val="20"/>
          <w:szCs w:val="20"/>
          <w:lang w:val="en-GB"/>
        </w:rPr>
        <w:t>Countries of the evaluation intervention.</w:t>
      </w:r>
    </w:p>
    <w:p w14:paraId="75937729" w14:textId="77777777" w:rsidR="00AB5FA9" w:rsidRPr="006E56C4" w:rsidRDefault="00AB5FA9" w:rsidP="00EB743C">
      <w:pPr>
        <w:pStyle w:val="ListParagraph"/>
        <w:numPr>
          <w:ilvl w:val="0"/>
          <w:numId w:val="32"/>
        </w:numPr>
        <w:tabs>
          <w:tab w:val="left" w:pos="1440"/>
        </w:tabs>
        <w:spacing w:line="276" w:lineRule="auto"/>
        <w:rPr>
          <w:rFonts w:cstheme="minorHAnsi"/>
          <w:sz w:val="20"/>
          <w:szCs w:val="20"/>
          <w:lang w:val="en-GB"/>
        </w:rPr>
      </w:pPr>
      <w:r w:rsidRPr="006E56C4">
        <w:rPr>
          <w:rFonts w:cstheme="minorHAnsi"/>
          <w:sz w:val="20"/>
          <w:szCs w:val="20"/>
          <w:lang w:val="en-GB"/>
        </w:rPr>
        <w:t>Names and organizations of evaluators.</w:t>
      </w:r>
    </w:p>
    <w:p w14:paraId="354F620C" w14:textId="77777777" w:rsidR="00AB5FA9" w:rsidRPr="006E56C4" w:rsidRDefault="00AB5FA9" w:rsidP="00EB743C">
      <w:pPr>
        <w:pStyle w:val="ListParagraph"/>
        <w:numPr>
          <w:ilvl w:val="0"/>
          <w:numId w:val="32"/>
        </w:numPr>
        <w:tabs>
          <w:tab w:val="left" w:pos="1440"/>
        </w:tabs>
        <w:spacing w:line="276" w:lineRule="auto"/>
        <w:rPr>
          <w:rFonts w:cstheme="minorHAnsi"/>
          <w:sz w:val="20"/>
          <w:szCs w:val="20"/>
          <w:lang w:val="en-GB"/>
        </w:rPr>
      </w:pPr>
      <w:r w:rsidRPr="006E56C4">
        <w:rPr>
          <w:rFonts w:cstheme="minorHAnsi"/>
          <w:sz w:val="20"/>
          <w:szCs w:val="20"/>
          <w:lang w:val="en-GB"/>
        </w:rPr>
        <w:t>Name of the organization commissioning the evaluation.</w:t>
      </w:r>
    </w:p>
    <w:p w14:paraId="41712D77" w14:textId="77777777" w:rsidR="00AB5FA9" w:rsidRPr="006E56C4" w:rsidRDefault="00AB5FA9" w:rsidP="00EB743C">
      <w:pPr>
        <w:pStyle w:val="ListParagraph"/>
        <w:numPr>
          <w:ilvl w:val="0"/>
          <w:numId w:val="32"/>
        </w:numPr>
        <w:tabs>
          <w:tab w:val="left" w:pos="1440"/>
        </w:tabs>
        <w:spacing w:line="276" w:lineRule="auto"/>
        <w:rPr>
          <w:rFonts w:cstheme="minorHAnsi"/>
          <w:sz w:val="20"/>
          <w:szCs w:val="20"/>
          <w:lang w:val="en-GB"/>
        </w:rPr>
      </w:pPr>
      <w:r w:rsidRPr="006E56C4">
        <w:rPr>
          <w:rFonts w:cstheme="minorHAnsi"/>
          <w:sz w:val="20"/>
          <w:szCs w:val="20"/>
          <w:lang w:val="en-GB"/>
        </w:rPr>
        <w:t>Acknowledgements.</w:t>
      </w:r>
    </w:p>
    <w:p w14:paraId="2DEA1688" w14:textId="77777777" w:rsidR="00AB5FA9" w:rsidRPr="006E56C4" w:rsidRDefault="00AB5FA9" w:rsidP="00AB5FA9">
      <w:pPr>
        <w:pStyle w:val="ListParagraph"/>
        <w:tabs>
          <w:tab w:val="left" w:pos="1440"/>
        </w:tabs>
        <w:ind w:left="1080"/>
        <w:rPr>
          <w:rFonts w:cstheme="minorHAnsi"/>
          <w:sz w:val="20"/>
          <w:szCs w:val="20"/>
          <w:lang w:val="en-GB"/>
        </w:rPr>
      </w:pPr>
    </w:p>
    <w:p w14:paraId="086F3341" w14:textId="77777777" w:rsidR="00AB5FA9" w:rsidRPr="006E56C4" w:rsidRDefault="00AB5FA9" w:rsidP="00EB743C">
      <w:pPr>
        <w:numPr>
          <w:ilvl w:val="0"/>
          <w:numId w:val="26"/>
        </w:numPr>
        <w:tabs>
          <w:tab w:val="left" w:pos="284"/>
        </w:tabs>
        <w:spacing w:line="276" w:lineRule="auto"/>
        <w:ind w:right="760"/>
        <w:rPr>
          <w:rFonts w:cstheme="minorHAnsi"/>
          <w:sz w:val="20"/>
          <w:szCs w:val="20"/>
          <w:lang w:val="en-GB"/>
        </w:rPr>
      </w:pPr>
      <w:r w:rsidRPr="006E56C4">
        <w:rPr>
          <w:rFonts w:cstheme="minorHAnsi"/>
          <w:b/>
          <w:sz w:val="20"/>
          <w:szCs w:val="20"/>
          <w:lang w:val="en-GB"/>
        </w:rPr>
        <w:t xml:space="preserve">Project and evaluation information details </w:t>
      </w:r>
      <w:r w:rsidRPr="006E56C4">
        <w:rPr>
          <w:rFonts w:cstheme="minorHAnsi"/>
          <w:sz w:val="20"/>
          <w:szCs w:val="20"/>
          <w:lang w:val="en-GB"/>
        </w:rPr>
        <w:t>to be included in all final versions of evaluation</w:t>
      </w:r>
      <w:r w:rsidRPr="006E56C4">
        <w:rPr>
          <w:rFonts w:cstheme="minorHAnsi"/>
          <w:b/>
          <w:sz w:val="20"/>
          <w:szCs w:val="20"/>
          <w:lang w:val="en-GB"/>
        </w:rPr>
        <w:t xml:space="preserve"> </w:t>
      </w:r>
      <w:r w:rsidRPr="006E56C4">
        <w:rPr>
          <w:rFonts w:cstheme="minorHAnsi"/>
          <w:sz w:val="20"/>
          <w:szCs w:val="20"/>
          <w:lang w:val="en-GB"/>
        </w:rPr>
        <w:t>reports on second page (as one page):</w:t>
      </w:r>
    </w:p>
    <w:p w14:paraId="2D0E01E8" w14:textId="77777777" w:rsidR="00AB5FA9" w:rsidRPr="006E56C4" w:rsidRDefault="00AB5FA9" w:rsidP="00AB5FA9">
      <w:pPr>
        <w:tabs>
          <w:tab w:val="left" w:pos="720"/>
        </w:tabs>
        <w:ind w:right="760"/>
        <w:rPr>
          <w:rFonts w:cstheme="minorHAnsi"/>
          <w:sz w:val="10"/>
          <w:szCs w:val="10"/>
          <w:lang w:val="en-GB"/>
        </w:rPr>
      </w:pPr>
    </w:p>
    <w:tbl>
      <w:tblPr>
        <w:tblW w:w="0" w:type="auto"/>
        <w:tblLook w:val="04A0" w:firstRow="1" w:lastRow="0" w:firstColumn="1" w:lastColumn="0" w:noHBand="0" w:noVBand="1"/>
      </w:tblPr>
      <w:tblGrid>
        <w:gridCol w:w="4957"/>
        <w:gridCol w:w="2184"/>
        <w:gridCol w:w="2209"/>
      </w:tblGrid>
      <w:tr w:rsidR="00AB5FA9" w:rsidRPr="006E56C4" w14:paraId="0026819D" w14:textId="77777777" w:rsidTr="00AB5FA9">
        <w:trPr>
          <w:trHeight w:hRule="exact" w:val="369"/>
        </w:trPr>
        <w:tc>
          <w:tcPr>
            <w:tcW w:w="9350"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tcPr>
          <w:p w14:paraId="0D6BEB17" w14:textId="77777777" w:rsidR="00AB5FA9" w:rsidRPr="006E56C4" w:rsidRDefault="00AB5FA9" w:rsidP="00AB5FA9">
            <w:pPr>
              <w:spacing w:line="276" w:lineRule="auto"/>
              <w:ind w:left="3160"/>
              <w:rPr>
                <w:rFonts w:cstheme="minorHAnsi"/>
                <w:b/>
                <w:sz w:val="20"/>
                <w:szCs w:val="20"/>
                <w:lang w:val="en-GB"/>
              </w:rPr>
            </w:pPr>
            <w:r w:rsidRPr="006E56C4">
              <w:rPr>
                <w:rFonts w:cstheme="minorHAnsi"/>
                <w:b/>
                <w:sz w:val="20"/>
                <w:szCs w:val="20"/>
                <w:lang w:val="en-GB"/>
              </w:rPr>
              <w:t>Project/outcome Information</w:t>
            </w:r>
          </w:p>
        </w:tc>
      </w:tr>
      <w:tr w:rsidR="00AB5FA9" w:rsidRPr="006E56C4" w14:paraId="5871D16D"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047169C"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Project/outcome title</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23B4FD1"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06EBF157"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17C2DE6"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Atlas ID</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33F9883A"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2B576DE5"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4964909"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Corporate outcome and output</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347C9B1D"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54944DC1"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41FB32C"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Country</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F2975AD"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36498276"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877D222"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Region</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7C54735"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588DD4F1"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3D1ECA46"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Date project document signed</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142BE5D"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153FEB86" w14:textId="77777777" w:rsidTr="00AB5FA9">
        <w:trPr>
          <w:trHeight w:hRule="exact" w:val="397"/>
        </w:trPr>
        <w:tc>
          <w:tcPr>
            <w:tcW w:w="4957"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42F159D"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Project dates</w:t>
            </w:r>
          </w:p>
        </w:tc>
        <w:tc>
          <w:tcPr>
            <w:tcW w:w="21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D5D0FBD" w14:textId="77777777" w:rsidR="00AB5FA9" w:rsidRPr="006E56C4" w:rsidRDefault="00AB5FA9" w:rsidP="00AB5FA9">
            <w:pPr>
              <w:spacing w:line="276" w:lineRule="auto"/>
              <w:ind w:right="-53"/>
              <w:jc w:val="center"/>
              <w:rPr>
                <w:rFonts w:cstheme="minorHAnsi"/>
                <w:sz w:val="20"/>
                <w:szCs w:val="20"/>
                <w:lang w:val="en-GB"/>
              </w:rPr>
            </w:pPr>
            <w:r w:rsidRPr="006E56C4">
              <w:rPr>
                <w:rFonts w:cstheme="minorHAnsi"/>
                <w:sz w:val="20"/>
                <w:szCs w:val="20"/>
                <w:lang w:val="en-GB"/>
              </w:rPr>
              <w:t>Start</w:t>
            </w:r>
          </w:p>
        </w:tc>
        <w:tc>
          <w:tcPr>
            <w:tcW w:w="22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631881F" w14:textId="77777777" w:rsidR="00AB5FA9" w:rsidRPr="006E56C4" w:rsidRDefault="00AB5FA9" w:rsidP="00AB5FA9">
            <w:pPr>
              <w:tabs>
                <w:tab w:val="left" w:pos="720"/>
              </w:tabs>
              <w:spacing w:line="276" w:lineRule="auto"/>
              <w:ind w:right="760"/>
              <w:jc w:val="center"/>
              <w:rPr>
                <w:rFonts w:cstheme="minorHAnsi"/>
                <w:sz w:val="20"/>
                <w:szCs w:val="20"/>
                <w:lang w:val="en-GB"/>
              </w:rPr>
            </w:pPr>
            <w:r w:rsidRPr="006E56C4">
              <w:rPr>
                <w:rFonts w:cstheme="minorHAnsi"/>
                <w:sz w:val="20"/>
                <w:szCs w:val="20"/>
                <w:lang w:val="en-GB"/>
              </w:rPr>
              <w:t>Planned end</w:t>
            </w:r>
          </w:p>
        </w:tc>
      </w:tr>
      <w:tr w:rsidR="00AB5FA9" w:rsidRPr="006E56C4" w14:paraId="16CD13B3" w14:textId="77777777" w:rsidTr="00AB5FA9">
        <w:trPr>
          <w:trHeight w:hRule="exact" w:val="345"/>
        </w:trPr>
        <w:tc>
          <w:tcPr>
            <w:tcW w:w="4957"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03B3A7C" w14:textId="77777777" w:rsidR="00AB5FA9" w:rsidRPr="006E56C4" w:rsidRDefault="00AB5FA9" w:rsidP="00AB5FA9">
            <w:pPr>
              <w:tabs>
                <w:tab w:val="left" w:pos="720"/>
              </w:tabs>
              <w:spacing w:line="276" w:lineRule="auto"/>
              <w:ind w:right="760"/>
              <w:rPr>
                <w:rFonts w:cstheme="minorHAnsi"/>
                <w:b/>
                <w:sz w:val="20"/>
                <w:szCs w:val="20"/>
                <w:lang w:val="en-GB"/>
              </w:rPr>
            </w:pPr>
          </w:p>
        </w:tc>
        <w:tc>
          <w:tcPr>
            <w:tcW w:w="21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B3F99D7" w14:textId="77777777" w:rsidR="00AB5FA9" w:rsidRPr="006E56C4" w:rsidRDefault="00AB5FA9" w:rsidP="00AB5FA9">
            <w:pPr>
              <w:tabs>
                <w:tab w:val="left" w:pos="720"/>
              </w:tabs>
              <w:spacing w:line="276" w:lineRule="auto"/>
              <w:ind w:right="760"/>
              <w:rPr>
                <w:rFonts w:cstheme="minorHAnsi"/>
                <w:sz w:val="20"/>
                <w:szCs w:val="20"/>
                <w:lang w:val="en-GB"/>
              </w:rPr>
            </w:pPr>
          </w:p>
        </w:tc>
        <w:tc>
          <w:tcPr>
            <w:tcW w:w="22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1FD8B13"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541C0300"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4796B8E"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Project budget</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12002E6"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127C45DE" w14:textId="77777777" w:rsidTr="00AB5FA9">
        <w:trPr>
          <w:trHeight w:hRule="exact" w:val="541"/>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51AC01D9"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Project expenditure at the time of evaluation</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4ECFBC6B"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3A3723CF"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449105D4"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Funding source</w:t>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A9967FE" w14:textId="77777777" w:rsidR="00AB5FA9" w:rsidRPr="006E56C4" w:rsidRDefault="00AB5FA9" w:rsidP="00AB5FA9">
            <w:pPr>
              <w:tabs>
                <w:tab w:val="left" w:pos="720"/>
              </w:tabs>
              <w:spacing w:line="276" w:lineRule="auto"/>
              <w:ind w:right="760"/>
              <w:rPr>
                <w:rFonts w:cstheme="minorHAnsi"/>
                <w:sz w:val="20"/>
                <w:szCs w:val="20"/>
                <w:lang w:val="en-GB"/>
              </w:rPr>
            </w:pPr>
          </w:p>
        </w:tc>
      </w:tr>
      <w:tr w:rsidR="00AB5FA9" w:rsidRPr="006E56C4" w14:paraId="3C8167D2" w14:textId="77777777" w:rsidTr="00AB5FA9">
        <w:trPr>
          <w:trHeight w:hRule="exact" w:val="397"/>
        </w:trPr>
        <w:tc>
          <w:tcPr>
            <w:tcW w:w="495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7065A04D" w14:textId="77777777" w:rsidR="00AB5FA9" w:rsidRPr="006E56C4" w:rsidRDefault="00AB5FA9" w:rsidP="00AB5FA9">
            <w:pPr>
              <w:tabs>
                <w:tab w:val="left" w:pos="720"/>
              </w:tabs>
              <w:spacing w:line="276" w:lineRule="auto"/>
              <w:ind w:right="760"/>
              <w:rPr>
                <w:rFonts w:cstheme="minorHAnsi"/>
                <w:b/>
                <w:sz w:val="20"/>
                <w:szCs w:val="20"/>
                <w:lang w:val="en-GB"/>
              </w:rPr>
            </w:pPr>
            <w:r w:rsidRPr="006E56C4">
              <w:rPr>
                <w:rFonts w:cstheme="minorHAnsi"/>
                <w:b/>
                <w:sz w:val="20"/>
                <w:szCs w:val="20"/>
                <w:lang w:val="en-GB"/>
              </w:rPr>
              <w:t>Implementing party</w:t>
            </w:r>
            <w:r w:rsidRPr="006E56C4">
              <w:rPr>
                <w:rStyle w:val="FootnoteReference"/>
                <w:rFonts w:cstheme="minorHAnsi"/>
                <w:b/>
                <w:sz w:val="20"/>
                <w:szCs w:val="20"/>
                <w:lang w:val="en-GB"/>
              </w:rPr>
              <w:footnoteReference w:id="48"/>
            </w:r>
          </w:p>
        </w:tc>
        <w:tc>
          <w:tcPr>
            <w:tcW w:w="439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05C39D97" w14:textId="77777777" w:rsidR="00AB5FA9" w:rsidRPr="006E56C4" w:rsidRDefault="00AB5FA9" w:rsidP="00AB5FA9">
            <w:pPr>
              <w:tabs>
                <w:tab w:val="left" w:pos="720"/>
              </w:tabs>
              <w:spacing w:line="276" w:lineRule="auto"/>
              <w:ind w:right="760"/>
              <w:rPr>
                <w:rFonts w:cstheme="minorHAnsi"/>
                <w:sz w:val="20"/>
                <w:szCs w:val="20"/>
                <w:lang w:val="en-GB"/>
              </w:rPr>
            </w:pPr>
          </w:p>
        </w:tc>
      </w:tr>
    </w:tbl>
    <w:p w14:paraId="4B78C572" w14:textId="77777777" w:rsidR="00AB5FA9" w:rsidRDefault="00AB5FA9" w:rsidP="00AB5FA9">
      <w:pPr>
        <w:tabs>
          <w:tab w:val="left" w:pos="720"/>
        </w:tabs>
        <w:ind w:right="760"/>
        <w:rPr>
          <w:rFonts w:cstheme="minorHAnsi"/>
          <w:sz w:val="20"/>
          <w:szCs w:val="20"/>
          <w:lang w:val="en-GB"/>
        </w:rPr>
      </w:pPr>
    </w:p>
    <w:p w14:paraId="733B7E4D" w14:textId="77777777" w:rsidR="00AB5FA9" w:rsidRPr="006E56C4" w:rsidRDefault="00AB5FA9" w:rsidP="00AB5FA9">
      <w:pPr>
        <w:tabs>
          <w:tab w:val="left" w:pos="720"/>
        </w:tabs>
        <w:ind w:right="760"/>
        <w:rPr>
          <w:rFonts w:cstheme="minorHAnsi"/>
          <w:sz w:val="20"/>
          <w:szCs w:val="20"/>
          <w:lang w:val="en-GB"/>
        </w:rPr>
      </w:pPr>
    </w:p>
    <w:tbl>
      <w:tblPr>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DBE5F1" w:themeFill="accent1" w:themeFillTint="33"/>
        <w:tblLook w:val="04A0" w:firstRow="1" w:lastRow="0" w:firstColumn="1" w:lastColumn="0" w:noHBand="0" w:noVBand="1"/>
      </w:tblPr>
      <w:tblGrid>
        <w:gridCol w:w="4673"/>
        <w:gridCol w:w="2410"/>
        <w:gridCol w:w="2267"/>
      </w:tblGrid>
      <w:tr w:rsidR="00AB5FA9" w:rsidRPr="006E56C4" w14:paraId="7F947BC0" w14:textId="77777777" w:rsidTr="00AB5FA9">
        <w:trPr>
          <w:trHeight w:hRule="exact" w:val="510"/>
        </w:trPr>
        <w:tc>
          <w:tcPr>
            <w:tcW w:w="9350" w:type="dxa"/>
            <w:gridSpan w:val="3"/>
            <w:shd w:val="clear" w:color="auto" w:fill="DBE5F1" w:themeFill="accent1" w:themeFillTint="33"/>
          </w:tcPr>
          <w:p w14:paraId="4C6952A6" w14:textId="77777777" w:rsidR="00AB5FA9" w:rsidRPr="006E56C4" w:rsidRDefault="00AB5FA9" w:rsidP="00AB5FA9">
            <w:pPr>
              <w:spacing w:line="276" w:lineRule="auto"/>
              <w:jc w:val="center"/>
              <w:rPr>
                <w:rFonts w:eastAsia="Times New Roman" w:cstheme="minorHAnsi"/>
                <w:b/>
                <w:sz w:val="20"/>
                <w:szCs w:val="20"/>
                <w:lang w:val="en-GB"/>
              </w:rPr>
            </w:pPr>
            <w:r w:rsidRPr="006E56C4">
              <w:rPr>
                <w:rFonts w:eastAsia="Times New Roman" w:cstheme="minorHAnsi"/>
                <w:b/>
                <w:sz w:val="20"/>
                <w:szCs w:val="20"/>
                <w:lang w:val="en-GB"/>
              </w:rPr>
              <w:t>Evaluation Information</w:t>
            </w:r>
          </w:p>
        </w:tc>
      </w:tr>
      <w:tr w:rsidR="00AB5FA9" w:rsidRPr="006E56C4" w14:paraId="0F108E3C" w14:textId="77777777" w:rsidTr="00AB5FA9">
        <w:trPr>
          <w:trHeight w:hRule="exact" w:val="600"/>
        </w:trPr>
        <w:tc>
          <w:tcPr>
            <w:tcW w:w="4673" w:type="dxa"/>
            <w:shd w:val="clear" w:color="auto" w:fill="DBE5F1" w:themeFill="accent1" w:themeFillTint="33"/>
          </w:tcPr>
          <w:p w14:paraId="7E5C5F98" w14:textId="77777777" w:rsidR="00AB5FA9" w:rsidRPr="006E56C4" w:rsidRDefault="00AB5FA9" w:rsidP="00AB5FA9">
            <w:pPr>
              <w:spacing w:line="276" w:lineRule="auto"/>
              <w:rPr>
                <w:rFonts w:eastAsiaTheme="minorHAnsi" w:cstheme="minorHAnsi"/>
                <w:b/>
                <w:sz w:val="20"/>
                <w:szCs w:val="20"/>
                <w:lang w:val="en-GB"/>
              </w:rPr>
            </w:pPr>
            <w:r w:rsidRPr="006E56C4">
              <w:rPr>
                <w:rFonts w:cstheme="minorHAnsi"/>
                <w:b/>
                <w:sz w:val="20"/>
                <w:szCs w:val="20"/>
                <w:lang w:val="en-GB"/>
              </w:rPr>
              <w:t>Evaluation type (project/ outcome/thematic/country programme, etc.)</w:t>
            </w:r>
          </w:p>
        </w:tc>
        <w:tc>
          <w:tcPr>
            <w:tcW w:w="2410" w:type="dxa"/>
            <w:shd w:val="clear" w:color="auto" w:fill="DBE5F1" w:themeFill="accent1" w:themeFillTint="33"/>
          </w:tcPr>
          <w:p w14:paraId="38CC4B52" w14:textId="77777777" w:rsidR="00AB5FA9" w:rsidRPr="006E56C4" w:rsidRDefault="00AB5FA9" w:rsidP="00AB5FA9">
            <w:pPr>
              <w:spacing w:line="276" w:lineRule="auto"/>
              <w:rPr>
                <w:rFonts w:eastAsia="Times New Roman" w:cstheme="minorHAnsi"/>
                <w:sz w:val="20"/>
                <w:szCs w:val="20"/>
                <w:lang w:val="en-GB"/>
              </w:rPr>
            </w:pPr>
          </w:p>
        </w:tc>
        <w:tc>
          <w:tcPr>
            <w:tcW w:w="2267" w:type="dxa"/>
            <w:shd w:val="clear" w:color="auto" w:fill="DBE5F1" w:themeFill="accent1" w:themeFillTint="33"/>
          </w:tcPr>
          <w:p w14:paraId="1072616F" w14:textId="77777777" w:rsidR="00AB5FA9" w:rsidRPr="006E56C4" w:rsidRDefault="00AB5FA9" w:rsidP="00AB5FA9">
            <w:pPr>
              <w:spacing w:line="276" w:lineRule="auto"/>
              <w:rPr>
                <w:rFonts w:eastAsia="Times New Roman" w:cstheme="minorHAnsi"/>
                <w:sz w:val="20"/>
                <w:szCs w:val="20"/>
                <w:lang w:val="en-GB"/>
              </w:rPr>
            </w:pPr>
          </w:p>
        </w:tc>
      </w:tr>
      <w:tr w:rsidR="00AB5FA9" w:rsidRPr="006E56C4" w14:paraId="7BB9518D" w14:textId="77777777" w:rsidTr="00AB5FA9">
        <w:trPr>
          <w:trHeight w:hRule="exact" w:val="510"/>
        </w:trPr>
        <w:tc>
          <w:tcPr>
            <w:tcW w:w="4673" w:type="dxa"/>
            <w:shd w:val="clear" w:color="auto" w:fill="DBE5F1" w:themeFill="accent1" w:themeFillTint="33"/>
          </w:tcPr>
          <w:p w14:paraId="092D3C09" w14:textId="77777777" w:rsidR="00AB5FA9" w:rsidRPr="006E56C4" w:rsidRDefault="00AB5FA9" w:rsidP="00AB5FA9">
            <w:pPr>
              <w:spacing w:line="276" w:lineRule="auto"/>
              <w:rPr>
                <w:rFonts w:eastAsiaTheme="minorHAnsi" w:cstheme="minorHAnsi"/>
                <w:b/>
                <w:sz w:val="20"/>
                <w:szCs w:val="20"/>
                <w:lang w:val="en-GB"/>
              </w:rPr>
            </w:pPr>
            <w:r w:rsidRPr="006E56C4">
              <w:rPr>
                <w:rFonts w:eastAsiaTheme="minorHAnsi" w:cstheme="minorHAnsi"/>
                <w:b/>
                <w:sz w:val="20"/>
                <w:szCs w:val="20"/>
                <w:lang w:val="en-GB"/>
              </w:rPr>
              <w:t>Final/midterm review/other</w:t>
            </w:r>
          </w:p>
        </w:tc>
        <w:tc>
          <w:tcPr>
            <w:tcW w:w="2410" w:type="dxa"/>
            <w:shd w:val="clear" w:color="auto" w:fill="DBE5F1" w:themeFill="accent1" w:themeFillTint="33"/>
          </w:tcPr>
          <w:p w14:paraId="2764ED81" w14:textId="77777777" w:rsidR="00AB5FA9" w:rsidRPr="006E56C4" w:rsidRDefault="00AB5FA9" w:rsidP="00AB5FA9">
            <w:pPr>
              <w:spacing w:line="276" w:lineRule="auto"/>
              <w:rPr>
                <w:rFonts w:eastAsia="Times New Roman" w:cstheme="minorHAnsi"/>
                <w:sz w:val="20"/>
                <w:szCs w:val="20"/>
                <w:lang w:val="en-GB"/>
              </w:rPr>
            </w:pPr>
          </w:p>
        </w:tc>
        <w:tc>
          <w:tcPr>
            <w:tcW w:w="2267" w:type="dxa"/>
            <w:shd w:val="clear" w:color="auto" w:fill="DBE5F1" w:themeFill="accent1" w:themeFillTint="33"/>
          </w:tcPr>
          <w:p w14:paraId="65F8253C" w14:textId="77777777" w:rsidR="00AB5FA9" w:rsidRPr="006E56C4" w:rsidRDefault="00AB5FA9" w:rsidP="00AB5FA9">
            <w:pPr>
              <w:spacing w:line="276" w:lineRule="auto"/>
              <w:rPr>
                <w:rFonts w:eastAsia="Times New Roman" w:cstheme="minorHAnsi"/>
                <w:sz w:val="20"/>
                <w:szCs w:val="20"/>
                <w:lang w:val="en-GB"/>
              </w:rPr>
            </w:pPr>
          </w:p>
        </w:tc>
      </w:tr>
      <w:tr w:rsidR="00AB5FA9" w:rsidRPr="006E56C4" w14:paraId="5FBCB792" w14:textId="77777777" w:rsidTr="00AB5FA9">
        <w:trPr>
          <w:trHeight w:hRule="exact" w:val="333"/>
        </w:trPr>
        <w:tc>
          <w:tcPr>
            <w:tcW w:w="4673" w:type="dxa"/>
            <w:vMerge w:val="restart"/>
            <w:shd w:val="clear" w:color="auto" w:fill="DBE5F1" w:themeFill="accent1" w:themeFillTint="33"/>
          </w:tcPr>
          <w:p w14:paraId="0F7A7780" w14:textId="77777777" w:rsidR="00AB5FA9" w:rsidRPr="006E56C4" w:rsidRDefault="00AB5FA9" w:rsidP="00AB5FA9">
            <w:pPr>
              <w:spacing w:line="276" w:lineRule="auto"/>
              <w:rPr>
                <w:rFonts w:eastAsiaTheme="minorHAnsi" w:cstheme="minorHAnsi"/>
                <w:b/>
                <w:sz w:val="20"/>
                <w:szCs w:val="20"/>
                <w:lang w:val="en-GB"/>
              </w:rPr>
            </w:pPr>
            <w:r w:rsidRPr="006E56C4">
              <w:rPr>
                <w:rFonts w:cstheme="minorHAnsi"/>
                <w:b/>
                <w:sz w:val="20"/>
                <w:szCs w:val="20"/>
                <w:lang w:val="en-GB"/>
              </w:rPr>
              <w:lastRenderedPageBreak/>
              <w:t>Period under evaluation</w:t>
            </w:r>
          </w:p>
        </w:tc>
        <w:tc>
          <w:tcPr>
            <w:tcW w:w="2410" w:type="dxa"/>
            <w:shd w:val="clear" w:color="auto" w:fill="DBE5F1" w:themeFill="accent1" w:themeFillTint="33"/>
          </w:tcPr>
          <w:p w14:paraId="684724EA" w14:textId="77777777" w:rsidR="00AB5FA9" w:rsidRPr="006E56C4" w:rsidRDefault="00AB5FA9" w:rsidP="00AB5FA9">
            <w:pPr>
              <w:spacing w:line="276" w:lineRule="auto"/>
              <w:jc w:val="center"/>
              <w:rPr>
                <w:rFonts w:eastAsia="Times New Roman" w:cstheme="minorHAnsi"/>
                <w:sz w:val="20"/>
                <w:szCs w:val="20"/>
                <w:lang w:val="en-GB"/>
              </w:rPr>
            </w:pPr>
            <w:r w:rsidRPr="006E56C4">
              <w:rPr>
                <w:rFonts w:cstheme="minorHAnsi"/>
                <w:sz w:val="20"/>
                <w:szCs w:val="20"/>
                <w:lang w:val="en-GB"/>
              </w:rPr>
              <w:t>Start</w:t>
            </w:r>
          </w:p>
        </w:tc>
        <w:tc>
          <w:tcPr>
            <w:tcW w:w="2267" w:type="dxa"/>
            <w:shd w:val="clear" w:color="auto" w:fill="DBE5F1" w:themeFill="accent1" w:themeFillTint="33"/>
          </w:tcPr>
          <w:p w14:paraId="0C6026C9" w14:textId="77777777" w:rsidR="00AB5FA9" w:rsidRPr="006E56C4" w:rsidRDefault="00AB5FA9" w:rsidP="00AB5FA9">
            <w:pPr>
              <w:spacing w:line="276" w:lineRule="auto"/>
              <w:jc w:val="center"/>
              <w:rPr>
                <w:rFonts w:eastAsiaTheme="minorHAnsi" w:cstheme="minorHAnsi"/>
                <w:sz w:val="20"/>
                <w:szCs w:val="20"/>
                <w:lang w:val="en-GB"/>
              </w:rPr>
            </w:pPr>
            <w:r w:rsidRPr="006E56C4">
              <w:rPr>
                <w:rFonts w:cstheme="minorHAnsi"/>
                <w:sz w:val="20"/>
                <w:szCs w:val="20"/>
                <w:lang w:val="en-GB"/>
              </w:rPr>
              <w:t>End</w:t>
            </w:r>
          </w:p>
        </w:tc>
      </w:tr>
      <w:tr w:rsidR="00AB5FA9" w:rsidRPr="006E56C4" w14:paraId="5EC98D08" w14:textId="77777777" w:rsidTr="00AB5FA9">
        <w:trPr>
          <w:trHeight w:hRule="exact" w:val="335"/>
        </w:trPr>
        <w:tc>
          <w:tcPr>
            <w:tcW w:w="4673" w:type="dxa"/>
            <w:vMerge/>
            <w:shd w:val="clear" w:color="auto" w:fill="DBE5F1" w:themeFill="accent1" w:themeFillTint="33"/>
          </w:tcPr>
          <w:p w14:paraId="65DB51F9" w14:textId="77777777" w:rsidR="00AB5FA9" w:rsidRPr="006E56C4" w:rsidRDefault="00AB5FA9" w:rsidP="00AB5FA9">
            <w:pPr>
              <w:spacing w:line="276" w:lineRule="auto"/>
              <w:rPr>
                <w:rFonts w:eastAsiaTheme="minorHAnsi" w:cstheme="minorHAnsi"/>
                <w:b/>
                <w:sz w:val="20"/>
                <w:szCs w:val="20"/>
                <w:lang w:val="en-GB"/>
              </w:rPr>
            </w:pPr>
          </w:p>
        </w:tc>
        <w:tc>
          <w:tcPr>
            <w:tcW w:w="2410" w:type="dxa"/>
            <w:shd w:val="clear" w:color="auto" w:fill="DBE5F1" w:themeFill="accent1" w:themeFillTint="33"/>
          </w:tcPr>
          <w:p w14:paraId="29E4B9EA" w14:textId="77777777" w:rsidR="00AB5FA9" w:rsidRPr="006E56C4" w:rsidRDefault="00AB5FA9" w:rsidP="00AB5FA9">
            <w:pPr>
              <w:spacing w:line="276" w:lineRule="auto"/>
              <w:jc w:val="center"/>
              <w:rPr>
                <w:rFonts w:eastAsia="Times New Roman" w:cstheme="minorHAnsi"/>
                <w:sz w:val="20"/>
                <w:szCs w:val="20"/>
                <w:lang w:val="en-GB"/>
              </w:rPr>
            </w:pPr>
          </w:p>
        </w:tc>
        <w:tc>
          <w:tcPr>
            <w:tcW w:w="2267" w:type="dxa"/>
            <w:shd w:val="clear" w:color="auto" w:fill="DBE5F1" w:themeFill="accent1" w:themeFillTint="33"/>
          </w:tcPr>
          <w:p w14:paraId="46BD1488" w14:textId="77777777" w:rsidR="00AB5FA9" w:rsidRPr="006E56C4" w:rsidRDefault="00AB5FA9" w:rsidP="00AB5FA9">
            <w:pPr>
              <w:spacing w:line="276" w:lineRule="auto"/>
              <w:jc w:val="center"/>
              <w:rPr>
                <w:rFonts w:eastAsiaTheme="minorHAnsi" w:cstheme="minorHAnsi"/>
                <w:sz w:val="20"/>
                <w:szCs w:val="20"/>
                <w:lang w:val="en-GB"/>
              </w:rPr>
            </w:pPr>
          </w:p>
        </w:tc>
      </w:tr>
      <w:tr w:rsidR="00AB5FA9" w:rsidRPr="006E56C4" w14:paraId="480535F9" w14:textId="77777777" w:rsidTr="00AB5FA9">
        <w:trPr>
          <w:trHeight w:hRule="exact" w:val="510"/>
        </w:trPr>
        <w:tc>
          <w:tcPr>
            <w:tcW w:w="4673" w:type="dxa"/>
            <w:shd w:val="clear" w:color="auto" w:fill="DBE5F1" w:themeFill="accent1" w:themeFillTint="33"/>
          </w:tcPr>
          <w:p w14:paraId="75344DC2" w14:textId="77777777" w:rsidR="00AB5FA9" w:rsidRPr="006E56C4" w:rsidRDefault="00AB5FA9" w:rsidP="00AB5FA9">
            <w:pPr>
              <w:spacing w:line="276" w:lineRule="auto"/>
              <w:rPr>
                <w:rFonts w:eastAsiaTheme="minorHAnsi" w:cstheme="minorHAnsi"/>
                <w:b/>
                <w:sz w:val="20"/>
                <w:szCs w:val="20"/>
                <w:lang w:val="en-GB"/>
              </w:rPr>
            </w:pPr>
            <w:r w:rsidRPr="006E56C4">
              <w:rPr>
                <w:rFonts w:cstheme="minorHAnsi"/>
                <w:b/>
                <w:sz w:val="20"/>
                <w:szCs w:val="20"/>
                <w:lang w:val="en-GB"/>
              </w:rPr>
              <w:t>Evaluators</w:t>
            </w:r>
          </w:p>
        </w:tc>
        <w:tc>
          <w:tcPr>
            <w:tcW w:w="2410" w:type="dxa"/>
            <w:shd w:val="clear" w:color="auto" w:fill="DBE5F1" w:themeFill="accent1" w:themeFillTint="33"/>
          </w:tcPr>
          <w:p w14:paraId="72981438" w14:textId="77777777" w:rsidR="00AB5FA9" w:rsidRPr="006E56C4" w:rsidRDefault="00AB5FA9" w:rsidP="00AB5FA9">
            <w:pPr>
              <w:spacing w:line="276" w:lineRule="auto"/>
              <w:jc w:val="center"/>
              <w:rPr>
                <w:rFonts w:eastAsia="Times New Roman" w:cstheme="minorHAnsi"/>
                <w:sz w:val="20"/>
                <w:szCs w:val="20"/>
                <w:lang w:val="en-GB"/>
              </w:rPr>
            </w:pPr>
          </w:p>
        </w:tc>
        <w:tc>
          <w:tcPr>
            <w:tcW w:w="2267" w:type="dxa"/>
            <w:shd w:val="clear" w:color="auto" w:fill="DBE5F1" w:themeFill="accent1" w:themeFillTint="33"/>
          </w:tcPr>
          <w:p w14:paraId="4F4C9537" w14:textId="77777777" w:rsidR="00AB5FA9" w:rsidRPr="006E56C4" w:rsidRDefault="00AB5FA9" w:rsidP="00AB5FA9">
            <w:pPr>
              <w:spacing w:line="276" w:lineRule="auto"/>
              <w:jc w:val="center"/>
              <w:rPr>
                <w:rFonts w:eastAsiaTheme="minorHAnsi" w:cstheme="minorHAnsi"/>
                <w:sz w:val="20"/>
                <w:szCs w:val="20"/>
                <w:lang w:val="en-GB"/>
              </w:rPr>
            </w:pPr>
          </w:p>
        </w:tc>
      </w:tr>
      <w:tr w:rsidR="00AB5FA9" w:rsidRPr="006E56C4" w14:paraId="3DD4381F" w14:textId="77777777" w:rsidTr="00AB5FA9">
        <w:trPr>
          <w:trHeight w:hRule="exact" w:val="510"/>
        </w:trPr>
        <w:tc>
          <w:tcPr>
            <w:tcW w:w="4673" w:type="dxa"/>
            <w:shd w:val="clear" w:color="auto" w:fill="DBE5F1" w:themeFill="accent1" w:themeFillTint="33"/>
          </w:tcPr>
          <w:p w14:paraId="0AF466E1" w14:textId="77777777" w:rsidR="00AB5FA9" w:rsidRPr="006E56C4" w:rsidRDefault="00AB5FA9" w:rsidP="00AB5FA9">
            <w:pPr>
              <w:spacing w:line="276" w:lineRule="auto"/>
              <w:rPr>
                <w:rFonts w:eastAsiaTheme="minorHAnsi" w:cstheme="minorHAnsi"/>
                <w:b/>
                <w:sz w:val="20"/>
                <w:szCs w:val="20"/>
                <w:lang w:val="en-GB"/>
              </w:rPr>
            </w:pPr>
            <w:r w:rsidRPr="006E56C4">
              <w:rPr>
                <w:rFonts w:cstheme="minorHAnsi"/>
                <w:b/>
                <w:sz w:val="20"/>
                <w:szCs w:val="20"/>
                <w:lang w:val="en-GB"/>
              </w:rPr>
              <w:t>Evaluator email address</w:t>
            </w:r>
          </w:p>
        </w:tc>
        <w:tc>
          <w:tcPr>
            <w:tcW w:w="2410" w:type="dxa"/>
            <w:shd w:val="clear" w:color="auto" w:fill="DBE5F1" w:themeFill="accent1" w:themeFillTint="33"/>
          </w:tcPr>
          <w:p w14:paraId="5D1B7BE9" w14:textId="77777777" w:rsidR="00AB5FA9" w:rsidRPr="006E56C4" w:rsidRDefault="00AB5FA9" w:rsidP="00AB5FA9">
            <w:pPr>
              <w:spacing w:line="276" w:lineRule="auto"/>
              <w:jc w:val="center"/>
              <w:rPr>
                <w:rFonts w:eastAsia="Times New Roman" w:cstheme="minorHAnsi"/>
                <w:sz w:val="20"/>
                <w:szCs w:val="20"/>
                <w:lang w:val="en-GB"/>
              </w:rPr>
            </w:pPr>
          </w:p>
        </w:tc>
        <w:tc>
          <w:tcPr>
            <w:tcW w:w="2267" w:type="dxa"/>
            <w:shd w:val="clear" w:color="auto" w:fill="DBE5F1" w:themeFill="accent1" w:themeFillTint="33"/>
          </w:tcPr>
          <w:p w14:paraId="026D8000" w14:textId="77777777" w:rsidR="00AB5FA9" w:rsidRPr="006E56C4" w:rsidRDefault="00AB5FA9" w:rsidP="00AB5FA9">
            <w:pPr>
              <w:spacing w:line="276" w:lineRule="auto"/>
              <w:jc w:val="center"/>
              <w:rPr>
                <w:rFonts w:eastAsiaTheme="minorHAnsi" w:cstheme="minorHAnsi"/>
                <w:sz w:val="20"/>
                <w:szCs w:val="20"/>
                <w:lang w:val="en-GB"/>
              </w:rPr>
            </w:pPr>
          </w:p>
        </w:tc>
      </w:tr>
      <w:tr w:rsidR="00AB5FA9" w:rsidRPr="006E56C4" w14:paraId="70ED909C" w14:textId="77777777" w:rsidTr="00AB5FA9">
        <w:trPr>
          <w:trHeight w:hRule="exact" w:val="317"/>
        </w:trPr>
        <w:tc>
          <w:tcPr>
            <w:tcW w:w="4673" w:type="dxa"/>
            <w:vMerge w:val="restart"/>
            <w:shd w:val="clear" w:color="auto" w:fill="DBE5F1" w:themeFill="accent1" w:themeFillTint="33"/>
          </w:tcPr>
          <w:p w14:paraId="1179D8FB" w14:textId="77777777" w:rsidR="00AB5FA9" w:rsidRPr="006E56C4" w:rsidRDefault="00AB5FA9" w:rsidP="00AB5FA9">
            <w:pPr>
              <w:spacing w:line="276" w:lineRule="auto"/>
              <w:rPr>
                <w:rFonts w:eastAsiaTheme="minorHAnsi" w:cstheme="minorHAnsi"/>
                <w:b/>
                <w:sz w:val="20"/>
                <w:szCs w:val="20"/>
                <w:lang w:val="en-GB"/>
              </w:rPr>
            </w:pPr>
            <w:r w:rsidRPr="006E56C4">
              <w:rPr>
                <w:rFonts w:cstheme="minorHAnsi"/>
                <w:b/>
                <w:sz w:val="20"/>
                <w:szCs w:val="20"/>
                <w:lang w:val="en-GB"/>
              </w:rPr>
              <w:t>Evaluation dates</w:t>
            </w:r>
          </w:p>
        </w:tc>
        <w:tc>
          <w:tcPr>
            <w:tcW w:w="2410" w:type="dxa"/>
            <w:shd w:val="clear" w:color="auto" w:fill="DBE5F1" w:themeFill="accent1" w:themeFillTint="33"/>
          </w:tcPr>
          <w:p w14:paraId="0A85C5E4" w14:textId="77777777" w:rsidR="00AB5FA9" w:rsidRPr="006E56C4" w:rsidRDefault="00AB5FA9" w:rsidP="00AB5FA9">
            <w:pPr>
              <w:spacing w:line="276" w:lineRule="auto"/>
              <w:jc w:val="center"/>
              <w:rPr>
                <w:rFonts w:eastAsia="Times New Roman" w:cstheme="minorHAnsi"/>
                <w:sz w:val="20"/>
                <w:szCs w:val="20"/>
                <w:lang w:val="en-GB"/>
              </w:rPr>
            </w:pPr>
            <w:r w:rsidRPr="006E56C4">
              <w:rPr>
                <w:rFonts w:cstheme="minorHAnsi"/>
                <w:sz w:val="20"/>
                <w:szCs w:val="20"/>
                <w:lang w:val="en-GB"/>
              </w:rPr>
              <w:t>Start</w:t>
            </w:r>
          </w:p>
        </w:tc>
        <w:tc>
          <w:tcPr>
            <w:tcW w:w="2267" w:type="dxa"/>
            <w:shd w:val="clear" w:color="auto" w:fill="DBE5F1" w:themeFill="accent1" w:themeFillTint="33"/>
          </w:tcPr>
          <w:p w14:paraId="490571DA" w14:textId="77777777" w:rsidR="00AB5FA9" w:rsidRPr="006E56C4" w:rsidRDefault="00AB5FA9" w:rsidP="00AB5FA9">
            <w:pPr>
              <w:spacing w:line="276" w:lineRule="auto"/>
              <w:jc w:val="center"/>
              <w:rPr>
                <w:rFonts w:eastAsiaTheme="minorHAnsi" w:cstheme="minorHAnsi"/>
                <w:sz w:val="20"/>
                <w:szCs w:val="20"/>
                <w:lang w:val="en-GB"/>
              </w:rPr>
            </w:pPr>
            <w:r w:rsidRPr="006E56C4">
              <w:rPr>
                <w:rFonts w:cstheme="minorHAnsi"/>
                <w:sz w:val="20"/>
                <w:szCs w:val="20"/>
                <w:lang w:val="en-GB"/>
              </w:rPr>
              <w:t>Completion</w:t>
            </w:r>
          </w:p>
        </w:tc>
      </w:tr>
      <w:tr w:rsidR="00AB5FA9" w:rsidRPr="006E56C4" w14:paraId="760094EC" w14:textId="77777777" w:rsidTr="00AB5FA9">
        <w:trPr>
          <w:trHeight w:hRule="exact" w:val="510"/>
        </w:trPr>
        <w:tc>
          <w:tcPr>
            <w:tcW w:w="4673" w:type="dxa"/>
            <w:vMerge/>
            <w:shd w:val="clear" w:color="auto" w:fill="DBE5F1" w:themeFill="accent1" w:themeFillTint="33"/>
          </w:tcPr>
          <w:p w14:paraId="64D19766" w14:textId="77777777" w:rsidR="00AB5FA9" w:rsidRPr="006E56C4" w:rsidRDefault="00AB5FA9" w:rsidP="00AB5FA9">
            <w:pPr>
              <w:spacing w:line="276" w:lineRule="auto"/>
              <w:rPr>
                <w:rFonts w:eastAsia="Times New Roman" w:cstheme="minorHAnsi"/>
                <w:sz w:val="20"/>
                <w:szCs w:val="20"/>
                <w:lang w:val="en-GB"/>
              </w:rPr>
            </w:pPr>
          </w:p>
        </w:tc>
        <w:tc>
          <w:tcPr>
            <w:tcW w:w="2410" w:type="dxa"/>
            <w:shd w:val="clear" w:color="auto" w:fill="DBE5F1" w:themeFill="accent1" w:themeFillTint="33"/>
          </w:tcPr>
          <w:p w14:paraId="57A9FF17" w14:textId="77777777" w:rsidR="00AB5FA9" w:rsidRPr="006E56C4" w:rsidRDefault="00AB5FA9" w:rsidP="00AB5FA9">
            <w:pPr>
              <w:spacing w:line="276" w:lineRule="auto"/>
              <w:jc w:val="center"/>
              <w:rPr>
                <w:rFonts w:eastAsia="Times New Roman" w:cstheme="minorHAnsi"/>
                <w:sz w:val="20"/>
                <w:szCs w:val="20"/>
                <w:lang w:val="en-GB"/>
              </w:rPr>
            </w:pPr>
          </w:p>
        </w:tc>
        <w:tc>
          <w:tcPr>
            <w:tcW w:w="2267" w:type="dxa"/>
            <w:shd w:val="clear" w:color="auto" w:fill="DBE5F1" w:themeFill="accent1" w:themeFillTint="33"/>
          </w:tcPr>
          <w:p w14:paraId="2FAC09CC" w14:textId="77777777" w:rsidR="00AB5FA9" w:rsidRPr="006E56C4" w:rsidRDefault="00AB5FA9" w:rsidP="00AB5FA9">
            <w:pPr>
              <w:spacing w:line="276" w:lineRule="auto"/>
              <w:jc w:val="center"/>
              <w:rPr>
                <w:rFonts w:eastAsia="Times New Roman" w:cstheme="minorHAnsi"/>
                <w:sz w:val="20"/>
                <w:szCs w:val="20"/>
                <w:lang w:val="en-GB"/>
              </w:rPr>
            </w:pPr>
          </w:p>
        </w:tc>
      </w:tr>
    </w:tbl>
    <w:p w14:paraId="0F5E1C52" w14:textId="77777777" w:rsidR="00AB5FA9" w:rsidRPr="006E56C4" w:rsidRDefault="00AB5FA9" w:rsidP="00EB743C">
      <w:pPr>
        <w:numPr>
          <w:ilvl w:val="0"/>
          <w:numId w:val="27"/>
        </w:numPr>
        <w:tabs>
          <w:tab w:val="left" w:pos="284"/>
        </w:tabs>
        <w:spacing w:before="240" w:line="276" w:lineRule="auto"/>
        <w:ind w:left="142" w:hanging="284"/>
        <w:rPr>
          <w:rFonts w:cstheme="minorHAnsi"/>
          <w:sz w:val="20"/>
          <w:szCs w:val="20"/>
          <w:lang w:val="en-GB"/>
        </w:rPr>
      </w:pPr>
      <w:r w:rsidRPr="006E56C4">
        <w:rPr>
          <w:rFonts w:cstheme="minorHAnsi"/>
          <w:b/>
          <w:sz w:val="20"/>
          <w:szCs w:val="20"/>
          <w:lang w:val="en-GB"/>
        </w:rPr>
        <w:t xml:space="preserve">Table of contents, </w:t>
      </w:r>
      <w:r w:rsidRPr="006E56C4">
        <w:rPr>
          <w:rFonts w:cstheme="minorHAnsi"/>
          <w:sz w:val="20"/>
          <w:szCs w:val="20"/>
          <w:lang w:val="en-GB"/>
        </w:rPr>
        <w:t>including boxes, figures, tables and annexes with page references.</w:t>
      </w:r>
    </w:p>
    <w:p w14:paraId="28712F8F" w14:textId="77777777" w:rsidR="00AB5FA9" w:rsidRPr="006E56C4" w:rsidRDefault="00AB5FA9" w:rsidP="00EB743C">
      <w:pPr>
        <w:numPr>
          <w:ilvl w:val="0"/>
          <w:numId w:val="27"/>
        </w:numPr>
        <w:tabs>
          <w:tab w:val="left" w:pos="142"/>
        </w:tabs>
        <w:spacing w:before="240" w:line="276" w:lineRule="auto"/>
        <w:ind w:left="567" w:hanging="720"/>
        <w:rPr>
          <w:rFonts w:cstheme="minorHAnsi"/>
          <w:sz w:val="20"/>
          <w:szCs w:val="20"/>
          <w:lang w:val="en-GB"/>
        </w:rPr>
      </w:pPr>
      <w:r w:rsidRPr="006E56C4">
        <w:rPr>
          <w:rFonts w:cstheme="minorHAnsi"/>
          <w:b/>
          <w:sz w:val="20"/>
          <w:szCs w:val="20"/>
          <w:lang w:val="en-GB"/>
        </w:rPr>
        <w:t>List of acronyms and abbreviations.</w:t>
      </w:r>
    </w:p>
    <w:p w14:paraId="193A5C84" w14:textId="77777777" w:rsidR="00AB5FA9" w:rsidRPr="006E56C4" w:rsidRDefault="00AB5FA9" w:rsidP="00EB743C">
      <w:pPr>
        <w:numPr>
          <w:ilvl w:val="0"/>
          <w:numId w:val="27"/>
        </w:numPr>
        <w:tabs>
          <w:tab w:val="left" w:pos="142"/>
        </w:tabs>
        <w:spacing w:before="240" w:line="276" w:lineRule="auto"/>
        <w:ind w:left="567" w:right="760" w:hanging="720"/>
        <w:rPr>
          <w:rFonts w:cstheme="minorHAnsi"/>
          <w:sz w:val="20"/>
          <w:szCs w:val="20"/>
          <w:lang w:val="en-GB"/>
        </w:rPr>
      </w:pPr>
      <w:r w:rsidRPr="006E56C4">
        <w:rPr>
          <w:rFonts w:cstheme="minorHAnsi"/>
          <w:b/>
          <w:sz w:val="20"/>
          <w:szCs w:val="20"/>
          <w:lang w:val="en-GB"/>
        </w:rPr>
        <w:t xml:space="preserve">Executive summary (four-page maximum). </w:t>
      </w:r>
      <w:r w:rsidRPr="006E56C4">
        <w:rPr>
          <w:rFonts w:cstheme="minorHAnsi"/>
          <w:sz w:val="20"/>
          <w:szCs w:val="20"/>
          <w:lang w:val="en-GB"/>
        </w:rPr>
        <w:t>A stand-alone section of two to three pages that</w:t>
      </w:r>
      <w:r w:rsidRPr="006E56C4">
        <w:rPr>
          <w:rFonts w:cstheme="minorHAnsi"/>
          <w:b/>
          <w:sz w:val="20"/>
          <w:szCs w:val="20"/>
          <w:lang w:val="en-GB"/>
        </w:rPr>
        <w:t xml:space="preserve"> </w:t>
      </w:r>
      <w:r w:rsidRPr="006E56C4">
        <w:rPr>
          <w:rFonts w:cstheme="minorHAnsi"/>
          <w:sz w:val="20"/>
          <w:szCs w:val="20"/>
          <w:lang w:val="en-GB"/>
        </w:rPr>
        <w:t>should:</w:t>
      </w:r>
    </w:p>
    <w:p w14:paraId="6EFBE614" w14:textId="77777777" w:rsidR="00AB5FA9" w:rsidRPr="006E56C4" w:rsidRDefault="00AB5FA9" w:rsidP="00EB743C">
      <w:pPr>
        <w:pStyle w:val="ListParagraph"/>
        <w:numPr>
          <w:ilvl w:val="0"/>
          <w:numId w:val="28"/>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Briefly describe the intervention of the evaluation (the project(s), programme(s), policies or other intervention) that was evaluated.</w:t>
      </w:r>
    </w:p>
    <w:p w14:paraId="50B67AF6" w14:textId="77777777" w:rsidR="00AB5FA9" w:rsidRPr="006E56C4" w:rsidRDefault="00AB5FA9" w:rsidP="00EB743C">
      <w:pPr>
        <w:pStyle w:val="ListParagraph"/>
        <w:numPr>
          <w:ilvl w:val="0"/>
          <w:numId w:val="28"/>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Explain the purpose and objectives of the evaluation, including the audience for the evaluation and the intended uses.</w:t>
      </w:r>
    </w:p>
    <w:p w14:paraId="03980637" w14:textId="77777777" w:rsidR="00AB5FA9" w:rsidRPr="006E56C4" w:rsidRDefault="00AB5FA9" w:rsidP="00EB743C">
      <w:pPr>
        <w:pStyle w:val="ListParagraph"/>
        <w:numPr>
          <w:ilvl w:val="0"/>
          <w:numId w:val="28"/>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Describe key aspect of the evaluation approach and methods.</w:t>
      </w:r>
    </w:p>
    <w:p w14:paraId="7A330D18" w14:textId="77777777" w:rsidR="00AB5FA9" w:rsidRPr="006E56C4" w:rsidRDefault="00AB5FA9" w:rsidP="00EB743C">
      <w:pPr>
        <w:pStyle w:val="ListParagraph"/>
        <w:numPr>
          <w:ilvl w:val="0"/>
          <w:numId w:val="28"/>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Summarize principle findings, conclusions and recommendations.</w:t>
      </w:r>
    </w:p>
    <w:p w14:paraId="138A5CDD" w14:textId="77777777" w:rsidR="00AB5FA9" w:rsidRPr="006E56C4" w:rsidRDefault="00AB5FA9" w:rsidP="00EB743C">
      <w:pPr>
        <w:pStyle w:val="ListParagraph"/>
        <w:numPr>
          <w:ilvl w:val="0"/>
          <w:numId w:val="28"/>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Include the evaluators’ quality standards and assurance ratings.</w:t>
      </w:r>
    </w:p>
    <w:p w14:paraId="3E19499A" w14:textId="77777777" w:rsidR="00AB5FA9" w:rsidRPr="006E56C4" w:rsidRDefault="00AB5FA9" w:rsidP="00AB5FA9">
      <w:pPr>
        <w:pStyle w:val="ListParagraph"/>
        <w:tabs>
          <w:tab w:val="left" w:pos="720"/>
        </w:tabs>
        <w:ind w:left="426" w:right="760" w:hanging="142"/>
        <w:rPr>
          <w:rFonts w:cstheme="minorHAnsi"/>
          <w:sz w:val="20"/>
          <w:szCs w:val="20"/>
          <w:lang w:val="en-GB"/>
        </w:rPr>
      </w:pPr>
    </w:p>
    <w:p w14:paraId="6B295F13" w14:textId="77777777" w:rsidR="00AB5FA9" w:rsidRPr="006E56C4" w:rsidRDefault="00AB5FA9" w:rsidP="00EB743C">
      <w:pPr>
        <w:numPr>
          <w:ilvl w:val="0"/>
          <w:numId w:val="27"/>
        </w:numPr>
        <w:tabs>
          <w:tab w:val="left" w:pos="284"/>
        </w:tabs>
        <w:spacing w:line="276" w:lineRule="auto"/>
        <w:ind w:left="1440" w:hanging="720"/>
        <w:rPr>
          <w:rFonts w:cstheme="minorHAnsi"/>
          <w:sz w:val="20"/>
          <w:szCs w:val="20"/>
          <w:lang w:val="en-GB"/>
        </w:rPr>
      </w:pPr>
      <w:r w:rsidRPr="006E56C4">
        <w:rPr>
          <w:rFonts w:cstheme="minorHAnsi"/>
          <w:b/>
          <w:sz w:val="20"/>
          <w:szCs w:val="20"/>
          <w:lang w:val="en-GB"/>
        </w:rPr>
        <w:t>Introduction</w:t>
      </w:r>
    </w:p>
    <w:p w14:paraId="2D315CB5" w14:textId="77777777" w:rsidR="00AB5FA9" w:rsidRPr="006E56C4" w:rsidRDefault="00AB5FA9" w:rsidP="00EB743C">
      <w:pPr>
        <w:pStyle w:val="ListParagraph"/>
        <w:numPr>
          <w:ilvl w:val="0"/>
          <w:numId w:val="29"/>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Explain why the evaluation was conducted (the purpose), why the intervention is being evaluated at this point in time, and why it addressed the questions it did.</w:t>
      </w:r>
    </w:p>
    <w:p w14:paraId="59BE4885" w14:textId="77777777" w:rsidR="00AB5FA9" w:rsidRPr="006E56C4" w:rsidRDefault="00AB5FA9" w:rsidP="00EB743C">
      <w:pPr>
        <w:pStyle w:val="ListParagraph"/>
        <w:numPr>
          <w:ilvl w:val="0"/>
          <w:numId w:val="29"/>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Identify the primary audience or users of the evaluation, what they wanted to learn from the evaluation and why, and how they are expected to use the evaluation results.</w:t>
      </w:r>
    </w:p>
    <w:p w14:paraId="73F0FC11" w14:textId="77777777" w:rsidR="00AB5FA9" w:rsidRPr="006E56C4" w:rsidRDefault="00AB5FA9" w:rsidP="00EB743C">
      <w:pPr>
        <w:pStyle w:val="ListParagraph"/>
        <w:numPr>
          <w:ilvl w:val="0"/>
          <w:numId w:val="29"/>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Identify the intervention of the evaluation (the project(s) programme(s) policies or other intervention—see upcoming section on intervention).</w:t>
      </w:r>
    </w:p>
    <w:p w14:paraId="7F030BA3" w14:textId="77777777" w:rsidR="00AB5FA9" w:rsidRPr="006E56C4" w:rsidRDefault="00AB5FA9" w:rsidP="00EB743C">
      <w:pPr>
        <w:pStyle w:val="ListParagraph"/>
        <w:numPr>
          <w:ilvl w:val="0"/>
          <w:numId w:val="29"/>
        </w:numPr>
        <w:tabs>
          <w:tab w:val="left" w:pos="720"/>
        </w:tabs>
        <w:spacing w:line="276" w:lineRule="auto"/>
        <w:ind w:left="426" w:right="760" w:hanging="142"/>
        <w:rPr>
          <w:rFonts w:cstheme="minorHAnsi"/>
          <w:sz w:val="20"/>
          <w:szCs w:val="20"/>
          <w:lang w:val="en-GB"/>
        </w:rPr>
      </w:pPr>
      <w:r w:rsidRPr="006E56C4">
        <w:rPr>
          <w:rFonts w:cstheme="minorHAnsi"/>
          <w:sz w:val="20"/>
          <w:szCs w:val="20"/>
          <w:lang w:val="en-GB"/>
        </w:rPr>
        <w:t>Acquaint the reader with the structure and contents of the report and how the information contained in the report will meet the purposes of the evaluation and satisfy the information needs of the report’s intended users.</w:t>
      </w:r>
    </w:p>
    <w:p w14:paraId="32E268F9" w14:textId="77777777" w:rsidR="00AB5FA9" w:rsidRPr="006E56C4" w:rsidRDefault="00AB5FA9" w:rsidP="00AB5FA9">
      <w:pPr>
        <w:tabs>
          <w:tab w:val="left" w:pos="720"/>
        </w:tabs>
        <w:ind w:right="760"/>
        <w:rPr>
          <w:rFonts w:cstheme="minorHAnsi"/>
          <w:sz w:val="20"/>
          <w:szCs w:val="20"/>
          <w:lang w:val="en-GB"/>
        </w:rPr>
      </w:pPr>
    </w:p>
    <w:p w14:paraId="32E1DC91" w14:textId="77777777" w:rsidR="00AB5FA9" w:rsidRPr="006E56C4" w:rsidRDefault="00AB5FA9" w:rsidP="00AB5FA9">
      <w:pPr>
        <w:tabs>
          <w:tab w:val="left" w:pos="720"/>
        </w:tabs>
        <w:ind w:left="426" w:right="760" w:hanging="142"/>
        <w:rPr>
          <w:rFonts w:cstheme="minorHAnsi"/>
          <w:sz w:val="20"/>
          <w:szCs w:val="20"/>
          <w:lang w:val="en-GB"/>
        </w:rPr>
      </w:pPr>
    </w:p>
    <w:p w14:paraId="1DD784CA" w14:textId="77777777" w:rsidR="00AB5FA9" w:rsidRPr="006E56C4" w:rsidRDefault="00AB5FA9" w:rsidP="00EB743C">
      <w:pPr>
        <w:numPr>
          <w:ilvl w:val="0"/>
          <w:numId w:val="27"/>
        </w:numPr>
        <w:tabs>
          <w:tab w:val="left" w:pos="284"/>
        </w:tabs>
        <w:spacing w:line="276" w:lineRule="auto"/>
        <w:ind w:right="760"/>
        <w:jc w:val="both"/>
        <w:rPr>
          <w:rFonts w:cstheme="minorHAnsi"/>
          <w:sz w:val="20"/>
          <w:szCs w:val="20"/>
          <w:lang w:val="en-GB"/>
        </w:rPr>
      </w:pPr>
      <w:r w:rsidRPr="006E56C4">
        <w:rPr>
          <w:rFonts w:cstheme="minorHAnsi"/>
          <w:b/>
          <w:sz w:val="20"/>
          <w:szCs w:val="20"/>
          <w:lang w:val="en-GB"/>
        </w:rPr>
        <w:t xml:space="preserve">Description of the intervention </w:t>
      </w:r>
      <w:r w:rsidRPr="006E56C4">
        <w:rPr>
          <w:rFonts w:cstheme="minorHAnsi"/>
          <w:sz w:val="20"/>
          <w:szCs w:val="20"/>
          <w:lang w:val="en-GB"/>
        </w:rPr>
        <w:t>provides the basis for report users to understand the logic</w:t>
      </w:r>
      <w:r w:rsidRPr="006E56C4">
        <w:rPr>
          <w:rFonts w:cstheme="minorHAnsi"/>
          <w:b/>
          <w:sz w:val="20"/>
          <w:szCs w:val="20"/>
          <w:lang w:val="en-GB"/>
        </w:rPr>
        <w:t xml:space="preserve"> </w:t>
      </w:r>
      <w:r w:rsidRPr="006E56C4">
        <w:rPr>
          <w:rFonts w:cstheme="minorHAnsi"/>
          <w:sz w:val="20"/>
          <w:szCs w:val="20"/>
          <w:lang w:val="en-GB"/>
        </w:rPr>
        <w:t>and assess the merits of the evaluation methodology and understand the applicability of the evaluation results. The description needs to provide sufficient detail for the report user to derive meaning from the evaluation. It should:</w:t>
      </w:r>
    </w:p>
    <w:p w14:paraId="700DF240" w14:textId="77777777" w:rsidR="00AB5FA9" w:rsidRPr="006E56C4" w:rsidRDefault="00AB5FA9" w:rsidP="00EB743C">
      <w:pPr>
        <w:pStyle w:val="ListParagraph"/>
        <w:numPr>
          <w:ilvl w:val="0"/>
          <w:numId w:val="30"/>
        </w:numPr>
        <w:tabs>
          <w:tab w:val="left" w:pos="1440"/>
        </w:tabs>
        <w:spacing w:before="240" w:after="160" w:line="276" w:lineRule="auto"/>
        <w:ind w:right="760"/>
        <w:rPr>
          <w:rFonts w:eastAsia="Arial" w:cstheme="minorHAnsi"/>
          <w:sz w:val="20"/>
          <w:szCs w:val="20"/>
          <w:vertAlign w:val="superscript"/>
          <w:lang w:val="en-GB"/>
        </w:rPr>
      </w:pPr>
      <w:r w:rsidRPr="006E56C4">
        <w:rPr>
          <w:rFonts w:cstheme="minorHAnsi"/>
          <w:sz w:val="20"/>
          <w:szCs w:val="20"/>
          <w:lang w:val="en-GB"/>
        </w:rPr>
        <w:t xml:space="preserve">Describe </w:t>
      </w:r>
      <w:r w:rsidRPr="006E56C4">
        <w:rPr>
          <w:rFonts w:cstheme="minorHAnsi"/>
          <w:b/>
          <w:sz w:val="20"/>
          <w:szCs w:val="20"/>
          <w:lang w:val="en-GB"/>
        </w:rPr>
        <w:t>what is being evaluated</w:t>
      </w:r>
      <w:r w:rsidRPr="006E56C4">
        <w:rPr>
          <w:rFonts w:cstheme="minorHAnsi"/>
          <w:sz w:val="20"/>
          <w:szCs w:val="20"/>
          <w:lang w:val="en-GB"/>
        </w:rPr>
        <w:t xml:space="preserve">, </w:t>
      </w:r>
      <w:r w:rsidRPr="006E56C4">
        <w:rPr>
          <w:rFonts w:cstheme="minorHAnsi"/>
          <w:b/>
          <w:sz w:val="20"/>
          <w:szCs w:val="20"/>
          <w:lang w:val="en-GB"/>
        </w:rPr>
        <w:t>who seeks to benefit</w:t>
      </w:r>
      <w:r w:rsidRPr="006E56C4">
        <w:rPr>
          <w:rFonts w:cstheme="minorHAnsi"/>
          <w:sz w:val="20"/>
          <w:szCs w:val="20"/>
          <w:lang w:val="en-GB"/>
        </w:rPr>
        <w:t xml:space="preserve"> and the </w:t>
      </w:r>
      <w:r w:rsidRPr="006E56C4">
        <w:rPr>
          <w:rFonts w:cstheme="minorHAnsi"/>
          <w:b/>
          <w:sz w:val="20"/>
          <w:szCs w:val="20"/>
          <w:lang w:val="en-GB"/>
        </w:rPr>
        <w:t>problem or issue</w:t>
      </w:r>
      <w:r w:rsidRPr="006E56C4">
        <w:rPr>
          <w:rFonts w:cstheme="minorHAnsi"/>
          <w:sz w:val="20"/>
          <w:szCs w:val="20"/>
          <w:lang w:val="en-GB"/>
        </w:rPr>
        <w:t xml:space="preserve"> it seeks to address.</w:t>
      </w:r>
    </w:p>
    <w:p w14:paraId="62137C48" w14:textId="77777777" w:rsidR="00AB5FA9" w:rsidRPr="006E56C4" w:rsidRDefault="00AB5FA9" w:rsidP="00EB743C">
      <w:pPr>
        <w:pStyle w:val="ListParagraph"/>
        <w:numPr>
          <w:ilvl w:val="0"/>
          <w:numId w:val="30"/>
        </w:numPr>
        <w:tabs>
          <w:tab w:val="left" w:pos="1440"/>
        </w:tabs>
        <w:spacing w:before="240" w:after="160" w:line="276" w:lineRule="auto"/>
        <w:ind w:right="760"/>
        <w:rPr>
          <w:rFonts w:eastAsia="Arial" w:cstheme="minorHAnsi"/>
          <w:sz w:val="20"/>
          <w:szCs w:val="20"/>
          <w:vertAlign w:val="superscript"/>
          <w:lang w:val="en-GB"/>
        </w:rPr>
      </w:pPr>
      <w:r w:rsidRPr="006E56C4">
        <w:rPr>
          <w:rFonts w:cstheme="minorHAnsi"/>
          <w:sz w:val="20"/>
          <w:szCs w:val="20"/>
          <w:lang w:val="en-GB"/>
        </w:rPr>
        <w:t xml:space="preserve">Explain the </w:t>
      </w:r>
      <w:r w:rsidRPr="006E56C4">
        <w:rPr>
          <w:rFonts w:cstheme="minorHAnsi"/>
          <w:b/>
          <w:sz w:val="20"/>
          <w:szCs w:val="20"/>
          <w:lang w:val="en-GB"/>
        </w:rPr>
        <w:t>expected results model or results framework</w:t>
      </w:r>
      <w:r w:rsidRPr="006E56C4">
        <w:rPr>
          <w:rFonts w:cstheme="minorHAnsi"/>
          <w:sz w:val="20"/>
          <w:szCs w:val="20"/>
          <w:lang w:val="en-GB"/>
        </w:rPr>
        <w:t xml:space="preserve">, </w:t>
      </w:r>
      <w:r w:rsidRPr="006E56C4">
        <w:rPr>
          <w:rFonts w:cstheme="minorHAnsi"/>
          <w:b/>
          <w:sz w:val="20"/>
          <w:szCs w:val="20"/>
          <w:lang w:val="en-GB"/>
        </w:rPr>
        <w:t>implementation strategies</w:t>
      </w:r>
      <w:r w:rsidRPr="006E56C4">
        <w:rPr>
          <w:rFonts w:cstheme="minorHAnsi"/>
          <w:sz w:val="20"/>
          <w:szCs w:val="20"/>
          <w:lang w:val="en-GB"/>
        </w:rPr>
        <w:t xml:space="preserve"> and the key </w:t>
      </w:r>
      <w:r w:rsidRPr="006E56C4">
        <w:rPr>
          <w:rFonts w:cstheme="minorHAnsi"/>
          <w:b/>
          <w:sz w:val="20"/>
          <w:szCs w:val="20"/>
          <w:lang w:val="en-GB"/>
        </w:rPr>
        <w:t>assumptions</w:t>
      </w:r>
      <w:r w:rsidRPr="006E56C4">
        <w:rPr>
          <w:rFonts w:cstheme="minorHAnsi"/>
          <w:sz w:val="20"/>
          <w:szCs w:val="20"/>
          <w:lang w:val="en-GB"/>
        </w:rPr>
        <w:t xml:space="preserve"> underlying the strategy.</w:t>
      </w:r>
    </w:p>
    <w:p w14:paraId="2093B9E3" w14:textId="77777777" w:rsidR="00AB5FA9" w:rsidRPr="006E56C4" w:rsidRDefault="00AB5FA9" w:rsidP="00EB743C">
      <w:pPr>
        <w:pStyle w:val="ListParagraph"/>
        <w:numPr>
          <w:ilvl w:val="0"/>
          <w:numId w:val="30"/>
        </w:numPr>
        <w:tabs>
          <w:tab w:val="left" w:pos="1440"/>
        </w:tabs>
        <w:spacing w:before="240" w:after="160" w:line="276" w:lineRule="auto"/>
        <w:ind w:right="760"/>
        <w:jc w:val="both"/>
        <w:rPr>
          <w:rFonts w:eastAsia="Arial" w:cstheme="minorHAnsi"/>
          <w:sz w:val="20"/>
          <w:szCs w:val="20"/>
          <w:vertAlign w:val="superscript"/>
          <w:lang w:val="en-GB"/>
        </w:rPr>
      </w:pPr>
      <w:r w:rsidRPr="006E56C4">
        <w:rPr>
          <w:rFonts w:cstheme="minorHAnsi"/>
          <w:sz w:val="20"/>
          <w:szCs w:val="20"/>
          <w:lang w:val="en-GB"/>
        </w:rPr>
        <w:t xml:space="preserve">Link the intervention to </w:t>
      </w:r>
      <w:r w:rsidRPr="006E56C4">
        <w:rPr>
          <w:rFonts w:cstheme="minorHAnsi"/>
          <w:b/>
          <w:sz w:val="20"/>
          <w:szCs w:val="20"/>
          <w:lang w:val="en-GB"/>
        </w:rPr>
        <w:t>national priorities</w:t>
      </w:r>
      <w:r w:rsidRPr="006E56C4">
        <w:rPr>
          <w:rFonts w:cstheme="minorHAnsi"/>
          <w:sz w:val="20"/>
          <w:szCs w:val="20"/>
          <w:lang w:val="en-GB"/>
        </w:rPr>
        <w:t xml:space="preserve">, UNDAF priorities, corporate multi-year funding frameworks or Strategic Plan goals, or other </w:t>
      </w:r>
      <w:r w:rsidRPr="006E56C4">
        <w:rPr>
          <w:rFonts w:cstheme="minorHAnsi"/>
          <w:b/>
          <w:sz w:val="20"/>
          <w:szCs w:val="20"/>
          <w:lang w:val="en-GB"/>
        </w:rPr>
        <w:t>programme or country-specific</w:t>
      </w:r>
      <w:r w:rsidRPr="006E56C4">
        <w:rPr>
          <w:rFonts w:cstheme="minorHAnsi"/>
          <w:sz w:val="20"/>
          <w:szCs w:val="20"/>
          <w:lang w:val="en-GB"/>
        </w:rPr>
        <w:t xml:space="preserve"> </w:t>
      </w:r>
      <w:r w:rsidRPr="006E56C4">
        <w:rPr>
          <w:rFonts w:cstheme="minorHAnsi"/>
          <w:b/>
          <w:sz w:val="20"/>
          <w:szCs w:val="20"/>
          <w:lang w:val="en-GB"/>
        </w:rPr>
        <w:t>plans and goals.</w:t>
      </w:r>
    </w:p>
    <w:p w14:paraId="5E4F0A3C" w14:textId="77777777" w:rsidR="00AB5FA9" w:rsidRPr="006E56C4" w:rsidRDefault="00AB5FA9" w:rsidP="00EB743C">
      <w:pPr>
        <w:pStyle w:val="ListParagraph"/>
        <w:numPr>
          <w:ilvl w:val="0"/>
          <w:numId w:val="30"/>
        </w:numPr>
        <w:tabs>
          <w:tab w:val="left" w:pos="1440"/>
        </w:tabs>
        <w:spacing w:before="240" w:after="160" w:line="276" w:lineRule="auto"/>
        <w:ind w:right="760"/>
        <w:jc w:val="both"/>
        <w:rPr>
          <w:rFonts w:eastAsia="Arial" w:cstheme="minorHAnsi"/>
          <w:sz w:val="20"/>
          <w:szCs w:val="20"/>
          <w:vertAlign w:val="superscript"/>
          <w:lang w:val="en-GB"/>
        </w:rPr>
      </w:pPr>
      <w:r w:rsidRPr="006E56C4">
        <w:rPr>
          <w:rFonts w:cstheme="minorHAnsi"/>
          <w:sz w:val="20"/>
          <w:szCs w:val="20"/>
          <w:lang w:val="en-GB"/>
        </w:rPr>
        <w:lastRenderedPageBreak/>
        <w:t xml:space="preserve">Identify the </w:t>
      </w:r>
      <w:r w:rsidRPr="006E56C4">
        <w:rPr>
          <w:rFonts w:cstheme="minorHAnsi"/>
          <w:b/>
          <w:sz w:val="20"/>
          <w:szCs w:val="20"/>
          <w:lang w:val="en-GB"/>
        </w:rPr>
        <w:t>phase</w:t>
      </w:r>
      <w:r w:rsidRPr="006E56C4">
        <w:rPr>
          <w:rFonts w:cstheme="minorHAnsi"/>
          <w:sz w:val="20"/>
          <w:szCs w:val="20"/>
          <w:lang w:val="en-GB"/>
        </w:rPr>
        <w:t xml:space="preserve"> in the implementation of the intervention and any </w:t>
      </w:r>
      <w:r w:rsidRPr="006E56C4">
        <w:rPr>
          <w:rFonts w:cstheme="minorHAnsi"/>
          <w:b/>
          <w:sz w:val="20"/>
          <w:szCs w:val="20"/>
          <w:lang w:val="en-GB"/>
        </w:rPr>
        <w:t>significant</w:t>
      </w:r>
      <w:r w:rsidRPr="006E56C4">
        <w:rPr>
          <w:rFonts w:cstheme="minorHAnsi"/>
          <w:sz w:val="20"/>
          <w:szCs w:val="20"/>
          <w:lang w:val="en-GB"/>
        </w:rPr>
        <w:t xml:space="preserve"> </w:t>
      </w:r>
      <w:r w:rsidRPr="006E56C4">
        <w:rPr>
          <w:rFonts w:cstheme="minorHAnsi"/>
          <w:b/>
          <w:sz w:val="20"/>
          <w:szCs w:val="20"/>
          <w:lang w:val="en-GB"/>
        </w:rPr>
        <w:t xml:space="preserve">changes </w:t>
      </w:r>
      <w:r w:rsidRPr="006E56C4">
        <w:rPr>
          <w:rFonts w:cstheme="minorHAnsi"/>
          <w:sz w:val="20"/>
          <w:szCs w:val="20"/>
          <w:lang w:val="en-GB"/>
        </w:rPr>
        <w:t>(e.g., plans, strategies, logical frameworks) that have occurred over time, and</w:t>
      </w:r>
      <w:r w:rsidRPr="006E56C4">
        <w:rPr>
          <w:rFonts w:cstheme="minorHAnsi"/>
          <w:b/>
          <w:sz w:val="20"/>
          <w:szCs w:val="20"/>
          <w:lang w:val="en-GB"/>
        </w:rPr>
        <w:t xml:space="preserve"> </w:t>
      </w:r>
      <w:r w:rsidRPr="006E56C4">
        <w:rPr>
          <w:rFonts w:cstheme="minorHAnsi"/>
          <w:sz w:val="20"/>
          <w:szCs w:val="20"/>
          <w:lang w:val="en-GB"/>
        </w:rPr>
        <w:t>explain the implications of those changes for the evaluation.</w:t>
      </w:r>
    </w:p>
    <w:p w14:paraId="194898A9" w14:textId="77777777" w:rsidR="00AB5FA9" w:rsidRPr="006E56C4" w:rsidRDefault="00AB5FA9" w:rsidP="00EB743C">
      <w:pPr>
        <w:pStyle w:val="ListParagraph"/>
        <w:numPr>
          <w:ilvl w:val="0"/>
          <w:numId w:val="30"/>
        </w:numPr>
        <w:tabs>
          <w:tab w:val="left" w:pos="1440"/>
        </w:tabs>
        <w:spacing w:before="240" w:after="160" w:line="276" w:lineRule="auto"/>
        <w:rPr>
          <w:rFonts w:eastAsia="Arial" w:cstheme="minorHAnsi"/>
          <w:sz w:val="20"/>
          <w:szCs w:val="20"/>
          <w:vertAlign w:val="superscript"/>
          <w:lang w:val="en-GB"/>
        </w:rPr>
      </w:pPr>
      <w:r w:rsidRPr="006E56C4">
        <w:rPr>
          <w:rFonts w:cstheme="minorHAnsi"/>
          <w:sz w:val="20"/>
          <w:szCs w:val="20"/>
          <w:lang w:val="en-GB"/>
        </w:rPr>
        <w:t xml:space="preserve">Identify and describe the </w:t>
      </w:r>
      <w:r w:rsidRPr="006E56C4">
        <w:rPr>
          <w:rFonts w:cstheme="minorHAnsi"/>
          <w:b/>
          <w:sz w:val="20"/>
          <w:szCs w:val="20"/>
          <w:lang w:val="en-GB"/>
        </w:rPr>
        <w:t>key partners</w:t>
      </w:r>
      <w:r w:rsidRPr="006E56C4">
        <w:rPr>
          <w:rFonts w:cstheme="minorHAnsi"/>
          <w:sz w:val="20"/>
          <w:szCs w:val="20"/>
          <w:lang w:val="en-GB"/>
        </w:rPr>
        <w:t xml:space="preserve"> involved in the implementation and their roles.</w:t>
      </w:r>
    </w:p>
    <w:p w14:paraId="11153E59" w14:textId="77777777" w:rsidR="00AB5FA9" w:rsidRPr="006E56C4" w:rsidRDefault="00AB5FA9" w:rsidP="00EB743C">
      <w:pPr>
        <w:pStyle w:val="ListParagraph"/>
        <w:numPr>
          <w:ilvl w:val="0"/>
          <w:numId w:val="30"/>
        </w:numPr>
        <w:tabs>
          <w:tab w:val="left" w:pos="1440"/>
        </w:tabs>
        <w:spacing w:before="240" w:after="160" w:line="276" w:lineRule="auto"/>
        <w:ind w:right="760"/>
        <w:rPr>
          <w:rFonts w:eastAsia="Arial" w:cstheme="minorHAnsi"/>
          <w:sz w:val="20"/>
          <w:szCs w:val="20"/>
          <w:vertAlign w:val="superscript"/>
          <w:lang w:val="en-GB"/>
        </w:rPr>
      </w:pPr>
      <w:r w:rsidRPr="006E56C4">
        <w:rPr>
          <w:rFonts w:cstheme="minorHAnsi"/>
          <w:sz w:val="20"/>
          <w:szCs w:val="20"/>
          <w:lang w:val="en-GB"/>
        </w:rPr>
        <w:t xml:space="preserve">Identify </w:t>
      </w:r>
      <w:r w:rsidRPr="006E56C4">
        <w:rPr>
          <w:rFonts w:cstheme="minorHAnsi"/>
          <w:b/>
          <w:sz w:val="20"/>
          <w:szCs w:val="20"/>
          <w:lang w:val="en-GB"/>
        </w:rPr>
        <w:t>relevant cross-cutting issues</w:t>
      </w:r>
      <w:r w:rsidRPr="006E56C4">
        <w:rPr>
          <w:rFonts w:cstheme="minorHAnsi"/>
          <w:sz w:val="20"/>
          <w:szCs w:val="20"/>
          <w:lang w:val="en-GB"/>
        </w:rPr>
        <w:t xml:space="preserve"> addressed through the intervention, i.e., gender equality, human rights, marginalized groups and leaving no one behind.</w:t>
      </w:r>
    </w:p>
    <w:p w14:paraId="7705A396" w14:textId="77777777" w:rsidR="00AB5FA9" w:rsidRPr="006E56C4" w:rsidRDefault="00AB5FA9" w:rsidP="00EB743C">
      <w:pPr>
        <w:pStyle w:val="ListParagraph"/>
        <w:numPr>
          <w:ilvl w:val="0"/>
          <w:numId w:val="30"/>
        </w:numPr>
        <w:tabs>
          <w:tab w:val="left" w:pos="1440"/>
        </w:tabs>
        <w:spacing w:before="240" w:after="160" w:line="276" w:lineRule="auto"/>
        <w:ind w:right="760"/>
        <w:rPr>
          <w:rFonts w:eastAsia="Arial" w:cstheme="minorHAnsi"/>
          <w:sz w:val="20"/>
          <w:szCs w:val="20"/>
          <w:vertAlign w:val="superscript"/>
          <w:lang w:val="en-GB"/>
        </w:rPr>
      </w:pPr>
      <w:r w:rsidRPr="006E56C4">
        <w:rPr>
          <w:rFonts w:cstheme="minorHAnsi"/>
          <w:sz w:val="20"/>
          <w:szCs w:val="20"/>
          <w:lang w:val="en-GB"/>
        </w:rPr>
        <w:t xml:space="preserve">Describe the </w:t>
      </w:r>
      <w:r w:rsidRPr="006E56C4">
        <w:rPr>
          <w:rFonts w:cstheme="minorHAnsi"/>
          <w:b/>
          <w:sz w:val="20"/>
          <w:szCs w:val="20"/>
          <w:lang w:val="en-GB"/>
        </w:rPr>
        <w:t>scale of the intervention</w:t>
      </w:r>
      <w:r w:rsidRPr="006E56C4">
        <w:rPr>
          <w:rFonts w:cstheme="minorHAnsi"/>
          <w:sz w:val="20"/>
          <w:szCs w:val="20"/>
          <w:lang w:val="en-GB"/>
        </w:rPr>
        <w:t>, such as the number of components (e.g., phases of a project) and the size of the target population for each component.</w:t>
      </w:r>
    </w:p>
    <w:p w14:paraId="2E61A7BB" w14:textId="77777777" w:rsidR="00AB5FA9" w:rsidRPr="006E56C4" w:rsidRDefault="00AB5FA9" w:rsidP="00EB743C">
      <w:pPr>
        <w:pStyle w:val="ListParagraph"/>
        <w:numPr>
          <w:ilvl w:val="0"/>
          <w:numId w:val="30"/>
        </w:numPr>
        <w:tabs>
          <w:tab w:val="left" w:pos="1440"/>
        </w:tabs>
        <w:spacing w:before="240" w:after="160" w:line="276" w:lineRule="auto"/>
        <w:rPr>
          <w:rFonts w:eastAsia="Arial" w:cstheme="minorHAnsi"/>
          <w:sz w:val="20"/>
          <w:szCs w:val="20"/>
          <w:vertAlign w:val="superscript"/>
          <w:lang w:val="en-GB"/>
        </w:rPr>
      </w:pPr>
      <w:r w:rsidRPr="006E56C4">
        <w:rPr>
          <w:rFonts w:cstheme="minorHAnsi"/>
          <w:sz w:val="20"/>
          <w:szCs w:val="20"/>
          <w:lang w:val="en-GB"/>
        </w:rPr>
        <w:t xml:space="preserve">Indicate the </w:t>
      </w:r>
      <w:r w:rsidRPr="006E56C4">
        <w:rPr>
          <w:rFonts w:cstheme="minorHAnsi"/>
          <w:b/>
          <w:sz w:val="20"/>
          <w:szCs w:val="20"/>
          <w:lang w:val="en-GB"/>
        </w:rPr>
        <w:t>total resources</w:t>
      </w:r>
      <w:r w:rsidRPr="006E56C4">
        <w:rPr>
          <w:rFonts w:cstheme="minorHAnsi"/>
          <w:sz w:val="20"/>
          <w:szCs w:val="20"/>
          <w:lang w:val="en-GB"/>
        </w:rPr>
        <w:t>, including human resources and budgets.</w:t>
      </w:r>
    </w:p>
    <w:p w14:paraId="736C7CAF" w14:textId="77777777" w:rsidR="00AB5FA9" w:rsidRPr="006E56C4" w:rsidRDefault="00AB5FA9" w:rsidP="00EB743C">
      <w:pPr>
        <w:pStyle w:val="ListParagraph"/>
        <w:numPr>
          <w:ilvl w:val="0"/>
          <w:numId w:val="30"/>
        </w:numPr>
        <w:tabs>
          <w:tab w:val="left" w:pos="1440"/>
        </w:tabs>
        <w:spacing w:before="240" w:after="160" w:line="276" w:lineRule="auto"/>
        <w:ind w:right="760"/>
        <w:jc w:val="both"/>
        <w:rPr>
          <w:rFonts w:eastAsia="Arial" w:cstheme="minorHAnsi"/>
          <w:sz w:val="20"/>
          <w:szCs w:val="20"/>
          <w:vertAlign w:val="superscript"/>
          <w:lang w:val="en-GB"/>
        </w:rPr>
      </w:pPr>
      <w:r w:rsidRPr="006E56C4">
        <w:rPr>
          <w:rFonts w:cstheme="minorHAnsi"/>
          <w:sz w:val="20"/>
          <w:szCs w:val="20"/>
          <w:lang w:val="en-GB"/>
        </w:rPr>
        <w:t xml:space="preserve">Describe the context of the </w:t>
      </w:r>
      <w:r w:rsidRPr="006E56C4">
        <w:rPr>
          <w:rFonts w:cstheme="minorHAnsi"/>
          <w:b/>
          <w:sz w:val="20"/>
          <w:szCs w:val="20"/>
          <w:lang w:val="en-GB"/>
        </w:rPr>
        <w:t>social, political, economic and institutional factors</w:t>
      </w:r>
      <w:r w:rsidRPr="006E56C4">
        <w:rPr>
          <w:rFonts w:cstheme="minorHAnsi"/>
          <w:sz w:val="20"/>
          <w:szCs w:val="20"/>
          <w:lang w:val="en-GB"/>
        </w:rPr>
        <w:t xml:space="preserve">, and the </w:t>
      </w:r>
      <w:r w:rsidRPr="006E56C4">
        <w:rPr>
          <w:rFonts w:cstheme="minorHAnsi"/>
          <w:b/>
          <w:sz w:val="20"/>
          <w:szCs w:val="20"/>
          <w:lang w:val="en-GB"/>
        </w:rPr>
        <w:t>geographical landscape</w:t>
      </w:r>
      <w:r w:rsidRPr="006E56C4">
        <w:rPr>
          <w:rFonts w:cstheme="minorHAnsi"/>
          <w:sz w:val="20"/>
          <w:szCs w:val="20"/>
          <w:lang w:val="en-GB"/>
        </w:rPr>
        <w:t xml:space="preserve"> within which the intervention operates and explain the effects (challenges and opportunities) those factors present for its implementation and outcomes.</w:t>
      </w:r>
    </w:p>
    <w:p w14:paraId="23F837EB" w14:textId="77777777" w:rsidR="00AB5FA9" w:rsidRPr="006E56C4" w:rsidRDefault="00AB5FA9" w:rsidP="00EB743C">
      <w:pPr>
        <w:pStyle w:val="ListParagraph"/>
        <w:numPr>
          <w:ilvl w:val="0"/>
          <w:numId w:val="30"/>
        </w:numPr>
        <w:tabs>
          <w:tab w:val="left" w:pos="1440"/>
        </w:tabs>
        <w:spacing w:before="240" w:after="160" w:line="276" w:lineRule="auto"/>
        <w:ind w:right="760"/>
        <w:rPr>
          <w:rFonts w:eastAsia="Arial" w:cstheme="minorHAnsi"/>
          <w:sz w:val="20"/>
          <w:szCs w:val="20"/>
          <w:vertAlign w:val="superscript"/>
          <w:lang w:val="en-GB"/>
        </w:rPr>
      </w:pPr>
      <w:r w:rsidRPr="006E56C4">
        <w:rPr>
          <w:rFonts w:cstheme="minorHAnsi"/>
          <w:sz w:val="20"/>
          <w:szCs w:val="20"/>
          <w:lang w:val="en-GB"/>
        </w:rPr>
        <w:t xml:space="preserve">Point out </w:t>
      </w:r>
      <w:r w:rsidRPr="006E56C4">
        <w:rPr>
          <w:rFonts w:cstheme="minorHAnsi"/>
          <w:b/>
          <w:sz w:val="20"/>
          <w:szCs w:val="20"/>
          <w:lang w:val="en-GB"/>
        </w:rPr>
        <w:t>design weaknesses</w:t>
      </w:r>
      <w:r w:rsidRPr="006E56C4">
        <w:rPr>
          <w:rFonts w:cstheme="minorHAnsi"/>
          <w:sz w:val="20"/>
          <w:szCs w:val="20"/>
          <w:lang w:val="en-GB"/>
        </w:rPr>
        <w:t xml:space="preserve"> (e.g., intervention logic) or other </w:t>
      </w:r>
      <w:r w:rsidRPr="006E56C4">
        <w:rPr>
          <w:rFonts w:cstheme="minorHAnsi"/>
          <w:b/>
          <w:sz w:val="20"/>
          <w:szCs w:val="20"/>
          <w:lang w:val="en-GB"/>
        </w:rPr>
        <w:t>implementation</w:t>
      </w:r>
      <w:r w:rsidRPr="006E56C4">
        <w:rPr>
          <w:rFonts w:cstheme="minorHAnsi"/>
          <w:sz w:val="20"/>
          <w:szCs w:val="20"/>
          <w:lang w:val="en-GB"/>
        </w:rPr>
        <w:t xml:space="preserve"> </w:t>
      </w:r>
      <w:r w:rsidRPr="006E56C4">
        <w:rPr>
          <w:rFonts w:cstheme="minorHAnsi"/>
          <w:b/>
          <w:sz w:val="20"/>
          <w:szCs w:val="20"/>
          <w:lang w:val="en-GB"/>
        </w:rPr>
        <w:t xml:space="preserve">constraints </w:t>
      </w:r>
      <w:r w:rsidRPr="006E56C4">
        <w:rPr>
          <w:rFonts w:cstheme="minorHAnsi"/>
          <w:sz w:val="20"/>
          <w:szCs w:val="20"/>
          <w:lang w:val="en-GB"/>
        </w:rPr>
        <w:t>(e.g., resource limitations).</w:t>
      </w:r>
    </w:p>
    <w:p w14:paraId="0485ED0B" w14:textId="77777777" w:rsidR="00AB5FA9" w:rsidRPr="006E56C4" w:rsidRDefault="00AB5FA9" w:rsidP="00AB5FA9">
      <w:pPr>
        <w:pStyle w:val="ListParagraph"/>
        <w:tabs>
          <w:tab w:val="left" w:pos="1440"/>
        </w:tabs>
        <w:ind w:right="760"/>
        <w:rPr>
          <w:rFonts w:eastAsia="Arial" w:cstheme="minorHAnsi"/>
          <w:sz w:val="20"/>
          <w:szCs w:val="20"/>
          <w:vertAlign w:val="superscript"/>
          <w:lang w:val="en-GB"/>
        </w:rPr>
      </w:pPr>
    </w:p>
    <w:p w14:paraId="20E37B17" w14:textId="77777777" w:rsidR="00AB5FA9" w:rsidRPr="006E56C4" w:rsidRDefault="00AB5FA9" w:rsidP="00EB743C">
      <w:pPr>
        <w:numPr>
          <w:ilvl w:val="0"/>
          <w:numId w:val="27"/>
        </w:numPr>
        <w:tabs>
          <w:tab w:val="left" w:pos="284"/>
        </w:tabs>
        <w:spacing w:line="276" w:lineRule="auto"/>
        <w:ind w:right="760"/>
        <w:rPr>
          <w:rFonts w:cstheme="minorHAnsi"/>
          <w:sz w:val="20"/>
          <w:szCs w:val="20"/>
          <w:lang w:val="en-GB"/>
        </w:rPr>
      </w:pPr>
      <w:r w:rsidRPr="006E56C4">
        <w:rPr>
          <w:rFonts w:cstheme="minorHAnsi"/>
          <w:b/>
          <w:sz w:val="20"/>
          <w:szCs w:val="20"/>
          <w:lang w:val="en-GB"/>
        </w:rPr>
        <w:t xml:space="preserve">Evaluation scope and objectives. </w:t>
      </w:r>
      <w:r w:rsidRPr="006E56C4">
        <w:rPr>
          <w:rFonts w:cstheme="minorHAnsi"/>
          <w:sz w:val="20"/>
          <w:szCs w:val="20"/>
          <w:lang w:val="en-GB"/>
        </w:rPr>
        <w:t>The report should provide a clear explanation of the</w:t>
      </w:r>
      <w:r w:rsidRPr="006E56C4">
        <w:rPr>
          <w:rFonts w:cstheme="minorHAnsi"/>
          <w:b/>
          <w:sz w:val="20"/>
          <w:szCs w:val="20"/>
          <w:lang w:val="en-GB"/>
        </w:rPr>
        <w:t xml:space="preserve"> </w:t>
      </w:r>
      <w:r w:rsidRPr="006E56C4">
        <w:rPr>
          <w:rFonts w:cstheme="minorHAnsi"/>
          <w:sz w:val="20"/>
          <w:szCs w:val="20"/>
          <w:lang w:val="en-GB"/>
        </w:rPr>
        <w:t>evaluation’s scope, primary objectives and main questions.</w:t>
      </w:r>
    </w:p>
    <w:p w14:paraId="51F5EEC1" w14:textId="77777777" w:rsidR="00AB5FA9" w:rsidRPr="006E56C4" w:rsidRDefault="00AB5FA9" w:rsidP="00EB743C">
      <w:pPr>
        <w:pStyle w:val="ListParagraph"/>
        <w:numPr>
          <w:ilvl w:val="0"/>
          <w:numId w:val="31"/>
        </w:numPr>
        <w:tabs>
          <w:tab w:val="left" w:pos="1440"/>
        </w:tabs>
        <w:spacing w:line="276" w:lineRule="auto"/>
        <w:ind w:right="760"/>
        <w:jc w:val="both"/>
        <w:rPr>
          <w:rFonts w:eastAsia="Arial" w:cstheme="minorHAnsi"/>
          <w:sz w:val="20"/>
          <w:szCs w:val="20"/>
          <w:vertAlign w:val="superscript"/>
          <w:lang w:val="en-GB"/>
        </w:rPr>
      </w:pPr>
      <w:r w:rsidRPr="006E56C4">
        <w:rPr>
          <w:rFonts w:cstheme="minorHAnsi"/>
          <w:b/>
          <w:sz w:val="20"/>
          <w:szCs w:val="20"/>
          <w:lang w:val="en-GB"/>
        </w:rPr>
        <w:t xml:space="preserve">Evaluation scope. </w:t>
      </w:r>
      <w:r w:rsidRPr="006E56C4">
        <w:rPr>
          <w:rFonts w:cstheme="minorHAnsi"/>
          <w:sz w:val="20"/>
          <w:szCs w:val="20"/>
          <w:lang w:val="en-GB"/>
        </w:rPr>
        <w:t>The report should define the parameters of the evaluation, for</w:t>
      </w:r>
      <w:r w:rsidRPr="006E56C4">
        <w:rPr>
          <w:rFonts w:cstheme="minorHAnsi"/>
          <w:b/>
          <w:sz w:val="20"/>
          <w:szCs w:val="20"/>
          <w:lang w:val="en-GB"/>
        </w:rPr>
        <w:t xml:space="preserve"> </w:t>
      </w:r>
      <w:r w:rsidRPr="006E56C4">
        <w:rPr>
          <w:rFonts w:cstheme="minorHAnsi"/>
          <w:sz w:val="20"/>
          <w:szCs w:val="20"/>
          <w:lang w:val="en-GB"/>
        </w:rPr>
        <w:t>example, the time period, the segments of the target population included, the geographic area included, and which components, outputs or outcomes were and were not assessed.</w:t>
      </w:r>
    </w:p>
    <w:p w14:paraId="62D5544D" w14:textId="77777777" w:rsidR="00AB5FA9" w:rsidRPr="006E56C4" w:rsidRDefault="00AB5FA9" w:rsidP="00EB743C">
      <w:pPr>
        <w:pStyle w:val="ListParagraph"/>
        <w:numPr>
          <w:ilvl w:val="0"/>
          <w:numId w:val="31"/>
        </w:numPr>
        <w:tabs>
          <w:tab w:val="left" w:pos="1440"/>
        </w:tabs>
        <w:spacing w:line="276" w:lineRule="auto"/>
        <w:ind w:right="760"/>
        <w:jc w:val="both"/>
        <w:rPr>
          <w:rFonts w:eastAsia="Arial" w:cstheme="minorHAnsi"/>
          <w:sz w:val="20"/>
          <w:szCs w:val="20"/>
          <w:vertAlign w:val="superscript"/>
          <w:lang w:val="en-GB"/>
        </w:rPr>
      </w:pPr>
      <w:r w:rsidRPr="006E56C4">
        <w:rPr>
          <w:rFonts w:cstheme="minorHAnsi"/>
          <w:b/>
          <w:sz w:val="20"/>
          <w:szCs w:val="20"/>
          <w:lang w:val="en-GB"/>
        </w:rPr>
        <w:t xml:space="preserve">Evaluation objectives. </w:t>
      </w:r>
      <w:r w:rsidRPr="006E56C4">
        <w:rPr>
          <w:rFonts w:cstheme="minorHAnsi"/>
          <w:sz w:val="20"/>
          <w:szCs w:val="20"/>
          <w:lang w:val="en-GB"/>
        </w:rPr>
        <w:t>The report should spell out the types of decisions evaluation</w:t>
      </w:r>
      <w:r w:rsidRPr="006E56C4">
        <w:rPr>
          <w:rFonts w:cstheme="minorHAnsi"/>
          <w:b/>
          <w:sz w:val="20"/>
          <w:szCs w:val="20"/>
          <w:lang w:val="en-GB"/>
        </w:rPr>
        <w:t xml:space="preserve"> </w:t>
      </w:r>
      <w:r w:rsidRPr="006E56C4">
        <w:rPr>
          <w:rFonts w:cstheme="minorHAnsi"/>
          <w:sz w:val="20"/>
          <w:szCs w:val="20"/>
          <w:lang w:val="en-GB"/>
        </w:rPr>
        <w:t>users will make, the issues they will need to consider in making those decisions and what the evaluation will need to achieve to contribute to those decisions.</w:t>
      </w:r>
    </w:p>
    <w:p w14:paraId="2D100748" w14:textId="77777777" w:rsidR="00AB5FA9" w:rsidRPr="006E56C4" w:rsidRDefault="00AB5FA9" w:rsidP="00EB743C">
      <w:pPr>
        <w:pStyle w:val="ListParagraph"/>
        <w:numPr>
          <w:ilvl w:val="0"/>
          <w:numId w:val="31"/>
        </w:numPr>
        <w:tabs>
          <w:tab w:val="left" w:pos="1440"/>
        </w:tabs>
        <w:spacing w:line="276" w:lineRule="auto"/>
        <w:ind w:right="760"/>
        <w:jc w:val="both"/>
        <w:rPr>
          <w:rFonts w:eastAsia="Arial" w:cstheme="minorHAnsi"/>
          <w:sz w:val="20"/>
          <w:szCs w:val="20"/>
          <w:vertAlign w:val="superscript"/>
          <w:lang w:val="en-GB"/>
        </w:rPr>
      </w:pPr>
      <w:r w:rsidRPr="006E56C4">
        <w:rPr>
          <w:rFonts w:cstheme="minorHAnsi"/>
          <w:b/>
          <w:sz w:val="20"/>
          <w:szCs w:val="20"/>
          <w:lang w:val="en-GB"/>
        </w:rPr>
        <w:t xml:space="preserve">Evaluation criteria. </w:t>
      </w:r>
      <w:r w:rsidRPr="006E56C4">
        <w:rPr>
          <w:rFonts w:cstheme="minorHAnsi"/>
          <w:sz w:val="20"/>
          <w:szCs w:val="20"/>
          <w:lang w:val="en-GB"/>
        </w:rPr>
        <w:t>The report should define the evaluation criteria or performance</w:t>
      </w:r>
      <w:r w:rsidRPr="006E56C4">
        <w:rPr>
          <w:rFonts w:cstheme="minorHAnsi"/>
          <w:b/>
          <w:sz w:val="20"/>
          <w:szCs w:val="20"/>
          <w:lang w:val="en-GB"/>
        </w:rPr>
        <w:t xml:space="preserve"> </w:t>
      </w:r>
      <w:r w:rsidRPr="006E56C4">
        <w:rPr>
          <w:rFonts w:cstheme="minorHAnsi"/>
          <w:sz w:val="20"/>
          <w:szCs w:val="20"/>
          <w:lang w:val="en-GB"/>
        </w:rPr>
        <w:t>standards used.</w:t>
      </w:r>
      <w:r w:rsidRPr="006E56C4">
        <w:rPr>
          <w:rStyle w:val="FootnoteReference"/>
          <w:rFonts w:cstheme="minorHAnsi"/>
          <w:sz w:val="20"/>
          <w:szCs w:val="20"/>
          <w:lang w:val="en-GB"/>
        </w:rPr>
        <w:footnoteReference w:id="49"/>
      </w:r>
      <w:r w:rsidRPr="006E56C4">
        <w:rPr>
          <w:rFonts w:cstheme="minorHAnsi"/>
          <w:sz w:val="20"/>
          <w:szCs w:val="20"/>
          <w:lang w:val="en-GB"/>
        </w:rPr>
        <w:t xml:space="preserve"> The report should explain the rationale for selecting the particular criteria used in the evaluation.</w:t>
      </w:r>
    </w:p>
    <w:p w14:paraId="5AF431EB" w14:textId="77777777" w:rsidR="00AB5FA9" w:rsidRPr="006E56C4" w:rsidRDefault="00AB5FA9" w:rsidP="00EB743C">
      <w:pPr>
        <w:pStyle w:val="ListParagraph"/>
        <w:numPr>
          <w:ilvl w:val="0"/>
          <w:numId w:val="31"/>
        </w:numPr>
        <w:tabs>
          <w:tab w:val="left" w:pos="1440"/>
        </w:tabs>
        <w:spacing w:line="276" w:lineRule="auto"/>
        <w:ind w:right="760"/>
        <w:jc w:val="both"/>
        <w:rPr>
          <w:rFonts w:eastAsia="Arial" w:cstheme="minorHAnsi"/>
          <w:sz w:val="20"/>
          <w:szCs w:val="20"/>
          <w:vertAlign w:val="superscript"/>
          <w:lang w:val="en-GB"/>
        </w:rPr>
      </w:pPr>
      <w:r w:rsidRPr="006E56C4">
        <w:rPr>
          <w:rFonts w:cstheme="minorHAnsi"/>
          <w:b/>
          <w:sz w:val="20"/>
          <w:szCs w:val="20"/>
          <w:lang w:val="en-GB"/>
        </w:rPr>
        <w:t xml:space="preserve">Evaluation questions </w:t>
      </w:r>
      <w:r w:rsidRPr="006E56C4">
        <w:rPr>
          <w:rFonts w:cstheme="minorHAnsi"/>
          <w:sz w:val="20"/>
          <w:szCs w:val="20"/>
          <w:lang w:val="en-GB"/>
        </w:rPr>
        <w:t>define the information that the evaluation will generate. The</w:t>
      </w:r>
      <w:r w:rsidRPr="006E56C4">
        <w:rPr>
          <w:rFonts w:cstheme="minorHAnsi"/>
          <w:b/>
          <w:sz w:val="20"/>
          <w:szCs w:val="20"/>
          <w:lang w:val="en-GB"/>
        </w:rPr>
        <w:t xml:space="preserve"> </w:t>
      </w:r>
      <w:r w:rsidRPr="006E56C4">
        <w:rPr>
          <w:rFonts w:cstheme="minorHAnsi"/>
          <w:sz w:val="20"/>
          <w:szCs w:val="20"/>
          <w:lang w:val="en-GB"/>
        </w:rPr>
        <w:t>report should detail the main evaluation questions addressed by the evaluation and explain how the answers to these questions address the information needs of users.</w:t>
      </w:r>
    </w:p>
    <w:p w14:paraId="652BD943" w14:textId="77777777" w:rsidR="00AB5FA9" w:rsidRPr="006E56C4" w:rsidRDefault="00AB5FA9" w:rsidP="00AB5FA9">
      <w:pPr>
        <w:tabs>
          <w:tab w:val="left" w:pos="1440"/>
        </w:tabs>
        <w:ind w:right="760"/>
        <w:jc w:val="both"/>
        <w:rPr>
          <w:rFonts w:eastAsia="Arial" w:cstheme="minorHAnsi"/>
          <w:sz w:val="20"/>
          <w:szCs w:val="20"/>
          <w:vertAlign w:val="superscript"/>
          <w:lang w:val="en-GB"/>
        </w:rPr>
      </w:pPr>
    </w:p>
    <w:p w14:paraId="5E3AD7D3" w14:textId="77777777" w:rsidR="00AB5FA9" w:rsidRPr="006E56C4" w:rsidRDefault="00AB5FA9" w:rsidP="00EB743C">
      <w:pPr>
        <w:numPr>
          <w:ilvl w:val="0"/>
          <w:numId w:val="27"/>
        </w:numPr>
        <w:tabs>
          <w:tab w:val="left" w:pos="567"/>
        </w:tabs>
        <w:spacing w:line="276" w:lineRule="auto"/>
        <w:ind w:right="760"/>
        <w:jc w:val="both"/>
        <w:rPr>
          <w:rFonts w:cstheme="minorHAnsi"/>
          <w:sz w:val="20"/>
          <w:szCs w:val="20"/>
          <w:lang w:val="en-GB"/>
        </w:rPr>
      </w:pPr>
      <w:r w:rsidRPr="006E56C4">
        <w:rPr>
          <w:rFonts w:cstheme="minorHAnsi"/>
          <w:b/>
          <w:sz w:val="20"/>
          <w:szCs w:val="20"/>
          <w:lang w:val="en-GB"/>
        </w:rPr>
        <w:t>Evaluation approach and methods.</w:t>
      </w:r>
      <w:r w:rsidRPr="006E56C4">
        <w:rPr>
          <w:rStyle w:val="FootnoteReference"/>
          <w:rFonts w:cstheme="minorHAnsi"/>
          <w:b/>
          <w:sz w:val="20"/>
          <w:szCs w:val="20"/>
          <w:lang w:val="en-GB"/>
        </w:rPr>
        <w:footnoteReference w:id="50"/>
      </w:r>
      <w:r w:rsidRPr="006E56C4">
        <w:rPr>
          <w:rFonts w:cstheme="minorHAnsi"/>
          <w:b/>
          <w:sz w:val="20"/>
          <w:szCs w:val="20"/>
          <w:lang w:val="en-GB"/>
        </w:rPr>
        <w:t xml:space="preserve"> </w:t>
      </w:r>
      <w:r w:rsidRPr="006E56C4">
        <w:rPr>
          <w:rFonts w:cstheme="minorHAnsi"/>
          <w:sz w:val="20"/>
          <w:szCs w:val="20"/>
          <w:lang w:val="en-GB"/>
        </w:rPr>
        <w:t>The evaluation report should describe in detail the</w:t>
      </w:r>
      <w:r w:rsidRPr="006E56C4">
        <w:rPr>
          <w:rFonts w:cstheme="minorHAnsi"/>
          <w:b/>
          <w:sz w:val="20"/>
          <w:szCs w:val="20"/>
          <w:lang w:val="en-GB"/>
        </w:rPr>
        <w:t xml:space="preserve"> </w:t>
      </w:r>
      <w:r w:rsidRPr="006E56C4">
        <w:rPr>
          <w:rFonts w:cstheme="minorHAnsi"/>
          <w:sz w:val="20"/>
          <w:szCs w:val="20"/>
          <w:lang w:val="en-GB"/>
        </w:rPr>
        <w:t>selected methodological approaches, methods and analysis; the rationale for their selection; and how, within the constraints of time and money, the approaches and methods employed yielded data that helped answer the evaluation questions and achieved the evaluation purposes. The report should specify how gender equality, vulnerability and social inclusion were addressed in the methodology, including how data-collection and analysis methods integrated gender considerations, use of disaggregated data and outreach to diverse stakeholders’ groups. The description should help the report users judge the merits of the methods used in the evaluation and the credibility of the findings, conclusions and recommendations. The description on methodology should include discussion of each of the following:</w:t>
      </w:r>
    </w:p>
    <w:p w14:paraId="1276967E" w14:textId="77777777" w:rsidR="00AB5FA9" w:rsidRPr="006E56C4" w:rsidRDefault="00AB5FA9" w:rsidP="00AB5FA9">
      <w:pPr>
        <w:tabs>
          <w:tab w:val="left" w:pos="1440"/>
        </w:tabs>
        <w:rPr>
          <w:rFonts w:cstheme="minorHAnsi"/>
          <w:b/>
          <w:sz w:val="20"/>
          <w:szCs w:val="20"/>
          <w:lang w:val="en-GB"/>
        </w:rPr>
      </w:pPr>
    </w:p>
    <w:p w14:paraId="6A781545" w14:textId="77777777" w:rsidR="00AB5FA9" w:rsidRPr="006E56C4" w:rsidRDefault="00AB5FA9" w:rsidP="00EB743C">
      <w:pPr>
        <w:pStyle w:val="ListParagraph"/>
        <w:numPr>
          <w:ilvl w:val="0"/>
          <w:numId w:val="36"/>
        </w:numPr>
        <w:spacing w:line="276" w:lineRule="auto"/>
        <w:ind w:left="720"/>
        <w:rPr>
          <w:rFonts w:eastAsia="Arial" w:cstheme="minorHAnsi"/>
          <w:sz w:val="20"/>
          <w:szCs w:val="20"/>
          <w:vertAlign w:val="superscript"/>
          <w:lang w:val="en-GB"/>
        </w:rPr>
      </w:pPr>
      <w:r w:rsidRPr="006E56C4">
        <w:rPr>
          <w:rFonts w:cstheme="minorHAnsi"/>
          <w:b/>
          <w:sz w:val="20"/>
          <w:szCs w:val="20"/>
          <w:lang w:val="en-GB"/>
        </w:rPr>
        <w:t>Evaluation approach.</w:t>
      </w:r>
    </w:p>
    <w:p w14:paraId="1BD4EC6F" w14:textId="77777777" w:rsidR="00AB5FA9" w:rsidRPr="006E56C4" w:rsidRDefault="00AB5FA9" w:rsidP="00EB743C">
      <w:pPr>
        <w:pStyle w:val="ListParagraph"/>
        <w:numPr>
          <w:ilvl w:val="0"/>
          <w:numId w:val="36"/>
        </w:numPr>
        <w:spacing w:line="276" w:lineRule="auto"/>
        <w:ind w:left="720" w:right="760"/>
        <w:jc w:val="both"/>
        <w:rPr>
          <w:rFonts w:eastAsia="Arial" w:cstheme="minorHAnsi"/>
          <w:sz w:val="20"/>
          <w:szCs w:val="20"/>
          <w:vertAlign w:val="superscript"/>
          <w:lang w:val="en-GB"/>
        </w:rPr>
      </w:pPr>
      <w:r w:rsidRPr="006E56C4">
        <w:rPr>
          <w:rFonts w:cstheme="minorHAnsi"/>
          <w:b/>
          <w:sz w:val="20"/>
          <w:szCs w:val="20"/>
          <w:lang w:val="en-GB"/>
        </w:rPr>
        <w:lastRenderedPageBreak/>
        <w:t xml:space="preserve">Data sources: </w:t>
      </w:r>
      <w:r w:rsidRPr="006E56C4">
        <w:rPr>
          <w:rFonts w:cstheme="minorHAnsi"/>
          <w:sz w:val="20"/>
          <w:szCs w:val="20"/>
          <w:lang w:val="en-GB"/>
        </w:rPr>
        <w:t>the sources of information (documents reviewed and stakeholders) as</w:t>
      </w:r>
      <w:r w:rsidRPr="006E56C4">
        <w:rPr>
          <w:rFonts w:cstheme="minorHAnsi"/>
          <w:b/>
          <w:sz w:val="20"/>
          <w:szCs w:val="20"/>
          <w:lang w:val="en-GB"/>
        </w:rPr>
        <w:t xml:space="preserve"> </w:t>
      </w:r>
      <w:r w:rsidRPr="006E56C4">
        <w:rPr>
          <w:rFonts w:cstheme="minorHAnsi"/>
          <w:sz w:val="20"/>
          <w:szCs w:val="20"/>
          <w:lang w:val="en-GB"/>
        </w:rPr>
        <w:t>well as the rationale for their selection and how the information obtained addressed the evaluation questions.</w:t>
      </w:r>
    </w:p>
    <w:p w14:paraId="527F152C" w14:textId="77777777" w:rsidR="00AB5FA9" w:rsidRPr="006E56C4" w:rsidRDefault="00AB5FA9" w:rsidP="00EB743C">
      <w:pPr>
        <w:pStyle w:val="ListParagraph"/>
        <w:numPr>
          <w:ilvl w:val="0"/>
          <w:numId w:val="36"/>
        </w:numPr>
        <w:spacing w:line="276" w:lineRule="auto"/>
        <w:ind w:left="720" w:right="760"/>
        <w:jc w:val="both"/>
        <w:rPr>
          <w:rFonts w:eastAsia="Arial" w:cstheme="minorHAnsi"/>
          <w:sz w:val="20"/>
          <w:szCs w:val="20"/>
          <w:vertAlign w:val="superscript"/>
          <w:lang w:val="en-GB"/>
        </w:rPr>
      </w:pPr>
      <w:r w:rsidRPr="006E56C4">
        <w:rPr>
          <w:rFonts w:cstheme="minorHAnsi"/>
          <w:b/>
          <w:sz w:val="20"/>
          <w:szCs w:val="20"/>
          <w:lang w:val="en-GB"/>
        </w:rPr>
        <w:t xml:space="preserve">Sample and sampling frame. </w:t>
      </w:r>
      <w:r w:rsidRPr="006E56C4">
        <w:rPr>
          <w:rFonts w:cstheme="minorHAnsi"/>
          <w:sz w:val="20"/>
          <w:szCs w:val="20"/>
          <w:lang w:val="en-GB"/>
        </w:rPr>
        <w:t>If a sample was used: the sample size and</w:t>
      </w:r>
      <w:r w:rsidRPr="006E56C4">
        <w:rPr>
          <w:rFonts w:cstheme="minorHAnsi"/>
          <w:b/>
          <w:sz w:val="20"/>
          <w:szCs w:val="20"/>
          <w:lang w:val="en-GB"/>
        </w:rPr>
        <w:t xml:space="preserve"> </w:t>
      </w:r>
      <w:r w:rsidRPr="006E56C4">
        <w:rPr>
          <w:rFonts w:cstheme="minorHAnsi"/>
          <w:sz w:val="20"/>
          <w:szCs w:val="20"/>
          <w:lang w:val="en-GB"/>
        </w:rPr>
        <w:t>characteristics; the sample selection criteria (e.g., single women under age 45); the process for selecting the sample (e.g., random, purposive); if applicable, how comparison and treatment groups were assigned; and the extent to which the sample is representative of the entire target population, including discussion of the limitations of sample for generalizing results.</w:t>
      </w:r>
    </w:p>
    <w:p w14:paraId="705C1152" w14:textId="77777777" w:rsidR="00AB5FA9" w:rsidRPr="006E56C4" w:rsidRDefault="00AB5FA9" w:rsidP="00EB743C">
      <w:pPr>
        <w:pStyle w:val="ListParagraph"/>
        <w:numPr>
          <w:ilvl w:val="0"/>
          <w:numId w:val="36"/>
        </w:numPr>
        <w:spacing w:line="276" w:lineRule="auto"/>
        <w:ind w:left="720" w:right="760"/>
        <w:jc w:val="both"/>
        <w:rPr>
          <w:rFonts w:eastAsia="Arial" w:cstheme="minorHAnsi"/>
          <w:sz w:val="20"/>
          <w:szCs w:val="20"/>
          <w:vertAlign w:val="superscript"/>
          <w:lang w:val="en-GB"/>
        </w:rPr>
      </w:pPr>
      <w:r w:rsidRPr="006E56C4">
        <w:rPr>
          <w:rFonts w:cstheme="minorHAnsi"/>
          <w:b/>
          <w:sz w:val="20"/>
          <w:szCs w:val="20"/>
          <w:lang w:val="en-GB"/>
        </w:rPr>
        <w:t xml:space="preserve">Data-collection procedures and instruments: </w:t>
      </w:r>
      <w:r w:rsidRPr="006E56C4">
        <w:rPr>
          <w:rFonts w:cstheme="minorHAnsi"/>
          <w:sz w:val="20"/>
          <w:szCs w:val="20"/>
          <w:lang w:val="en-GB"/>
        </w:rPr>
        <w:t>methods or procedures used to collect</w:t>
      </w:r>
      <w:r w:rsidRPr="006E56C4">
        <w:rPr>
          <w:rFonts w:cstheme="minorHAnsi"/>
          <w:b/>
          <w:sz w:val="20"/>
          <w:szCs w:val="20"/>
          <w:lang w:val="en-GB"/>
        </w:rPr>
        <w:t xml:space="preserve"> </w:t>
      </w:r>
      <w:r w:rsidRPr="006E56C4">
        <w:rPr>
          <w:rFonts w:cstheme="minorHAnsi"/>
          <w:sz w:val="20"/>
          <w:szCs w:val="20"/>
          <w:lang w:val="en-GB"/>
        </w:rPr>
        <w:t>data, including discussion of data-collection instruments (e.g., interview protocols), their appropriateness for the data source, and evidence of their reliability and validity, as well as gender-responsiveness.</w:t>
      </w:r>
    </w:p>
    <w:p w14:paraId="17117CEA" w14:textId="77777777" w:rsidR="00AB5FA9" w:rsidRPr="006E56C4" w:rsidRDefault="00AB5FA9" w:rsidP="00EB743C">
      <w:pPr>
        <w:pStyle w:val="ListParagraph"/>
        <w:numPr>
          <w:ilvl w:val="0"/>
          <w:numId w:val="36"/>
        </w:numPr>
        <w:spacing w:line="276" w:lineRule="auto"/>
        <w:ind w:left="720" w:right="760"/>
        <w:jc w:val="both"/>
        <w:rPr>
          <w:rFonts w:eastAsia="Arial" w:cstheme="minorHAnsi"/>
          <w:sz w:val="20"/>
          <w:szCs w:val="20"/>
          <w:vertAlign w:val="superscript"/>
          <w:lang w:val="en-GB"/>
        </w:rPr>
      </w:pPr>
      <w:r w:rsidRPr="006E56C4">
        <w:rPr>
          <w:rFonts w:cstheme="minorHAnsi"/>
          <w:b/>
          <w:sz w:val="20"/>
          <w:szCs w:val="20"/>
          <w:lang w:val="en-GB"/>
        </w:rPr>
        <w:t>Performance standards:</w:t>
      </w:r>
      <w:r w:rsidRPr="006E56C4">
        <w:rPr>
          <w:rStyle w:val="FootnoteReference"/>
          <w:rFonts w:cstheme="minorHAnsi"/>
          <w:b/>
          <w:sz w:val="20"/>
          <w:szCs w:val="20"/>
          <w:lang w:val="en-GB"/>
        </w:rPr>
        <w:footnoteReference w:id="51"/>
      </w:r>
      <w:r w:rsidRPr="006E56C4">
        <w:rPr>
          <w:rFonts w:cstheme="minorHAnsi"/>
          <w:b/>
          <w:sz w:val="20"/>
          <w:szCs w:val="20"/>
          <w:lang w:val="en-GB"/>
        </w:rPr>
        <w:t xml:space="preserve"> </w:t>
      </w:r>
      <w:r w:rsidRPr="006E56C4">
        <w:rPr>
          <w:rFonts w:cstheme="minorHAnsi"/>
          <w:sz w:val="20"/>
          <w:szCs w:val="20"/>
          <w:lang w:val="en-GB"/>
        </w:rPr>
        <w:t>the standard or measure that will be used to evaluate</w:t>
      </w:r>
      <w:r w:rsidRPr="006E56C4">
        <w:rPr>
          <w:rFonts w:cstheme="minorHAnsi"/>
          <w:b/>
          <w:sz w:val="20"/>
          <w:szCs w:val="20"/>
          <w:lang w:val="en-GB"/>
        </w:rPr>
        <w:t xml:space="preserve"> </w:t>
      </w:r>
      <w:r w:rsidRPr="006E56C4">
        <w:rPr>
          <w:rFonts w:cstheme="minorHAnsi"/>
          <w:sz w:val="20"/>
          <w:szCs w:val="20"/>
          <w:lang w:val="en-GB"/>
        </w:rPr>
        <w:t>performance relative to the evaluation questions (e.g., national or regional indicators, rating scales).</w:t>
      </w:r>
    </w:p>
    <w:p w14:paraId="14F1D5E2" w14:textId="77777777" w:rsidR="00AB5FA9" w:rsidRPr="006E56C4" w:rsidRDefault="00AB5FA9" w:rsidP="00EB743C">
      <w:pPr>
        <w:pStyle w:val="ListParagraph"/>
        <w:numPr>
          <w:ilvl w:val="0"/>
          <w:numId w:val="36"/>
        </w:numPr>
        <w:spacing w:line="276" w:lineRule="auto"/>
        <w:ind w:left="720" w:right="760"/>
        <w:rPr>
          <w:rFonts w:eastAsia="Arial" w:cstheme="minorHAnsi"/>
          <w:sz w:val="20"/>
          <w:szCs w:val="20"/>
          <w:vertAlign w:val="superscript"/>
          <w:lang w:val="en-GB"/>
        </w:rPr>
      </w:pPr>
      <w:r w:rsidRPr="006E56C4">
        <w:rPr>
          <w:rFonts w:cstheme="minorHAnsi"/>
          <w:b/>
          <w:sz w:val="20"/>
          <w:szCs w:val="20"/>
          <w:lang w:val="en-GB"/>
        </w:rPr>
        <w:t xml:space="preserve">Stakeholder participation </w:t>
      </w:r>
      <w:r w:rsidRPr="006E56C4">
        <w:rPr>
          <w:rFonts w:cstheme="minorHAnsi"/>
          <w:sz w:val="20"/>
          <w:szCs w:val="20"/>
          <w:lang w:val="en-GB"/>
        </w:rPr>
        <w:t>in the evaluation and how the level of involvement of both</w:t>
      </w:r>
      <w:r w:rsidRPr="006E56C4">
        <w:rPr>
          <w:rFonts w:cstheme="minorHAnsi"/>
          <w:b/>
          <w:sz w:val="20"/>
          <w:szCs w:val="20"/>
          <w:lang w:val="en-GB"/>
        </w:rPr>
        <w:t xml:space="preserve"> </w:t>
      </w:r>
      <w:r w:rsidRPr="006E56C4">
        <w:rPr>
          <w:rFonts w:cstheme="minorHAnsi"/>
          <w:sz w:val="20"/>
          <w:szCs w:val="20"/>
          <w:lang w:val="en-GB"/>
        </w:rPr>
        <w:t>men and women contributed to the credibility of the evaluation and the results.</w:t>
      </w:r>
    </w:p>
    <w:p w14:paraId="1CA6ED69" w14:textId="77777777" w:rsidR="00AB5FA9" w:rsidRPr="006E56C4" w:rsidRDefault="00AB5FA9" w:rsidP="00EB743C">
      <w:pPr>
        <w:pStyle w:val="ListParagraph"/>
        <w:numPr>
          <w:ilvl w:val="0"/>
          <w:numId w:val="36"/>
        </w:numPr>
        <w:spacing w:line="276" w:lineRule="auto"/>
        <w:ind w:left="720" w:right="760"/>
        <w:rPr>
          <w:rFonts w:eastAsia="Arial" w:cstheme="minorHAnsi"/>
          <w:sz w:val="20"/>
          <w:szCs w:val="20"/>
          <w:vertAlign w:val="superscript"/>
          <w:lang w:val="en-GB"/>
        </w:rPr>
      </w:pPr>
      <w:r w:rsidRPr="006E56C4">
        <w:rPr>
          <w:rFonts w:cstheme="minorHAnsi"/>
          <w:b/>
          <w:sz w:val="20"/>
          <w:szCs w:val="20"/>
          <w:lang w:val="en-GB"/>
        </w:rPr>
        <w:t xml:space="preserve">Ethical considerations: </w:t>
      </w:r>
      <w:r w:rsidRPr="006E56C4">
        <w:rPr>
          <w:rFonts w:cstheme="minorHAnsi"/>
          <w:sz w:val="20"/>
          <w:szCs w:val="20"/>
          <w:lang w:val="en-GB"/>
        </w:rPr>
        <w:t>the measures taken to protect the rights and confidentiality</w:t>
      </w:r>
      <w:r w:rsidRPr="006E56C4">
        <w:rPr>
          <w:rFonts w:cstheme="minorHAnsi"/>
          <w:b/>
          <w:sz w:val="20"/>
          <w:szCs w:val="20"/>
          <w:lang w:val="en-GB"/>
        </w:rPr>
        <w:t xml:space="preserve"> </w:t>
      </w:r>
      <w:r w:rsidRPr="006E56C4">
        <w:rPr>
          <w:rFonts w:cstheme="minorHAnsi"/>
          <w:sz w:val="20"/>
          <w:szCs w:val="20"/>
          <w:lang w:val="en-GB"/>
        </w:rPr>
        <w:t>of informants (see UNEG ‘Ethical Guidelines for Evaluators’ for more information).</w:t>
      </w:r>
      <w:r w:rsidRPr="006E56C4">
        <w:rPr>
          <w:rStyle w:val="FootnoteReference"/>
          <w:rFonts w:cstheme="minorHAnsi"/>
          <w:sz w:val="20"/>
          <w:szCs w:val="20"/>
          <w:lang w:val="en-GB"/>
        </w:rPr>
        <w:footnoteReference w:id="52"/>
      </w:r>
    </w:p>
    <w:p w14:paraId="4AEE925C" w14:textId="77777777" w:rsidR="00AB5FA9" w:rsidRPr="006E56C4" w:rsidRDefault="00AB5FA9" w:rsidP="00EB743C">
      <w:pPr>
        <w:pStyle w:val="ListParagraph"/>
        <w:numPr>
          <w:ilvl w:val="0"/>
          <w:numId w:val="36"/>
        </w:numPr>
        <w:spacing w:line="276" w:lineRule="auto"/>
        <w:ind w:left="720" w:right="760"/>
        <w:jc w:val="both"/>
        <w:rPr>
          <w:rFonts w:eastAsia="Arial" w:cstheme="minorHAnsi"/>
          <w:sz w:val="20"/>
          <w:szCs w:val="20"/>
          <w:vertAlign w:val="superscript"/>
          <w:lang w:val="en-GB"/>
        </w:rPr>
      </w:pPr>
      <w:r w:rsidRPr="006E56C4">
        <w:rPr>
          <w:rFonts w:cstheme="minorHAnsi"/>
          <w:b/>
          <w:sz w:val="20"/>
          <w:szCs w:val="20"/>
          <w:lang w:val="en-GB"/>
        </w:rPr>
        <w:t xml:space="preserve">Background information on evaluators: </w:t>
      </w:r>
      <w:r w:rsidRPr="006E56C4">
        <w:rPr>
          <w:rFonts w:cstheme="minorHAnsi"/>
          <w:sz w:val="20"/>
          <w:szCs w:val="20"/>
          <w:lang w:val="en-GB"/>
        </w:rPr>
        <w:t>the composition of the evaluation team, the</w:t>
      </w:r>
      <w:r w:rsidRPr="006E56C4">
        <w:rPr>
          <w:rFonts w:cstheme="minorHAnsi"/>
          <w:b/>
          <w:sz w:val="20"/>
          <w:szCs w:val="20"/>
          <w:lang w:val="en-GB"/>
        </w:rPr>
        <w:t xml:space="preserve"> </w:t>
      </w:r>
      <w:r w:rsidRPr="006E56C4">
        <w:rPr>
          <w:rFonts w:cstheme="minorHAnsi"/>
          <w:sz w:val="20"/>
          <w:szCs w:val="20"/>
          <w:lang w:val="en-GB"/>
        </w:rPr>
        <w:t>background and skills of team members, and the appropriateness of the technical skill mix, gender balance and geographical representation for the evaluation.</w:t>
      </w:r>
    </w:p>
    <w:p w14:paraId="3D71BC9F" w14:textId="77777777" w:rsidR="00AB5FA9" w:rsidRPr="006E56C4" w:rsidRDefault="00AB5FA9" w:rsidP="00EB743C">
      <w:pPr>
        <w:pStyle w:val="ListParagraph"/>
        <w:numPr>
          <w:ilvl w:val="0"/>
          <w:numId w:val="36"/>
        </w:numPr>
        <w:spacing w:line="276" w:lineRule="auto"/>
        <w:ind w:left="720" w:right="760"/>
        <w:jc w:val="both"/>
        <w:rPr>
          <w:rFonts w:eastAsia="Arial" w:cstheme="minorHAnsi"/>
          <w:sz w:val="20"/>
          <w:szCs w:val="20"/>
          <w:vertAlign w:val="superscript"/>
          <w:lang w:val="en-GB"/>
        </w:rPr>
      </w:pPr>
      <w:r w:rsidRPr="006E56C4">
        <w:rPr>
          <w:rFonts w:cstheme="minorHAnsi"/>
          <w:b/>
          <w:sz w:val="20"/>
          <w:szCs w:val="20"/>
          <w:lang w:val="en-GB"/>
        </w:rPr>
        <w:t xml:space="preserve">Major limitations of the methodology </w:t>
      </w:r>
      <w:r w:rsidRPr="006E56C4">
        <w:rPr>
          <w:rFonts w:cstheme="minorHAnsi"/>
          <w:sz w:val="20"/>
          <w:szCs w:val="20"/>
          <w:lang w:val="en-GB"/>
        </w:rPr>
        <w:t>should be identified and openly discussed as</w:t>
      </w:r>
      <w:r w:rsidRPr="006E56C4">
        <w:rPr>
          <w:rFonts w:cstheme="minorHAnsi"/>
          <w:b/>
          <w:sz w:val="20"/>
          <w:szCs w:val="20"/>
          <w:lang w:val="en-GB"/>
        </w:rPr>
        <w:t xml:space="preserve"> </w:t>
      </w:r>
      <w:r w:rsidRPr="006E56C4">
        <w:rPr>
          <w:rFonts w:cstheme="minorHAnsi"/>
          <w:sz w:val="20"/>
          <w:szCs w:val="20"/>
          <w:lang w:val="en-GB"/>
        </w:rPr>
        <w:t>to their implications for evaluation, as well as steps taken to mitigate those limitations.</w:t>
      </w:r>
    </w:p>
    <w:p w14:paraId="4F5DFA80" w14:textId="77777777" w:rsidR="00AB5FA9" w:rsidRPr="006E56C4" w:rsidRDefault="00AB5FA9" w:rsidP="00AB5FA9">
      <w:pPr>
        <w:tabs>
          <w:tab w:val="left" w:pos="1440"/>
        </w:tabs>
        <w:ind w:right="760"/>
        <w:jc w:val="both"/>
        <w:rPr>
          <w:rFonts w:eastAsia="Arial" w:cstheme="minorHAnsi"/>
          <w:sz w:val="20"/>
          <w:szCs w:val="20"/>
          <w:vertAlign w:val="superscript"/>
          <w:lang w:val="en-GB"/>
        </w:rPr>
      </w:pPr>
    </w:p>
    <w:p w14:paraId="635FD910" w14:textId="77777777" w:rsidR="00AB5FA9" w:rsidRPr="006E56C4" w:rsidRDefault="00AB5FA9" w:rsidP="00EB743C">
      <w:pPr>
        <w:numPr>
          <w:ilvl w:val="0"/>
          <w:numId w:val="27"/>
        </w:numPr>
        <w:tabs>
          <w:tab w:val="left" w:pos="284"/>
        </w:tabs>
        <w:spacing w:line="276" w:lineRule="auto"/>
        <w:ind w:right="760"/>
        <w:jc w:val="both"/>
        <w:rPr>
          <w:rFonts w:cstheme="minorHAnsi"/>
          <w:sz w:val="20"/>
          <w:szCs w:val="20"/>
          <w:lang w:val="en-GB"/>
        </w:rPr>
      </w:pPr>
      <w:r w:rsidRPr="006E56C4">
        <w:rPr>
          <w:rFonts w:cstheme="minorHAnsi"/>
          <w:b/>
          <w:sz w:val="20"/>
          <w:szCs w:val="20"/>
          <w:lang w:val="en-GB"/>
        </w:rPr>
        <w:t xml:space="preserve">Data analysis. </w:t>
      </w:r>
      <w:r w:rsidRPr="006E56C4">
        <w:rPr>
          <w:rFonts w:cstheme="minorHAnsi"/>
          <w:sz w:val="20"/>
          <w:szCs w:val="20"/>
          <w:lang w:val="en-GB"/>
        </w:rPr>
        <w:t>The report should describe the procedures used to analyse the data collected</w:t>
      </w:r>
      <w:r w:rsidRPr="006E56C4">
        <w:rPr>
          <w:rFonts w:cstheme="minorHAnsi"/>
          <w:b/>
          <w:sz w:val="20"/>
          <w:szCs w:val="20"/>
          <w:lang w:val="en-GB"/>
        </w:rPr>
        <w:t xml:space="preserve"> </w:t>
      </w:r>
      <w:r w:rsidRPr="006E56C4">
        <w:rPr>
          <w:rFonts w:cstheme="minorHAnsi"/>
          <w:sz w:val="20"/>
          <w:szCs w:val="20"/>
          <w:lang w:val="en-GB"/>
        </w:rPr>
        <w:t>to answer the evaluation questions. It should detail the various steps and stages of analysis that were carried out, including the steps to confirm the accuracy of data and the results for different stakeholder groups (men and women, different social groups, etc.). The report also should discuss the appropriateness of the analyses to the evaluation questions. Potential weaknesses in the data analysis and gaps or limitations of the data should be discussed, including their possible influence on the way findings may be interpreted and conclusions drawn.</w:t>
      </w:r>
    </w:p>
    <w:p w14:paraId="6F172F79" w14:textId="77777777" w:rsidR="00AB5FA9" w:rsidRPr="006E56C4" w:rsidRDefault="00AB5FA9" w:rsidP="00AB5FA9">
      <w:pPr>
        <w:rPr>
          <w:rFonts w:cstheme="minorHAnsi"/>
          <w:sz w:val="20"/>
          <w:szCs w:val="20"/>
          <w:lang w:val="en-GB"/>
        </w:rPr>
      </w:pPr>
    </w:p>
    <w:p w14:paraId="67852E0A" w14:textId="77777777" w:rsidR="00AB5FA9" w:rsidRPr="006E56C4" w:rsidRDefault="00AB5FA9" w:rsidP="00EB743C">
      <w:pPr>
        <w:numPr>
          <w:ilvl w:val="0"/>
          <w:numId w:val="27"/>
        </w:numPr>
        <w:tabs>
          <w:tab w:val="left" w:pos="426"/>
        </w:tabs>
        <w:spacing w:line="276" w:lineRule="auto"/>
        <w:ind w:right="760"/>
        <w:jc w:val="both"/>
        <w:rPr>
          <w:rFonts w:cstheme="minorHAnsi"/>
          <w:sz w:val="20"/>
          <w:szCs w:val="20"/>
          <w:lang w:val="en-GB"/>
        </w:rPr>
      </w:pPr>
      <w:r w:rsidRPr="006E56C4">
        <w:rPr>
          <w:rFonts w:cstheme="minorHAnsi"/>
          <w:b/>
          <w:sz w:val="20"/>
          <w:szCs w:val="20"/>
          <w:lang w:val="en-GB"/>
        </w:rPr>
        <w:t xml:space="preserve">Findings </w:t>
      </w:r>
      <w:r w:rsidRPr="006E56C4">
        <w:rPr>
          <w:rFonts w:cstheme="minorHAnsi"/>
          <w:sz w:val="20"/>
          <w:szCs w:val="20"/>
          <w:lang w:val="en-GB"/>
        </w:rPr>
        <w:t>should be presented as statements of fact that are based on analysis of the data.</w:t>
      </w:r>
      <w:r w:rsidRPr="006E56C4">
        <w:rPr>
          <w:rFonts w:cstheme="minorHAnsi"/>
          <w:b/>
          <w:sz w:val="20"/>
          <w:szCs w:val="20"/>
          <w:lang w:val="en-GB"/>
        </w:rPr>
        <w:t xml:space="preserve"> </w:t>
      </w:r>
      <w:r w:rsidRPr="006E56C4">
        <w:rPr>
          <w:rFonts w:cstheme="minorHAnsi"/>
          <w:sz w:val="20"/>
          <w:szCs w:val="20"/>
          <w:lang w:val="en-GB"/>
        </w:rPr>
        <w:t>They should be structured around the evaluation questions so that report users can readily make the connection between what was asked and what was found. Variances between planned and actual results should be explained, as well as factors affecting the achievement of intended results. Assumptions or risks in the project or programme design that subsequently affected implementation should be discussed. Findings should reflect a gender analysis and cross-cutting issue questions.</w:t>
      </w:r>
    </w:p>
    <w:p w14:paraId="7B4423D9" w14:textId="77777777" w:rsidR="00AB5FA9" w:rsidRPr="006E56C4" w:rsidRDefault="00AB5FA9" w:rsidP="00AB5FA9">
      <w:pPr>
        <w:tabs>
          <w:tab w:val="left" w:pos="426"/>
        </w:tabs>
        <w:ind w:right="760"/>
        <w:jc w:val="both"/>
        <w:rPr>
          <w:rFonts w:cstheme="minorHAnsi"/>
          <w:sz w:val="20"/>
          <w:szCs w:val="20"/>
          <w:lang w:val="en-GB"/>
        </w:rPr>
      </w:pPr>
    </w:p>
    <w:p w14:paraId="00204375" w14:textId="77777777" w:rsidR="00AB5FA9" w:rsidRPr="006E56C4" w:rsidRDefault="00AB5FA9" w:rsidP="00EB743C">
      <w:pPr>
        <w:numPr>
          <w:ilvl w:val="0"/>
          <w:numId w:val="27"/>
        </w:numPr>
        <w:tabs>
          <w:tab w:val="left" w:pos="426"/>
        </w:tabs>
        <w:spacing w:line="276" w:lineRule="auto"/>
        <w:ind w:right="760"/>
        <w:jc w:val="both"/>
        <w:rPr>
          <w:rFonts w:cstheme="minorHAnsi"/>
          <w:sz w:val="20"/>
          <w:szCs w:val="20"/>
          <w:lang w:val="en-GB"/>
        </w:rPr>
      </w:pPr>
      <w:r w:rsidRPr="006E56C4">
        <w:rPr>
          <w:rFonts w:cstheme="minorHAnsi"/>
          <w:b/>
          <w:sz w:val="20"/>
          <w:szCs w:val="20"/>
          <w:lang w:val="en-GB"/>
        </w:rPr>
        <w:t xml:space="preserve">Conclusions </w:t>
      </w:r>
      <w:r w:rsidRPr="006E56C4">
        <w:rPr>
          <w:rFonts w:cstheme="minorHAnsi"/>
          <w:sz w:val="20"/>
          <w:szCs w:val="20"/>
          <w:lang w:val="en-GB"/>
        </w:rPr>
        <w:t>should be comprehensive and balanced and highlight the strengths, weaknesses</w:t>
      </w:r>
      <w:r w:rsidRPr="006E56C4">
        <w:rPr>
          <w:rFonts w:cstheme="minorHAnsi"/>
          <w:b/>
          <w:sz w:val="20"/>
          <w:szCs w:val="20"/>
          <w:lang w:val="en-GB"/>
        </w:rPr>
        <w:t xml:space="preserve"> </w:t>
      </w:r>
      <w:r w:rsidRPr="006E56C4">
        <w:rPr>
          <w:rFonts w:cstheme="minorHAnsi"/>
          <w:sz w:val="20"/>
          <w:szCs w:val="20"/>
          <w:lang w:val="en-GB"/>
        </w:rPr>
        <w:t xml:space="preserve">and outcomes of the intervention. They should be well substantiated by the evidence and logically connected to evaluation findings. They should respond to key evaluation questions and provide </w:t>
      </w:r>
      <w:r w:rsidRPr="006E56C4">
        <w:rPr>
          <w:rFonts w:cstheme="minorHAnsi"/>
          <w:sz w:val="20"/>
          <w:szCs w:val="20"/>
          <w:lang w:val="en-GB"/>
        </w:rPr>
        <w:lastRenderedPageBreak/>
        <w:t>insights into the identification of and/or solutions to important problems or issues pertinent to the decision-making of intended users, including issues in relation to gender equality and women’s empowerment.</w:t>
      </w:r>
    </w:p>
    <w:p w14:paraId="70C88A49" w14:textId="77777777" w:rsidR="00AB5FA9" w:rsidRPr="006E56C4" w:rsidRDefault="00AB5FA9" w:rsidP="00AB5FA9">
      <w:pPr>
        <w:tabs>
          <w:tab w:val="left" w:pos="426"/>
        </w:tabs>
        <w:ind w:right="760"/>
        <w:jc w:val="both"/>
        <w:rPr>
          <w:rFonts w:cstheme="minorHAnsi"/>
          <w:sz w:val="20"/>
          <w:szCs w:val="20"/>
          <w:lang w:val="en-GB"/>
        </w:rPr>
      </w:pPr>
    </w:p>
    <w:p w14:paraId="586E07DC" w14:textId="77777777" w:rsidR="00AB5FA9" w:rsidRPr="006E56C4" w:rsidRDefault="00AB5FA9" w:rsidP="00EB743C">
      <w:pPr>
        <w:numPr>
          <w:ilvl w:val="0"/>
          <w:numId w:val="27"/>
        </w:numPr>
        <w:tabs>
          <w:tab w:val="left" w:pos="426"/>
        </w:tabs>
        <w:spacing w:line="276" w:lineRule="auto"/>
        <w:ind w:right="760"/>
        <w:jc w:val="both"/>
        <w:rPr>
          <w:rFonts w:cstheme="minorHAnsi"/>
          <w:sz w:val="20"/>
          <w:szCs w:val="20"/>
          <w:lang w:val="en-GB"/>
        </w:rPr>
      </w:pPr>
      <w:r w:rsidRPr="006E56C4">
        <w:rPr>
          <w:rFonts w:cstheme="minorHAnsi"/>
          <w:b/>
          <w:sz w:val="20"/>
          <w:szCs w:val="20"/>
          <w:lang w:val="en-GB"/>
        </w:rPr>
        <w:t xml:space="preserve">Recommendations. </w:t>
      </w:r>
      <w:r w:rsidRPr="006E56C4">
        <w:rPr>
          <w:rFonts w:cstheme="minorHAnsi"/>
          <w:sz w:val="20"/>
          <w:szCs w:val="20"/>
          <w:lang w:val="en-GB"/>
        </w:rPr>
        <w:t>The report should provide practical, actionable and feasible</w:t>
      </w:r>
      <w:r w:rsidRPr="006E56C4">
        <w:rPr>
          <w:rFonts w:cstheme="minorHAnsi"/>
          <w:b/>
          <w:sz w:val="20"/>
          <w:szCs w:val="20"/>
          <w:lang w:val="en-GB"/>
        </w:rPr>
        <w:t xml:space="preserve"> </w:t>
      </w:r>
      <w:r w:rsidRPr="006E56C4">
        <w:rPr>
          <w:rFonts w:cstheme="minorHAnsi"/>
          <w:sz w:val="20"/>
          <w:szCs w:val="20"/>
          <w:lang w:val="en-GB"/>
        </w:rPr>
        <w:t>recommendations directed to the intended users of the report about what actions to take or decisions to make. Recommendations should be reasonable in number. The recommendations should be specifically supported by the evidence and linked to the findings and conclusions around key questions addressed by the evaluation. They should address sustainability of the initiative and comment on the adequacy of the project exit strategy, if applicable. Recommendations should also provide specific advice for future or similar projects or programming. Recommendations should also address any gender equality and women’s empowerment issues and priorities for action to improve these aspects.</w:t>
      </w:r>
    </w:p>
    <w:p w14:paraId="10305605" w14:textId="77777777" w:rsidR="00AB5FA9" w:rsidRPr="006E56C4" w:rsidRDefault="00AB5FA9" w:rsidP="00AB5FA9">
      <w:pPr>
        <w:tabs>
          <w:tab w:val="left" w:pos="426"/>
        </w:tabs>
        <w:ind w:right="760"/>
        <w:jc w:val="both"/>
        <w:rPr>
          <w:rFonts w:cstheme="minorHAnsi"/>
          <w:sz w:val="20"/>
          <w:szCs w:val="20"/>
          <w:lang w:val="en-GB"/>
        </w:rPr>
      </w:pPr>
    </w:p>
    <w:p w14:paraId="2960C227" w14:textId="77777777" w:rsidR="00AB5FA9" w:rsidRPr="006E56C4" w:rsidRDefault="00AB5FA9" w:rsidP="00EB743C">
      <w:pPr>
        <w:numPr>
          <w:ilvl w:val="0"/>
          <w:numId w:val="27"/>
        </w:numPr>
        <w:tabs>
          <w:tab w:val="left" w:pos="426"/>
        </w:tabs>
        <w:spacing w:line="276" w:lineRule="auto"/>
        <w:ind w:right="760"/>
        <w:jc w:val="both"/>
        <w:rPr>
          <w:rFonts w:cstheme="minorHAnsi"/>
          <w:sz w:val="20"/>
          <w:szCs w:val="20"/>
          <w:lang w:val="en-GB"/>
        </w:rPr>
      </w:pPr>
      <w:r w:rsidRPr="006E56C4">
        <w:rPr>
          <w:rFonts w:cstheme="minorHAnsi"/>
          <w:b/>
          <w:sz w:val="20"/>
          <w:szCs w:val="20"/>
          <w:lang w:val="en-GB"/>
        </w:rPr>
        <w:t xml:space="preserve">Lessons learned. </w:t>
      </w:r>
      <w:r w:rsidRPr="006E56C4">
        <w:rPr>
          <w:rFonts w:cstheme="minorHAnsi"/>
          <w:sz w:val="20"/>
          <w:szCs w:val="20"/>
          <w:lang w:val="en-GB"/>
        </w:rPr>
        <w:t>As appropriate and/or if requested by the TOR, the report should include</w:t>
      </w:r>
      <w:r w:rsidRPr="006E56C4">
        <w:rPr>
          <w:rFonts w:cstheme="minorHAnsi"/>
          <w:b/>
          <w:sz w:val="20"/>
          <w:szCs w:val="20"/>
          <w:lang w:val="en-GB"/>
        </w:rPr>
        <w:t xml:space="preserve"> </w:t>
      </w:r>
      <w:r w:rsidRPr="006E56C4">
        <w:rPr>
          <w:rFonts w:cstheme="minorHAnsi"/>
          <w:sz w:val="20"/>
          <w:szCs w:val="20"/>
          <w:lang w:val="en-GB"/>
        </w:rPr>
        <w:t>discussion of lessons learned from the evaluation, that is, new knowledge gained from the particular circumstance (intervention, context outcomes, even about evaluation methods) that are applicable to a similar context. Lessons should be concise and based on specific evidence presented in the report.</w:t>
      </w:r>
    </w:p>
    <w:p w14:paraId="00051ED3" w14:textId="77777777" w:rsidR="00AB5FA9" w:rsidRPr="006E56C4" w:rsidRDefault="00AB5FA9" w:rsidP="00AB5FA9">
      <w:pPr>
        <w:tabs>
          <w:tab w:val="left" w:pos="426"/>
        </w:tabs>
        <w:ind w:right="760"/>
        <w:jc w:val="both"/>
        <w:rPr>
          <w:rFonts w:cstheme="minorHAnsi"/>
          <w:sz w:val="20"/>
          <w:szCs w:val="20"/>
          <w:lang w:val="en-GB"/>
        </w:rPr>
      </w:pPr>
    </w:p>
    <w:p w14:paraId="5F7C3128" w14:textId="77777777" w:rsidR="00AB5FA9" w:rsidRPr="006E56C4" w:rsidRDefault="00AB5FA9" w:rsidP="00EB743C">
      <w:pPr>
        <w:numPr>
          <w:ilvl w:val="0"/>
          <w:numId w:val="27"/>
        </w:numPr>
        <w:tabs>
          <w:tab w:val="left" w:pos="426"/>
        </w:tabs>
        <w:spacing w:line="276" w:lineRule="auto"/>
        <w:ind w:right="760"/>
        <w:jc w:val="both"/>
        <w:rPr>
          <w:rFonts w:cstheme="minorHAnsi"/>
          <w:sz w:val="20"/>
          <w:szCs w:val="20"/>
          <w:lang w:val="en-GB"/>
        </w:rPr>
      </w:pPr>
      <w:r w:rsidRPr="006E56C4">
        <w:rPr>
          <w:rFonts w:cstheme="minorHAnsi"/>
          <w:b/>
          <w:sz w:val="20"/>
          <w:szCs w:val="20"/>
          <w:lang w:val="en-GB"/>
        </w:rPr>
        <w:t xml:space="preserve">Report annexes. </w:t>
      </w:r>
      <w:r w:rsidRPr="006E56C4">
        <w:rPr>
          <w:rFonts w:cstheme="minorHAnsi"/>
          <w:sz w:val="20"/>
          <w:szCs w:val="20"/>
          <w:lang w:val="en-GB"/>
        </w:rPr>
        <w:t>Suggested annexes should include the following to provide the report user</w:t>
      </w:r>
      <w:r w:rsidRPr="006E56C4">
        <w:rPr>
          <w:rFonts w:cstheme="minorHAnsi"/>
          <w:b/>
          <w:sz w:val="20"/>
          <w:szCs w:val="20"/>
          <w:lang w:val="en-GB"/>
        </w:rPr>
        <w:t xml:space="preserve"> </w:t>
      </w:r>
      <w:r w:rsidRPr="006E56C4">
        <w:rPr>
          <w:rFonts w:cstheme="minorHAnsi"/>
          <w:sz w:val="20"/>
          <w:szCs w:val="20"/>
          <w:lang w:val="en-GB"/>
        </w:rPr>
        <w:t>with supplemental background and methodological details that enhance the credibility of the report:</w:t>
      </w:r>
    </w:p>
    <w:p w14:paraId="3A76C7B1" w14:textId="77777777" w:rsidR="00AB5FA9" w:rsidRPr="006E56C4" w:rsidRDefault="00AB5FA9" w:rsidP="00AB5FA9">
      <w:pPr>
        <w:tabs>
          <w:tab w:val="left" w:pos="720"/>
        </w:tabs>
        <w:ind w:right="760"/>
        <w:jc w:val="both"/>
        <w:rPr>
          <w:rFonts w:cstheme="minorHAnsi"/>
          <w:sz w:val="20"/>
          <w:szCs w:val="20"/>
          <w:lang w:val="en-GB"/>
        </w:rPr>
      </w:pPr>
    </w:p>
    <w:p w14:paraId="79D791D0" w14:textId="77777777" w:rsidR="00AB5FA9" w:rsidRPr="006E56C4" w:rsidRDefault="00AB5FA9" w:rsidP="00EB743C">
      <w:pPr>
        <w:pStyle w:val="ListParagraph"/>
        <w:numPr>
          <w:ilvl w:val="0"/>
          <w:numId w:val="35"/>
        </w:numPr>
        <w:tabs>
          <w:tab w:val="left" w:pos="851"/>
        </w:tabs>
        <w:spacing w:line="276" w:lineRule="auto"/>
        <w:rPr>
          <w:rFonts w:cstheme="minorHAnsi"/>
          <w:sz w:val="20"/>
          <w:szCs w:val="20"/>
          <w:lang w:val="en-GB"/>
        </w:rPr>
      </w:pPr>
      <w:r w:rsidRPr="006E56C4">
        <w:rPr>
          <w:rFonts w:cstheme="minorHAnsi"/>
          <w:sz w:val="20"/>
          <w:szCs w:val="20"/>
          <w:lang w:val="en-GB"/>
        </w:rPr>
        <w:t>TOR for the evaluation.</w:t>
      </w:r>
    </w:p>
    <w:p w14:paraId="5E01C176" w14:textId="77777777" w:rsidR="00AB5FA9" w:rsidRPr="006E56C4" w:rsidRDefault="00AB5FA9" w:rsidP="00EB743C">
      <w:pPr>
        <w:pStyle w:val="ListParagraph"/>
        <w:numPr>
          <w:ilvl w:val="0"/>
          <w:numId w:val="35"/>
        </w:numPr>
        <w:tabs>
          <w:tab w:val="left" w:pos="851"/>
        </w:tabs>
        <w:spacing w:line="276" w:lineRule="auto"/>
        <w:ind w:right="760"/>
        <w:jc w:val="both"/>
        <w:rPr>
          <w:rFonts w:cstheme="minorHAnsi"/>
          <w:sz w:val="20"/>
          <w:szCs w:val="20"/>
          <w:lang w:val="en-GB"/>
        </w:rPr>
      </w:pPr>
      <w:r w:rsidRPr="006E56C4">
        <w:rPr>
          <w:rFonts w:cstheme="minorHAnsi"/>
          <w:sz w:val="20"/>
          <w:szCs w:val="20"/>
          <w:lang w:val="en-GB"/>
        </w:rPr>
        <w:t>Additional methodology-related documentation, such as the evaluation matrix and data-collection instruments (questionnaires, interview guides, observation protocols, etc.) as appropriate.</w:t>
      </w:r>
    </w:p>
    <w:p w14:paraId="0467B119" w14:textId="77777777" w:rsidR="00AB5FA9" w:rsidRPr="006E56C4" w:rsidRDefault="00AB5FA9" w:rsidP="00EB743C">
      <w:pPr>
        <w:pStyle w:val="ListParagraph"/>
        <w:numPr>
          <w:ilvl w:val="0"/>
          <w:numId w:val="35"/>
        </w:numPr>
        <w:tabs>
          <w:tab w:val="left" w:pos="851"/>
        </w:tabs>
        <w:spacing w:line="276" w:lineRule="auto"/>
        <w:ind w:right="760"/>
        <w:jc w:val="both"/>
        <w:rPr>
          <w:rFonts w:cstheme="minorHAnsi"/>
          <w:sz w:val="20"/>
          <w:szCs w:val="20"/>
          <w:lang w:val="en-GB"/>
        </w:rPr>
      </w:pPr>
      <w:r w:rsidRPr="006E56C4">
        <w:rPr>
          <w:rFonts w:cstheme="minorHAnsi"/>
          <w:sz w:val="20"/>
          <w:szCs w:val="20"/>
          <w:lang w:val="en-GB"/>
        </w:rPr>
        <w:t>List of individuals or groups interviewed or consulted, and sites visited. This can be omitted in the interest of confidentiality if agreed by the evaluation team and UNDP.</w:t>
      </w:r>
    </w:p>
    <w:p w14:paraId="1901CEC5" w14:textId="77777777" w:rsidR="00AB5FA9" w:rsidRPr="006E56C4" w:rsidRDefault="00AB5FA9" w:rsidP="00EB743C">
      <w:pPr>
        <w:pStyle w:val="ListParagraph"/>
        <w:numPr>
          <w:ilvl w:val="0"/>
          <w:numId w:val="35"/>
        </w:numPr>
        <w:tabs>
          <w:tab w:val="left" w:pos="851"/>
        </w:tabs>
        <w:spacing w:line="276" w:lineRule="auto"/>
        <w:ind w:right="760"/>
        <w:jc w:val="both"/>
        <w:rPr>
          <w:rFonts w:cstheme="minorHAnsi"/>
          <w:sz w:val="20"/>
          <w:szCs w:val="20"/>
          <w:lang w:val="en-GB"/>
        </w:rPr>
      </w:pPr>
      <w:r w:rsidRPr="006E56C4">
        <w:rPr>
          <w:rFonts w:cstheme="minorHAnsi"/>
          <w:sz w:val="20"/>
          <w:szCs w:val="20"/>
          <w:lang w:val="en-GB"/>
        </w:rPr>
        <w:t>List of supporting documents reviewed.</w:t>
      </w:r>
    </w:p>
    <w:p w14:paraId="7566285D" w14:textId="77777777" w:rsidR="00AB5FA9" w:rsidRPr="006E56C4" w:rsidRDefault="00AB5FA9" w:rsidP="00EB743C">
      <w:pPr>
        <w:pStyle w:val="ListParagraph"/>
        <w:numPr>
          <w:ilvl w:val="0"/>
          <w:numId w:val="35"/>
        </w:numPr>
        <w:tabs>
          <w:tab w:val="left" w:pos="851"/>
        </w:tabs>
        <w:spacing w:line="276" w:lineRule="auto"/>
        <w:rPr>
          <w:rFonts w:cstheme="minorHAnsi"/>
          <w:sz w:val="20"/>
          <w:szCs w:val="20"/>
          <w:lang w:val="en-GB"/>
        </w:rPr>
      </w:pPr>
      <w:r w:rsidRPr="006E56C4">
        <w:rPr>
          <w:rFonts w:cstheme="minorHAnsi"/>
          <w:sz w:val="20"/>
          <w:szCs w:val="20"/>
          <w:lang w:val="en-GB"/>
        </w:rPr>
        <w:t>Project or programme results model or results framework.</w:t>
      </w:r>
    </w:p>
    <w:p w14:paraId="6B277EF4" w14:textId="77777777" w:rsidR="00AB5FA9" w:rsidRPr="006E56C4" w:rsidRDefault="00AB5FA9" w:rsidP="00EB743C">
      <w:pPr>
        <w:pStyle w:val="ListParagraph"/>
        <w:numPr>
          <w:ilvl w:val="0"/>
          <w:numId w:val="35"/>
        </w:numPr>
        <w:tabs>
          <w:tab w:val="left" w:pos="851"/>
        </w:tabs>
        <w:spacing w:line="276" w:lineRule="auto"/>
        <w:ind w:right="760"/>
        <w:rPr>
          <w:rFonts w:cstheme="minorHAnsi"/>
          <w:sz w:val="20"/>
          <w:szCs w:val="20"/>
          <w:lang w:val="en-GB"/>
        </w:rPr>
      </w:pPr>
      <w:r w:rsidRPr="006E56C4">
        <w:rPr>
          <w:rFonts w:cstheme="minorHAnsi"/>
          <w:sz w:val="20"/>
          <w:szCs w:val="20"/>
          <w:lang w:val="en-GB"/>
        </w:rPr>
        <w:t>Summary tables of findings, such as tables displaying progress towards outputs, targets and goals relative to established indicators.</w:t>
      </w:r>
    </w:p>
    <w:p w14:paraId="653E4A8E" w14:textId="77777777" w:rsidR="00AB5FA9" w:rsidRPr="006E56C4" w:rsidRDefault="00AB5FA9" w:rsidP="00EB743C">
      <w:pPr>
        <w:pStyle w:val="ListParagraph"/>
        <w:numPr>
          <w:ilvl w:val="0"/>
          <w:numId w:val="35"/>
        </w:numPr>
        <w:tabs>
          <w:tab w:val="left" w:pos="851"/>
        </w:tabs>
        <w:spacing w:line="276" w:lineRule="auto"/>
        <w:ind w:right="760"/>
        <w:rPr>
          <w:rFonts w:cstheme="minorHAnsi"/>
          <w:sz w:val="20"/>
          <w:szCs w:val="20"/>
          <w:lang w:val="en-GB"/>
        </w:rPr>
      </w:pPr>
      <w:r w:rsidRPr="006E56C4">
        <w:rPr>
          <w:rFonts w:cstheme="minorHAnsi"/>
          <w:sz w:val="20"/>
          <w:szCs w:val="20"/>
          <w:lang w:val="en-GB"/>
        </w:rPr>
        <w:t>Code of conduct signed by evaluators.</w:t>
      </w:r>
    </w:p>
    <w:p w14:paraId="21BF036D" w14:textId="77777777" w:rsidR="00AB5FA9" w:rsidRPr="006E56C4" w:rsidRDefault="00AB5FA9" w:rsidP="00AB5FA9">
      <w:pPr>
        <w:rPr>
          <w:rFonts w:eastAsia="Times New Roman" w:cstheme="minorHAnsi"/>
          <w:sz w:val="20"/>
          <w:szCs w:val="20"/>
          <w:lang w:val="en-GB"/>
        </w:rPr>
      </w:pPr>
    </w:p>
    <w:p w14:paraId="37F33E45" w14:textId="77777777" w:rsidR="00AB5FA9" w:rsidRPr="006E56C4" w:rsidRDefault="00AB5FA9" w:rsidP="00AB5FA9">
      <w:pPr>
        <w:rPr>
          <w:rFonts w:eastAsia="Times New Roman" w:cstheme="minorHAnsi"/>
          <w:lang w:val="en-GB"/>
        </w:rPr>
      </w:pPr>
    </w:p>
    <w:p w14:paraId="09A8B676" w14:textId="77777777" w:rsidR="00AB5FA9" w:rsidRPr="006E56C4" w:rsidRDefault="00AB5FA9" w:rsidP="00AB5FA9">
      <w:pPr>
        <w:rPr>
          <w:rFonts w:eastAsia="Times New Roman" w:cstheme="minorHAnsi"/>
          <w:lang w:val="en-GB"/>
        </w:rPr>
      </w:pPr>
      <w:r w:rsidRPr="006E56C4">
        <w:rPr>
          <w:rFonts w:eastAsia="Times New Roman" w:cstheme="minorHAnsi"/>
          <w:lang w:val="en-GB"/>
        </w:rPr>
        <w:br w:type="page"/>
      </w:r>
    </w:p>
    <w:p w14:paraId="286C74BB" w14:textId="77777777" w:rsidR="00AB5FA9" w:rsidRPr="006E56C4" w:rsidRDefault="00AB5FA9" w:rsidP="00AB5FA9">
      <w:pPr>
        <w:jc w:val="right"/>
        <w:rPr>
          <w:rFonts w:cstheme="minorHAnsi"/>
          <w:b/>
          <w:lang w:val="en-GB"/>
        </w:rPr>
      </w:pPr>
      <w:r w:rsidRPr="006E56C4">
        <w:rPr>
          <w:rFonts w:cstheme="minorHAnsi"/>
          <w:b/>
          <w:lang w:val="en-GB"/>
        </w:rPr>
        <w:lastRenderedPageBreak/>
        <w:t>Annex 3</w:t>
      </w:r>
    </w:p>
    <w:p w14:paraId="63C6F5AF" w14:textId="77777777" w:rsidR="00AB5FA9" w:rsidRPr="006E56C4" w:rsidRDefault="00AB5FA9" w:rsidP="00AB5FA9">
      <w:pPr>
        <w:jc w:val="center"/>
        <w:rPr>
          <w:rFonts w:cstheme="minorHAnsi"/>
          <w:b/>
          <w:lang w:val="en-GB"/>
        </w:rPr>
      </w:pPr>
      <w:r w:rsidRPr="006E56C4">
        <w:rPr>
          <w:rFonts w:cstheme="minorHAnsi"/>
          <w:b/>
          <w:lang w:val="en-GB"/>
        </w:rPr>
        <w:t>Evaluation Report Quality Assessment Requirements</w:t>
      </w:r>
    </w:p>
    <w:p w14:paraId="62CC2CEA" w14:textId="77777777" w:rsidR="00AB5FA9" w:rsidRPr="006E56C4" w:rsidRDefault="00AB5FA9" w:rsidP="00AB5FA9">
      <w:pPr>
        <w:jc w:val="center"/>
        <w:rPr>
          <w:rFonts w:cstheme="minorHAnsi"/>
          <w:b/>
          <w:sz w:val="10"/>
          <w:szCs w:val="10"/>
          <w:lang w:val="en-GB"/>
        </w:rPr>
      </w:pPr>
    </w:p>
    <w:tbl>
      <w:tblPr>
        <w:tblW w:w="9918" w:type="dxa"/>
        <w:tblLook w:val="04A0" w:firstRow="1" w:lastRow="0" w:firstColumn="1" w:lastColumn="0" w:noHBand="0" w:noVBand="1"/>
      </w:tblPr>
      <w:tblGrid>
        <w:gridCol w:w="618"/>
        <w:gridCol w:w="9300"/>
      </w:tblGrid>
      <w:tr w:rsidR="00AB5FA9" w:rsidRPr="006E56C4" w14:paraId="3C2A1859" w14:textId="77777777" w:rsidTr="00AB5FA9">
        <w:tc>
          <w:tcPr>
            <w:tcW w:w="9918" w:type="dxa"/>
            <w:gridSpan w:val="2"/>
            <w:shd w:val="clear" w:color="auto" w:fill="B8CCE4" w:themeFill="accent1" w:themeFillTint="66"/>
          </w:tcPr>
          <w:p w14:paraId="4DE3EDE4" w14:textId="77777777" w:rsidR="00AB5FA9" w:rsidRPr="006E56C4" w:rsidRDefault="00AB5FA9" w:rsidP="00AB5FA9">
            <w:pPr>
              <w:rPr>
                <w:rFonts w:cstheme="minorHAnsi"/>
                <w:b/>
                <w:sz w:val="20"/>
                <w:szCs w:val="20"/>
                <w:lang w:val="en-GB"/>
              </w:rPr>
            </w:pPr>
            <w:r w:rsidRPr="006E56C4">
              <w:rPr>
                <w:rFonts w:cstheme="minorHAnsi"/>
                <w:b/>
                <w:sz w:val="20"/>
                <w:szCs w:val="20"/>
                <w:lang w:val="en-GB"/>
              </w:rPr>
              <w:t>Are the evaluation report’s objectives, criteria, methodology and data sources fully described and are they appropriate given the subject being evaluated and the reasons for carrying out the evaluation?</w:t>
            </w:r>
          </w:p>
        </w:tc>
      </w:tr>
      <w:tr w:rsidR="00AB5FA9" w:rsidRPr="006E56C4" w14:paraId="4F20930D" w14:textId="77777777" w:rsidTr="00AB5FA9">
        <w:tc>
          <w:tcPr>
            <w:tcW w:w="574" w:type="dxa"/>
          </w:tcPr>
          <w:p w14:paraId="35F4E3FA"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w:t>
            </w:r>
          </w:p>
        </w:tc>
        <w:tc>
          <w:tcPr>
            <w:tcW w:w="9344" w:type="dxa"/>
          </w:tcPr>
          <w:p w14:paraId="0EDAB8E7" w14:textId="77777777" w:rsidR="00AB5FA9" w:rsidRPr="006E56C4" w:rsidRDefault="00AB5FA9" w:rsidP="00AB5FA9">
            <w:pPr>
              <w:pStyle w:val="TableParagraph"/>
              <w:spacing w:line="268" w:lineRule="exact"/>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Is the evaluation report well-balanced and structured?</w:t>
            </w:r>
          </w:p>
          <w:p w14:paraId="77F4298A" w14:textId="77777777" w:rsidR="00AB5FA9" w:rsidRPr="006E56C4" w:rsidRDefault="00AB5FA9" w:rsidP="00EB743C">
            <w:pPr>
              <w:pStyle w:val="TableParagraph"/>
              <w:numPr>
                <w:ilvl w:val="0"/>
                <w:numId w:val="39"/>
              </w:numPr>
              <w:tabs>
                <w:tab w:val="left" w:pos="820"/>
                <w:tab w:val="left" w:pos="821"/>
              </w:tabs>
              <w:adjustRightInd/>
              <w:rPr>
                <w:rFonts w:asciiTheme="minorHAnsi" w:hAnsiTheme="minorHAnsi" w:cstheme="minorHAnsi"/>
                <w:sz w:val="20"/>
                <w:szCs w:val="20"/>
                <w:lang w:val="en-GB"/>
              </w:rPr>
            </w:pPr>
            <w:r w:rsidRPr="006E56C4">
              <w:rPr>
                <w:rFonts w:asciiTheme="minorHAnsi" w:hAnsiTheme="minorHAnsi" w:cstheme="minorHAnsi"/>
                <w:sz w:val="20"/>
                <w:szCs w:val="20"/>
                <w:lang w:val="en-GB"/>
              </w:rPr>
              <w:t>With sufficient but not excessive background information?</w:t>
            </w:r>
          </w:p>
          <w:p w14:paraId="6CEA991A" w14:textId="77777777" w:rsidR="00AB5FA9" w:rsidRPr="006E56C4" w:rsidRDefault="00AB5FA9" w:rsidP="00EB743C">
            <w:pPr>
              <w:pStyle w:val="TableParagraph"/>
              <w:numPr>
                <w:ilvl w:val="0"/>
                <w:numId w:val="39"/>
              </w:numPr>
              <w:tabs>
                <w:tab w:val="left" w:pos="820"/>
                <w:tab w:val="left" w:pos="821"/>
              </w:tabs>
              <w:adjustRightInd/>
              <w:rPr>
                <w:rFonts w:asciiTheme="minorHAnsi" w:hAnsiTheme="minorHAnsi" w:cstheme="minorHAnsi"/>
                <w:sz w:val="20"/>
                <w:szCs w:val="20"/>
                <w:lang w:val="en-GB"/>
              </w:rPr>
            </w:pPr>
            <w:r w:rsidRPr="006E56C4">
              <w:rPr>
                <w:rFonts w:asciiTheme="minorHAnsi" w:hAnsiTheme="minorHAnsi" w:cstheme="minorHAnsi"/>
                <w:sz w:val="20"/>
                <w:szCs w:val="20"/>
                <w:lang w:val="en-GB"/>
              </w:rPr>
              <w:t>Is the report a reasonable</w:t>
            </w:r>
            <w:r w:rsidRPr="006E56C4">
              <w:rPr>
                <w:rFonts w:asciiTheme="minorHAnsi" w:hAnsiTheme="minorHAnsi" w:cstheme="minorHAnsi"/>
                <w:spacing w:val="-4"/>
                <w:sz w:val="20"/>
                <w:szCs w:val="20"/>
                <w:lang w:val="en-GB"/>
              </w:rPr>
              <w:t xml:space="preserve"> </w:t>
            </w:r>
            <w:r w:rsidRPr="006E56C4">
              <w:rPr>
                <w:rFonts w:asciiTheme="minorHAnsi" w:hAnsiTheme="minorHAnsi" w:cstheme="minorHAnsi"/>
                <w:sz w:val="20"/>
                <w:szCs w:val="20"/>
                <w:lang w:val="en-GB"/>
              </w:rPr>
              <w:t>length?</w:t>
            </w:r>
          </w:p>
          <w:p w14:paraId="7F0071F4" w14:textId="77777777" w:rsidR="00AB5FA9" w:rsidRPr="006E56C4" w:rsidRDefault="00AB5FA9" w:rsidP="00EB743C">
            <w:pPr>
              <w:pStyle w:val="TableParagraph"/>
              <w:numPr>
                <w:ilvl w:val="0"/>
                <w:numId w:val="39"/>
              </w:numPr>
              <w:tabs>
                <w:tab w:val="left" w:pos="820"/>
                <w:tab w:val="left" w:pos="821"/>
              </w:tabs>
              <w:adjustRightInd/>
              <w:rPr>
                <w:rFonts w:asciiTheme="minorHAnsi" w:hAnsiTheme="minorHAnsi" w:cstheme="minorHAnsi"/>
                <w:sz w:val="20"/>
                <w:szCs w:val="20"/>
                <w:lang w:val="en-GB"/>
              </w:rPr>
            </w:pPr>
            <w:r w:rsidRPr="006E56C4">
              <w:rPr>
                <w:rFonts w:asciiTheme="minorHAnsi" w:hAnsiTheme="minorHAnsi" w:cstheme="minorHAnsi"/>
                <w:sz w:val="20"/>
                <w:szCs w:val="20"/>
                <w:lang w:val="en-GB"/>
              </w:rPr>
              <w:t>Are required annexes</w:t>
            </w:r>
            <w:r w:rsidRPr="006E56C4">
              <w:rPr>
                <w:rFonts w:asciiTheme="minorHAnsi" w:hAnsiTheme="minorHAnsi" w:cstheme="minorHAnsi"/>
                <w:spacing w:val="-3"/>
                <w:sz w:val="20"/>
                <w:szCs w:val="20"/>
                <w:lang w:val="en-GB"/>
              </w:rPr>
              <w:t xml:space="preserve"> </w:t>
            </w:r>
            <w:r w:rsidRPr="006E56C4">
              <w:rPr>
                <w:rFonts w:asciiTheme="minorHAnsi" w:hAnsiTheme="minorHAnsi" w:cstheme="minorHAnsi"/>
                <w:sz w:val="20"/>
                <w:szCs w:val="20"/>
                <w:lang w:val="en-GB"/>
              </w:rPr>
              <w:t>provided?</w:t>
            </w:r>
          </w:p>
        </w:tc>
      </w:tr>
      <w:tr w:rsidR="00AB5FA9" w:rsidRPr="006E56C4" w14:paraId="29825D83" w14:textId="77777777" w:rsidTr="00AB5FA9">
        <w:tc>
          <w:tcPr>
            <w:tcW w:w="574" w:type="dxa"/>
            <w:tcBorders>
              <w:bottom w:val="single" w:sz="4" w:space="0" w:color="000000" w:themeColor="text1"/>
            </w:tcBorders>
          </w:tcPr>
          <w:p w14:paraId="2FB64BD7" w14:textId="77777777" w:rsidR="00AB5FA9" w:rsidRPr="006E56C4" w:rsidRDefault="00AB5FA9" w:rsidP="00AB5FA9">
            <w:pPr>
              <w:rPr>
                <w:rFonts w:cstheme="minorHAnsi"/>
                <w:b/>
                <w:sz w:val="20"/>
                <w:szCs w:val="20"/>
                <w:lang w:val="en-GB"/>
              </w:rPr>
            </w:pPr>
            <w:r w:rsidRPr="006E56C4">
              <w:rPr>
                <w:rFonts w:cstheme="minorHAnsi"/>
                <w:b/>
                <w:sz w:val="20"/>
                <w:szCs w:val="20"/>
                <w:lang w:val="en-GB"/>
              </w:rPr>
              <w:t>2.2</w:t>
            </w:r>
          </w:p>
        </w:tc>
        <w:tc>
          <w:tcPr>
            <w:tcW w:w="9344" w:type="dxa"/>
            <w:tcBorders>
              <w:bottom w:val="single" w:sz="4" w:space="0" w:color="000000" w:themeColor="text1"/>
            </w:tcBorders>
          </w:tcPr>
          <w:p w14:paraId="7F884314" w14:textId="77777777" w:rsidR="00AB5FA9" w:rsidRPr="006E56C4" w:rsidRDefault="00AB5FA9" w:rsidP="00AB5FA9">
            <w:pPr>
              <w:pStyle w:val="TableParagraph"/>
              <w:spacing w:before="11"/>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Does the evaluation report clearly address the objectives of the evaluation as outlined in the TOR?</w:t>
            </w:r>
          </w:p>
        </w:tc>
      </w:tr>
      <w:tr w:rsidR="00AB5FA9" w:rsidRPr="006E56C4" w14:paraId="0066CAB1" w14:textId="77777777" w:rsidTr="00AB5FA9">
        <w:tc>
          <w:tcPr>
            <w:tcW w:w="9918" w:type="dxa"/>
            <w:gridSpan w:val="2"/>
            <w:shd w:val="clear" w:color="auto" w:fill="B8CCE4" w:themeFill="accent1" w:themeFillTint="66"/>
          </w:tcPr>
          <w:p w14:paraId="094A3F30" w14:textId="77777777" w:rsidR="00AB5FA9" w:rsidRPr="006E56C4" w:rsidRDefault="00AB5FA9" w:rsidP="00AB5FA9">
            <w:pPr>
              <w:jc w:val="center"/>
              <w:rPr>
                <w:rFonts w:cstheme="minorHAnsi"/>
                <w:b/>
                <w:sz w:val="20"/>
                <w:szCs w:val="20"/>
                <w:lang w:val="en-GB"/>
              </w:rPr>
            </w:pPr>
            <w:r w:rsidRPr="006E56C4">
              <w:rPr>
                <w:rFonts w:cstheme="minorHAnsi"/>
                <w:b/>
                <w:sz w:val="20"/>
                <w:szCs w:val="20"/>
                <w:lang w:val="en-GB"/>
              </w:rPr>
              <w:t>METHODOLOGY</w:t>
            </w:r>
          </w:p>
        </w:tc>
      </w:tr>
      <w:tr w:rsidR="00AB5FA9" w:rsidRPr="006E56C4" w14:paraId="28533F95" w14:textId="77777777" w:rsidTr="00AB5FA9">
        <w:tc>
          <w:tcPr>
            <w:tcW w:w="574" w:type="dxa"/>
          </w:tcPr>
          <w:p w14:paraId="027A88E6" w14:textId="77777777" w:rsidR="00AB5FA9" w:rsidRPr="006E56C4" w:rsidRDefault="00AB5FA9" w:rsidP="00AB5FA9">
            <w:pPr>
              <w:rPr>
                <w:rFonts w:cstheme="minorHAnsi"/>
                <w:b/>
                <w:sz w:val="20"/>
                <w:szCs w:val="20"/>
                <w:lang w:val="en-GB"/>
              </w:rPr>
            </w:pPr>
            <w:r w:rsidRPr="006E56C4">
              <w:rPr>
                <w:rFonts w:cstheme="minorHAnsi"/>
                <w:b/>
                <w:sz w:val="20"/>
                <w:szCs w:val="20"/>
                <w:lang w:val="en-GB"/>
              </w:rPr>
              <w:t>2.3</w:t>
            </w:r>
          </w:p>
        </w:tc>
        <w:tc>
          <w:tcPr>
            <w:tcW w:w="9344" w:type="dxa"/>
          </w:tcPr>
          <w:p w14:paraId="31E2938F" w14:textId="77777777" w:rsidR="00AB5FA9" w:rsidRPr="006E56C4" w:rsidRDefault="00AB5FA9" w:rsidP="00AB5FA9">
            <w:pPr>
              <w:pStyle w:val="TableParagraph"/>
              <w:spacing w:line="268" w:lineRule="exact"/>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Is the evaluation's methodological approach clearly outlined?</w:t>
            </w:r>
          </w:p>
          <w:p w14:paraId="5C43990C" w14:textId="77777777" w:rsidR="00AB5FA9" w:rsidRPr="006E56C4" w:rsidRDefault="00AB5FA9" w:rsidP="00AB5FA9">
            <w:pPr>
              <w:ind w:left="455"/>
              <w:rPr>
                <w:rFonts w:cstheme="minorHAnsi"/>
                <w:b/>
                <w:sz w:val="20"/>
                <w:szCs w:val="20"/>
                <w:lang w:val="en-GB"/>
              </w:rPr>
            </w:pPr>
            <w:r w:rsidRPr="006E56C4">
              <w:rPr>
                <w:rFonts w:cstheme="minorHAnsi"/>
                <w:sz w:val="20"/>
                <w:szCs w:val="20"/>
                <w:lang w:val="en-GB"/>
              </w:rPr>
              <w:t>-</w:t>
            </w:r>
            <w:r w:rsidRPr="006E56C4">
              <w:rPr>
                <w:rFonts w:cstheme="minorHAnsi"/>
                <w:sz w:val="20"/>
                <w:szCs w:val="20"/>
                <w:lang w:val="en-GB"/>
              </w:rPr>
              <w:tab/>
              <w:t>Any changes from the proposed approach are detailed with reasons</w:t>
            </w:r>
            <w:r w:rsidRPr="006E56C4">
              <w:rPr>
                <w:rFonts w:cstheme="minorHAnsi"/>
                <w:spacing w:val="-12"/>
                <w:sz w:val="20"/>
                <w:szCs w:val="20"/>
                <w:lang w:val="en-GB"/>
              </w:rPr>
              <w:t xml:space="preserve"> </w:t>
            </w:r>
            <w:r w:rsidRPr="006E56C4">
              <w:rPr>
                <w:rFonts w:cstheme="minorHAnsi"/>
                <w:sz w:val="20"/>
                <w:szCs w:val="20"/>
                <w:lang w:val="en-GB"/>
              </w:rPr>
              <w:t>why</w:t>
            </w:r>
          </w:p>
        </w:tc>
      </w:tr>
      <w:tr w:rsidR="00AB5FA9" w:rsidRPr="006E56C4" w14:paraId="1EE35A84" w14:textId="77777777" w:rsidTr="00AB5FA9">
        <w:tc>
          <w:tcPr>
            <w:tcW w:w="574" w:type="dxa"/>
          </w:tcPr>
          <w:p w14:paraId="1CBB0D99" w14:textId="77777777" w:rsidR="00AB5FA9" w:rsidRPr="006E56C4" w:rsidRDefault="00AB5FA9" w:rsidP="00AB5FA9">
            <w:pPr>
              <w:rPr>
                <w:rFonts w:cstheme="minorHAnsi"/>
                <w:b/>
                <w:sz w:val="20"/>
                <w:szCs w:val="20"/>
                <w:lang w:val="en-GB"/>
              </w:rPr>
            </w:pPr>
            <w:r w:rsidRPr="006E56C4">
              <w:rPr>
                <w:rFonts w:cstheme="minorHAnsi"/>
                <w:b/>
                <w:sz w:val="20"/>
                <w:szCs w:val="20"/>
                <w:lang w:val="en-GB"/>
              </w:rPr>
              <w:t>2.4</w:t>
            </w:r>
          </w:p>
        </w:tc>
        <w:tc>
          <w:tcPr>
            <w:tcW w:w="9344" w:type="dxa"/>
          </w:tcPr>
          <w:p w14:paraId="4F057196" w14:textId="77777777" w:rsidR="00AB5FA9" w:rsidRPr="006E56C4" w:rsidRDefault="00AB5FA9" w:rsidP="00AB5FA9">
            <w:pPr>
              <w:rPr>
                <w:rFonts w:cstheme="minorHAnsi"/>
                <w:b/>
                <w:sz w:val="20"/>
                <w:szCs w:val="20"/>
                <w:lang w:val="en-GB"/>
              </w:rPr>
            </w:pPr>
            <w:r w:rsidRPr="006E56C4">
              <w:rPr>
                <w:rFonts w:cstheme="minorHAnsi"/>
                <w:b/>
                <w:sz w:val="20"/>
                <w:szCs w:val="20"/>
                <w:lang w:val="en-GB"/>
              </w:rPr>
              <w:t>Are the nature and extent of the role and involvement of stakeholders in the project/programme explained adequately?</w:t>
            </w:r>
          </w:p>
        </w:tc>
      </w:tr>
      <w:tr w:rsidR="00AB5FA9" w:rsidRPr="006E56C4" w14:paraId="1D9707D0" w14:textId="77777777" w:rsidTr="00AB5FA9">
        <w:tc>
          <w:tcPr>
            <w:tcW w:w="574" w:type="dxa"/>
          </w:tcPr>
          <w:p w14:paraId="13143753" w14:textId="77777777" w:rsidR="00AB5FA9" w:rsidRPr="006E56C4" w:rsidRDefault="00AB5FA9" w:rsidP="00AB5FA9">
            <w:pPr>
              <w:rPr>
                <w:rFonts w:cstheme="minorHAnsi"/>
                <w:b/>
                <w:sz w:val="20"/>
                <w:szCs w:val="20"/>
                <w:lang w:val="en-GB"/>
              </w:rPr>
            </w:pPr>
            <w:r w:rsidRPr="006E56C4">
              <w:rPr>
                <w:rFonts w:cstheme="minorHAnsi"/>
                <w:b/>
                <w:sz w:val="20"/>
                <w:szCs w:val="20"/>
                <w:lang w:val="en-GB"/>
              </w:rPr>
              <w:t>2.5</w:t>
            </w:r>
          </w:p>
        </w:tc>
        <w:tc>
          <w:tcPr>
            <w:tcW w:w="9344" w:type="dxa"/>
          </w:tcPr>
          <w:p w14:paraId="099B1591"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clearly assess the project’s/programme’s level of relevance?</w:t>
            </w:r>
          </w:p>
        </w:tc>
      </w:tr>
      <w:tr w:rsidR="00AB5FA9" w:rsidRPr="006E56C4" w14:paraId="7BE54B7D" w14:textId="77777777" w:rsidTr="00AB5FA9">
        <w:tc>
          <w:tcPr>
            <w:tcW w:w="574" w:type="dxa"/>
          </w:tcPr>
          <w:p w14:paraId="46136984" w14:textId="77777777" w:rsidR="00AB5FA9" w:rsidRPr="006E56C4" w:rsidRDefault="00AB5FA9" w:rsidP="00AB5FA9">
            <w:pPr>
              <w:rPr>
                <w:rFonts w:cstheme="minorHAnsi"/>
                <w:b/>
                <w:sz w:val="20"/>
                <w:szCs w:val="20"/>
                <w:lang w:val="en-GB"/>
              </w:rPr>
            </w:pPr>
            <w:r w:rsidRPr="006E56C4">
              <w:rPr>
                <w:rFonts w:cstheme="minorHAnsi"/>
                <w:b/>
                <w:sz w:val="20"/>
                <w:szCs w:val="20"/>
                <w:lang w:val="en-GB"/>
              </w:rPr>
              <w:t>2.6</w:t>
            </w:r>
          </w:p>
        </w:tc>
        <w:tc>
          <w:tcPr>
            <w:tcW w:w="9344" w:type="dxa"/>
          </w:tcPr>
          <w:p w14:paraId="71C3B435"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clearly assess the project’s/programme’s level of effectiveness?</w:t>
            </w:r>
          </w:p>
        </w:tc>
      </w:tr>
      <w:tr w:rsidR="00AB5FA9" w:rsidRPr="006E56C4" w14:paraId="7DC45791" w14:textId="77777777" w:rsidTr="00AB5FA9">
        <w:tc>
          <w:tcPr>
            <w:tcW w:w="574" w:type="dxa"/>
          </w:tcPr>
          <w:p w14:paraId="268DEC87" w14:textId="77777777" w:rsidR="00AB5FA9" w:rsidRPr="006E56C4" w:rsidRDefault="00AB5FA9" w:rsidP="00AB5FA9">
            <w:pPr>
              <w:rPr>
                <w:rFonts w:cstheme="minorHAnsi"/>
                <w:b/>
                <w:sz w:val="20"/>
                <w:szCs w:val="20"/>
                <w:lang w:val="en-GB"/>
              </w:rPr>
            </w:pPr>
            <w:r w:rsidRPr="006E56C4">
              <w:rPr>
                <w:rFonts w:cstheme="minorHAnsi"/>
                <w:b/>
                <w:sz w:val="20"/>
                <w:szCs w:val="20"/>
                <w:lang w:val="en-GB"/>
              </w:rPr>
              <w:t>2.7</w:t>
            </w:r>
          </w:p>
        </w:tc>
        <w:tc>
          <w:tcPr>
            <w:tcW w:w="9344" w:type="dxa"/>
          </w:tcPr>
          <w:p w14:paraId="2DB7C319"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clearly assess the project’s/programme’s level of efficiency?</w:t>
            </w:r>
          </w:p>
        </w:tc>
      </w:tr>
      <w:tr w:rsidR="00AB5FA9" w:rsidRPr="006E56C4" w14:paraId="6218D941" w14:textId="77777777" w:rsidTr="00AB5FA9">
        <w:tc>
          <w:tcPr>
            <w:tcW w:w="574" w:type="dxa"/>
            <w:tcBorders>
              <w:bottom w:val="single" w:sz="4" w:space="0" w:color="000000" w:themeColor="text1"/>
            </w:tcBorders>
          </w:tcPr>
          <w:p w14:paraId="70604C6F" w14:textId="77777777" w:rsidR="00AB5FA9" w:rsidRPr="006E56C4" w:rsidRDefault="00AB5FA9" w:rsidP="00AB5FA9">
            <w:pPr>
              <w:rPr>
                <w:rFonts w:cstheme="minorHAnsi"/>
                <w:b/>
                <w:sz w:val="20"/>
                <w:szCs w:val="20"/>
                <w:lang w:val="en-GB"/>
              </w:rPr>
            </w:pPr>
            <w:r w:rsidRPr="006E56C4">
              <w:rPr>
                <w:rFonts w:cstheme="minorHAnsi"/>
                <w:b/>
                <w:sz w:val="20"/>
                <w:szCs w:val="20"/>
                <w:lang w:val="en-GB"/>
              </w:rPr>
              <w:t>2.8</w:t>
            </w:r>
          </w:p>
        </w:tc>
        <w:tc>
          <w:tcPr>
            <w:tcW w:w="9344" w:type="dxa"/>
            <w:tcBorders>
              <w:bottom w:val="single" w:sz="4" w:space="0" w:color="000000" w:themeColor="text1"/>
            </w:tcBorders>
          </w:tcPr>
          <w:p w14:paraId="39613AC8"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clearly assess the project’s/programme’s level of sustainability?</w:t>
            </w:r>
          </w:p>
        </w:tc>
      </w:tr>
      <w:tr w:rsidR="00AB5FA9" w:rsidRPr="006E56C4" w14:paraId="1490ABFE" w14:textId="77777777" w:rsidTr="00AB5FA9">
        <w:tc>
          <w:tcPr>
            <w:tcW w:w="9918" w:type="dxa"/>
            <w:gridSpan w:val="2"/>
            <w:shd w:val="clear" w:color="auto" w:fill="B8CCE4" w:themeFill="accent1" w:themeFillTint="66"/>
          </w:tcPr>
          <w:p w14:paraId="6E538134" w14:textId="77777777" w:rsidR="00AB5FA9" w:rsidRPr="006E56C4" w:rsidRDefault="00AB5FA9" w:rsidP="00AB5FA9">
            <w:pPr>
              <w:jc w:val="center"/>
              <w:rPr>
                <w:rFonts w:cstheme="minorHAnsi"/>
                <w:b/>
                <w:sz w:val="20"/>
                <w:szCs w:val="20"/>
                <w:lang w:val="en-GB"/>
              </w:rPr>
            </w:pPr>
            <w:r w:rsidRPr="006E56C4">
              <w:rPr>
                <w:rFonts w:cstheme="minorHAnsi"/>
                <w:b/>
                <w:sz w:val="20"/>
                <w:szCs w:val="20"/>
                <w:lang w:val="en-GB"/>
              </w:rPr>
              <w:t>DATA COLLECTION</w:t>
            </w:r>
          </w:p>
        </w:tc>
      </w:tr>
      <w:tr w:rsidR="00AB5FA9" w:rsidRPr="006E56C4" w14:paraId="739C3D86" w14:textId="77777777" w:rsidTr="00AB5FA9">
        <w:tc>
          <w:tcPr>
            <w:tcW w:w="574" w:type="dxa"/>
          </w:tcPr>
          <w:p w14:paraId="0D22EBBE" w14:textId="77777777" w:rsidR="00AB5FA9" w:rsidRPr="006E56C4" w:rsidRDefault="00AB5FA9" w:rsidP="00AB5FA9">
            <w:pPr>
              <w:rPr>
                <w:rFonts w:cstheme="minorHAnsi"/>
                <w:b/>
                <w:sz w:val="20"/>
                <w:szCs w:val="20"/>
                <w:lang w:val="en-GB"/>
              </w:rPr>
            </w:pPr>
            <w:r w:rsidRPr="006E56C4">
              <w:rPr>
                <w:rFonts w:cstheme="minorHAnsi"/>
                <w:b/>
                <w:sz w:val="20"/>
                <w:szCs w:val="20"/>
                <w:lang w:val="en-GB"/>
              </w:rPr>
              <w:t>2.9</w:t>
            </w:r>
          </w:p>
        </w:tc>
        <w:tc>
          <w:tcPr>
            <w:tcW w:w="9344" w:type="dxa"/>
          </w:tcPr>
          <w:p w14:paraId="0FBAA1E8" w14:textId="77777777" w:rsidR="00AB5FA9" w:rsidRPr="006E56C4" w:rsidRDefault="00AB5FA9" w:rsidP="00AB5FA9">
            <w:pPr>
              <w:pStyle w:val="TableParagraph"/>
              <w:spacing w:line="268" w:lineRule="exact"/>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Are data-collection methods and analysis clearly outlined?</w:t>
            </w:r>
          </w:p>
          <w:p w14:paraId="05E1F882" w14:textId="77777777" w:rsidR="00AB5FA9" w:rsidRPr="006E56C4" w:rsidRDefault="00AB5FA9" w:rsidP="00EB743C">
            <w:pPr>
              <w:pStyle w:val="TableParagraph"/>
              <w:numPr>
                <w:ilvl w:val="0"/>
                <w:numId w:val="38"/>
              </w:numPr>
              <w:tabs>
                <w:tab w:val="left" w:pos="820"/>
                <w:tab w:val="left" w:pos="821"/>
              </w:tabs>
              <w:adjustRightInd/>
              <w:spacing w:before="41"/>
              <w:rPr>
                <w:rFonts w:asciiTheme="minorHAnsi" w:hAnsiTheme="minorHAnsi" w:cstheme="minorHAnsi"/>
                <w:sz w:val="20"/>
                <w:szCs w:val="20"/>
                <w:lang w:val="en-GB"/>
              </w:rPr>
            </w:pPr>
            <w:r w:rsidRPr="006E56C4">
              <w:rPr>
                <w:rFonts w:asciiTheme="minorHAnsi" w:hAnsiTheme="minorHAnsi" w:cstheme="minorHAnsi"/>
                <w:sz w:val="20"/>
                <w:szCs w:val="20"/>
                <w:lang w:val="en-GB"/>
              </w:rPr>
              <w:t>Data sources clearly outlined (including triangulation</w:t>
            </w:r>
            <w:r w:rsidRPr="006E56C4">
              <w:rPr>
                <w:rFonts w:asciiTheme="minorHAnsi" w:hAnsiTheme="minorHAnsi" w:cstheme="minorHAnsi"/>
                <w:spacing w:val="-9"/>
                <w:sz w:val="20"/>
                <w:szCs w:val="20"/>
                <w:lang w:val="en-GB"/>
              </w:rPr>
              <w:t xml:space="preserve"> </w:t>
            </w:r>
            <w:r w:rsidRPr="006E56C4">
              <w:rPr>
                <w:rFonts w:asciiTheme="minorHAnsi" w:hAnsiTheme="minorHAnsi" w:cstheme="minorHAnsi"/>
                <w:sz w:val="20"/>
                <w:szCs w:val="20"/>
                <w:lang w:val="en-GB"/>
              </w:rPr>
              <w:t>methods)?</w:t>
            </w:r>
          </w:p>
          <w:p w14:paraId="490741AF" w14:textId="77777777" w:rsidR="00AB5FA9" w:rsidRPr="006E56C4" w:rsidRDefault="00AB5FA9" w:rsidP="00EB743C">
            <w:pPr>
              <w:pStyle w:val="TableParagraph"/>
              <w:numPr>
                <w:ilvl w:val="0"/>
                <w:numId w:val="38"/>
              </w:numPr>
              <w:tabs>
                <w:tab w:val="left" w:pos="820"/>
                <w:tab w:val="left" w:pos="821"/>
              </w:tabs>
              <w:adjustRightInd/>
              <w:spacing w:before="41"/>
              <w:rPr>
                <w:rFonts w:asciiTheme="minorHAnsi" w:hAnsiTheme="minorHAnsi" w:cstheme="minorHAnsi"/>
                <w:sz w:val="20"/>
                <w:szCs w:val="20"/>
                <w:lang w:val="en-GB"/>
              </w:rPr>
            </w:pPr>
            <w:r w:rsidRPr="006E56C4">
              <w:rPr>
                <w:rFonts w:asciiTheme="minorHAnsi" w:hAnsiTheme="minorHAnsi" w:cstheme="minorHAnsi"/>
                <w:sz w:val="20"/>
                <w:szCs w:val="20"/>
                <w:lang w:val="en-GB"/>
              </w:rPr>
              <w:t>Data analysis approaches</w:t>
            </w:r>
            <w:r w:rsidRPr="006E56C4">
              <w:rPr>
                <w:rFonts w:asciiTheme="minorHAnsi" w:hAnsiTheme="minorHAnsi" w:cstheme="minorHAnsi"/>
                <w:spacing w:val="-3"/>
                <w:sz w:val="20"/>
                <w:szCs w:val="20"/>
                <w:lang w:val="en-GB"/>
              </w:rPr>
              <w:t xml:space="preserve"> </w:t>
            </w:r>
            <w:r w:rsidRPr="006E56C4">
              <w:rPr>
                <w:rFonts w:asciiTheme="minorHAnsi" w:hAnsiTheme="minorHAnsi" w:cstheme="minorHAnsi"/>
                <w:sz w:val="20"/>
                <w:szCs w:val="20"/>
                <w:lang w:val="en-GB"/>
              </w:rPr>
              <w:t>detailed?</w:t>
            </w:r>
          </w:p>
          <w:p w14:paraId="366FA1BA" w14:textId="77777777" w:rsidR="00AB5FA9" w:rsidRPr="006E56C4" w:rsidRDefault="00AB5FA9" w:rsidP="00AB5FA9">
            <w:pPr>
              <w:rPr>
                <w:rFonts w:cstheme="minorHAnsi"/>
                <w:b/>
                <w:sz w:val="20"/>
                <w:szCs w:val="20"/>
                <w:lang w:val="en-GB"/>
              </w:rPr>
            </w:pPr>
            <w:r w:rsidRPr="006E56C4">
              <w:rPr>
                <w:rFonts w:cstheme="minorHAnsi"/>
                <w:sz w:val="20"/>
                <w:szCs w:val="20"/>
                <w:lang w:val="en-GB"/>
              </w:rPr>
              <w:t>Data-collection methods and tools</w:t>
            </w:r>
            <w:r w:rsidRPr="006E56C4">
              <w:rPr>
                <w:rFonts w:cstheme="minorHAnsi"/>
                <w:spacing w:val="-6"/>
                <w:sz w:val="20"/>
                <w:szCs w:val="20"/>
                <w:lang w:val="en-GB"/>
              </w:rPr>
              <w:t xml:space="preserve"> </w:t>
            </w:r>
            <w:r w:rsidRPr="006E56C4">
              <w:rPr>
                <w:rFonts w:cstheme="minorHAnsi"/>
                <w:sz w:val="20"/>
                <w:szCs w:val="20"/>
                <w:lang w:val="en-GB"/>
              </w:rPr>
              <w:t>explained?</w:t>
            </w:r>
          </w:p>
        </w:tc>
      </w:tr>
      <w:tr w:rsidR="00AB5FA9" w:rsidRPr="006E56C4" w14:paraId="527AF7D6" w14:textId="77777777" w:rsidTr="00AB5FA9">
        <w:trPr>
          <w:trHeight w:val="1520"/>
        </w:trPr>
        <w:tc>
          <w:tcPr>
            <w:tcW w:w="574" w:type="dxa"/>
          </w:tcPr>
          <w:p w14:paraId="4BF13F88"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2.10</w:t>
            </w:r>
          </w:p>
        </w:tc>
        <w:tc>
          <w:tcPr>
            <w:tcW w:w="9344" w:type="dxa"/>
          </w:tcPr>
          <w:p w14:paraId="011F1602" w14:textId="77777777" w:rsidR="00AB5FA9" w:rsidRPr="006E56C4" w:rsidRDefault="00AB5FA9" w:rsidP="00AB5FA9">
            <w:pPr>
              <w:pStyle w:val="TableParagraph"/>
              <w:spacing w:line="268" w:lineRule="exact"/>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Is the data-collection approach and analysis adequate for the scope of the evaluation?</w:t>
            </w:r>
          </w:p>
          <w:p w14:paraId="209BF6C9" w14:textId="77777777" w:rsidR="00AB5FA9" w:rsidRPr="006E56C4" w:rsidRDefault="00AB5FA9" w:rsidP="00EB743C">
            <w:pPr>
              <w:pStyle w:val="TableParagraph"/>
              <w:numPr>
                <w:ilvl w:val="0"/>
                <w:numId w:val="37"/>
              </w:numPr>
              <w:tabs>
                <w:tab w:val="left" w:pos="820"/>
                <w:tab w:val="left" w:pos="821"/>
              </w:tabs>
              <w:adjustRightInd/>
              <w:spacing w:before="41"/>
              <w:rPr>
                <w:rFonts w:asciiTheme="minorHAnsi" w:hAnsiTheme="minorHAnsi" w:cstheme="minorHAnsi"/>
                <w:sz w:val="20"/>
                <w:szCs w:val="20"/>
                <w:lang w:val="en-GB"/>
              </w:rPr>
            </w:pPr>
            <w:r w:rsidRPr="006E56C4">
              <w:rPr>
                <w:rFonts w:asciiTheme="minorHAnsi" w:hAnsiTheme="minorHAnsi" w:cstheme="minorHAnsi"/>
                <w:sz w:val="20"/>
                <w:szCs w:val="20"/>
                <w:lang w:val="en-GB"/>
              </w:rPr>
              <w:t>Comprehensive set of data sources (especially for triangulation) where</w:t>
            </w:r>
            <w:r w:rsidRPr="006E56C4">
              <w:rPr>
                <w:rFonts w:asciiTheme="minorHAnsi" w:hAnsiTheme="minorHAnsi" w:cstheme="minorHAnsi"/>
                <w:spacing w:val="-20"/>
                <w:sz w:val="20"/>
                <w:szCs w:val="20"/>
                <w:lang w:val="en-GB"/>
              </w:rPr>
              <w:t xml:space="preserve"> </w:t>
            </w:r>
            <w:r w:rsidRPr="006E56C4">
              <w:rPr>
                <w:rFonts w:asciiTheme="minorHAnsi" w:hAnsiTheme="minorHAnsi" w:cstheme="minorHAnsi"/>
                <w:sz w:val="20"/>
                <w:szCs w:val="20"/>
                <w:lang w:val="en-GB"/>
              </w:rPr>
              <w:t>appropriate?</w:t>
            </w:r>
          </w:p>
          <w:p w14:paraId="1A574F5F" w14:textId="77777777" w:rsidR="00AB5FA9" w:rsidRPr="006E56C4" w:rsidRDefault="00AB5FA9" w:rsidP="00EB743C">
            <w:pPr>
              <w:pStyle w:val="TableParagraph"/>
              <w:numPr>
                <w:ilvl w:val="0"/>
                <w:numId w:val="37"/>
              </w:numPr>
              <w:tabs>
                <w:tab w:val="left" w:pos="820"/>
                <w:tab w:val="left" w:pos="821"/>
              </w:tabs>
              <w:adjustRightInd/>
              <w:spacing w:before="41" w:line="273" w:lineRule="auto"/>
              <w:ind w:right="98" w:hanging="360"/>
              <w:rPr>
                <w:rFonts w:asciiTheme="minorHAnsi" w:hAnsiTheme="minorHAnsi" w:cstheme="minorHAnsi"/>
                <w:sz w:val="20"/>
                <w:szCs w:val="20"/>
                <w:lang w:val="en-GB"/>
              </w:rPr>
            </w:pPr>
            <w:r w:rsidRPr="006E56C4">
              <w:rPr>
                <w:rFonts w:asciiTheme="minorHAnsi" w:hAnsiTheme="minorHAnsi" w:cstheme="minorHAnsi"/>
                <w:sz w:val="20"/>
                <w:szCs w:val="20"/>
                <w:lang w:val="en-GB"/>
              </w:rPr>
              <w:t>Comprehensive set of quantitative and qualitative surveys, and analysis approaches where appropriate?</w:t>
            </w:r>
          </w:p>
          <w:p w14:paraId="228CA008" w14:textId="77777777" w:rsidR="00AB5FA9" w:rsidRPr="006E56C4" w:rsidRDefault="00AB5FA9" w:rsidP="00EB743C">
            <w:pPr>
              <w:pStyle w:val="TableParagraph"/>
              <w:numPr>
                <w:ilvl w:val="0"/>
                <w:numId w:val="37"/>
              </w:numPr>
              <w:tabs>
                <w:tab w:val="left" w:pos="820"/>
                <w:tab w:val="left" w:pos="821"/>
              </w:tabs>
              <w:adjustRightInd/>
              <w:spacing w:before="4"/>
              <w:rPr>
                <w:rFonts w:asciiTheme="minorHAnsi" w:hAnsiTheme="minorHAnsi" w:cstheme="minorHAnsi"/>
                <w:sz w:val="20"/>
                <w:szCs w:val="20"/>
                <w:lang w:val="en-GB"/>
              </w:rPr>
            </w:pPr>
            <w:r w:rsidRPr="006E56C4">
              <w:rPr>
                <w:rFonts w:asciiTheme="minorHAnsi" w:hAnsiTheme="minorHAnsi" w:cstheme="minorHAnsi"/>
                <w:sz w:val="20"/>
                <w:szCs w:val="20"/>
                <w:lang w:val="en-GB"/>
              </w:rPr>
              <w:t>Clear presentation of data analysis and citation within the</w:t>
            </w:r>
            <w:r w:rsidRPr="006E56C4">
              <w:rPr>
                <w:rFonts w:asciiTheme="minorHAnsi" w:hAnsiTheme="minorHAnsi" w:cstheme="minorHAnsi"/>
                <w:spacing w:val="-12"/>
                <w:sz w:val="20"/>
                <w:szCs w:val="20"/>
                <w:lang w:val="en-GB"/>
              </w:rPr>
              <w:t xml:space="preserve"> </w:t>
            </w:r>
            <w:r w:rsidRPr="006E56C4">
              <w:rPr>
                <w:rFonts w:asciiTheme="minorHAnsi" w:hAnsiTheme="minorHAnsi" w:cstheme="minorHAnsi"/>
                <w:sz w:val="20"/>
                <w:szCs w:val="20"/>
                <w:lang w:val="en-GB"/>
              </w:rPr>
              <w:t>report?</w:t>
            </w:r>
          </w:p>
          <w:p w14:paraId="07E40AB2" w14:textId="77777777" w:rsidR="00AB5FA9" w:rsidRPr="006E56C4" w:rsidRDefault="00AB5FA9" w:rsidP="00EB743C">
            <w:pPr>
              <w:pStyle w:val="TableParagraph"/>
              <w:numPr>
                <w:ilvl w:val="0"/>
                <w:numId w:val="37"/>
              </w:numPr>
              <w:tabs>
                <w:tab w:val="left" w:pos="820"/>
                <w:tab w:val="left" w:pos="821"/>
              </w:tabs>
              <w:adjustRightInd/>
              <w:spacing w:before="4"/>
              <w:rPr>
                <w:rFonts w:asciiTheme="minorHAnsi" w:hAnsiTheme="minorHAnsi" w:cstheme="minorHAnsi"/>
                <w:sz w:val="20"/>
                <w:szCs w:val="20"/>
                <w:lang w:val="en-GB"/>
              </w:rPr>
            </w:pPr>
            <w:r w:rsidRPr="006E56C4">
              <w:rPr>
                <w:rFonts w:asciiTheme="minorHAnsi" w:hAnsiTheme="minorHAnsi" w:cstheme="minorHAnsi"/>
                <w:sz w:val="20"/>
                <w:szCs w:val="20"/>
                <w:lang w:val="en-GB"/>
              </w:rPr>
              <w:t>Documented meetings and surveys with stakeholders and beneficiary groups, where appropriate?</w:t>
            </w:r>
          </w:p>
        </w:tc>
      </w:tr>
      <w:tr w:rsidR="00AB5FA9" w:rsidRPr="006E56C4" w14:paraId="6E8AF0FA" w14:textId="77777777" w:rsidTr="00AB5FA9">
        <w:tc>
          <w:tcPr>
            <w:tcW w:w="574" w:type="dxa"/>
            <w:tcBorders>
              <w:bottom w:val="single" w:sz="4" w:space="0" w:color="000000" w:themeColor="text1"/>
            </w:tcBorders>
          </w:tcPr>
          <w:p w14:paraId="5282B288" w14:textId="77777777" w:rsidR="00AB5FA9" w:rsidRPr="006E56C4" w:rsidRDefault="00AB5FA9" w:rsidP="00AB5FA9">
            <w:pPr>
              <w:pStyle w:val="TableParagraph"/>
              <w:rPr>
                <w:rFonts w:asciiTheme="minorHAnsi" w:hAnsiTheme="minorHAnsi" w:cstheme="minorHAnsi"/>
                <w:b/>
                <w:sz w:val="20"/>
                <w:szCs w:val="20"/>
                <w:lang w:val="en-GB"/>
              </w:rPr>
            </w:pPr>
            <w:r w:rsidRPr="006E56C4">
              <w:rPr>
                <w:rFonts w:asciiTheme="minorHAnsi" w:hAnsiTheme="minorHAnsi" w:cstheme="minorHAnsi"/>
                <w:b/>
                <w:sz w:val="20"/>
                <w:szCs w:val="20"/>
                <w:lang w:val="en-GB"/>
              </w:rPr>
              <w:br w:type="page"/>
            </w:r>
          </w:p>
          <w:p w14:paraId="7B07EF35" w14:textId="77777777" w:rsidR="00AB5FA9" w:rsidRPr="006E56C4" w:rsidRDefault="00AB5FA9" w:rsidP="00AB5FA9">
            <w:pPr>
              <w:pStyle w:val="TableParagraph"/>
              <w:rPr>
                <w:rFonts w:asciiTheme="minorHAnsi" w:hAnsiTheme="minorHAnsi" w:cstheme="minorHAnsi"/>
                <w:b/>
                <w:sz w:val="20"/>
                <w:szCs w:val="20"/>
                <w:lang w:val="en-GB"/>
              </w:rPr>
            </w:pPr>
            <w:r w:rsidRPr="006E56C4">
              <w:rPr>
                <w:rFonts w:asciiTheme="minorHAnsi" w:hAnsiTheme="minorHAnsi" w:cstheme="minorHAnsi"/>
                <w:b/>
                <w:sz w:val="20"/>
                <w:szCs w:val="20"/>
                <w:lang w:val="en-GB"/>
              </w:rPr>
              <w:t>2.11</w:t>
            </w:r>
          </w:p>
        </w:tc>
        <w:tc>
          <w:tcPr>
            <w:tcW w:w="9344" w:type="dxa"/>
            <w:tcBorders>
              <w:bottom w:val="single" w:sz="4" w:space="0" w:color="000000" w:themeColor="text1"/>
            </w:tcBorders>
          </w:tcPr>
          <w:p w14:paraId="7A70C25B" w14:textId="77777777" w:rsidR="00AB5FA9" w:rsidRPr="006E56C4" w:rsidRDefault="00AB5FA9" w:rsidP="00AB5FA9">
            <w:pPr>
              <w:pStyle w:val="TableParagraph"/>
              <w:spacing w:before="98" w:line="276" w:lineRule="auto"/>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Are any changes to the evaluation approach or limitations in implementation during the evaluation mission clearly outlined and explained?</w:t>
            </w:r>
          </w:p>
          <w:p w14:paraId="52DD11DF" w14:textId="77777777" w:rsidR="00AB5FA9" w:rsidRPr="006E56C4" w:rsidRDefault="00AB5FA9" w:rsidP="00EB743C">
            <w:pPr>
              <w:pStyle w:val="TableParagraph"/>
              <w:numPr>
                <w:ilvl w:val="0"/>
                <w:numId w:val="41"/>
              </w:numPr>
              <w:tabs>
                <w:tab w:val="left" w:pos="820"/>
                <w:tab w:val="left" w:pos="821"/>
              </w:tabs>
              <w:adjustRightInd/>
              <w:spacing w:line="268" w:lineRule="exact"/>
              <w:rPr>
                <w:rFonts w:asciiTheme="minorHAnsi" w:hAnsiTheme="minorHAnsi" w:cstheme="minorHAnsi"/>
                <w:sz w:val="20"/>
                <w:szCs w:val="20"/>
                <w:lang w:val="en-GB"/>
              </w:rPr>
            </w:pPr>
            <w:r w:rsidRPr="006E56C4">
              <w:rPr>
                <w:rFonts w:asciiTheme="minorHAnsi" w:hAnsiTheme="minorHAnsi" w:cstheme="minorHAnsi"/>
                <w:sz w:val="20"/>
                <w:szCs w:val="20"/>
                <w:lang w:val="en-GB"/>
              </w:rPr>
              <w:t>Issues with access to data or verification of data</w:t>
            </w:r>
            <w:r w:rsidRPr="006E56C4">
              <w:rPr>
                <w:rFonts w:asciiTheme="minorHAnsi" w:hAnsiTheme="minorHAnsi" w:cstheme="minorHAnsi"/>
                <w:spacing w:val="-9"/>
                <w:sz w:val="20"/>
                <w:szCs w:val="20"/>
                <w:lang w:val="en-GB"/>
              </w:rPr>
              <w:t xml:space="preserve"> </w:t>
            </w:r>
            <w:r w:rsidRPr="006E56C4">
              <w:rPr>
                <w:rFonts w:asciiTheme="minorHAnsi" w:hAnsiTheme="minorHAnsi" w:cstheme="minorHAnsi"/>
                <w:sz w:val="20"/>
                <w:szCs w:val="20"/>
                <w:lang w:val="en-GB"/>
              </w:rPr>
              <w:t>sources?</w:t>
            </w:r>
          </w:p>
          <w:p w14:paraId="060378BF" w14:textId="77777777" w:rsidR="00AB5FA9" w:rsidRPr="006E56C4" w:rsidRDefault="00AB5FA9" w:rsidP="00EB743C">
            <w:pPr>
              <w:pStyle w:val="TableParagraph"/>
              <w:numPr>
                <w:ilvl w:val="0"/>
                <w:numId w:val="41"/>
              </w:numPr>
              <w:tabs>
                <w:tab w:val="left" w:pos="820"/>
                <w:tab w:val="left" w:pos="821"/>
              </w:tabs>
              <w:adjustRightInd/>
              <w:spacing w:before="41"/>
              <w:rPr>
                <w:rFonts w:asciiTheme="minorHAnsi" w:hAnsiTheme="minorHAnsi" w:cstheme="minorHAnsi"/>
                <w:sz w:val="20"/>
                <w:szCs w:val="20"/>
                <w:lang w:val="en-GB"/>
              </w:rPr>
            </w:pPr>
            <w:r w:rsidRPr="006E56C4">
              <w:rPr>
                <w:rFonts w:asciiTheme="minorHAnsi" w:hAnsiTheme="minorHAnsi" w:cstheme="minorHAnsi"/>
                <w:sz w:val="20"/>
                <w:szCs w:val="20"/>
                <w:lang w:val="en-GB"/>
              </w:rPr>
              <w:t>Issues in availability of</w:t>
            </w:r>
            <w:r w:rsidRPr="006E56C4">
              <w:rPr>
                <w:rFonts w:asciiTheme="minorHAnsi" w:hAnsiTheme="minorHAnsi" w:cstheme="minorHAnsi"/>
                <w:spacing w:val="-2"/>
                <w:sz w:val="20"/>
                <w:szCs w:val="20"/>
                <w:lang w:val="en-GB"/>
              </w:rPr>
              <w:t xml:space="preserve"> </w:t>
            </w:r>
            <w:r w:rsidRPr="006E56C4">
              <w:rPr>
                <w:rFonts w:asciiTheme="minorHAnsi" w:hAnsiTheme="minorHAnsi" w:cstheme="minorHAnsi"/>
                <w:sz w:val="20"/>
                <w:szCs w:val="20"/>
                <w:lang w:val="en-GB"/>
              </w:rPr>
              <w:t>interviewees?</w:t>
            </w:r>
          </w:p>
          <w:p w14:paraId="4E3BFDF8" w14:textId="77777777" w:rsidR="00AB5FA9" w:rsidRPr="006E56C4" w:rsidRDefault="00AB5FA9" w:rsidP="00EB743C">
            <w:pPr>
              <w:pStyle w:val="TableParagraph"/>
              <w:numPr>
                <w:ilvl w:val="0"/>
                <w:numId w:val="41"/>
              </w:numPr>
              <w:tabs>
                <w:tab w:val="left" w:pos="820"/>
                <w:tab w:val="left" w:pos="821"/>
              </w:tabs>
              <w:adjustRightInd/>
              <w:spacing w:before="41"/>
              <w:rPr>
                <w:rFonts w:asciiTheme="minorHAnsi" w:hAnsiTheme="minorHAnsi" w:cstheme="minorHAnsi"/>
                <w:sz w:val="20"/>
                <w:szCs w:val="20"/>
                <w:lang w:val="en-GB"/>
              </w:rPr>
            </w:pPr>
            <w:r w:rsidRPr="006E56C4">
              <w:rPr>
                <w:rFonts w:asciiTheme="minorHAnsi" w:hAnsiTheme="minorHAnsi" w:cstheme="minorHAnsi"/>
                <w:sz w:val="20"/>
                <w:szCs w:val="20"/>
                <w:lang w:val="en-GB"/>
              </w:rPr>
              <w:t>Outline how these constraints were addressed</w:t>
            </w:r>
          </w:p>
        </w:tc>
      </w:tr>
      <w:tr w:rsidR="00AB5FA9" w:rsidRPr="006E56C4" w14:paraId="66005D9F" w14:textId="77777777" w:rsidTr="00AB5FA9">
        <w:tc>
          <w:tcPr>
            <w:tcW w:w="9918" w:type="dxa"/>
            <w:gridSpan w:val="2"/>
            <w:shd w:val="clear" w:color="auto" w:fill="B8CCE4" w:themeFill="accent1" w:themeFillTint="66"/>
          </w:tcPr>
          <w:p w14:paraId="634B9783" w14:textId="77777777" w:rsidR="00AB5FA9" w:rsidRPr="006E56C4" w:rsidRDefault="00AB5FA9" w:rsidP="00AB5FA9">
            <w:pPr>
              <w:jc w:val="center"/>
              <w:rPr>
                <w:rFonts w:cstheme="minorHAnsi"/>
                <w:b/>
                <w:sz w:val="20"/>
                <w:szCs w:val="20"/>
                <w:lang w:val="en-GB"/>
              </w:rPr>
            </w:pPr>
            <w:r w:rsidRPr="006E56C4">
              <w:rPr>
                <w:rFonts w:cstheme="minorHAnsi"/>
                <w:b/>
                <w:sz w:val="20"/>
                <w:szCs w:val="20"/>
                <w:lang w:val="en-GB"/>
              </w:rPr>
              <w:t>REPORT CONTENT</w:t>
            </w:r>
          </w:p>
        </w:tc>
      </w:tr>
      <w:tr w:rsidR="00AB5FA9" w:rsidRPr="006E56C4" w14:paraId="38FCEF37" w14:textId="77777777" w:rsidTr="00AB5FA9">
        <w:tc>
          <w:tcPr>
            <w:tcW w:w="574" w:type="dxa"/>
          </w:tcPr>
          <w:p w14:paraId="37147F38"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2.12</w:t>
            </w:r>
          </w:p>
        </w:tc>
        <w:tc>
          <w:tcPr>
            <w:tcW w:w="9344" w:type="dxa"/>
          </w:tcPr>
          <w:p w14:paraId="286154BF"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draw linkages to the UNDP country programme strategy and/or UNDAF?</w:t>
            </w:r>
          </w:p>
        </w:tc>
      </w:tr>
      <w:tr w:rsidR="00AB5FA9" w:rsidRPr="006E56C4" w14:paraId="29408607" w14:textId="77777777" w:rsidTr="00AB5FA9">
        <w:tc>
          <w:tcPr>
            <w:tcW w:w="574" w:type="dxa"/>
          </w:tcPr>
          <w:p w14:paraId="5A71E3ED" w14:textId="77777777" w:rsidR="00AB5FA9" w:rsidRPr="006E56C4" w:rsidRDefault="00AB5FA9" w:rsidP="00AB5FA9">
            <w:pPr>
              <w:pStyle w:val="TableParagraph"/>
              <w:rPr>
                <w:rFonts w:asciiTheme="minorHAnsi" w:hAnsiTheme="minorHAnsi" w:cstheme="minorHAnsi"/>
                <w:sz w:val="20"/>
                <w:szCs w:val="20"/>
                <w:lang w:val="en-GB"/>
              </w:rPr>
            </w:pPr>
          </w:p>
          <w:p w14:paraId="5E41D7DB"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2.13</w:t>
            </w:r>
          </w:p>
        </w:tc>
        <w:tc>
          <w:tcPr>
            <w:tcW w:w="9344" w:type="dxa"/>
          </w:tcPr>
          <w:p w14:paraId="1F02E7D1" w14:textId="77777777" w:rsidR="00AB5FA9" w:rsidRPr="006E56C4" w:rsidRDefault="00AB5FA9" w:rsidP="00AB5FA9">
            <w:pPr>
              <w:pStyle w:val="TableParagraph"/>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Does the evaluation draw linkages to related national government strategies and plans in the sector/area of support?</w:t>
            </w:r>
          </w:p>
          <w:p w14:paraId="4D840F0C" w14:textId="77777777" w:rsidR="00AB5FA9" w:rsidRPr="006E56C4" w:rsidRDefault="00AB5FA9" w:rsidP="00AB5FA9">
            <w:pPr>
              <w:pStyle w:val="TableParagraph"/>
              <w:tabs>
                <w:tab w:val="left" w:pos="820"/>
              </w:tabs>
              <w:spacing w:line="268" w:lineRule="exact"/>
              <w:ind w:left="460"/>
              <w:rPr>
                <w:rFonts w:asciiTheme="minorHAnsi" w:hAnsiTheme="minorHAnsi" w:cstheme="minorHAnsi"/>
                <w:sz w:val="20"/>
                <w:szCs w:val="20"/>
                <w:lang w:val="en-GB"/>
              </w:rPr>
            </w:pPr>
            <w:r w:rsidRPr="006E56C4">
              <w:rPr>
                <w:rFonts w:asciiTheme="minorHAnsi" w:hAnsiTheme="minorHAnsi" w:cstheme="minorHAnsi"/>
                <w:sz w:val="20"/>
                <w:szCs w:val="20"/>
                <w:lang w:val="en-GB"/>
              </w:rPr>
              <w:t>-</w:t>
            </w:r>
            <w:r w:rsidRPr="006E56C4">
              <w:rPr>
                <w:rFonts w:asciiTheme="minorHAnsi" w:hAnsiTheme="minorHAnsi" w:cstheme="minorHAnsi"/>
                <w:sz w:val="20"/>
                <w:szCs w:val="20"/>
                <w:lang w:val="en-GB"/>
              </w:rPr>
              <w:tab/>
              <w:t>Does the evaluation discuss how capacity development or the strengthening of</w:t>
            </w:r>
            <w:r w:rsidRPr="006E56C4">
              <w:rPr>
                <w:rFonts w:asciiTheme="minorHAnsi" w:hAnsiTheme="minorHAnsi" w:cstheme="minorHAnsi"/>
                <w:spacing w:val="41"/>
                <w:sz w:val="20"/>
                <w:szCs w:val="20"/>
                <w:lang w:val="en-GB"/>
              </w:rPr>
              <w:t xml:space="preserve"> </w:t>
            </w:r>
            <w:r w:rsidRPr="006E56C4">
              <w:rPr>
                <w:rFonts w:asciiTheme="minorHAnsi" w:hAnsiTheme="minorHAnsi" w:cstheme="minorHAnsi"/>
                <w:sz w:val="20"/>
                <w:szCs w:val="20"/>
                <w:lang w:val="en-GB"/>
              </w:rPr>
              <w:t>national</w:t>
            </w:r>
          </w:p>
          <w:p w14:paraId="5E421C32" w14:textId="77777777" w:rsidR="00AB5FA9" w:rsidRPr="006E56C4" w:rsidRDefault="00AB5FA9" w:rsidP="00AB5FA9">
            <w:pPr>
              <w:rPr>
                <w:rFonts w:cstheme="minorHAnsi"/>
                <w:b/>
                <w:sz w:val="20"/>
                <w:szCs w:val="20"/>
                <w:lang w:val="en-GB"/>
              </w:rPr>
            </w:pPr>
            <w:r w:rsidRPr="006E56C4">
              <w:rPr>
                <w:rFonts w:cstheme="minorHAnsi"/>
                <w:sz w:val="20"/>
                <w:szCs w:val="20"/>
                <w:lang w:val="en-GB"/>
              </w:rPr>
              <w:t>capacities can be addressed?</w:t>
            </w:r>
          </w:p>
        </w:tc>
      </w:tr>
      <w:tr w:rsidR="00AB5FA9" w:rsidRPr="006E56C4" w14:paraId="685C6A67" w14:textId="77777777" w:rsidTr="00AB5FA9">
        <w:tc>
          <w:tcPr>
            <w:tcW w:w="574" w:type="dxa"/>
          </w:tcPr>
          <w:p w14:paraId="2B62888B" w14:textId="77777777" w:rsidR="00AB5FA9" w:rsidRPr="006E56C4" w:rsidRDefault="00AB5FA9" w:rsidP="00AB5FA9">
            <w:pPr>
              <w:pStyle w:val="TableParagraph"/>
              <w:spacing w:before="11"/>
              <w:rPr>
                <w:rFonts w:asciiTheme="minorHAnsi" w:hAnsiTheme="minorHAnsi" w:cstheme="minorHAnsi"/>
                <w:sz w:val="20"/>
                <w:szCs w:val="20"/>
                <w:lang w:val="en-GB"/>
              </w:rPr>
            </w:pPr>
          </w:p>
          <w:p w14:paraId="7E1D19B4"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2.14</w:t>
            </w:r>
          </w:p>
        </w:tc>
        <w:tc>
          <w:tcPr>
            <w:tcW w:w="9344" w:type="dxa"/>
          </w:tcPr>
          <w:p w14:paraId="3D700D18" w14:textId="77777777" w:rsidR="00AB5FA9" w:rsidRPr="006E56C4" w:rsidRDefault="00AB5FA9" w:rsidP="00AB5FA9">
            <w:pPr>
              <w:pStyle w:val="TableParagraph"/>
              <w:spacing w:before="19"/>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Does the evaluation detail project funding and provide funding data (especially for GEF)?</w:t>
            </w:r>
          </w:p>
          <w:p w14:paraId="0EB3318E" w14:textId="77777777" w:rsidR="00AB5FA9" w:rsidRPr="006E56C4" w:rsidRDefault="00AB5FA9" w:rsidP="00EB743C">
            <w:pPr>
              <w:pStyle w:val="TableParagraph"/>
              <w:numPr>
                <w:ilvl w:val="0"/>
                <w:numId w:val="40"/>
              </w:numPr>
              <w:tabs>
                <w:tab w:val="left" w:pos="820"/>
                <w:tab w:val="left" w:pos="821"/>
              </w:tabs>
              <w:adjustRightInd/>
              <w:spacing w:before="41"/>
              <w:rPr>
                <w:rFonts w:asciiTheme="minorHAnsi" w:hAnsiTheme="minorHAnsi" w:cstheme="minorHAnsi"/>
                <w:sz w:val="20"/>
                <w:szCs w:val="20"/>
                <w:lang w:val="en-GB"/>
              </w:rPr>
            </w:pPr>
            <w:r w:rsidRPr="006E56C4">
              <w:rPr>
                <w:rFonts w:asciiTheme="minorHAnsi" w:hAnsiTheme="minorHAnsi" w:cstheme="minorHAnsi"/>
                <w:sz w:val="20"/>
                <w:szCs w:val="20"/>
                <w:lang w:val="en-GB"/>
              </w:rPr>
              <w:t>Variances between planned and actual expenditures assessed and</w:t>
            </w:r>
            <w:r w:rsidRPr="006E56C4">
              <w:rPr>
                <w:rFonts w:asciiTheme="minorHAnsi" w:hAnsiTheme="minorHAnsi" w:cstheme="minorHAnsi"/>
                <w:spacing w:val="-14"/>
                <w:sz w:val="20"/>
                <w:szCs w:val="20"/>
                <w:lang w:val="en-GB"/>
              </w:rPr>
              <w:t xml:space="preserve"> </w:t>
            </w:r>
            <w:r w:rsidRPr="006E56C4">
              <w:rPr>
                <w:rFonts w:asciiTheme="minorHAnsi" w:hAnsiTheme="minorHAnsi" w:cstheme="minorHAnsi"/>
                <w:sz w:val="20"/>
                <w:szCs w:val="20"/>
                <w:lang w:val="en-GB"/>
              </w:rPr>
              <w:t>explained?</w:t>
            </w:r>
          </w:p>
          <w:p w14:paraId="0B80D447" w14:textId="77777777" w:rsidR="00AB5FA9" w:rsidRPr="006E56C4" w:rsidRDefault="00AB5FA9" w:rsidP="00AB5FA9">
            <w:pPr>
              <w:rPr>
                <w:rFonts w:cstheme="minorHAnsi"/>
                <w:b/>
                <w:sz w:val="20"/>
                <w:szCs w:val="20"/>
                <w:lang w:val="en-GB"/>
              </w:rPr>
            </w:pPr>
            <w:r w:rsidRPr="006E56C4">
              <w:rPr>
                <w:rFonts w:cstheme="minorHAnsi"/>
                <w:sz w:val="20"/>
                <w:szCs w:val="20"/>
                <w:lang w:val="en-GB"/>
              </w:rPr>
              <w:t>Observations from financial audits completed for the project</w:t>
            </w:r>
            <w:r w:rsidRPr="006E56C4">
              <w:rPr>
                <w:rFonts w:cstheme="minorHAnsi"/>
                <w:spacing w:val="-10"/>
                <w:sz w:val="20"/>
                <w:szCs w:val="20"/>
                <w:lang w:val="en-GB"/>
              </w:rPr>
              <w:t xml:space="preserve"> </w:t>
            </w:r>
            <w:r w:rsidRPr="006E56C4">
              <w:rPr>
                <w:rFonts w:cstheme="minorHAnsi"/>
                <w:sz w:val="20"/>
                <w:szCs w:val="20"/>
                <w:lang w:val="en-GB"/>
              </w:rPr>
              <w:t>considered?</w:t>
            </w:r>
          </w:p>
        </w:tc>
      </w:tr>
      <w:tr w:rsidR="00AB5FA9" w:rsidRPr="006E56C4" w14:paraId="175F34E9" w14:textId="77777777" w:rsidTr="00AB5FA9">
        <w:tc>
          <w:tcPr>
            <w:tcW w:w="574" w:type="dxa"/>
          </w:tcPr>
          <w:p w14:paraId="3C6ADD9D"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2.15</w:t>
            </w:r>
          </w:p>
        </w:tc>
        <w:tc>
          <w:tcPr>
            <w:tcW w:w="9344" w:type="dxa"/>
          </w:tcPr>
          <w:p w14:paraId="6AC4B4F6"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include an assessment of the project’s M&amp;E design, implementation and overall quality?</w:t>
            </w:r>
          </w:p>
        </w:tc>
      </w:tr>
      <w:tr w:rsidR="00AB5FA9" w:rsidRPr="006E56C4" w14:paraId="4C6F95ED" w14:textId="77777777" w:rsidTr="00AB5FA9">
        <w:tc>
          <w:tcPr>
            <w:tcW w:w="574" w:type="dxa"/>
          </w:tcPr>
          <w:p w14:paraId="3A7D8591" w14:textId="77777777" w:rsidR="00AB5FA9" w:rsidRPr="006E56C4" w:rsidRDefault="00AB5FA9" w:rsidP="00AB5FA9">
            <w:pPr>
              <w:pStyle w:val="TableParagraph"/>
              <w:spacing w:before="3"/>
              <w:rPr>
                <w:rFonts w:asciiTheme="minorHAnsi" w:hAnsiTheme="minorHAnsi" w:cstheme="minorHAnsi"/>
                <w:sz w:val="20"/>
                <w:szCs w:val="20"/>
                <w:lang w:val="en-GB"/>
              </w:rPr>
            </w:pPr>
          </w:p>
          <w:p w14:paraId="7C79EAFB"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2.16</w:t>
            </w:r>
          </w:p>
        </w:tc>
        <w:tc>
          <w:tcPr>
            <w:tcW w:w="9344" w:type="dxa"/>
          </w:tcPr>
          <w:p w14:paraId="6C38A12F" w14:textId="77777777" w:rsidR="00AB5FA9" w:rsidRPr="006E56C4" w:rsidRDefault="00AB5FA9" w:rsidP="00AB5FA9">
            <w:pPr>
              <w:pStyle w:val="TableParagraph"/>
              <w:spacing w:line="273" w:lineRule="auto"/>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Does the evaluation identify ways in which the programme/project has produced a catalytic role and has demonstrated: (a) the production of a public good; (b) demonstration; (c)</w:t>
            </w:r>
          </w:p>
          <w:p w14:paraId="538C679B" w14:textId="77777777" w:rsidR="00AB5FA9" w:rsidRPr="006E56C4" w:rsidRDefault="00AB5FA9" w:rsidP="00AB5FA9">
            <w:pPr>
              <w:rPr>
                <w:rFonts w:cstheme="minorHAnsi"/>
                <w:b/>
                <w:sz w:val="20"/>
                <w:szCs w:val="20"/>
                <w:lang w:val="en-GB"/>
              </w:rPr>
            </w:pPr>
            <w:r w:rsidRPr="006E56C4">
              <w:rPr>
                <w:rFonts w:cstheme="minorHAnsi"/>
                <w:b/>
                <w:sz w:val="20"/>
                <w:szCs w:val="20"/>
                <w:lang w:val="en-GB"/>
              </w:rPr>
              <w:t>replication; and/or (d) scaling up (GEF evaluations)?</w:t>
            </w:r>
          </w:p>
        </w:tc>
      </w:tr>
      <w:tr w:rsidR="00AB5FA9" w:rsidRPr="006E56C4" w14:paraId="4A4606C4" w14:textId="77777777" w:rsidTr="00AB5FA9">
        <w:tc>
          <w:tcPr>
            <w:tcW w:w="574" w:type="dxa"/>
            <w:tcBorders>
              <w:bottom w:val="single" w:sz="4" w:space="0" w:color="000000" w:themeColor="text1"/>
            </w:tcBorders>
          </w:tcPr>
          <w:p w14:paraId="6FD77F29" w14:textId="77777777" w:rsidR="00AB5FA9" w:rsidRPr="006E56C4" w:rsidRDefault="00AB5FA9" w:rsidP="00AB5FA9">
            <w:pPr>
              <w:rPr>
                <w:rFonts w:cstheme="minorHAnsi"/>
                <w:b/>
                <w:sz w:val="20"/>
                <w:szCs w:val="20"/>
                <w:lang w:val="en-GB"/>
              </w:rPr>
            </w:pPr>
            <w:r w:rsidRPr="006E56C4">
              <w:rPr>
                <w:rFonts w:cstheme="minorHAnsi"/>
                <w:b/>
                <w:sz w:val="20"/>
                <w:szCs w:val="20"/>
                <w:lang w:val="en-GB"/>
              </w:rPr>
              <w:t>2.17</w:t>
            </w:r>
          </w:p>
        </w:tc>
        <w:tc>
          <w:tcPr>
            <w:tcW w:w="9344" w:type="dxa"/>
            <w:tcBorders>
              <w:bottom w:val="single" w:sz="4" w:space="0" w:color="000000" w:themeColor="text1"/>
            </w:tcBorders>
          </w:tcPr>
          <w:p w14:paraId="39362E79" w14:textId="77777777" w:rsidR="00AB5FA9" w:rsidRPr="006E56C4" w:rsidRDefault="00AB5FA9" w:rsidP="00AB5FA9">
            <w:pPr>
              <w:rPr>
                <w:rFonts w:cstheme="minorHAnsi"/>
                <w:b/>
                <w:sz w:val="20"/>
                <w:szCs w:val="20"/>
                <w:lang w:val="en-GB"/>
              </w:rPr>
            </w:pPr>
            <w:r w:rsidRPr="006E56C4">
              <w:rPr>
                <w:rFonts w:cstheme="minorHAnsi"/>
                <w:b/>
                <w:sz w:val="20"/>
                <w:szCs w:val="20"/>
                <w:lang w:val="en-GB"/>
              </w:rPr>
              <w:t>Are indicators in the results framework assessed individually, with final achievements noted?</w:t>
            </w:r>
          </w:p>
          <w:p w14:paraId="6EA1A50E" w14:textId="77777777" w:rsidR="00AB5FA9" w:rsidRPr="006E56C4" w:rsidRDefault="00AB5FA9" w:rsidP="00AB5FA9">
            <w:pPr>
              <w:rPr>
                <w:rFonts w:cstheme="minorHAnsi"/>
                <w:b/>
                <w:sz w:val="20"/>
                <w:szCs w:val="20"/>
                <w:lang w:val="en-GB"/>
              </w:rPr>
            </w:pPr>
          </w:p>
        </w:tc>
      </w:tr>
      <w:tr w:rsidR="00AB5FA9" w:rsidRPr="006E56C4" w14:paraId="3CB3D21D" w14:textId="77777777" w:rsidTr="00AB5FA9">
        <w:trPr>
          <w:trHeight w:val="280"/>
        </w:trPr>
        <w:tc>
          <w:tcPr>
            <w:tcW w:w="9918" w:type="dxa"/>
            <w:gridSpan w:val="2"/>
            <w:shd w:val="clear" w:color="auto" w:fill="B8CCE4" w:themeFill="accent1" w:themeFillTint="66"/>
          </w:tcPr>
          <w:p w14:paraId="7B7E70A1" w14:textId="77777777" w:rsidR="00AB5FA9" w:rsidRPr="006E56C4" w:rsidRDefault="00AB5FA9" w:rsidP="00AB5FA9">
            <w:pPr>
              <w:jc w:val="center"/>
              <w:rPr>
                <w:rFonts w:cstheme="minorHAnsi"/>
                <w:b/>
                <w:sz w:val="20"/>
                <w:szCs w:val="20"/>
                <w:lang w:val="en-GB"/>
              </w:rPr>
            </w:pPr>
            <w:r w:rsidRPr="006E56C4">
              <w:rPr>
                <w:rFonts w:cstheme="minorHAnsi"/>
                <w:b/>
                <w:sz w:val="20"/>
                <w:szCs w:val="20"/>
                <w:lang w:val="en-GB"/>
              </w:rPr>
              <w:lastRenderedPageBreak/>
              <w:t>Does the evaluation report address gender and other key cross-cutting issues?</w:t>
            </w:r>
          </w:p>
        </w:tc>
      </w:tr>
      <w:tr w:rsidR="00AB5FA9" w:rsidRPr="006E56C4" w14:paraId="69D45EB0" w14:textId="77777777" w:rsidTr="00AB5FA9">
        <w:tc>
          <w:tcPr>
            <w:tcW w:w="574" w:type="dxa"/>
          </w:tcPr>
          <w:p w14:paraId="599085AA" w14:textId="77777777" w:rsidR="00AB5FA9" w:rsidRPr="006E56C4" w:rsidRDefault="00AB5FA9" w:rsidP="00AB5FA9">
            <w:pPr>
              <w:rPr>
                <w:rFonts w:cstheme="minorHAnsi"/>
                <w:b/>
                <w:sz w:val="20"/>
                <w:szCs w:val="20"/>
                <w:lang w:val="en-GB"/>
              </w:rPr>
            </w:pPr>
            <w:r w:rsidRPr="006E56C4">
              <w:rPr>
                <w:rFonts w:cstheme="minorHAnsi"/>
                <w:b/>
                <w:sz w:val="20"/>
                <w:szCs w:val="20"/>
                <w:lang w:val="en-GB"/>
              </w:rPr>
              <w:t>3.1</w:t>
            </w:r>
          </w:p>
        </w:tc>
        <w:tc>
          <w:tcPr>
            <w:tcW w:w="9344" w:type="dxa"/>
          </w:tcPr>
          <w:p w14:paraId="1864B083" w14:textId="77777777" w:rsidR="00AB5FA9" w:rsidRPr="006E56C4" w:rsidRDefault="00AB5FA9" w:rsidP="00AB5FA9">
            <w:pPr>
              <w:rPr>
                <w:rFonts w:cstheme="minorHAnsi"/>
                <w:b/>
                <w:sz w:val="20"/>
                <w:szCs w:val="20"/>
                <w:lang w:val="en-GB"/>
              </w:rPr>
            </w:pPr>
            <w:r w:rsidRPr="006E56C4">
              <w:rPr>
                <w:rFonts w:cstheme="minorHAnsi"/>
                <w:b/>
                <w:sz w:val="20"/>
                <w:szCs w:val="20"/>
                <w:lang w:val="en-GB"/>
              </w:rPr>
              <w:t>Are</w:t>
            </w:r>
            <w:r w:rsidRPr="006E56C4">
              <w:rPr>
                <w:rFonts w:cstheme="minorHAnsi"/>
                <w:b/>
                <w:spacing w:val="-13"/>
                <w:sz w:val="20"/>
                <w:szCs w:val="20"/>
                <w:lang w:val="en-GB"/>
              </w:rPr>
              <w:t xml:space="preserve"> </w:t>
            </w:r>
            <w:r w:rsidRPr="006E56C4">
              <w:rPr>
                <w:rFonts w:cstheme="minorHAnsi"/>
                <w:b/>
                <w:sz w:val="20"/>
                <w:szCs w:val="20"/>
                <w:lang w:val="en-GB"/>
              </w:rPr>
              <w:t>human</w:t>
            </w:r>
            <w:r w:rsidRPr="006E56C4">
              <w:rPr>
                <w:rFonts w:cstheme="minorHAnsi"/>
                <w:b/>
                <w:spacing w:val="-12"/>
                <w:sz w:val="20"/>
                <w:szCs w:val="20"/>
                <w:lang w:val="en-GB"/>
              </w:rPr>
              <w:t xml:space="preserve"> </w:t>
            </w:r>
            <w:r w:rsidRPr="006E56C4">
              <w:rPr>
                <w:rFonts w:cstheme="minorHAnsi"/>
                <w:b/>
                <w:sz w:val="20"/>
                <w:szCs w:val="20"/>
                <w:lang w:val="en-GB"/>
              </w:rPr>
              <w:t>rights,</w:t>
            </w:r>
            <w:r w:rsidRPr="006E56C4">
              <w:rPr>
                <w:rFonts w:cstheme="minorHAnsi"/>
                <w:b/>
                <w:spacing w:val="-13"/>
                <w:sz w:val="20"/>
                <w:szCs w:val="20"/>
                <w:lang w:val="en-GB"/>
              </w:rPr>
              <w:t xml:space="preserve"> </w:t>
            </w:r>
            <w:r w:rsidRPr="006E56C4">
              <w:rPr>
                <w:rFonts w:cstheme="minorHAnsi"/>
                <w:b/>
                <w:sz w:val="20"/>
                <w:szCs w:val="20"/>
                <w:lang w:val="en-GB"/>
              </w:rPr>
              <w:t>disabilities,</w:t>
            </w:r>
            <w:r w:rsidRPr="006E56C4">
              <w:rPr>
                <w:rFonts w:cstheme="minorHAnsi"/>
                <w:b/>
                <w:spacing w:val="-13"/>
                <w:sz w:val="20"/>
                <w:szCs w:val="20"/>
                <w:lang w:val="en-GB"/>
              </w:rPr>
              <w:t xml:space="preserve"> </w:t>
            </w:r>
            <w:r w:rsidRPr="006E56C4">
              <w:rPr>
                <w:rFonts w:cstheme="minorHAnsi"/>
                <w:b/>
                <w:sz w:val="20"/>
                <w:szCs w:val="20"/>
                <w:lang w:val="en-GB"/>
              </w:rPr>
              <w:t>minorities</w:t>
            </w:r>
            <w:r w:rsidRPr="006E56C4">
              <w:rPr>
                <w:rFonts w:cstheme="minorHAnsi"/>
                <w:b/>
                <w:spacing w:val="-14"/>
                <w:sz w:val="20"/>
                <w:szCs w:val="20"/>
                <w:lang w:val="en-GB"/>
              </w:rPr>
              <w:t xml:space="preserve"> </w:t>
            </w:r>
            <w:r w:rsidRPr="006E56C4">
              <w:rPr>
                <w:rFonts w:cstheme="minorHAnsi"/>
                <w:b/>
                <w:sz w:val="20"/>
                <w:szCs w:val="20"/>
                <w:lang w:val="en-GB"/>
              </w:rPr>
              <w:t>and</w:t>
            </w:r>
            <w:r w:rsidRPr="006E56C4">
              <w:rPr>
                <w:rFonts w:cstheme="minorHAnsi"/>
                <w:b/>
                <w:spacing w:val="-12"/>
                <w:sz w:val="20"/>
                <w:szCs w:val="20"/>
                <w:lang w:val="en-GB"/>
              </w:rPr>
              <w:t xml:space="preserve"> </w:t>
            </w:r>
            <w:r w:rsidRPr="006E56C4">
              <w:rPr>
                <w:rFonts w:cstheme="minorHAnsi"/>
                <w:b/>
                <w:sz w:val="20"/>
                <w:szCs w:val="20"/>
                <w:lang w:val="en-GB"/>
              </w:rPr>
              <w:t>vulnerable</w:t>
            </w:r>
            <w:r w:rsidRPr="006E56C4">
              <w:rPr>
                <w:rFonts w:cstheme="minorHAnsi"/>
                <w:b/>
                <w:spacing w:val="-12"/>
                <w:sz w:val="20"/>
                <w:szCs w:val="20"/>
                <w:lang w:val="en-GB"/>
              </w:rPr>
              <w:t xml:space="preserve"> </w:t>
            </w:r>
            <w:r w:rsidRPr="006E56C4">
              <w:rPr>
                <w:rFonts w:cstheme="minorHAnsi"/>
                <w:b/>
                <w:sz w:val="20"/>
                <w:szCs w:val="20"/>
                <w:lang w:val="en-GB"/>
              </w:rPr>
              <w:t>group</w:t>
            </w:r>
            <w:r w:rsidRPr="006E56C4">
              <w:rPr>
                <w:rFonts w:cstheme="minorHAnsi"/>
                <w:b/>
                <w:spacing w:val="-15"/>
                <w:sz w:val="20"/>
                <w:szCs w:val="20"/>
                <w:lang w:val="en-GB"/>
              </w:rPr>
              <w:t xml:space="preserve"> </w:t>
            </w:r>
            <w:r w:rsidRPr="006E56C4">
              <w:rPr>
                <w:rFonts w:cstheme="minorHAnsi"/>
                <w:b/>
                <w:sz w:val="20"/>
                <w:szCs w:val="20"/>
                <w:lang w:val="en-GB"/>
              </w:rPr>
              <w:t>issues</w:t>
            </w:r>
            <w:r w:rsidRPr="006E56C4">
              <w:rPr>
                <w:rFonts w:cstheme="minorHAnsi"/>
                <w:b/>
                <w:spacing w:val="-14"/>
                <w:sz w:val="20"/>
                <w:szCs w:val="20"/>
                <w:lang w:val="en-GB"/>
              </w:rPr>
              <w:t xml:space="preserve"> </w:t>
            </w:r>
            <w:r w:rsidRPr="006E56C4">
              <w:rPr>
                <w:rFonts w:cstheme="minorHAnsi"/>
                <w:b/>
                <w:sz w:val="20"/>
                <w:szCs w:val="20"/>
                <w:lang w:val="en-GB"/>
              </w:rPr>
              <w:t>addressed</w:t>
            </w:r>
            <w:r w:rsidRPr="006E56C4">
              <w:rPr>
                <w:rFonts w:cstheme="minorHAnsi"/>
                <w:b/>
                <w:spacing w:val="-12"/>
                <w:sz w:val="20"/>
                <w:szCs w:val="20"/>
                <w:lang w:val="en-GB"/>
              </w:rPr>
              <w:t xml:space="preserve"> </w:t>
            </w:r>
            <w:r w:rsidRPr="006E56C4">
              <w:rPr>
                <w:rFonts w:cstheme="minorHAnsi"/>
                <w:b/>
                <w:sz w:val="20"/>
                <w:szCs w:val="20"/>
                <w:lang w:val="en-GB"/>
              </w:rPr>
              <w:t>where</w:t>
            </w:r>
            <w:r w:rsidRPr="006E56C4">
              <w:rPr>
                <w:rFonts w:cstheme="minorHAnsi"/>
                <w:b/>
                <w:spacing w:val="-15"/>
                <w:sz w:val="20"/>
                <w:szCs w:val="20"/>
                <w:lang w:val="en-GB"/>
              </w:rPr>
              <w:t xml:space="preserve"> </w:t>
            </w:r>
            <w:r w:rsidRPr="006E56C4">
              <w:rPr>
                <w:rFonts w:cstheme="minorHAnsi"/>
                <w:b/>
                <w:sz w:val="20"/>
                <w:szCs w:val="20"/>
                <w:lang w:val="en-GB"/>
              </w:rPr>
              <w:t>relevant?</w:t>
            </w:r>
          </w:p>
        </w:tc>
      </w:tr>
      <w:tr w:rsidR="00AB5FA9" w:rsidRPr="006E56C4" w14:paraId="5E3E0247" w14:textId="77777777" w:rsidTr="00AB5FA9">
        <w:tc>
          <w:tcPr>
            <w:tcW w:w="574" w:type="dxa"/>
          </w:tcPr>
          <w:p w14:paraId="1341829F" w14:textId="77777777" w:rsidR="00AB5FA9" w:rsidRPr="006E56C4" w:rsidRDefault="00AB5FA9" w:rsidP="00AB5FA9">
            <w:pPr>
              <w:rPr>
                <w:rFonts w:cstheme="minorHAnsi"/>
                <w:b/>
                <w:sz w:val="20"/>
                <w:szCs w:val="20"/>
                <w:lang w:val="en-GB"/>
              </w:rPr>
            </w:pPr>
            <w:r w:rsidRPr="006E56C4">
              <w:rPr>
                <w:rFonts w:cstheme="minorHAnsi"/>
                <w:b/>
                <w:sz w:val="20"/>
                <w:szCs w:val="20"/>
                <w:lang w:val="en-GB"/>
              </w:rPr>
              <w:t>3.2</w:t>
            </w:r>
          </w:p>
        </w:tc>
        <w:tc>
          <w:tcPr>
            <w:tcW w:w="9344" w:type="dxa"/>
          </w:tcPr>
          <w:p w14:paraId="533CCAD4"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report discuss the poverty/environment nexus or sustainable livelihood issues, as relevant?</w:t>
            </w:r>
          </w:p>
        </w:tc>
      </w:tr>
      <w:tr w:rsidR="00AB5FA9" w:rsidRPr="006E56C4" w14:paraId="55394BBB" w14:textId="77777777" w:rsidTr="00AB5FA9">
        <w:tc>
          <w:tcPr>
            <w:tcW w:w="574" w:type="dxa"/>
          </w:tcPr>
          <w:p w14:paraId="0BEA40C7" w14:textId="77777777" w:rsidR="00AB5FA9" w:rsidRPr="006E56C4" w:rsidRDefault="00AB5FA9" w:rsidP="00AB5FA9">
            <w:pPr>
              <w:rPr>
                <w:rFonts w:cstheme="minorHAnsi"/>
                <w:b/>
                <w:sz w:val="20"/>
                <w:szCs w:val="20"/>
                <w:lang w:val="en-GB"/>
              </w:rPr>
            </w:pPr>
            <w:r w:rsidRPr="006E56C4">
              <w:rPr>
                <w:rFonts w:cstheme="minorHAnsi"/>
                <w:b/>
                <w:sz w:val="20"/>
                <w:szCs w:val="20"/>
                <w:lang w:val="en-GB"/>
              </w:rPr>
              <w:t>3.3</w:t>
            </w:r>
          </w:p>
        </w:tc>
        <w:tc>
          <w:tcPr>
            <w:tcW w:w="9344" w:type="dxa"/>
          </w:tcPr>
          <w:p w14:paraId="34C3C3BF"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report discuss disaster risk reduction and climate change mitigation and adaptation issues where relevant?</w:t>
            </w:r>
          </w:p>
        </w:tc>
      </w:tr>
      <w:tr w:rsidR="00AB5FA9" w:rsidRPr="006E56C4" w14:paraId="58E45091" w14:textId="77777777" w:rsidTr="00AB5FA9">
        <w:tc>
          <w:tcPr>
            <w:tcW w:w="574" w:type="dxa"/>
          </w:tcPr>
          <w:p w14:paraId="121B1A81" w14:textId="77777777" w:rsidR="00AB5FA9" w:rsidRPr="006E56C4" w:rsidRDefault="00AB5FA9" w:rsidP="00AB5FA9">
            <w:pPr>
              <w:rPr>
                <w:rFonts w:cstheme="minorHAnsi"/>
                <w:b/>
                <w:sz w:val="20"/>
                <w:szCs w:val="20"/>
                <w:lang w:val="en-GB"/>
              </w:rPr>
            </w:pPr>
            <w:r w:rsidRPr="006E56C4">
              <w:rPr>
                <w:rFonts w:cstheme="minorHAnsi"/>
                <w:b/>
                <w:sz w:val="20"/>
                <w:szCs w:val="20"/>
                <w:lang w:val="en-GB"/>
              </w:rPr>
              <w:t>3.4</w:t>
            </w:r>
          </w:p>
        </w:tc>
        <w:tc>
          <w:tcPr>
            <w:tcW w:w="9344" w:type="dxa"/>
          </w:tcPr>
          <w:p w14:paraId="34D48AF9"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report discuss crisis prevention and recovery issues as relevant?</w:t>
            </w:r>
          </w:p>
        </w:tc>
      </w:tr>
      <w:tr w:rsidR="00AB5FA9" w:rsidRPr="006E56C4" w14:paraId="56B920C7" w14:textId="77777777" w:rsidTr="00AB5FA9">
        <w:tc>
          <w:tcPr>
            <w:tcW w:w="574" w:type="dxa"/>
          </w:tcPr>
          <w:p w14:paraId="49F3A9E9" w14:textId="77777777" w:rsidR="00AB5FA9" w:rsidRPr="006E56C4" w:rsidRDefault="00AB5FA9" w:rsidP="00AB5FA9">
            <w:pPr>
              <w:pStyle w:val="TableParagraph"/>
              <w:spacing w:before="3"/>
              <w:rPr>
                <w:rFonts w:asciiTheme="minorHAnsi" w:hAnsiTheme="minorHAnsi" w:cstheme="minorHAnsi"/>
                <w:sz w:val="20"/>
                <w:szCs w:val="20"/>
                <w:lang w:val="en-GB"/>
              </w:rPr>
            </w:pPr>
          </w:p>
          <w:p w14:paraId="23CA2451" w14:textId="77777777" w:rsidR="00AB5FA9" w:rsidRPr="006E56C4" w:rsidRDefault="00AB5FA9" w:rsidP="00AB5FA9">
            <w:pPr>
              <w:rPr>
                <w:rFonts w:cstheme="minorHAnsi"/>
                <w:b/>
                <w:sz w:val="20"/>
                <w:szCs w:val="20"/>
                <w:lang w:val="en-GB"/>
              </w:rPr>
            </w:pPr>
            <w:r w:rsidRPr="006E56C4">
              <w:rPr>
                <w:rFonts w:cstheme="minorHAnsi"/>
                <w:b/>
                <w:sz w:val="20"/>
                <w:szCs w:val="20"/>
                <w:lang w:val="en-GB"/>
              </w:rPr>
              <w:t>3.5</w:t>
            </w:r>
          </w:p>
        </w:tc>
        <w:tc>
          <w:tcPr>
            <w:tcW w:w="9344" w:type="dxa"/>
          </w:tcPr>
          <w:p w14:paraId="1CDFF4A5" w14:textId="77777777" w:rsidR="00AB5FA9" w:rsidRPr="006E56C4" w:rsidRDefault="00AB5FA9" w:rsidP="00AB5FA9">
            <w:pPr>
              <w:rPr>
                <w:rFonts w:cstheme="minorHAnsi"/>
                <w:b/>
                <w:sz w:val="20"/>
                <w:szCs w:val="20"/>
                <w:lang w:val="en-GB"/>
              </w:rPr>
            </w:pPr>
            <w:r w:rsidRPr="006E56C4">
              <w:rPr>
                <w:rFonts w:cstheme="minorHAnsi"/>
                <w:b/>
                <w:sz w:val="20"/>
                <w:szCs w:val="20"/>
                <w:lang w:val="en-GB"/>
              </w:rPr>
              <w:t>Are the principles and policy of gender equality and the empowerment of women integrated in the evaluation’s scope and indicators as relevant?</w:t>
            </w:r>
          </w:p>
        </w:tc>
      </w:tr>
      <w:tr w:rsidR="00AB5FA9" w:rsidRPr="006E56C4" w14:paraId="1D1A0AC6" w14:textId="77777777" w:rsidTr="00AB5FA9">
        <w:tc>
          <w:tcPr>
            <w:tcW w:w="574" w:type="dxa"/>
          </w:tcPr>
          <w:p w14:paraId="172B4D09" w14:textId="77777777" w:rsidR="00AB5FA9" w:rsidRPr="006E56C4" w:rsidRDefault="00AB5FA9" w:rsidP="00AB5FA9">
            <w:pPr>
              <w:pStyle w:val="TableParagraph"/>
              <w:spacing w:before="3"/>
              <w:rPr>
                <w:rFonts w:asciiTheme="minorHAnsi" w:hAnsiTheme="minorHAnsi" w:cstheme="minorHAnsi"/>
                <w:sz w:val="20"/>
                <w:szCs w:val="20"/>
                <w:lang w:val="en-GB"/>
              </w:rPr>
            </w:pPr>
          </w:p>
          <w:p w14:paraId="73370478" w14:textId="77777777" w:rsidR="00AB5FA9" w:rsidRPr="006E56C4" w:rsidRDefault="00AB5FA9" w:rsidP="00AB5FA9">
            <w:pPr>
              <w:rPr>
                <w:rFonts w:cstheme="minorHAnsi"/>
                <w:b/>
                <w:sz w:val="20"/>
                <w:szCs w:val="20"/>
                <w:lang w:val="en-GB"/>
              </w:rPr>
            </w:pPr>
            <w:r w:rsidRPr="006E56C4">
              <w:rPr>
                <w:rFonts w:cstheme="minorHAnsi"/>
                <w:b/>
                <w:sz w:val="20"/>
                <w:szCs w:val="20"/>
                <w:lang w:val="en-GB"/>
              </w:rPr>
              <w:t>3.6</w:t>
            </w:r>
          </w:p>
        </w:tc>
        <w:tc>
          <w:tcPr>
            <w:tcW w:w="9344" w:type="dxa"/>
          </w:tcPr>
          <w:p w14:paraId="20B36442" w14:textId="77777777" w:rsidR="00AB5FA9" w:rsidRPr="006E56C4" w:rsidRDefault="00AB5FA9" w:rsidP="00AB5FA9">
            <w:pPr>
              <w:pStyle w:val="TableParagraph"/>
              <w:rPr>
                <w:rFonts w:asciiTheme="minorHAnsi" w:hAnsiTheme="minorHAnsi" w:cstheme="minorHAnsi"/>
                <w:b/>
                <w:sz w:val="20"/>
                <w:szCs w:val="20"/>
                <w:lang w:val="en-GB"/>
              </w:rPr>
            </w:pPr>
            <w:r w:rsidRPr="006E56C4">
              <w:rPr>
                <w:rFonts w:asciiTheme="minorHAnsi" w:hAnsiTheme="minorHAnsi" w:cstheme="minorHAnsi"/>
                <w:b/>
                <w:sz w:val="20"/>
                <w:szCs w:val="20"/>
                <w:lang w:val="en-GB"/>
              </w:rPr>
              <w:t>Do the evaluation's criteria and evaluation questions specifically address how gender equality and the empowerment of women have been integrated into the design, planning and implementation of the intervention and the results achieved, as relevant?</w:t>
            </w:r>
          </w:p>
        </w:tc>
      </w:tr>
      <w:tr w:rsidR="00AB5FA9" w:rsidRPr="006E56C4" w14:paraId="0AD869A0" w14:textId="77777777" w:rsidTr="00AB5FA9">
        <w:tc>
          <w:tcPr>
            <w:tcW w:w="574" w:type="dxa"/>
          </w:tcPr>
          <w:p w14:paraId="0B1C1CC2" w14:textId="77777777" w:rsidR="00AB5FA9" w:rsidRPr="006E56C4" w:rsidRDefault="00AB5FA9" w:rsidP="00AB5FA9">
            <w:pPr>
              <w:rPr>
                <w:rFonts w:cstheme="minorHAnsi"/>
                <w:b/>
                <w:sz w:val="20"/>
                <w:szCs w:val="20"/>
                <w:lang w:val="en-GB"/>
              </w:rPr>
            </w:pPr>
            <w:r w:rsidRPr="006E56C4">
              <w:rPr>
                <w:rFonts w:cstheme="minorHAnsi"/>
                <w:b/>
                <w:sz w:val="20"/>
                <w:szCs w:val="20"/>
                <w:lang w:val="en-GB"/>
              </w:rPr>
              <w:t>3.7</w:t>
            </w:r>
          </w:p>
        </w:tc>
        <w:tc>
          <w:tcPr>
            <w:tcW w:w="9344" w:type="dxa"/>
          </w:tcPr>
          <w:p w14:paraId="5087F540" w14:textId="77777777" w:rsidR="00AB5FA9" w:rsidRPr="006E56C4" w:rsidRDefault="00AB5FA9" w:rsidP="00AB5FA9">
            <w:pPr>
              <w:rPr>
                <w:rFonts w:cstheme="minorHAnsi"/>
                <w:b/>
                <w:sz w:val="20"/>
                <w:szCs w:val="20"/>
                <w:lang w:val="en-GB"/>
              </w:rPr>
            </w:pPr>
            <w:r w:rsidRPr="006E56C4">
              <w:rPr>
                <w:rFonts w:cstheme="minorHAnsi"/>
                <w:b/>
                <w:sz w:val="20"/>
                <w:szCs w:val="20"/>
                <w:lang w:val="en-GB"/>
              </w:rPr>
              <w:t>Are a gender-responsive evaluation methodology, methods, tools and data analysis techniques selected?</w:t>
            </w:r>
          </w:p>
        </w:tc>
      </w:tr>
      <w:tr w:rsidR="00AB5FA9" w:rsidRPr="006E56C4" w14:paraId="1A51A3C8" w14:textId="77777777" w:rsidTr="00AB5FA9">
        <w:tc>
          <w:tcPr>
            <w:tcW w:w="574" w:type="dxa"/>
          </w:tcPr>
          <w:p w14:paraId="2B58DCA5" w14:textId="77777777" w:rsidR="00AB5FA9" w:rsidRPr="006E56C4" w:rsidRDefault="00AB5FA9" w:rsidP="00AB5FA9">
            <w:pPr>
              <w:pStyle w:val="TableParagraph"/>
              <w:spacing w:before="3"/>
              <w:rPr>
                <w:rFonts w:asciiTheme="minorHAnsi" w:hAnsiTheme="minorHAnsi" w:cstheme="minorHAnsi"/>
                <w:sz w:val="20"/>
                <w:szCs w:val="20"/>
                <w:lang w:val="en-GB"/>
              </w:rPr>
            </w:pPr>
          </w:p>
          <w:p w14:paraId="0B155E4B" w14:textId="77777777" w:rsidR="00AB5FA9" w:rsidRPr="006E56C4" w:rsidRDefault="00AB5FA9" w:rsidP="00AB5FA9">
            <w:pPr>
              <w:rPr>
                <w:rFonts w:cstheme="minorHAnsi"/>
                <w:b/>
                <w:sz w:val="20"/>
                <w:szCs w:val="20"/>
                <w:lang w:val="en-GB"/>
              </w:rPr>
            </w:pPr>
            <w:r w:rsidRPr="006E56C4">
              <w:rPr>
                <w:rFonts w:cstheme="minorHAnsi"/>
                <w:b/>
                <w:sz w:val="20"/>
                <w:szCs w:val="20"/>
                <w:lang w:val="en-GB"/>
              </w:rPr>
              <w:t>3.8</w:t>
            </w:r>
          </w:p>
        </w:tc>
        <w:tc>
          <w:tcPr>
            <w:tcW w:w="9344" w:type="dxa"/>
          </w:tcPr>
          <w:p w14:paraId="4DCF0723"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 the evaluation findings, conclusions and recommendations take aspects of gender equality and the empowerment of women into consideration?</w:t>
            </w:r>
          </w:p>
        </w:tc>
      </w:tr>
      <w:tr w:rsidR="00AB5FA9" w:rsidRPr="006E56C4" w14:paraId="126B7DBD" w14:textId="77777777" w:rsidTr="00AB5FA9">
        <w:tc>
          <w:tcPr>
            <w:tcW w:w="574" w:type="dxa"/>
          </w:tcPr>
          <w:p w14:paraId="4904EFDF" w14:textId="77777777" w:rsidR="00AB5FA9" w:rsidRPr="006E56C4" w:rsidRDefault="00AB5FA9" w:rsidP="00AB5FA9">
            <w:pPr>
              <w:pStyle w:val="TableParagraph"/>
              <w:spacing w:before="3"/>
              <w:rPr>
                <w:rFonts w:asciiTheme="minorHAnsi" w:hAnsiTheme="minorHAnsi" w:cstheme="minorHAnsi"/>
                <w:sz w:val="20"/>
                <w:szCs w:val="20"/>
                <w:lang w:val="en-GB"/>
              </w:rPr>
            </w:pPr>
          </w:p>
          <w:p w14:paraId="5D730B09" w14:textId="77777777" w:rsidR="00AB5FA9" w:rsidRPr="006E56C4" w:rsidRDefault="00AB5FA9" w:rsidP="00AB5FA9">
            <w:pPr>
              <w:rPr>
                <w:rFonts w:cstheme="minorHAnsi"/>
                <w:b/>
                <w:sz w:val="20"/>
                <w:szCs w:val="20"/>
                <w:lang w:val="en-GB"/>
              </w:rPr>
            </w:pPr>
            <w:r w:rsidRPr="006E56C4">
              <w:rPr>
                <w:rFonts w:cstheme="minorHAnsi"/>
                <w:b/>
                <w:sz w:val="20"/>
                <w:szCs w:val="20"/>
                <w:lang w:val="en-GB"/>
              </w:rPr>
              <w:t>3.9</w:t>
            </w:r>
          </w:p>
        </w:tc>
        <w:tc>
          <w:tcPr>
            <w:tcW w:w="9344" w:type="dxa"/>
          </w:tcPr>
          <w:p w14:paraId="217B4DFC"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draw linkages to the Sustainable Development Goals and relevant targets and indicators for the area being evaluated?</w:t>
            </w:r>
          </w:p>
        </w:tc>
      </w:tr>
      <w:tr w:rsidR="00AB5FA9" w:rsidRPr="006E56C4" w14:paraId="34D72220" w14:textId="77777777" w:rsidTr="00AB5FA9">
        <w:tc>
          <w:tcPr>
            <w:tcW w:w="574" w:type="dxa"/>
            <w:tcBorders>
              <w:bottom w:val="single" w:sz="4" w:space="0" w:color="000000" w:themeColor="text1"/>
            </w:tcBorders>
          </w:tcPr>
          <w:p w14:paraId="40C3702F" w14:textId="77777777" w:rsidR="00AB5FA9" w:rsidRPr="006E56C4" w:rsidRDefault="00AB5FA9" w:rsidP="00AB5FA9">
            <w:pPr>
              <w:pStyle w:val="TableParagraph"/>
              <w:spacing w:before="3"/>
              <w:rPr>
                <w:rFonts w:asciiTheme="minorHAnsi" w:hAnsiTheme="minorHAnsi" w:cstheme="minorHAnsi"/>
                <w:sz w:val="20"/>
                <w:szCs w:val="20"/>
                <w:lang w:val="en-GB"/>
              </w:rPr>
            </w:pPr>
          </w:p>
          <w:p w14:paraId="24B3A194" w14:textId="77777777" w:rsidR="00AB5FA9" w:rsidRPr="006E56C4" w:rsidRDefault="00AB5FA9" w:rsidP="00AB5FA9">
            <w:pPr>
              <w:rPr>
                <w:rFonts w:cstheme="minorHAnsi"/>
                <w:b/>
                <w:sz w:val="20"/>
                <w:szCs w:val="20"/>
                <w:lang w:val="en-GB"/>
              </w:rPr>
            </w:pPr>
            <w:r w:rsidRPr="006E56C4">
              <w:rPr>
                <w:rFonts w:cstheme="minorHAnsi"/>
                <w:b/>
                <w:sz w:val="20"/>
                <w:szCs w:val="20"/>
                <w:lang w:val="en-GB"/>
              </w:rPr>
              <w:t>3.10</w:t>
            </w:r>
          </w:p>
        </w:tc>
        <w:tc>
          <w:tcPr>
            <w:tcW w:w="9344" w:type="dxa"/>
            <w:tcBorders>
              <w:bottom w:val="single" w:sz="4" w:space="0" w:color="000000" w:themeColor="text1"/>
            </w:tcBorders>
          </w:tcPr>
          <w:p w14:paraId="1A4A70D4"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terminal evaluation adequately address social and environmental safeguards, as relevant? (GEF evaluations)</w:t>
            </w:r>
          </w:p>
        </w:tc>
      </w:tr>
      <w:tr w:rsidR="00AB5FA9" w:rsidRPr="006E56C4" w14:paraId="3A493519" w14:textId="77777777" w:rsidTr="00AB5FA9">
        <w:tc>
          <w:tcPr>
            <w:tcW w:w="9918" w:type="dxa"/>
            <w:gridSpan w:val="2"/>
            <w:tcBorders>
              <w:bottom w:val="single" w:sz="4" w:space="0" w:color="000000" w:themeColor="text1"/>
            </w:tcBorders>
            <w:shd w:val="clear" w:color="auto" w:fill="B8CCE4" w:themeFill="accent1" w:themeFillTint="66"/>
          </w:tcPr>
          <w:p w14:paraId="3C44E670"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report clearly and concisely outline and support its findings, conclusions and recommendations?</w:t>
            </w:r>
          </w:p>
        </w:tc>
      </w:tr>
      <w:tr w:rsidR="00AB5FA9" w:rsidRPr="006E56C4" w14:paraId="409F8D33" w14:textId="77777777" w:rsidTr="00AB5FA9">
        <w:tc>
          <w:tcPr>
            <w:tcW w:w="9918" w:type="dxa"/>
            <w:gridSpan w:val="2"/>
            <w:shd w:val="clear" w:color="auto" w:fill="B8CCE4" w:themeFill="accent1" w:themeFillTint="66"/>
          </w:tcPr>
          <w:p w14:paraId="2586D4D4" w14:textId="77777777" w:rsidR="00AB5FA9" w:rsidRPr="006E56C4" w:rsidRDefault="00AB5FA9" w:rsidP="00AB5FA9">
            <w:pPr>
              <w:jc w:val="center"/>
              <w:rPr>
                <w:rFonts w:cstheme="minorHAnsi"/>
                <w:b/>
                <w:sz w:val="20"/>
                <w:szCs w:val="20"/>
                <w:lang w:val="en-GB"/>
              </w:rPr>
            </w:pPr>
            <w:r w:rsidRPr="006E56C4">
              <w:rPr>
                <w:rFonts w:cstheme="minorHAnsi"/>
                <w:b/>
                <w:sz w:val="20"/>
                <w:szCs w:val="20"/>
                <w:lang w:val="en-GB"/>
              </w:rPr>
              <w:t>FINDINGS AND CONCLUSIONS</w:t>
            </w:r>
          </w:p>
        </w:tc>
      </w:tr>
      <w:tr w:rsidR="00AB5FA9" w:rsidRPr="006E56C4" w14:paraId="15E0F748" w14:textId="77777777" w:rsidTr="00AB5FA9">
        <w:tc>
          <w:tcPr>
            <w:tcW w:w="574" w:type="dxa"/>
          </w:tcPr>
          <w:p w14:paraId="43F8C29B" w14:textId="77777777" w:rsidR="00AB5FA9" w:rsidRPr="006E56C4" w:rsidRDefault="00AB5FA9" w:rsidP="00AB5FA9">
            <w:pPr>
              <w:rPr>
                <w:rFonts w:cstheme="minorHAnsi"/>
                <w:b/>
                <w:sz w:val="20"/>
                <w:szCs w:val="20"/>
                <w:lang w:val="en-GB"/>
              </w:rPr>
            </w:pPr>
            <w:r w:rsidRPr="006E56C4">
              <w:rPr>
                <w:rFonts w:cstheme="minorHAnsi"/>
                <w:b/>
                <w:sz w:val="20"/>
                <w:szCs w:val="20"/>
                <w:lang w:val="en-GB"/>
              </w:rPr>
              <w:t>4.1</w:t>
            </w:r>
          </w:p>
        </w:tc>
        <w:tc>
          <w:tcPr>
            <w:tcW w:w="9344" w:type="dxa"/>
          </w:tcPr>
          <w:p w14:paraId="394E8F6C"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report contain a concise and logically articulated set of findings?</w:t>
            </w:r>
          </w:p>
        </w:tc>
      </w:tr>
      <w:tr w:rsidR="00AB5FA9" w:rsidRPr="006E56C4" w14:paraId="5D15F311" w14:textId="77777777" w:rsidTr="00AB5FA9">
        <w:tc>
          <w:tcPr>
            <w:tcW w:w="574" w:type="dxa"/>
          </w:tcPr>
          <w:p w14:paraId="727B3ED9" w14:textId="77777777" w:rsidR="00AB5FA9" w:rsidRPr="006E56C4" w:rsidRDefault="00AB5FA9" w:rsidP="00AB5FA9">
            <w:pPr>
              <w:rPr>
                <w:rFonts w:cstheme="minorHAnsi"/>
                <w:b/>
                <w:sz w:val="20"/>
                <w:szCs w:val="20"/>
                <w:lang w:val="en-GB"/>
              </w:rPr>
            </w:pPr>
            <w:r w:rsidRPr="006E56C4">
              <w:rPr>
                <w:rFonts w:cstheme="minorHAnsi"/>
                <w:b/>
                <w:sz w:val="20"/>
                <w:szCs w:val="20"/>
                <w:lang w:val="en-GB"/>
              </w:rPr>
              <w:t>4.2</w:t>
            </w:r>
          </w:p>
        </w:tc>
        <w:tc>
          <w:tcPr>
            <w:tcW w:w="9344" w:type="dxa"/>
          </w:tcPr>
          <w:p w14:paraId="7D2705C9"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report contain a concise and logically articulated set of conclusions?</w:t>
            </w:r>
          </w:p>
        </w:tc>
      </w:tr>
      <w:tr w:rsidR="00AB5FA9" w:rsidRPr="006E56C4" w14:paraId="61DCC64F" w14:textId="77777777" w:rsidTr="00AB5FA9">
        <w:tc>
          <w:tcPr>
            <w:tcW w:w="574" w:type="dxa"/>
          </w:tcPr>
          <w:p w14:paraId="2E1AC78A" w14:textId="77777777" w:rsidR="00AB5FA9" w:rsidRPr="006E56C4" w:rsidRDefault="00AB5FA9" w:rsidP="00AB5FA9">
            <w:pPr>
              <w:rPr>
                <w:rFonts w:cstheme="minorHAnsi"/>
                <w:b/>
                <w:sz w:val="20"/>
                <w:szCs w:val="20"/>
                <w:lang w:val="en-GB"/>
              </w:rPr>
            </w:pPr>
            <w:r w:rsidRPr="006E56C4">
              <w:rPr>
                <w:rFonts w:cstheme="minorHAnsi"/>
                <w:b/>
                <w:sz w:val="20"/>
                <w:szCs w:val="20"/>
                <w:lang w:val="en-GB"/>
              </w:rPr>
              <w:t>4.3</w:t>
            </w:r>
          </w:p>
        </w:tc>
        <w:tc>
          <w:tcPr>
            <w:tcW w:w="9344" w:type="dxa"/>
          </w:tcPr>
          <w:p w14:paraId="5465D658" w14:textId="77777777" w:rsidR="00AB5FA9" w:rsidRPr="006E56C4" w:rsidRDefault="00AB5FA9" w:rsidP="00AB5FA9">
            <w:pPr>
              <w:rPr>
                <w:rFonts w:cstheme="minorHAnsi"/>
                <w:b/>
                <w:sz w:val="20"/>
                <w:szCs w:val="20"/>
                <w:lang w:val="en-GB"/>
              </w:rPr>
            </w:pPr>
            <w:r w:rsidRPr="006E56C4">
              <w:rPr>
                <w:rFonts w:cstheme="minorHAnsi"/>
                <w:b/>
                <w:sz w:val="20"/>
                <w:szCs w:val="20"/>
                <w:lang w:val="en-GB"/>
              </w:rPr>
              <w:t>Does the evaluation report contain a concise and logically articulated set of lessons learned?</w:t>
            </w:r>
          </w:p>
        </w:tc>
      </w:tr>
      <w:tr w:rsidR="00AB5FA9" w:rsidRPr="006E56C4" w14:paraId="1EC9C430" w14:textId="77777777" w:rsidTr="00AB5FA9">
        <w:tc>
          <w:tcPr>
            <w:tcW w:w="574" w:type="dxa"/>
          </w:tcPr>
          <w:p w14:paraId="6DB0A475" w14:textId="77777777" w:rsidR="00AB5FA9" w:rsidRPr="006E56C4" w:rsidRDefault="00AB5FA9" w:rsidP="00AB5FA9">
            <w:pPr>
              <w:rPr>
                <w:rFonts w:cstheme="minorHAnsi"/>
                <w:b/>
                <w:sz w:val="20"/>
                <w:szCs w:val="20"/>
                <w:lang w:val="en-GB"/>
              </w:rPr>
            </w:pPr>
            <w:r w:rsidRPr="006E56C4">
              <w:rPr>
                <w:rFonts w:cstheme="minorHAnsi"/>
                <w:b/>
                <w:sz w:val="20"/>
                <w:szCs w:val="20"/>
                <w:lang w:val="en-GB"/>
              </w:rPr>
              <w:t>4.4</w:t>
            </w:r>
          </w:p>
        </w:tc>
        <w:tc>
          <w:tcPr>
            <w:tcW w:w="9344" w:type="dxa"/>
          </w:tcPr>
          <w:p w14:paraId="2CA1FB97" w14:textId="77777777" w:rsidR="00AB5FA9" w:rsidRPr="006E56C4" w:rsidRDefault="00AB5FA9" w:rsidP="00AB5FA9">
            <w:pPr>
              <w:pStyle w:val="TableParagraph"/>
              <w:rPr>
                <w:rFonts w:asciiTheme="minorHAnsi" w:hAnsiTheme="minorHAnsi" w:cstheme="minorHAnsi"/>
                <w:b/>
                <w:sz w:val="20"/>
                <w:szCs w:val="20"/>
                <w:lang w:val="en-GB"/>
              </w:rPr>
            </w:pPr>
            <w:r w:rsidRPr="006E56C4">
              <w:rPr>
                <w:rFonts w:asciiTheme="minorHAnsi" w:hAnsiTheme="minorHAnsi" w:cstheme="minorHAnsi"/>
                <w:b/>
                <w:sz w:val="20"/>
                <w:szCs w:val="20"/>
                <w:lang w:val="en-GB"/>
              </w:rPr>
              <w:t>Do the findings and conclusions relate directly to the objectives of the project/programme?</w:t>
            </w:r>
          </w:p>
          <w:p w14:paraId="5D3D96A9" w14:textId="77777777" w:rsidR="00AB5FA9" w:rsidRPr="006E56C4" w:rsidRDefault="00AB5FA9" w:rsidP="00AB5FA9">
            <w:pPr>
              <w:rPr>
                <w:rFonts w:cstheme="minorHAnsi"/>
                <w:b/>
                <w:sz w:val="20"/>
                <w:szCs w:val="20"/>
                <w:lang w:val="en-GB"/>
              </w:rPr>
            </w:pPr>
            <w:r w:rsidRPr="006E56C4">
              <w:rPr>
                <w:rFonts w:cstheme="minorHAnsi"/>
                <w:sz w:val="20"/>
                <w:szCs w:val="20"/>
                <w:lang w:val="en-GB"/>
              </w:rPr>
              <w:t>-</w:t>
            </w:r>
            <w:r w:rsidRPr="006E56C4">
              <w:rPr>
                <w:rFonts w:cstheme="minorHAnsi"/>
                <w:sz w:val="20"/>
                <w:szCs w:val="20"/>
                <w:lang w:val="en-GB"/>
              </w:rPr>
              <w:tab/>
              <w:t>Are the objectives of the evaluation as outlined in the</w:t>
            </w:r>
            <w:r w:rsidRPr="006E56C4">
              <w:rPr>
                <w:rFonts w:cstheme="minorHAnsi"/>
                <w:spacing w:val="-16"/>
                <w:sz w:val="20"/>
                <w:szCs w:val="20"/>
                <w:lang w:val="en-GB"/>
              </w:rPr>
              <w:t xml:space="preserve"> </w:t>
            </w:r>
            <w:r w:rsidRPr="006E56C4">
              <w:rPr>
                <w:rFonts w:cstheme="minorHAnsi"/>
                <w:sz w:val="20"/>
                <w:szCs w:val="20"/>
                <w:lang w:val="en-GB"/>
              </w:rPr>
              <w:t>TOR?</w:t>
            </w:r>
          </w:p>
        </w:tc>
      </w:tr>
      <w:tr w:rsidR="00AB5FA9" w:rsidRPr="006E56C4" w14:paraId="439C9365" w14:textId="77777777" w:rsidTr="00AB5FA9">
        <w:tc>
          <w:tcPr>
            <w:tcW w:w="574" w:type="dxa"/>
          </w:tcPr>
          <w:p w14:paraId="3D782367" w14:textId="77777777" w:rsidR="00AB5FA9" w:rsidRPr="006E56C4" w:rsidRDefault="00AB5FA9" w:rsidP="00AB5FA9">
            <w:pPr>
              <w:pStyle w:val="TableParagraph"/>
              <w:spacing w:before="1"/>
              <w:rPr>
                <w:rFonts w:asciiTheme="minorHAnsi" w:hAnsiTheme="minorHAnsi" w:cstheme="minorHAnsi"/>
                <w:sz w:val="20"/>
                <w:szCs w:val="20"/>
                <w:lang w:val="en-GB"/>
              </w:rPr>
            </w:pPr>
          </w:p>
          <w:p w14:paraId="44F30893" w14:textId="77777777" w:rsidR="00AB5FA9" w:rsidRPr="006E56C4" w:rsidRDefault="00AB5FA9" w:rsidP="00AB5FA9">
            <w:pPr>
              <w:rPr>
                <w:rFonts w:cstheme="minorHAnsi"/>
                <w:b/>
                <w:sz w:val="20"/>
                <w:szCs w:val="20"/>
                <w:lang w:val="en-GB"/>
              </w:rPr>
            </w:pPr>
            <w:r w:rsidRPr="006E56C4">
              <w:rPr>
                <w:rFonts w:cstheme="minorHAnsi"/>
                <w:b/>
                <w:sz w:val="20"/>
                <w:szCs w:val="20"/>
                <w:lang w:val="en-GB"/>
              </w:rPr>
              <w:t>4.5</w:t>
            </w:r>
          </w:p>
        </w:tc>
        <w:tc>
          <w:tcPr>
            <w:tcW w:w="9344" w:type="dxa"/>
          </w:tcPr>
          <w:p w14:paraId="3A9CC74B" w14:textId="77777777" w:rsidR="00AB5FA9" w:rsidRPr="006E56C4" w:rsidRDefault="00AB5FA9" w:rsidP="00AB5FA9">
            <w:pPr>
              <w:pStyle w:val="TableParagraph"/>
              <w:rPr>
                <w:rFonts w:asciiTheme="minorHAnsi" w:hAnsiTheme="minorHAnsi" w:cstheme="minorHAnsi"/>
                <w:b/>
                <w:sz w:val="20"/>
                <w:szCs w:val="20"/>
                <w:lang w:val="en-GB"/>
              </w:rPr>
            </w:pPr>
            <w:r w:rsidRPr="006E56C4">
              <w:rPr>
                <w:rFonts w:asciiTheme="minorHAnsi" w:hAnsiTheme="minorHAnsi" w:cstheme="minorHAnsi"/>
                <w:b/>
                <w:sz w:val="20"/>
                <w:szCs w:val="20"/>
                <w:lang w:val="en-GB"/>
              </w:rPr>
              <w:t>Are the findings and conclusions supported with data and interview sources?</w:t>
            </w:r>
          </w:p>
          <w:p w14:paraId="2B96648F" w14:textId="77777777" w:rsidR="00AB5FA9" w:rsidRPr="006E56C4" w:rsidRDefault="00AB5FA9" w:rsidP="00AB5FA9">
            <w:pPr>
              <w:rPr>
                <w:rFonts w:cstheme="minorHAnsi"/>
                <w:b/>
                <w:sz w:val="20"/>
                <w:szCs w:val="20"/>
                <w:lang w:val="en-GB"/>
              </w:rPr>
            </w:pPr>
            <w:r w:rsidRPr="006E56C4">
              <w:rPr>
                <w:rFonts w:cstheme="minorHAnsi"/>
                <w:sz w:val="20"/>
                <w:szCs w:val="20"/>
                <w:lang w:val="en-GB"/>
              </w:rPr>
              <w:t>-</w:t>
            </w:r>
            <w:r w:rsidRPr="006E56C4">
              <w:rPr>
                <w:rFonts w:cstheme="minorHAnsi"/>
                <w:sz w:val="20"/>
                <w:szCs w:val="20"/>
                <w:lang w:val="en-GB"/>
              </w:rPr>
              <w:tab/>
              <w:t>Are constraints in access to data and interview sources</w:t>
            </w:r>
            <w:r w:rsidRPr="006E56C4">
              <w:rPr>
                <w:rFonts w:cstheme="minorHAnsi"/>
                <w:spacing w:val="-7"/>
                <w:sz w:val="20"/>
                <w:szCs w:val="20"/>
                <w:lang w:val="en-GB"/>
              </w:rPr>
              <w:t xml:space="preserve"> </w:t>
            </w:r>
            <w:r w:rsidRPr="006E56C4">
              <w:rPr>
                <w:rFonts w:cstheme="minorHAnsi"/>
                <w:sz w:val="20"/>
                <w:szCs w:val="20"/>
                <w:lang w:val="en-GB"/>
              </w:rPr>
              <w:t>detailed?</w:t>
            </w:r>
          </w:p>
        </w:tc>
      </w:tr>
      <w:tr w:rsidR="00AB5FA9" w:rsidRPr="006E56C4" w14:paraId="784F4190" w14:textId="77777777" w:rsidTr="00AB5FA9">
        <w:tc>
          <w:tcPr>
            <w:tcW w:w="574" w:type="dxa"/>
          </w:tcPr>
          <w:p w14:paraId="68CF7489" w14:textId="77777777" w:rsidR="00AB5FA9" w:rsidRPr="006E56C4" w:rsidRDefault="00AB5FA9" w:rsidP="00AB5FA9">
            <w:pPr>
              <w:pStyle w:val="TableParagraph"/>
              <w:rPr>
                <w:rFonts w:asciiTheme="minorHAnsi" w:hAnsiTheme="minorHAnsi" w:cstheme="minorHAnsi"/>
                <w:sz w:val="20"/>
                <w:szCs w:val="20"/>
                <w:lang w:val="en-GB"/>
              </w:rPr>
            </w:pPr>
          </w:p>
          <w:p w14:paraId="79B6ACB8" w14:textId="77777777" w:rsidR="00AB5FA9" w:rsidRPr="006E56C4" w:rsidRDefault="00AB5FA9" w:rsidP="00AB5FA9">
            <w:pPr>
              <w:rPr>
                <w:rFonts w:cstheme="minorHAnsi"/>
                <w:b/>
                <w:sz w:val="20"/>
                <w:szCs w:val="20"/>
                <w:lang w:val="en-GB"/>
              </w:rPr>
            </w:pPr>
            <w:r w:rsidRPr="006E56C4">
              <w:rPr>
                <w:rFonts w:cstheme="minorHAnsi"/>
                <w:b/>
                <w:sz w:val="20"/>
                <w:szCs w:val="20"/>
                <w:lang w:val="en-GB"/>
              </w:rPr>
              <w:t>4.6</w:t>
            </w:r>
          </w:p>
        </w:tc>
        <w:tc>
          <w:tcPr>
            <w:tcW w:w="9344" w:type="dxa"/>
          </w:tcPr>
          <w:p w14:paraId="700CFFD5" w14:textId="77777777" w:rsidR="00AB5FA9" w:rsidRPr="006E56C4" w:rsidRDefault="00AB5FA9" w:rsidP="00AB5FA9">
            <w:pPr>
              <w:pStyle w:val="TableParagraph"/>
              <w:ind w:left="100"/>
              <w:rPr>
                <w:rFonts w:asciiTheme="minorHAnsi" w:hAnsiTheme="minorHAnsi" w:cstheme="minorHAnsi"/>
                <w:b/>
                <w:sz w:val="20"/>
                <w:szCs w:val="20"/>
                <w:lang w:val="en-GB"/>
              </w:rPr>
            </w:pPr>
            <w:r w:rsidRPr="006E56C4">
              <w:rPr>
                <w:rFonts w:asciiTheme="minorHAnsi" w:hAnsiTheme="minorHAnsi" w:cstheme="minorHAnsi"/>
                <w:b/>
                <w:sz w:val="20"/>
                <w:szCs w:val="20"/>
                <w:lang w:val="en-GB"/>
              </w:rPr>
              <w:t>Do the conclusions build on the findings of the evaluation?</w:t>
            </w:r>
          </w:p>
          <w:p w14:paraId="3DBF8B49" w14:textId="77777777" w:rsidR="00AB5FA9" w:rsidRPr="006E56C4" w:rsidRDefault="00AB5FA9" w:rsidP="00AB5FA9">
            <w:pPr>
              <w:rPr>
                <w:rFonts w:cstheme="minorHAnsi"/>
                <w:b/>
                <w:sz w:val="20"/>
                <w:szCs w:val="20"/>
                <w:lang w:val="en-GB"/>
              </w:rPr>
            </w:pPr>
            <w:r w:rsidRPr="006E56C4">
              <w:rPr>
                <w:rFonts w:cstheme="minorHAnsi"/>
                <w:sz w:val="20"/>
                <w:szCs w:val="20"/>
                <w:lang w:val="en-GB"/>
              </w:rPr>
              <w:t>-</w:t>
            </w:r>
            <w:r w:rsidRPr="006E56C4">
              <w:rPr>
                <w:rFonts w:cstheme="minorHAnsi"/>
                <w:sz w:val="20"/>
                <w:szCs w:val="20"/>
                <w:lang w:val="en-GB"/>
              </w:rPr>
              <w:tab/>
              <w:t>Do the conclusions go beyond the findings and present a balanced picture of the strengths and limitations of the evaluation’s</w:t>
            </w:r>
            <w:r w:rsidRPr="006E56C4">
              <w:rPr>
                <w:rFonts w:cstheme="minorHAnsi"/>
                <w:spacing w:val="-3"/>
                <w:sz w:val="20"/>
                <w:szCs w:val="20"/>
                <w:lang w:val="en-GB"/>
              </w:rPr>
              <w:t xml:space="preserve"> </w:t>
            </w:r>
            <w:r w:rsidRPr="006E56C4">
              <w:rPr>
                <w:rFonts w:cstheme="minorHAnsi"/>
                <w:sz w:val="20"/>
                <w:szCs w:val="20"/>
                <w:lang w:val="en-GB"/>
              </w:rPr>
              <w:t>focus?</w:t>
            </w:r>
          </w:p>
        </w:tc>
      </w:tr>
      <w:tr w:rsidR="00AB5FA9" w:rsidRPr="006E56C4" w14:paraId="10E2B50E" w14:textId="77777777" w:rsidTr="00AB5FA9">
        <w:tc>
          <w:tcPr>
            <w:tcW w:w="574" w:type="dxa"/>
            <w:tcBorders>
              <w:bottom w:val="single" w:sz="4" w:space="0" w:color="000000" w:themeColor="text1"/>
            </w:tcBorders>
          </w:tcPr>
          <w:p w14:paraId="13932D8C" w14:textId="77777777" w:rsidR="00AB5FA9" w:rsidRPr="006E56C4" w:rsidRDefault="00AB5FA9" w:rsidP="00AB5FA9">
            <w:pPr>
              <w:rPr>
                <w:rFonts w:cstheme="minorHAnsi"/>
                <w:b/>
                <w:sz w:val="20"/>
                <w:szCs w:val="20"/>
                <w:lang w:val="en-GB"/>
              </w:rPr>
            </w:pPr>
            <w:r w:rsidRPr="006E56C4">
              <w:rPr>
                <w:rFonts w:cstheme="minorHAnsi"/>
                <w:b/>
                <w:sz w:val="20"/>
                <w:szCs w:val="20"/>
                <w:lang w:val="en-GB"/>
              </w:rPr>
              <w:t>4.7</w:t>
            </w:r>
          </w:p>
        </w:tc>
        <w:tc>
          <w:tcPr>
            <w:tcW w:w="9344" w:type="dxa"/>
            <w:tcBorders>
              <w:bottom w:val="single" w:sz="4" w:space="0" w:color="000000" w:themeColor="text1"/>
            </w:tcBorders>
          </w:tcPr>
          <w:p w14:paraId="10470DA2" w14:textId="77777777" w:rsidR="00AB5FA9" w:rsidRPr="006E56C4" w:rsidRDefault="00AB5FA9" w:rsidP="00AB5FA9">
            <w:pPr>
              <w:rPr>
                <w:rFonts w:cstheme="minorHAnsi"/>
                <w:b/>
                <w:sz w:val="20"/>
                <w:szCs w:val="20"/>
                <w:lang w:val="en-GB"/>
              </w:rPr>
            </w:pPr>
            <w:r w:rsidRPr="006E56C4">
              <w:rPr>
                <w:rFonts w:cstheme="minorHAnsi"/>
                <w:b/>
                <w:sz w:val="20"/>
                <w:szCs w:val="20"/>
                <w:lang w:val="en-GB"/>
              </w:rPr>
              <w:t>Are risks discussed in the evaluation report?</w:t>
            </w:r>
          </w:p>
        </w:tc>
      </w:tr>
      <w:tr w:rsidR="00AB5FA9" w:rsidRPr="006E56C4" w14:paraId="4E37E150" w14:textId="77777777" w:rsidTr="00AB5FA9">
        <w:tc>
          <w:tcPr>
            <w:tcW w:w="9918" w:type="dxa"/>
            <w:gridSpan w:val="2"/>
            <w:shd w:val="clear" w:color="auto" w:fill="B8CCE4" w:themeFill="accent1" w:themeFillTint="66"/>
          </w:tcPr>
          <w:p w14:paraId="64488C36" w14:textId="77777777" w:rsidR="00AB5FA9" w:rsidRPr="006E56C4" w:rsidRDefault="00AB5FA9" w:rsidP="00AB5FA9">
            <w:pPr>
              <w:jc w:val="center"/>
              <w:rPr>
                <w:rFonts w:cstheme="minorHAnsi"/>
                <w:b/>
                <w:sz w:val="20"/>
                <w:szCs w:val="20"/>
                <w:lang w:val="en-GB"/>
              </w:rPr>
            </w:pPr>
            <w:r w:rsidRPr="006E56C4">
              <w:rPr>
                <w:rFonts w:cstheme="minorHAnsi"/>
                <w:b/>
                <w:sz w:val="20"/>
                <w:szCs w:val="20"/>
                <w:lang w:val="en-GB"/>
              </w:rPr>
              <w:t>RECOMMENDATIONS</w:t>
            </w:r>
          </w:p>
        </w:tc>
      </w:tr>
      <w:tr w:rsidR="00AB5FA9" w:rsidRPr="006E56C4" w14:paraId="27A523A1" w14:textId="77777777" w:rsidTr="00AB5FA9">
        <w:tc>
          <w:tcPr>
            <w:tcW w:w="574" w:type="dxa"/>
          </w:tcPr>
          <w:p w14:paraId="50CB90E7" w14:textId="77777777" w:rsidR="00AB5FA9" w:rsidRPr="006E56C4" w:rsidRDefault="00AB5FA9" w:rsidP="00AB5FA9">
            <w:pPr>
              <w:pStyle w:val="TableParagraph"/>
              <w:rPr>
                <w:rFonts w:asciiTheme="minorHAnsi" w:hAnsiTheme="minorHAnsi" w:cstheme="minorHAnsi"/>
                <w:sz w:val="20"/>
                <w:szCs w:val="20"/>
                <w:lang w:val="en-GB"/>
              </w:rPr>
            </w:pPr>
          </w:p>
          <w:p w14:paraId="2C82DBC4" w14:textId="77777777" w:rsidR="00AB5FA9" w:rsidRPr="006E56C4" w:rsidRDefault="00AB5FA9" w:rsidP="00AB5FA9">
            <w:pPr>
              <w:pStyle w:val="TableParagraph"/>
              <w:spacing w:before="4"/>
              <w:rPr>
                <w:rFonts w:asciiTheme="minorHAnsi" w:hAnsiTheme="minorHAnsi" w:cstheme="minorHAnsi"/>
                <w:sz w:val="20"/>
                <w:szCs w:val="20"/>
                <w:lang w:val="en-GB"/>
              </w:rPr>
            </w:pPr>
          </w:p>
          <w:p w14:paraId="3335AC9F" w14:textId="77777777" w:rsidR="00AB5FA9" w:rsidRPr="006E56C4" w:rsidRDefault="00AB5FA9" w:rsidP="00AB5FA9">
            <w:pPr>
              <w:rPr>
                <w:rFonts w:cstheme="minorHAnsi"/>
                <w:b/>
                <w:sz w:val="20"/>
                <w:szCs w:val="20"/>
                <w:lang w:val="en-GB"/>
              </w:rPr>
            </w:pPr>
            <w:r w:rsidRPr="006E56C4">
              <w:rPr>
                <w:rFonts w:cstheme="minorHAnsi"/>
                <w:b/>
                <w:sz w:val="20"/>
                <w:szCs w:val="20"/>
                <w:lang w:val="en-GB"/>
              </w:rPr>
              <w:t>4.8</w:t>
            </w:r>
          </w:p>
        </w:tc>
        <w:tc>
          <w:tcPr>
            <w:tcW w:w="9344" w:type="dxa"/>
          </w:tcPr>
          <w:p w14:paraId="2D2C0F01" w14:textId="77777777" w:rsidR="00AB5FA9" w:rsidRPr="006E56C4" w:rsidRDefault="00AB5FA9" w:rsidP="00AB5FA9">
            <w:pPr>
              <w:pStyle w:val="TableParagraph"/>
              <w:rPr>
                <w:rFonts w:asciiTheme="minorHAnsi" w:hAnsiTheme="minorHAnsi" w:cstheme="minorHAnsi"/>
                <w:b/>
                <w:sz w:val="20"/>
                <w:szCs w:val="20"/>
                <w:lang w:val="en-GB"/>
              </w:rPr>
            </w:pPr>
            <w:r w:rsidRPr="006E56C4">
              <w:rPr>
                <w:rFonts w:asciiTheme="minorHAnsi" w:hAnsiTheme="minorHAnsi" w:cstheme="minorHAnsi"/>
                <w:b/>
                <w:sz w:val="20"/>
                <w:szCs w:val="20"/>
                <w:lang w:val="en-GB"/>
              </w:rPr>
              <w:t>Are the recommendations clear, concise, realistic and actionable?</w:t>
            </w:r>
          </w:p>
          <w:p w14:paraId="0E485888" w14:textId="77777777" w:rsidR="00AB5FA9" w:rsidRPr="006E56C4" w:rsidRDefault="00AB5FA9" w:rsidP="00EB743C">
            <w:pPr>
              <w:pStyle w:val="TableParagraph"/>
              <w:numPr>
                <w:ilvl w:val="0"/>
                <w:numId w:val="43"/>
              </w:numPr>
              <w:tabs>
                <w:tab w:val="left" w:pos="820"/>
                <w:tab w:val="left" w:pos="822"/>
              </w:tabs>
              <w:adjustRightInd/>
              <w:spacing w:before="39" w:line="276" w:lineRule="auto"/>
              <w:ind w:right="96" w:hanging="360"/>
              <w:rPr>
                <w:rFonts w:asciiTheme="minorHAnsi" w:hAnsiTheme="minorHAnsi" w:cstheme="minorHAnsi"/>
                <w:sz w:val="20"/>
                <w:szCs w:val="20"/>
                <w:lang w:val="en-GB"/>
              </w:rPr>
            </w:pPr>
            <w:r w:rsidRPr="006E56C4">
              <w:rPr>
                <w:rFonts w:asciiTheme="minorHAnsi" w:hAnsiTheme="minorHAnsi" w:cstheme="minorHAnsi"/>
                <w:sz w:val="20"/>
                <w:szCs w:val="20"/>
                <w:lang w:val="en-GB"/>
              </w:rPr>
              <w:t>A number of recommendations are reasonable given the size and scope of the project/ programme</w:t>
            </w:r>
          </w:p>
          <w:p w14:paraId="0879119B" w14:textId="77777777" w:rsidR="00AB5FA9" w:rsidRPr="006E56C4" w:rsidRDefault="00AB5FA9" w:rsidP="00AB5FA9">
            <w:pPr>
              <w:rPr>
                <w:rFonts w:cstheme="minorHAnsi"/>
                <w:b/>
                <w:sz w:val="20"/>
                <w:szCs w:val="20"/>
                <w:lang w:val="en-GB"/>
              </w:rPr>
            </w:pPr>
            <w:r w:rsidRPr="006E56C4">
              <w:rPr>
                <w:rFonts w:cstheme="minorHAnsi"/>
                <w:sz w:val="20"/>
                <w:szCs w:val="20"/>
                <w:lang w:val="en-GB"/>
              </w:rPr>
              <w:t>Recommendations link directly to findings and</w:t>
            </w:r>
            <w:r w:rsidRPr="006E56C4">
              <w:rPr>
                <w:rFonts w:cstheme="minorHAnsi"/>
                <w:spacing w:val="-7"/>
                <w:sz w:val="20"/>
                <w:szCs w:val="20"/>
                <w:lang w:val="en-GB"/>
              </w:rPr>
              <w:t xml:space="preserve"> </w:t>
            </w:r>
            <w:r w:rsidRPr="006E56C4">
              <w:rPr>
                <w:rFonts w:cstheme="minorHAnsi"/>
                <w:sz w:val="20"/>
                <w:szCs w:val="20"/>
                <w:lang w:val="en-GB"/>
              </w:rPr>
              <w:t>conclusions</w:t>
            </w:r>
          </w:p>
        </w:tc>
      </w:tr>
      <w:tr w:rsidR="00AB5FA9" w:rsidRPr="006E56C4" w14:paraId="3C791BE5" w14:textId="77777777" w:rsidTr="00AB5FA9">
        <w:tc>
          <w:tcPr>
            <w:tcW w:w="574" w:type="dxa"/>
          </w:tcPr>
          <w:p w14:paraId="0554936F" w14:textId="77777777" w:rsidR="00AB5FA9" w:rsidRPr="006E56C4" w:rsidRDefault="00AB5FA9" w:rsidP="00AB5FA9">
            <w:pPr>
              <w:pStyle w:val="TableParagraph"/>
              <w:rPr>
                <w:rFonts w:asciiTheme="minorHAnsi" w:hAnsiTheme="minorHAnsi" w:cstheme="minorHAnsi"/>
                <w:sz w:val="20"/>
                <w:szCs w:val="20"/>
                <w:lang w:val="en-GB"/>
              </w:rPr>
            </w:pPr>
          </w:p>
          <w:p w14:paraId="18A8C8CB" w14:textId="77777777" w:rsidR="00AB5FA9" w:rsidRPr="006E56C4" w:rsidRDefault="00AB5FA9" w:rsidP="00AB5FA9">
            <w:pPr>
              <w:pStyle w:val="TableParagraph"/>
              <w:spacing w:before="4"/>
              <w:rPr>
                <w:rFonts w:asciiTheme="minorHAnsi" w:hAnsiTheme="minorHAnsi" w:cstheme="minorHAnsi"/>
                <w:sz w:val="20"/>
                <w:szCs w:val="20"/>
                <w:lang w:val="en-GB"/>
              </w:rPr>
            </w:pPr>
          </w:p>
          <w:p w14:paraId="1E2BC174" w14:textId="77777777" w:rsidR="00AB5FA9" w:rsidRPr="006E56C4" w:rsidRDefault="00AB5FA9" w:rsidP="00AB5FA9">
            <w:pPr>
              <w:rPr>
                <w:rFonts w:cstheme="minorHAnsi"/>
                <w:b/>
                <w:sz w:val="20"/>
                <w:szCs w:val="20"/>
                <w:lang w:val="en-GB"/>
              </w:rPr>
            </w:pPr>
            <w:r w:rsidRPr="006E56C4">
              <w:rPr>
                <w:rFonts w:cstheme="minorHAnsi"/>
                <w:b/>
                <w:sz w:val="20"/>
                <w:szCs w:val="20"/>
                <w:lang w:val="en-GB"/>
              </w:rPr>
              <w:t>4.9</w:t>
            </w:r>
          </w:p>
        </w:tc>
        <w:tc>
          <w:tcPr>
            <w:tcW w:w="9344" w:type="dxa"/>
          </w:tcPr>
          <w:p w14:paraId="0FA95157" w14:textId="77777777" w:rsidR="00AB5FA9" w:rsidRPr="006E56C4" w:rsidRDefault="00AB5FA9" w:rsidP="00AB5FA9">
            <w:pPr>
              <w:pStyle w:val="TableParagraph"/>
              <w:spacing w:line="273" w:lineRule="auto"/>
              <w:rPr>
                <w:rFonts w:asciiTheme="minorHAnsi" w:hAnsiTheme="minorHAnsi" w:cstheme="minorHAnsi"/>
                <w:b/>
                <w:sz w:val="20"/>
                <w:szCs w:val="20"/>
                <w:lang w:val="en-GB"/>
              </w:rPr>
            </w:pPr>
            <w:r w:rsidRPr="006E56C4">
              <w:rPr>
                <w:rFonts w:asciiTheme="minorHAnsi" w:hAnsiTheme="minorHAnsi" w:cstheme="minorHAnsi"/>
                <w:b/>
                <w:sz w:val="20"/>
                <w:szCs w:val="20"/>
                <w:lang w:val="en-GB"/>
              </w:rPr>
              <w:t>Are</w:t>
            </w:r>
            <w:r w:rsidRPr="006E56C4">
              <w:rPr>
                <w:rFonts w:asciiTheme="minorHAnsi" w:hAnsiTheme="minorHAnsi" w:cstheme="minorHAnsi"/>
                <w:b/>
                <w:spacing w:val="-12"/>
                <w:sz w:val="20"/>
                <w:szCs w:val="20"/>
                <w:lang w:val="en-GB"/>
              </w:rPr>
              <w:t xml:space="preserve"> </w:t>
            </w:r>
            <w:r w:rsidRPr="006E56C4">
              <w:rPr>
                <w:rFonts w:asciiTheme="minorHAnsi" w:hAnsiTheme="minorHAnsi" w:cstheme="minorHAnsi"/>
                <w:b/>
                <w:sz w:val="20"/>
                <w:szCs w:val="20"/>
                <w:lang w:val="en-GB"/>
              </w:rPr>
              <w:t>recommendations</w:t>
            </w:r>
            <w:r w:rsidRPr="006E56C4">
              <w:rPr>
                <w:rFonts w:asciiTheme="minorHAnsi" w:hAnsiTheme="minorHAnsi" w:cstheme="minorHAnsi"/>
                <w:b/>
                <w:spacing w:val="-11"/>
                <w:sz w:val="20"/>
                <w:szCs w:val="20"/>
                <w:lang w:val="en-GB"/>
              </w:rPr>
              <w:t xml:space="preserve"> </w:t>
            </w:r>
            <w:r w:rsidRPr="006E56C4">
              <w:rPr>
                <w:rFonts w:asciiTheme="minorHAnsi" w:hAnsiTheme="minorHAnsi" w:cstheme="minorHAnsi"/>
                <w:b/>
                <w:sz w:val="20"/>
                <w:szCs w:val="20"/>
                <w:lang w:val="en-GB"/>
              </w:rPr>
              <w:t>linked</w:t>
            </w:r>
            <w:r w:rsidRPr="006E56C4">
              <w:rPr>
                <w:rFonts w:asciiTheme="minorHAnsi" w:hAnsiTheme="minorHAnsi" w:cstheme="minorHAnsi"/>
                <w:b/>
                <w:spacing w:val="-12"/>
                <w:sz w:val="20"/>
                <w:szCs w:val="20"/>
                <w:lang w:val="en-GB"/>
              </w:rPr>
              <w:t xml:space="preserve"> </w:t>
            </w:r>
            <w:r w:rsidRPr="006E56C4">
              <w:rPr>
                <w:rFonts w:asciiTheme="minorHAnsi" w:hAnsiTheme="minorHAnsi" w:cstheme="minorHAnsi"/>
                <w:b/>
                <w:sz w:val="20"/>
                <w:szCs w:val="20"/>
                <w:lang w:val="en-GB"/>
              </w:rPr>
              <w:t>to</w:t>
            </w:r>
            <w:r w:rsidRPr="006E56C4">
              <w:rPr>
                <w:rFonts w:asciiTheme="minorHAnsi" w:hAnsiTheme="minorHAnsi" w:cstheme="minorHAnsi"/>
                <w:b/>
                <w:spacing w:val="-12"/>
                <w:sz w:val="20"/>
                <w:szCs w:val="20"/>
                <w:lang w:val="en-GB"/>
              </w:rPr>
              <w:t xml:space="preserve"> </w:t>
            </w:r>
            <w:r w:rsidRPr="006E56C4">
              <w:rPr>
                <w:rFonts w:asciiTheme="minorHAnsi" w:hAnsiTheme="minorHAnsi" w:cstheme="minorHAnsi"/>
                <w:b/>
                <w:sz w:val="20"/>
                <w:szCs w:val="20"/>
                <w:lang w:val="en-GB"/>
              </w:rPr>
              <w:t>country</w:t>
            </w:r>
            <w:r w:rsidRPr="006E56C4">
              <w:rPr>
                <w:rFonts w:asciiTheme="minorHAnsi" w:hAnsiTheme="minorHAnsi" w:cstheme="minorHAnsi"/>
                <w:b/>
                <w:spacing w:val="-11"/>
                <w:sz w:val="20"/>
                <w:szCs w:val="20"/>
                <w:lang w:val="en-GB"/>
              </w:rPr>
              <w:t xml:space="preserve"> </w:t>
            </w:r>
            <w:r w:rsidRPr="006E56C4">
              <w:rPr>
                <w:rFonts w:asciiTheme="minorHAnsi" w:hAnsiTheme="minorHAnsi" w:cstheme="minorHAnsi"/>
                <w:b/>
                <w:sz w:val="20"/>
                <w:szCs w:val="20"/>
                <w:lang w:val="en-GB"/>
              </w:rPr>
              <w:t>programme</w:t>
            </w:r>
            <w:r w:rsidRPr="006E56C4">
              <w:rPr>
                <w:rFonts w:asciiTheme="minorHAnsi" w:hAnsiTheme="minorHAnsi" w:cstheme="minorHAnsi"/>
                <w:b/>
                <w:spacing w:val="-14"/>
                <w:sz w:val="20"/>
                <w:szCs w:val="20"/>
                <w:lang w:val="en-GB"/>
              </w:rPr>
              <w:t xml:space="preserve"> </w:t>
            </w:r>
            <w:r w:rsidRPr="006E56C4">
              <w:rPr>
                <w:rFonts w:asciiTheme="minorHAnsi" w:hAnsiTheme="minorHAnsi" w:cstheme="minorHAnsi"/>
                <w:b/>
                <w:sz w:val="20"/>
                <w:szCs w:val="20"/>
                <w:lang w:val="en-GB"/>
              </w:rPr>
              <w:t>outcomes</w:t>
            </w:r>
            <w:r w:rsidRPr="006E56C4">
              <w:rPr>
                <w:rFonts w:asciiTheme="minorHAnsi" w:hAnsiTheme="minorHAnsi" w:cstheme="minorHAnsi"/>
                <w:b/>
                <w:spacing w:val="-11"/>
                <w:sz w:val="20"/>
                <w:szCs w:val="20"/>
                <w:lang w:val="en-GB"/>
              </w:rPr>
              <w:t xml:space="preserve"> </w:t>
            </w:r>
            <w:r w:rsidRPr="006E56C4">
              <w:rPr>
                <w:rFonts w:asciiTheme="minorHAnsi" w:hAnsiTheme="minorHAnsi" w:cstheme="minorHAnsi"/>
                <w:b/>
                <w:sz w:val="20"/>
                <w:szCs w:val="20"/>
                <w:lang w:val="en-GB"/>
              </w:rPr>
              <w:t>and</w:t>
            </w:r>
            <w:r w:rsidRPr="006E56C4">
              <w:rPr>
                <w:rFonts w:asciiTheme="minorHAnsi" w:hAnsiTheme="minorHAnsi" w:cstheme="minorHAnsi"/>
                <w:b/>
                <w:spacing w:val="-11"/>
                <w:sz w:val="20"/>
                <w:szCs w:val="20"/>
                <w:lang w:val="en-GB"/>
              </w:rPr>
              <w:t xml:space="preserve"> </w:t>
            </w:r>
            <w:r w:rsidRPr="006E56C4">
              <w:rPr>
                <w:rFonts w:asciiTheme="minorHAnsi" w:hAnsiTheme="minorHAnsi" w:cstheme="minorHAnsi"/>
                <w:b/>
                <w:sz w:val="20"/>
                <w:szCs w:val="20"/>
                <w:lang w:val="en-GB"/>
              </w:rPr>
              <w:t>strategies</w:t>
            </w:r>
            <w:r w:rsidRPr="006E56C4">
              <w:rPr>
                <w:rFonts w:asciiTheme="minorHAnsi" w:hAnsiTheme="minorHAnsi" w:cstheme="minorHAnsi"/>
                <w:b/>
                <w:spacing w:val="-11"/>
                <w:sz w:val="20"/>
                <w:szCs w:val="20"/>
                <w:lang w:val="en-GB"/>
              </w:rPr>
              <w:t xml:space="preserve"> </w:t>
            </w:r>
            <w:r w:rsidRPr="006E56C4">
              <w:rPr>
                <w:rFonts w:asciiTheme="minorHAnsi" w:hAnsiTheme="minorHAnsi" w:cstheme="minorHAnsi"/>
                <w:b/>
                <w:sz w:val="20"/>
                <w:szCs w:val="20"/>
                <w:lang w:val="en-GB"/>
              </w:rPr>
              <w:t>and</w:t>
            </w:r>
            <w:r w:rsidRPr="006E56C4">
              <w:rPr>
                <w:rFonts w:asciiTheme="minorHAnsi" w:hAnsiTheme="minorHAnsi" w:cstheme="minorHAnsi"/>
                <w:b/>
                <w:spacing w:val="-12"/>
                <w:sz w:val="20"/>
                <w:szCs w:val="20"/>
                <w:lang w:val="en-GB"/>
              </w:rPr>
              <w:t xml:space="preserve"> </w:t>
            </w:r>
            <w:r w:rsidRPr="006E56C4">
              <w:rPr>
                <w:rFonts w:asciiTheme="minorHAnsi" w:hAnsiTheme="minorHAnsi" w:cstheme="minorHAnsi"/>
                <w:b/>
                <w:sz w:val="20"/>
                <w:szCs w:val="20"/>
                <w:lang w:val="en-GB"/>
              </w:rPr>
              <w:t>actionable</w:t>
            </w:r>
            <w:r w:rsidRPr="006E56C4">
              <w:rPr>
                <w:rFonts w:asciiTheme="minorHAnsi" w:hAnsiTheme="minorHAnsi" w:cstheme="minorHAnsi"/>
                <w:b/>
                <w:spacing w:val="-12"/>
                <w:sz w:val="20"/>
                <w:szCs w:val="20"/>
                <w:lang w:val="en-GB"/>
              </w:rPr>
              <w:t xml:space="preserve"> </w:t>
            </w:r>
            <w:r w:rsidRPr="006E56C4">
              <w:rPr>
                <w:rFonts w:asciiTheme="minorHAnsi" w:hAnsiTheme="minorHAnsi" w:cstheme="minorHAnsi"/>
                <w:b/>
                <w:sz w:val="20"/>
                <w:szCs w:val="20"/>
                <w:lang w:val="en-GB"/>
              </w:rPr>
              <w:t>by</w:t>
            </w:r>
            <w:r w:rsidRPr="006E56C4">
              <w:rPr>
                <w:rFonts w:asciiTheme="minorHAnsi" w:hAnsiTheme="minorHAnsi" w:cstheme="minorHAnsi"/>
                <w:b/>
                <w:spacing w:val="-10"/>
                <w:sz w:val="20"/>
                <w:szCs w:val="20"/>
                <w:lang w:val="en-GB"/>
              </w:rPr>
              <w:t xml:space="preserve"> </w:t>
            </w:r>
            <w:r w:rsidRPr="006E56C4">
              <w:rPr>
                <w:rFonts w:asciiTheme="minorHAnsi" w:hAnsiTheme="minorHAnsi" w:cstheme="minorHAnsi"/>
                <w:b/>
                <w:sz w:val="20"/>
                <w:szCs w:val="20"/>
                <w:lang w:val="en-GB"/>
              </w:rPr>
              <w:t>the country office?</w:t>
            </w:r>
          </w:p>
          <w:p w14:paraId="6DA2340B" w14:textId="77777777" w:rsidR="00AB5FA9" w:rsidRPr="006E56C4" w:rsidRDefault="00AB5FA9" w:rsidP="00EB743C">
            <w:pPr>
              <w:pStyle w:val="TableParagraph"/>
              <w:numPr>
                <w:ilvl w:val="0"/>
                <w:numId w:val="42"/>
              </w:numPr>
              <w:tabs>
                <w:tab w:val="left" w:pos="820"/>
                <w:tab w:val="left" w:pos="822"/>
              </w:tabs>
              <w:adjustRightInd/>
              <w:spacing w:before="2"/>
              <w:ind w:left="821" w:hanging="362"/>
              <w:rPr>
                <w:rFonts w:asciiTheme="minorHAnsi" w:hAnsiTheme="minorHAnsi" w:cstheme="minorHAnsi"/>
                <w:sz w:val="20"/>
                <w:szCs w:val="20"/>
                <w:lang w:val="en-GB"/>
              </w:rPr>
            </w:pPr>
            <w:r w:rsidRPr="006E56C4">
              <w:rPr>
                <w:rFonts w:asciiTheme="minorHAnsi" w:hAnsiTheme="minorHAnsi" w:cstheme="minorHAnsi"/>
                <w:sz w:val="20"/>
                <w:szCs w:val="20"/>
                <w:lang w:val="en-GB"/>
              </w:rPr>
              <w:t>Is guidance given for implementation of the</w:t>
            </w:r>
            <w:r w:rsidRPr="006E56C4">
              <w:rPr>
                <w:rFonts w:asciiTheme="minorHAnsi" w:hAnsiTheme="minorHAnsi" w:cstheme="minorHAnsi"/>
                <w:spacing w:val="-9"/>
                <w:sz w:val="20"/>
                <w:szCs w:val="20"/>
                <w:lang w:val="en-GB"/>
              </w:rPr>
              <w:t xml:space="preserve"> </w:t>
            </w:r>
            <w:r w:rsidRPr="006E56C4">
              <w:rPr>
                <w:rFonts w:asciiTheme="minorHAnsi" w:hAnsiTheme="minorHAnsi" w:cstheme="minorHAnsi"/>
                <w:sz w:val="20"/>
                <w:szCs w:val="20"/>
                <w:lang w:val="en-GB"/>
              </w:rPr>
              <w:t>recommendations?</w:t>
            </w:r>
          </w:p>
          <w:p w14:paraId="02B3881B" w14:textId="77777777" w:rsidR="00AB5FA9" w:rsidRPr="006E56C4" w:rsidRDefault="00AB5FA9" w:rsidP="00AB5FA9">
            <w:pPr>
              <w:rPr>
                <w:rFonts w:cstheme="minorHAnsi"/>
                <w:b/>
                <w:sz w:val="20"/>
                <w:szCs w:val="20"/>
                <w:lang w:val="en-GB"/>
              </w:rPr>
            </w:pPr>
            <w:r w:rsidRPr="006E56C4">
              <w:rPr>
                <w:rFonts w:cstheme="minorHAnsi"/>
                <w:sz w:val="20"/>
                <w:szCs w:val="20"/>
                <w:lang w:val="en-GB"/>
              </w:rPr>
              <w:t>Do recommendations identify implementing roles (UNDP, government, programme, stakeholder,</w:t>
            </w:r>
            <w:r w:rsidRPr="006E56C4">
              <w:rPr>
                <w:rFonts w:cstheme="minorHAnsi"/>
                <w:spacing w:val="-3"/>
                <w:sz w:val="20"/>
                <w:szCs w:val="20"/>
                <w:lang w:val="en-GB"/>
              </w:rPr>
              <w:t xml:space="preserve"> </w:t>
            </w:r>
            <w:r w:rsidRPr="006E56C4">
              <w:rPr>
                <w:rFonts w:cstheme="minorHAnsi"/>
                <w:sz w:val="20"/>
                <w:szCs w:val="20"/>
                <w:lang w:val="en-GB"/>
              </w:rPr>
              <w:t>other)?</w:t>
            </w:r>
          </w:p>
        </w:tc>
      </w:tr>
    </w:tbl>
    <w:p w14:paraId="0D3000DB" w14:textId="77777777" w:rsidR="00AB5FA9" w:rsidRPr="006E56C4" w:rsidRDefault="00AB5FA9" w:rsidP="00AB5FA9">
      <w:pPr>
        <w:pStyle w:val="Heading2"/>
        <w:rPr>
          <w:rFonts w:asciiTheme="minorHAnsi" w:eastAsiaTheme="minorHAnsi" w:hAnsiTheme="minorHAnsi" w:cstheme="minorHAnsi"/>
          <w:bCs w:val="0"/>
          <w:sz w:val="24"/>
        </w:rPr>
      </w:pPr>
      <w:bookmarkStart w:id="34" w:name="Code"/>
    </w:p>
    <w:p w14:paraId="059D81D1" w14:textId="77777777" w:rsidR="00AB5FA9" w:rsidRPr="006E56C4" w:rsidRDefault="00AB5FA9" w:rsidP="00AB5FA9">
      <w:pPr>
        <w:rPr>
          <w:rFonts w:eastAsiaTheme="minorHAnsi" w:cstheme="minorHAnsi"/>
          <w:b/>
          <w:lang w:val="en-GB"/>
        </w:rPr>
      </w:pPr>
      <w:r w:rsidRPr="006E56C4">
        <w:rPr>
          <w:rFonts w:eastAsiaTheme="minorHAnsi" w:cstheme="minorHAnsi"/>
          <w:bCs/>
          <w:lang w:val="en-GB"/>
        </w:rPr>
        <w:br w:type="page"/>
      </w:r>
    </w:p>
    <w:p w14:paraId="0689E182" w14:textId="77777777" w:rsidR="00AB5FA9" w:rsidRPr="006E56C4" w:rsidRDefault="00AB5FA9" w:rsidP="00AB5FA9">
      <w:pPr>
        <w:jc w:val="right"/>
        <w:rPr>
          <w:rFonts w:cstheme="minorHAnsi"/>
          <w:b/>
          <w:lang w:val="en-GB"/>
        </w:rPr>
      </w:pPr>
      <w:r w:rsidRPr="006E56C4">
        <w:rPr>
          <w:rFonts w:cstheme="minorHAnsi"/>
          <w:b/>
          <w:lang w:val="en-GB"/>
        </w:rPr>
        <w:lastRenderedPageBreak/>
        <w:t>Annex 4</w:t>
      </w:r>
    </w:p>
    <w:p w14:paraId="729CDCA4" w14:textId="77777777" w:rsidR="00AB5FA9" w:rsidRPr="006E56C4" w:rsidRDefault="00AB5FA9" w:rsidP="00AB5FA9">
      <w:pPr>
        <w:pStyle w:val="Heading2"/>
        <w:rPr>
          <w:rFonts w:asciiTheme="minorHAnsi" w:eastAsiaTheme="minorHAnsi" w:hAnsiTheme="minorHAnsi" w:cstheme="minorHAnsi"/>
          <w:bCs w:val="0"/>
          <w:sz w:val="24"/>
        </w:rPr>
      </w:pPr>
    </w:p>
    <w:p w14:paraId="06C96410" w14:textId="77777777" w:rsidR="00AB5FA9" w:rsidRPr="00D14389" w:rsidRDefault="00AB5FA9" w:rsidP="00D14389">
      <w:pPr>
        <w:rPr>
          <w:rFonts w:ascii="Arial" w:hAnsi="Arial" w:cs="Arial"/>
          <w:b/>
          <w:sz w:val="22"/>
          <w:szCs w:val="22"/>
        </w:rPr>
      </w:pPr>
      <w:bookmarkStart w:id="35" w:name="_Toc474161916"/>
      <w:r w:rsidRPr="00D14389">
        <w:rPr>
          <w:rFonts w:ascii="Arial" w:hAnsi="Arial" w:cs="Arial"/>
          <w:b/>
          <w:sz w:val="22"/>
          <w:szCs w:val="22"/>
        </w:rPr>
        <w:t>Ethical Code of Conduct for UNDP Evaluations</w:t>
      </w:r>
      <w:bookmarkEnd w:id="34"/>
      <w:bookmarkEnd w:id="35"/>
    </w:p>
    <w:p w14:paraId="77105D40" w14:textId="77777777" w:rsidR="00AB5FA9" w:rsidRPr="006E56C4" w:rsidRDefault="00AB5FA9" w:rsidP="00AB5FA9">
      <w:pPr>
        <w:pStyle w:val="Heading2"/>
        <w:jc w:val="both"/>
        <w:rPr>
          <w:rFonts w:asciiTheme="minorHAnsi" w:hAnsiTheme="minorHAnsi" w:cstheme="minorHAnsi"/>
          <w:i/>
          <w:iCs/>
          <w:sz w:val="20"/>
          <w:szCs w:val="20"/>
        </w:rPr>
      </w:pPr>
    </w:p>
    <w:p w14:paraId="49D65D3B" w14:textId="77777777" w:rsidR="00AB5FA9" w:rsidRPr="006E56C4" w:rsidRDefault="00AB5FA9" w:rsidP="00AB5FA9">
      <w:pPr>
        <w:jc w:val="both"/>
        <w:rPr>
          <w:rFonts w:cstheme="minorHAnsi"/>
          <w:sz w:val="20"/>
          <w:szCs w:val="20"/>
          <w:lang w:val="en-GB"/>
        </w:rPr>
      </w:pPr>
      <w:r w:rsidRPr="006E56C4">
        <w:rPr>
          <w:rFonts w:cstheme="minorHAnsi"/>
          <w:sz w:val="20"/>
          <w:szCs w:val="20"/>
          <w:lang w:val="en-GB"/>
        </w:rPr>
        <w:t xml:space="preserve">Evaluations of UNDP-supported activities need to be independent, impartial and rigorous.  Each evaluation should clearly contribute to learning and accountability.  Hence evaluators must have personal and professional integrity and be guided by propriety in the conduct of their business </w:t>
      </w:r>
    </w:p>
    <w:p w14:paraId="3FC37960" w14:textId="77777777" w:rsidR="00AB5FA9" w:rsidRPr="006E56C4" w:rsidRDefault="00AB5FA9" w:rsidP="00AB5FA9">
      <w:pPr>
        <w:jc w:val="both"/>
        <w:rPr>
          <w:rFonts w:cstheme="minorHAnsi"/>
          <w:sz w:val="20"/>
          <w:szCs w:val="20"/>
          <w:lang w:val="en-GB"/>
        </w:rPr>
      </w:pPr>
      <w:r w:rsidRPr="006E56C4">
        <w:rPr>
          <w:rFonts w:cstheme="minorHAnsi"/>
          <w:sz w:val="20"/>
          <w:szCs w:val="20"/>
          <w:lang w:val="en-GB"/>
        </w:rPr>
        <w:t>Evaluators:</w:t>
      </w:r>
    </w:p>
    <w:p w14:paraId="491422A7" w14:textId="77777777" w:rsidR="00AB5FA9" w:rsidRPr="006E56C4" w:rsidRDefault="00AB5FA9" w:rsidP="00EB743C">
      <w:pPr>
        <w:pStyle w:val="ListParagraph"/>
        <w:numPr>
          <w:ilvl w:val="0"/>
          <w:numId w:val="33"/>
        </w:numPr>
        <w:spacing w:line="276" w:lineRule="auto"/>
        <w:ind w:left="284" w:hanging="284"/>
        <w:jc w:val="both"/>
        <w:rPr>
          <w:rFonts w:cstheme="minorHAnsi"/>
          <w:sz w:val="20"/>
          <w:szCs w:val="20"/>
          <w:lang w:val="en-GB"/>
        </w:rPr>
      </w:pPr>
      <w:r w:rsidRPr="006E56C4">
        <w:rPr>
          <w:rFonts w:cstheme="minorHAnsi"/>
          <w:sz w:val="20"/>
          <w:szCs w:val="20"/>
          <w:lang w:val="en-GB"/>
        </w:rPr>
        <w:t>Must present information that is complete and fair in its assessment of strengths and weaknesses so that decisions or actions taken are well founded</w:t>
      </w:r>
    </w:p>
    <w:p w14:paraId="24824526" w14:textId="77777777" w:rsidR="00AB5FA9" w:rsidRPr="006E56C4" w:rsidRDefault="00AB5FA9" w:rsidP="00AB5FA9">
      <w:pPr>
        <w:pStyle w:val="ListParagraph"/>
        <w:ind w:left="284"/>
        <w:jc w:val="both"/>
        <w:rPr>
          <w:rFonts w:cstheme="minorHAnsi"/>
          <w:sz w:val="20"/>
          <w:szCs w:val="20"/>
          <w:lang w:val="en-GB"/>
        </w:rPr>
      </w:pPr>
    </w:p>
    <w:p w14:paraId="34A38C89" w14:textId="77777777" w:rsidR="00AB5FA9" w:rsidRPr="006E56C4" w:rsidRDefault="00AB5FA9" w:rsidP="00EB743C">
      <w:pPr>
        <w:pStyle w:val="ListParagraph"/>
        <w:numPr>
          <w:ilvl w:val="0"/>
          <w:numId w:val="33"/>
        </w:numPr>
        <w:spacing w:line="276" w:lineRule="auto"/>
        <w:ind w:left="284" w:hanging="284"/>
        <w:jc w:val="both"/>
        <w:rPr>
          <w:rFonts w:cstheme="minorHAnsi"/>
          <w:sz w:val="20"/>
          <w:szCs w:val="20"/>
          <w:lang w:val="en-GB"/>
        </w:rPr>
      </w:pPr>
      <w:r w:rsidRPr="006E56C4">
        <w:rPr>
          <w:rFonts w:cstheme="minorHAnsi"/>
          <w:sz w:val="20"/>
          <w:szCs w:val="20"/>
          <w:lang w:val="en-GB"/>
        </w:rPr>
        <w:t>Must disclose the full set of evaluation findings along with information on their limitations and have this accessible to all affected by the evaluation with expressed legal rights to receive results.</w:t>
      </w:r>
    </w:p>
    <w:p w14:paraId="0153336C" w14:textId="77777777" w:rsidR="00AB5FA9" w:rsidRPr="006E56C4" w:rsidRDefault="00AB5FA9" w:rsidP="00AB5FA9">
      <w:pPr>
        <w:jc w:val="both"/>
        <w:rPr>
          <w:rFonts w:cstheme="minorHAnsi"/>
          <w:sz w:val="20"/>
          <w:szCs w:val="20"/>
          <w:lang w:val="en-GB"/>
        </w:rPr>
      </w:pPr>
    </w:p>
    <w:p w14:paraId="6FE86CEE" w14:textId="77777777" w:rsidR="00AB5FA9" w:rsidRPr="006E56C4" w:rsidRDefault="00AB5FA9" w:rsidP="00EB743C">
      <w:pPr>
        <w:pStyle w:val="ListParagraph"/>
        <w:numPr>
          <w:ilvl w:val="0"/>
          <w:numId w:val="33"/>
        </w:numPr>
        <w:spacing w:line="276" w:lineRule="auto"/>
        <w:ind w:left="284" w:hanging="284"/>
        <w:jc w:val="both"/>
        <w:rPr>
          <w:rFonts w:cstheme="minorHAnsi"/>
          <w:sz w:val="20"/>
          <w:szCs w:val="20"/>
          <w:lang w:val="en-GB"/>
        </w:rPr>
      </w:pPr>
      <w:r w:rsidRPr="006E56C4">
        <w:rPr>
          <w:rFonts w:cstheme="minorHAnsi"/>
          <w:sz w:val="20"/>
          <w:szCs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42A7D73B" w14:textId="77777777" w:rsidR="00AB5FA9" w:rsidRPr="006E56C4" w:rsidRDefault="00AB5FA9" w:rsidP="00AB5FA9">
      <w:pPr>
        <w:jc w:val="both"/>
        <w:rPr>
          <w:rFonts w:cstheme="minorHAnsi"/>
          <w:sz w:val="20"/>
          <w:szCs w:val="20"/>
          <w:lang w:val="en-GB"/>
        </w:rPr>
      </w:pPr>
    </w:p>
    <w:p w14:paraId="3BF8BFAF" w14:textId="77777777" w:rsidR="00AB5FA9" w:rsidRPr="006E56C4" w:rsidRDefault="00AB5FA9" w:rsidP="00EB743C">
      <w:pPr>
        <w:pStyle w:val="ListParagraph"/>
        <w:numPr>
          <w:ilvl w:val="0"/>
          <w:numId w:val="33"/>
        </w:numPr>
        <w:spacing w:line="276" w:lineRule="auto"/>
        <w:ind w:left="284" w:hanging="284"/>
        <w:jc w:val="both"/>
        <w:rPr>
          <w:rFonts w:cstheme="minorHAnsi"/>
          <w:sz w:val="20"/>
          <w:szCs w:val="20"/>
          <w:lang w:val="en-GB"/>
        </w:rPr>
      </w:pPr>
      <w:r w:rsidRPr="006E56C4">
        <w:rPr>
          <w:rFonts w:cstheme="minorHAnsi"/>
          <w:sz w:val="20"/>
          <w:szCs w:val="20"/>
          <w:lang w:val="en-GB"/>
        </w:rPr>
        <w:t>Evaluations sometimes uncover evidence of wrongdoing.  Such cases must be reported discreetly to the appropriate investigative body.  Evaluators should consult with other relevant oversight entities when there is any doubt about if and how issues should be reported.</w:t>
      </w:r>
    </w:p>
    <w:p w14:paraId="50DE80D4" w14:textId="77777777" w:rsidR="00AB5FA9" w:rsidRPr="006E56C4" w:rsidRDefault="00AB5FA9" w:rsidP="00AB5FA9">
      <w:pPr>
        <w:jc w:val="both"/>
        <w:rPr>
          <w:rFonts w:cstheme="minorHAnsi"/>
          <w:sz w:val="20"/>
          <w:szCs w:val="20"/>
          <w:lang w:val="en-GB"/>
        </w:rPr>
      </w:pPr>
    </w:p>
    <w:p w14:paraId="03012035" w14:textId="77777777" w:rsidR="00AB5FA9" w:rsidRPr="006E56C4" w:rsidRDefault="00AB5FA9" w:rsidP="00EB743C">
      <w:pPr>
        <w:pStyle w:val="ListParagraph"/>
        <w:numPr>
          <w:ilvl w:val="0"/>
          <w:numId w:val="33"/>
        </w:numPr>
        <w:spacing w:line="276" w:lineRule="auto"/>
        <w:ind w:left="284" w:hanging="284"/>
        <w:jc w:val="both"/>
        <w:rPr>
          <w:rFonts w:cstheme="minorHAnsi"/>
          <w:sz w:val="20"/>
          <w:szCs w:val="20"/>
          <w:lang w:val="en-GB"/>
        </w:rPr>
      </w:pPr>
      <w:r w:rsidRPr="006E56C4">
        <w:rPr>
          <w:rFonts w:cstheme="minorHAnsi"/>
          <w:sz w:val="20"/>
          <w:szCs w:val="20"/>
          <w:lang w:val="en-GB"/>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5D3D46E7" w14:textId="77777777" w:rsidR="00AB5FA9" w:rsidRPr="006E56C4" w:rsidRDefault="00AB5FA9" w:rsidP="00AB5FA9">
      <w:pPr>
        <w:jc w:val="both"/>
        <w:rPr>
          <w:rFonts w:cstheme="minorHAnsi"/>
          <w:sz w:val="20"/>
          <w:szCs w:val="20"/>
          <w:lang w:val="en-GB"/>
        </w:rPr>
      </w:pPr>
    </w:p>
    <w:p w14:paraId="12D5E7DC" w14:textId="77777777" w:rsidR="00AB5FA9" w:rsidRPr="006E56C4" w:rsidRDefault="00AB5FA9" w:rsidP="00EB743C">
      <w:pPr>
        <w:pStyle w:val="ListParagraph"/>
        <w:numPr>
          <w:ilvl w:val="0"/>
          <w:numId w:val="33"/>
        </w:numPr>
        <w:spacing w:line="276" w:lineRule="auto"/>
        <w:ind w:left="284" w:hanging="284"/>
        <w:jc w:val="both"/>
        <w:rPr>
          <w:rFonts w:cstheme="minorHAnsi"/>
          <w:sz w:val="20"/>
          <w:szCs w:val="20"/>
          <w:lang w:val="en-GB"/>
        </w:rPr>
      </w:pPr>
      <w:r w:rsidRPr="006E56C4">
        <w:rPr>
          <w:rFonts w:cstheme="minorHAnsi"/>
          <w:sz w:val="20"/>
          <w:szCs w:val="20"/>
          <w:lang w:val="en-GB"/>
        </w:rPr>
        <w:t>Are responsible for their performance and their product(s).  They are responsible for the clear, accurate and fair written and/or oral presentation of study limitations, findings and recommendations.</w:t>
      </w:r>
    </w:p>
    <w:p w14:paraId="332CA888" w14:textId="77777777" w:rsidR="00AB5FA9" w:rsidRPr="006E56C4" w:rsidRDefault="00AB5FA9" w:rsidP="00AB5FA9">
      <w:pPr>
        <w:jc w:val="both"/>
        <w:rPr>
          <w:rFonts w:cstheme="minorHAnsi"/>
          <w:sz w:val="20"/>
          <w:szCs w:val="20"/>
          <w:lang w:val="en-GB"/>
        </w:rPr>
      </w:pPr>
    </w:p>
    <w:p w14:paraId="534A396E" w14:textId="77777777" w:rsidR="00AB5FA9" w:rsidRPr="006E56C4" w:rsidRDefault="00AB5FA9" w:rsidP="00EB743C">
      <w:pPr>
        <w:pStyle w:val="ListParagraph"/>
        <w:numPr>
          <w:ilvl w:val="0"/>
          <w:numId w:val="33"/>
        </w:numPr>
        <w:spacing w:line="276" w:lineRule="auto"/>
        <w:ind w:left="284" w:hanging="284"/>
        <w:jc w:val="both"/>
        <w:rPr>
          <w:rFonts w:cstheme="minorHAnsi"/>
          <w:sz w:val="20"/>
          <w:szCs w:val="20"/>
          <w:lang w:val="en-GB"/>
        </w:rPr>
      </w:pPr>
      <w:r w:rsidRPr="006E56C4">
        <w:rPr>
          <w:rFonts w:cstheme="minorHAnsi"/>
          <w:iCs/>
          <w:sz w:val="20"/>
          <w:szCs w:val="20"/>
          <w:lang w:val="en-GB"/>
        </w:rPr>
        <w:t>Should reflect sound accounting procedures and be prudent in using the resources of the evaluation.</w:t>
      </w:r>
    </w:p>
    <w:p w14:paraId="618A0A80" w14:textId="77777777" w:rsidR="00AB5FA9" w:rsidRPr="006E56C4" w:rsidRDefault="00AB5FA9" w:rsidP="00AB5FA9">
      <w:pPr>
        <w:rPr>
          <w:rFonts w:cstheme="minorHAnsi"/>
          <w:b/>
          <w:lang w:val="en-GB"/>
        </w:rPr>
      </w:pPr>
    </w:p>
    <w:p w14:paraId="58D3581B" w14:textId="77777777" w:rsidR="00AB5FA9" w:rsidRDefault="00AB5FA9" w:rsidP="00AB5FA9">
      <w:pPr>
        <w:rPr>
          <w:rFonts w:ascii="Arial" w:hAnsi="Arial" w:cs="Arial"/>
          <w:sz w:val="22"/>
          <w:szCs w:val="22"/>
        </w:rPr>
      </w:pPr>
    </w:p>
    <w:p w14:paraId="7EE23FBC" w14:textId="77777777" w:rsidR="00EF01FF" w:rsidRDefault="00EF01FF">
      <w:pPr>
        <w:rPr>
          <w:rFonts w:asciiTheme="majorHAnsi" w:eastAsiaTheme="majorEastAsia" w:hAnsiTheme="majorHAnsi" w:cstheme="majorBidi"/>
          <w:b/>
          <w:bCs/>
          <w:color w:val="345A8A" w:themeColor="accent1" w:themeShade="B5"/>
          <w:sz w:val="32"/>
          <w:szCs w:val="32"/>
        </w:rPr>
      </w:pPr>
      <w:r>
        <w:br w:type="page"/>
      </w:r>
    </w:p>
    <w:p w14:paraId="6A0FD3D2" w14:textId="683CC86F" w:rsidR="004F7211" w:rsidRPr="004F7211" w:rsidRDefault="001F694C" w:rsidP="004F7211">
      <w:pPr>
        <w:pStyle w:val="Heading1"/>
      </w:pPr>
      <w:bookmarkStart w:id="36" w:name="_Toc478138883"/>
      <w:r>
        <w:lastRenderedPageBreak/>
        <w:t>Annex B:</w:t>
      </w:r>
      <w:r>
        <w:tab/>
      </w:r>
      <w:r w:rsidRPr="00B87E53">
        <w:t>List of Supporting Documents Reviewed</w:t>
      </w:r>
      <w:bookmarkEnd w:id="36"/>
    </w:p>
    <w:p w14:paraId="7C3E033D" w14:textId="77777777" w:rsidR="004F7211" w:rsidRDefault="004F7211" w:rsidP="00C60160">
      <w:pPr>
        <w:rPr>
          <w:rFonts w:ascii="Arial" w:hAnsi="Arial"/>
          <w:sz w:val="22"/>
          <w:szCs w:val="22"/>
        </w:rPr>
      </w:pPr>
    </w:p>
    <w:p w14:paraId="720F4733" w14:textId="77777777" w:rsidR="004F7211" w:rsidRDefault="004F7211" w:rsidP="00C60160">
      <w:pPr>
        <w:rPr>
          <w:rFonts w:ascii="Arial" w:hAnsi="Arial"/>
          <w:sz w:val="22"/>
          <w:szCs w:val="22"/>
        </w:rPr>
      </w:pPr>
      <w:r>
        <w:rPr>
          <w:rFonts w:ascii="Arial" w:hAnsi="Arial"/>
          <w:sz w:val="22"/>
          <w:szCs w:val="22"/>
        </w:rPr>
        <w:t>Annual Report 2017, Supporting Public Administration Reform in Georgia, UNDP Project Office</w:t>
      </w:r>
    </w:p>
    <w:p w14:paraId="7FE775C3" w14:textId="77777777" w:rsidR="004F7211" w:rsidRDefault="004F7211" w:rsidP="00C60160">
      <w:pPr>
        <w:rPr>
          <w:rFonts w:ascii="Arial" w:hAnsi="Arial"/>
          <w:sz w:val="22"/>
          <w:szCs w:val="22"/>
        </w:rPr>
      </w:pPr>
    </w:p>
    <w:p w14:paraId="4F2B5C19" w14:textId="77777777" w:rsidR="004F7211" w:rsidRDefault="004F7211" w:rsidP="00C60160">
      <w:pPr>
        <w:rPr>
          <w:rFonts w:ascii="Arial" w:hAnsi="Arial"/>
          <w:sz w:val="22"/>
          <w:szCs w:val="22"/>
        </w:rPr>
      </w:pPr>
      <w:r>
        <w:rPr>
          <w:rFonts w:ascii="Arial" w:hAnsi="Arial"/>
          <w:sz w:val="22"/>
          <w:szCs w:val="22"/>
        </w:rPr>
        <w:t>Annual Report 2018, Supporting Public Administration Reform in Georgia, UNDP Project Office</w:t>
      </w:r>
    </w:p>
    <w:p w14:paraId="6D9DB16C" w14:textId="77777777" w:rsidR="004F7211" w:rsidRDefault="004F7211" w:rsidP="00C60160">
      <w:pPr>
        <w:rPr>
          <w:rFonts w:ascii="Arial" w:hAnsi="Arial"/>
          <w:sz w:val="22"/>
          <w:szCs w:val="22"/>
        </w:rPr>
      </w:pPr>
    </w:p>
    <w:p w14:paraId="4D790C90" w14:textId="77777777" w:rsidR="004F7211" w:rsidRDefault="004F7211" w:rsidP="00C60160">
      <w:pPr>
        <w:rPr>
          <w:rFonts w:ascii="Arial" w:hAnsi="Arial"/>
          <w:sz w:val="22"/>
          <w:szCs w:val="22"/>
        </w:rPr>
      </w:pPr>
      <w:r>
        <w:rPr>
          <w:rFonts w:ascii="Arial" w:hAnsi="Arial"/>
          <w:sz w:val="22"/>
          <w:szCs w:val="22"/>
        </w:rPr>
        <w:t>Annual Report 2019, Supporting Public Administration Reform in Georgia, UNDP Project Office</w:t>
      </w:r>
    </w:p>
    <w:p w14:paraId="55AC788A" w14:textId="77777777" w:rsidR="004F7211" w:rsidRDefault="004F7211" w:rsidP="000820AA">
      <w:pPr>
        <w:rPr>
          <w:rFonts w:ascii="Arial" w:hAnsi="Arial"/>
          <w:sz w:val="22"/>
          <w:szCs w:val="22"/>
        </w:rPr>
      </w:pPr>
    </w:p>
    <w:p w14:paraId="37E3D637" w14:textId="77777777" w:rsidR="004F7211" w:rsidRDefault="004F7211" w:rsidP="000820AA">
      <w:pPr>
        <w:rPr>
          <w:rFonts w:ascii="Arial" w:hAnsi="Arial"/>
          <w:sz w:val="22"/>
          <w:szCs w:val="22"/>
        </w:rPr>
      </w:pPr>
      <w:r>
        <w:rPr>
          <w:rFonts w:ascii="Arial" w:hAnsi="Arial"/>
          <w:sz w:val="22"/>
          <w:szCs w:val="22"/>
        </w:rPr>
        <w:t>Contribution Agreement Amendment Letter, Supporting Public Administration Reform in Georgia, January 2020, UNDP and other project extension documents</w:t>
      </w:r>
    </w:p>
    <w:p w14:paraId="54992D29" w14:textId="77777777" w:rsidR="004F7211" w:rsidRDefault="004F7211" w:rsidP="000820AA">
      <w:pPr>
        <w:rPr>
          <w:rFonts w:ascii="Arial" w:hAnsi="Arial"/>
          <w:sz w:val="22"/>
          <w:szCs w:val="22"/>
        </w:rPr>
      </w:pPr>
    </w:p>
    <w:p w14:paraId="3A9DD705" w14:textId="77777777" w:rsidR="004F7211" w:rsidRDefault="004F7211" w:rsidP="000820AA">
      <w:pPr>
        <w:rPr>
          <w:rFonts w:ascii="Arial" w:hAnsi="Arial"/>
          <w:sz w:val="22"/>
          <w:szCs w:val="22"/>
        </w:rPr>
      </w:pPr>
      <w:r>
        <w:rPr>
          <w:rFonts w:ascii="Arial" w:hAnsi="Arial"/>
          <w:sz w:val="22"/>
          <w:szCs w:val="22"/>
        </w:rPr>
        <w:t>Current Study of Public Administration Reform, Mid-Term Study Report, ACT, 2019</w:t>
      </w:r>
    </w:p>
    <w:p w14:paraId="13664E5F" w14:textId="77777777" w:rsidR="004F7211" w:rsidRDefault="004F7211" w:rsidP="00C60160">
      <w:pPr>
        <w:rPr>
          <w:rFonts w:ascii="Arial" w:hAnsi="Arial"/>
          <w:sz w:val="22"/>
          <w:szCs w:val="22"/>
        </w:rPr>
      </w:pPr>
    </w:p>
    <w:p w14:paraId="544EA8E4" w14:textId="77777777" w:rsidR="004F7211" w:rsidRDefault="004F7211" w:rsidP="00C60160">
      <w:pPr>
        <w:rPr>
          <w:rFonts w:ascii="Arial" w:hAnsi="Arial"/>
          <w:sz w:val="22"/>
          <w:szCs w:val="22"/>
        </w:rPr>
      </w:pPr>
      <w:r>
        <w:rPr>
          <w:rFonts w:ascii="Arial" w:hAnsi="Arial"/>
          <w:sz w:val="22"/>
          <w:szCs w:val="22"/>
        </w:rPr>
        <w:t>Decree on “Approving the Rule for Determining Professional Development Needs of Public Servants, Standard and Rule for Professional Development,” Government of Georgia, 22 May 2018</w:t>
      </w:r>
    </w:p>
    <w:p w14:paraId="56D94922" w14:textId="77777777" w:rsidR="004F7211" w:rsidRDefault="004F7211" w:rsidP="000820AA">
      <w:pPr>
        <w:rPr>
          <w:rFonts w:ascii="Arial" w:hAnsi="Arial"/>
          <w:sz w:val="22"/>
          <w:szCs w:val="22"/>
        </w:rPr>
      </w:pPr>
    </w:p>
    <w:p w14:paraId="68B21701" w14:textId="77777777" w:rsidR="004F7211" w:rsidRDefault="004F7211" w:rsidP="000820AA">
      <w:pPr>
        <w:rPr>
          <w:rFonts w:ascii="Arial" w:hAnsi="Arial"/>
          <w:sz w:val="22"/>
          <w:szCs w:val="22"/>
        </w:rPr>
      </w:pPr>
      <w:r>
        <w:rPr>
          <w:rFonts w:ascii="Arial" w:hAnsi="Arial"/>
          <w:sz w:val="22"/>
          <w:szCs w:val="22"/>
        </w:rPr>
        <w:t xml:space="preserve">Evaluation of Civic Initiative and Research Grants in the Framework of, “Supporting Public Administration Reform in Georgia Project, Nodar </w:t>
      </w:r>
      <w:proofErr w:type="spellStart"/>
      <w:r>
        <w:rPr>
          <w:rFonts w:ascii="Arial" w:hAnsi="Arial"/>
          <w:sz w:val="22"/>
          <w:szCs w:val="22"/>
        </w:rPr>
        <w:t>Kherkheulidze</w:t>
      </w:r>
      <w:proofErr w:type="spellEnd"/>
      <w:r>
        <w:rPr>
          <w:rFonts w:ascii="Arial" w:hAnsi="Arial"/>
          <w:sz w:val="22"/>
          <w:szCs w:val="22"/>
        </w:rPr>
        <w:t xml:space="preserve"> and </w:t>
      </w:r>
      <w:proofErr w:type="spellStart"/>
      <w:r>
        <w:rPr>
          <w:rFonts w:ascii="Arial" w:hAnsi="Arial"/>
          <w:sz w:val="22"/>
          <w:szCs w:val="22"/>
        </w:rPr>
        <w:t>Dea</w:t>
      </w:r>
      <w:proofErr w:type="spellEnd"/>
      <w:r>
        <w:rPr>
          <w:rFonts w:ascii="Arial" w:hAnsi="Arial"/>
          <w:sz w:val="22"/>
          <w:szCs w:val="22"/>
        </w:rPr>
        <w:t xml:space="preserve"> </w:t>
      </w:r>
      <w:proofErr w:type="spellStart"/>
      <w:r>
        <w:rPr>
          <w:rFonts w:ascii="Arial" w:hAnsi="Arial"/>
          <w:sz w:val="22"/>
          <w:szCs w:val="22"/>
        </w:rPr>
        <w:t>Tsartsidze</w:t>
      </w:r>
      <w:proofErr w:type="spellEnd"/>
      <w:r>
        <w:rPr>
          <w:rFonts w:ascii="Arial" w:hAnsi="Arial"/>
          <w:sz w:val="22"/>
          <w:szCs w:val="22"/>
        </w:rPr>
        <w:t>, January 2019</w:t>
      </w:r>
    </w:p>
    <w:p w14:paraId="68D78726" w14:textId="77777777" w:rsidR="004F7211" w:rsidRDefault="004F7211" w:rsidP="0003486B">
      <w:pPr>
        <w:rPr>
          <w:rFonts w:ascii="Arial" w:hAnsi="Arial"/>
          <w:sz w:val="22"/>
          <w:szCs w:val="22"/>
        </w:rPr>
      </w:pPr>
    </w:p>
    <w:p w14:paraId="13297BF3" w14:textId="77777777" w:rsidR="004F7211" w:rsidRDefault="004F7211" w:rsidP="0003486B">
      <w:pPr>
        <w:rPr>
          <w:rFonts w:ascii="Arial" w:hAnsi="Arial"/>
          <w:sz w:val="22"/>
          <w:szCs w:val="22"/>
        </w:rPr>
      </w:pPr>
      <w:r>
        <w:rPr>
          <w:rFonts w:ascii="Arial" w:hAnsi="Arial"/>
          <w:sz w:val="22"/>
          <w:szCs w:val="22"/>
        </w:rPr>
        <w:t xml:space="preserve">Evaluation of Civic Initiative and Research Grants in the Framework of “Supporting Public Administration Reform (PAR) in Georgia” Project, Nodar </w:t>
      </w:r>
      <w:proofErr w:type="spellStart"/>
      <w:r>
        <w:rPr>
          <w:rFonts w:ascii="Arial" w:hAnsi="Arial"/>
          <w:sz w:val="22"/>
          <w:szCs w:val="22"/>
        </w:rPr>
        <w:t>Kherkheulidze</w:t>
      </w:r>
      <w:proofErr w:type="spellEnd"/>
      <w:r>
        <w:rPr>
          <w:rFonts w:ascii="Arial" w:hAnsi="Arial"/>
          <w:sz w:val="22"/>
          <w:szCs w:val="22"/>
        </w:rPr>
        <w:t xml:space="preserve"> and </w:t>
      </w:r>
      <w:proofErr w:type="spellStart"/>
      <w:r>
        <w:rPr>
          <w:rFonts w:ascii="Arial" w:hAnsi="Arial"/>
          <w:sz w:val="22"/>
          <w:szCs w:val="22"/>
        </w:rPr>
        <w:t>Dea</w:t>
      </w:r>
      <w:proofErr w:type="spellEnd"/>
      <w:r>
        <w:rPr>
          <w:rFonts w:ascii="Arial" w:hAnsi="Arial"/>
          <w:sz w:val="22"/>
          <w:szCs w:val="22"/>
        </w:rPr>
        <w:t xml:space="preserve"> </w:t>
      </w:r>
      <w:proofErr w:type="spellStart"/>
      <w:r>
        <w:rPr>
          <w:rFonts w:ascii="Arial" w:hAnsi="Arial"/>
          <w:sz w:val="22"/>
          <w:szCs w:val="22"/>
        </w:rPr>
        <w:t>Tsartsidze</w:t>
      </w:r>
      <w:proofErr w:type="spellEnd"/>
      <w:r>
        <w:rPr>
          <w:rFonts w:ascii="Arial" w:hAnsi="Arial"/>
          <w:sz w:val="22"/>
          <w:szCs w:val="22"/>
        </w:rPr>
        <w:t>, UNDP, January 2020</w:t>
      </w:r>
    </w:p>
    <w:p w14:paraId="2F68A8ED" w14:textId="77777777" w:rsidR="004F7211" w:rsidRDefault="004F7211" w:rsidP="00C60160">
      <w:pPr>
        <w:rPr>
          <w:rFonts w:ascii="Arial" w:hAnsi="Arial"/>
          <w:sz w:val="22"/>
          <w:szCs w:val="22"/>
        </w:rPr>
      </w:pPr>
    </w:p>
    <w:p w14:paraId="3984D30C" w14:textId="77777777" w:rsidR="004F7211" w:rsidRDefault="004F7211" w:rsidP="00C60160">
      <w:pPr>
        <w:rPr>
          <w:rFonts w:ascii="Arial" w:hAnsi="Arial"/>
          <w:sz w:val="22"/>
          <w:szCs w:val="22"/>
        </w:rPr>
      </w:pPr>
      <w:r>
        <w:rPr>
          <w:rFonts w:ascii="Arial" w:hAnsi="Arial"/>
          <w:sz w:val="22"/>
          <w:szCs w:val="22"/>
        </w:rPr>
        <w:t>Implementation Context Analysis, Public Administration Reform in Georgia, 2017, UNDP Project Office, December 2017</w:t>
      </w:r>
    </w:p>
    <w:p w14:paraId="5D256A0E" w14:textId="77777777" w:rsidR="004F7211" w:rsidRDefault="004F7211" w:rsidP="00C60160">
      <w:pPr>
        <w:rPr>
          <w:rFonts w:ascii="Arial" w:hAnsi="Arial"/>
          <w:sz w:val="22"/>
          <w:szCs w:val="22"/>
        </w:rPr>
      </w:pPr>
    </w:p>
    <w:p w14:paraId="37A14EEC" w14:textId="77777777" w:rsidR="004F7211" w:rsidRDefault="004F7211" w:rsidP="00C60160">
      <w:pPr>
        <w:rPr>
          <w:rFonts w:ascii="Arial" w:hAnsi="Arial"/>
          <w:sz w:val="22"/>
          <w:szCs w:val="22"/>
        </w:rPr>
      </w:pPr>
      <w:r>
        <w:rPr>
          <w:rFonts w:ascii="Arial" w:hAnsi="Arial"/>
          <w:sz w:val="22"/>
          <w:szCs w:val="22"/>
        </w:rPr>
        <w:t>Implementation Context Analysis, Public Administration Reform in Georgia, 2018, UNDP Project Office, December 2018</w:t>
      </w:r>
    </w:p>
    <w:p w14:paraId="25F14D28" w14:textId="77777777" w:rsidR="000D2B23" w:rsidRDefault="000D2B23" w:rsidP="00C60160">
      <w:pPr>
        <w:rPr>
          <w:rFonts w:ascii="Arial" w:hAnsi="Arial"/>
          <w:sz w:val="22"/>
          <w:szCs w:val="22"/>
        </w:rPr>
      </w:pPr>
    </w:p>
    <w:p w14:paraId="3529B4F9" w14:textId="0901806B" w:rsidR="000D2B23" w:rsidRDefault="000D2B23" w:rsidP="00C60160">
      <w:pPr>
        <w:rPr>
          <w:rFonts w:ascii="Arial" w:hAnsi="Arial"/>
          <w:sz w:val="22"/>
          <w:szCs w:val="22"/>
        </w:rPr>
      </w:pPr>
      <w:r>
        <w:rPr>
          <w:rFonts w:ascii="Arial" w:hAnsi="Arial"/>
          <w:sz w:val="22"/>
          <w:szCs w:val="22"/>
        </w:rPr>
        <w:t>Joint Staff Working Document: Association Implementation Report on Georgia, European Commission, Brussels, 5 February 2021</w:t>
      </w:r>
    </w:p>
    <w:p w14:paraId="7F6292BE" w14:textId="77777777" w:rsidR="004F7211" w:rsidRDefault="004F7211" w:rsidP="00C60160">
      <w:pPr>
        <w:rPr>
          <w:rFonts w:ascii="Arial" w:hAnsi="Arial"/>
          <w:sz w:val="22"/>
          <w:szCs w:val="22"/>
        </w:rPr>
      </w:pPr>
    </w:p>
    <w:p w14:paraId="425D8C3A" w14:textId="77777777" w:rsidR="004F7211" w:rsidRDefault="004F7211" w:rsidP="00C60160">
      <w:pPr>
        <w:rPr>
          <w:rFonts w:ascii="Arial" w:hAnsi="Arial"/>
          <w:sz w:val="22"/>
          <w:szCs w:val="22"/>
        </w:rPr>
      </w:pPr>
      <w:r>
        <w:rPr>
          <w:rFonts w:ascii="Arial" w:hAnsi="Arial"/>
          <w:sz w:val="22"/>
          <w:szCs w:val="22"/>
        </w:rPr>
        <w:t>Law of Georgia on Public Service, 27 October 2015</w:t>
      </w:r>
    </w:p>
    <w:p w14:paraId="03A4864D" w14:textId="77777777" w:rsidR="004F7211" w:rsidRDefault="004F7211" w:rsidP="001F694C">
      <w:pPr>
        <w:rPr>
          <w:rFonts w:ascii="Arial" w:hAnsi="Arial"/>
          <w:sz w:val="22"/>
          <w:szCs w:val="22"/>
        </w:rPr>
      </w:pPr>
    </w:p>
    <w:p w14:paraId="19D95468" w14:textId="77777777" w:rsidR="004F7211" w:rsidRDefault="004F7211" w:rsidP="001F694C">
      <w:pPr>
        <w:rPr>
          <w:rFonts w:ascii="Arial" w:hAnsi="Arial"/>
          <w:sz w:val="22"/>
          <w:szCs w:val="22"/>
        </w:rPr>
      </w:pPr>
      <w:r>
        <w:rPr>
          <w:rFonts w:ascii="Arial" w:hAnsi="Arial"/>
          <w:sz w:val="22"/>
          <w:szCs w:val="22"/>
        </w:rPr>
        <w:t>Mapping of the Donor and Implementer Activities in PAR, UNDP Project Office</w:t>
      </w:r>
    </w:p>
    <w:p w14:paraId="59C0F470" w14:textId="77777777" w:rsidR="004F7211" w:rsidRDefault="004F7211" w:rsidP="00C60160">
      <w:pPr>
        <w:rPr>
          <w:rFonts w:ascii="Arial" w:hAnsi="Arial"/>
          <w:sz w:val="22"/>
          <w:szCs w:val="22"/>
        </w:rPr>
      </w:pPr>
    </w:p>
    <w:p w14:paraId="4187CA43" w14:textId="77777777" w:rsidR="004F7211" w:rsidRDefault="004F7211" w:rsidP="00C60160">
      <w:pPr>
        <w:rPr>
          <w:rFonts w:ascii="Arial" w:hAnsi="Arial"/>
          <w:sz w:val="22"/>
          <w:szCs w:val="22"/>
        </w:rPr>
      </w:pPr>
      <w:r>
        <w:rPr>
          <w:rFonts w:ascii="Arial" w:hAnsi="Arial"/>
          <w:sz w:val="22"/>
          <w:szCs w:val="22"/>
        </w:rPr>
        <w:t xml:space="preserve">Mid-Term Evaluation, Supporting Public Administration Reform in Georgia, Elinor Bajraktari and Giorgi </w:t>
      </w:r>
      <w:proofErr w:type="spellStart"/>
      <w:r>
        <w:rPr>
          <w:rFonts w:ascii="Arial" w:hAnsi="Arial"/>
          <w:sz w:val="22"/>
          <w:szCs w:val="22"/>
        </w:rPr>
        <w:t>Gabrieleshvili</w:t>
      </w:r>
      <w:proofErr w:type="spellEnd"/>
      <w:r>
        <w:rPr>
          <w:rFonts w:ascii="Arial" w:hAnsi="Arial"/>
          <w:sz w:val="22"/>
          <w:szCs w:val="22"/>
        </w:rPr>
        <w:t>, July 2019</w:t>
      </w:r>
    </w:p>
    <w:p w14:paraId="5A6E5CEE" w14:textId="77777777" w:rsidR="004F7211" w:rsidRDefault="004F7211" w:rsidP="001F694C">
      <w:pPr>
        <w:jc w:val="both"/>
        <w:rPr>
          <w:rFonts w:ascii="Arial" w:hAnsi="Arial"/>
          <w:sz w:val="22"/>
          <w:szCs w:val="22"/>
        </w:rPr>
      </w:pPr>
    </w:p>
    <w:p w14:paraId="116733D3" w14:textId="77777777" w:rsidR="004F7211" w:rsidRDefault="004F7211" w:rsidP="001F694C">
      <w:pPr>
        <w:jc w:val="both"/>
        <w:rPr>
          <w:rFonts w:ascii="Arial" w:hAnsi="Arial"/>
          <w:sz w:val="22"/>
          <w:szCs w:val="22"/>
        </w:rPr>
      </w:pPr>
      <w:r>
        <w:rPr>
          <w:rFonts w:ascii="Arial" w:hAnsi="Arial"/>
          <w:sz w:val="22"/>
          <w:szCs w:val="22"/>
        </w:rPr>
        <w:t>PAR Project Progress Towards Outcomes and Outputs, UNDP Project Office, 29 January 2021</w:t>
      </w:r>
    </w:p>
    <w:p w14:paraId="5F7E63CB" w14:textId="77777777" w:rsidR="00A76444" w:rsidRDefault="00A76444" w:rsidP="001F694C">
      <w:pPr>
        <w:jc w:val="both"/>
        <w:rPr>
          <w:rFonts w:ascii="Arial" w:hAnsi="Arial"/>
          <w:sz w:val="22"/>
          <w:szCs w:val="22"/>
        </w:rPr>
      </w:pPr>
    </w:p>
    <w:p w14:paraId="0EC73FE3" w14:textId="50266373" w:rsidR="00A76444" w:rsidRDefault="00A76444" w:rsidP="001F694C">
      <w:pPr>
        <w:jc w:val="both"/>
        <w:rPr>
          <w:rFonts w:ascii="Arial" w:hAnsi="Arial"/>
          <w:sz w:val="22"/>
          <w:szCs w:val="22"/>
        </w:rPr>
      </w:pPr>
      <w:r>
        <w:rPr>
          <w:rFonts w:ascii="Arial" w:hAnsi="Arial"/>
          <w:sz w:val="22"/>
          <w:szCs w:val="22"/>
        </w:rPr>
        <w:t>Policy Planning in Georgia Survey Results, Support to Public Administration Reform in Georgia, European Union/</w:t>
      </w:r>
      <w:proofErr w:type="spellStart"/>
      <w:r>
        <w:rPr>
          <w:rFonts w:ascii="Arial" w:hAnsi="Arial"/>
          <w:sz w:val="22"/>
          <w:szCs w:val="22"/>
        </w:rPr>
        <w:t>Sofreco</w:t>
      </w:r>
      <w:proofErr w:type="spellEnd"/>
      <w:r>
        <w:rPr>
          <w:rFonts w:ascii="Arial" w:hAnsi="Arial"/>
          <w:sz w:val="22"/>
          <w:szCs w:val="22"/>
        </w:rPr>
        <w:t>, Tbilisi, June 2020</w:t>
      </w:r>
    </w:p>
    <w:p w14:paraId="4E72452D" w14:textId="77777777" w:rsidR="004F7211" w:rsidRDefault="004F7211" w:rsidP="00D34B78">
      <w:pPr>
        <w:rPr>
          <w:rFonts w:ascii="Arial" w:hAnsi="Arial"/>
          <w:sz w:val="22"/>
          <w:szCs w:val="22"/>
        </w:rPr>
      </w:pPr>
    </w:p>
    <w:p w14:paraId="77A945C7" w14:textId="77777777" w:rsidR="004F7211" w:rsidRDefault="004F7211" w:rsidP="00D34B78">
      <w:pPr>
        <w:rPr>
          <w:rFonts w:ascii="Arial" w:hAnsi="Arial"/>
          <w:sz w:val="22"/>
          <w:szCs w:val="22"/>
        </w:rPr>
      </w:pPr>
      <w:r>
        <w:rPr>
          <w:rFonts w:ascii="Arial" w:hAnsi="Arial"/>
          <w:sz w:val="22"/>
          <w:szCs w:val="22"/>
        </w:rPr>
        <w:t>Policy Planning, Monitoring and Evaluation Handbook, Administration of the Government of Georgia with the assistance of UNDP and UK aid from the UK Government, March 2020</w:t>
      </w:r>
    </w:p>
    <w:p w14:paraId="4CF7BF3E" w14:textId="77777777" w:rsidR="004F7211" w:rsidRDefault="004F7211" w:rsidP="00D34B78">
      <w:pPr>
        <w:rPr>
          <w:rFonts w:ascii="Arial" w:hAnsi="Arial"/>
          <w:sz w:val="22"/>
          <w:szCs w:val="22"/>
        </w:rPr>
      </w:pPr>
    </w:p>
    <w:p w14:paraId="33E6C8D2" w14:textId="77777777" w:rsidR="004F7211" w:rsidRDefault="004F7211" w:rsidP="00D34B78">
      <w:pPr>
        <w:rPr>
          <w:rFonts w:ascii="Arial" w:hAnsi="Arial"/>
          <w:sz w:val="22"/>
          <w:szCs w:val="22"/>
        </w:rPr>
      </w:pPr>
      <w:r>
        <w:rPr>
          <w:rFonts w:ascii="Arial" w:hAnsi="Arial"/>
          <w:sz w:val="22"/>
          <w:szCs w:val="22"/>
        </w:rPr>
        <w:lastRenderedPageBreak/>
        <w:t>Policy Planning, Monitoring and Evaluation Handbook, Annexes, Administration of the Government of Georgia with the assistance of UNDP and UK aid from the UK Government, March 2020</w:t>
      </w:r>
    </w:p>
    <w:p w14:paraId="10D4C0DE" w14:textId="77777777" w:rsidR="004F7211" w:rsidRDefault="004F7211" w:rsidP="000820AA">
      <w:pPr>
        <w:rPr>
          <w:rFonts w:ascii="Arial" w:hAnsi="Arial"/>
          <w:sz w:val="22"/>
          <w:szCs w:val="22"/>
        </w:rPr>
      </w:pPr>
    </w:p>
    <w:p w14:paraId="37B2FEED" w14:textId="77777777" w:rsidR="004F7211" w:rsidRDefault="004F7211" w:rsidP="000820AA">
      <w:pPr>
        <w:rPr>
          <w:rFonts w:ascii="Arial" w:hAnsi="Arial"/>
          <w:sz w:val="22"/>
          <w:szCs w:val="22"/>
        </w:rPr>
      </w:pPr>
      <w:r>
        <w:rPr>
          <w:rFonts w:ascii="Arial" w:hAnsi="Arial"/>
          <w:sz w:val="22"/>
          <w:szCs w:val="22"/>
        </w:rPr>
        <w:t>Political Economy Analysis, Public Administration Reform in Georgia, 2016, UNDP Project Office</w:t>
      </w:r>
    </w:p>
    <w:p w14:paraId="57708903" w14:textId="77777777" w:rsidR="004F7211" w:rsidRDefault="004F7211" w:rsidP="00C60160">
      <w:pPr>
        <w:rPr>
          <w:rFonts w:ascii="Arial" w:hAnsi="Arial"/>
          <w:sz w:val="22"/>
          <w:szCs w:val="22"/>
        </w:rPr>
      </w:pPr>
    </w:p>
    <w:p w14:paraId="68EA8D62" w14:textId="77777777" w:rsidR="004F7211" w:rsidRDefault="004F7211" w:rsidP="00C60160">
      <w:pPr>
        <w:rPr>
          <w:rFonts w:ascii="Arial" w:hAnsi="Arial"/>
          <w:sz w:val="22"/>
          <w:szCs w:val="22"/>
        </w:rPr>
      </w:pPr>
      <w:r>
        <w:rPr>
          <w:rFonts w:ascii="Arial" w:hAnsi="Arial"/>
          <w:sz w:val="22"/>
          <w:szCs w:val="22"/>
        </w:rPr>
        <w:t>Progress Report, Supporting Public Administration in Georgia, Inception Phase of the Project, UNDP Project Office, 9 December 2016</w:t>
      </w:r>
    </w:p>
    <w:p w14:paraId="1345099D" w14:textId="77777777" w:rsidR="004F7211" w:rsidRDefault="004F7211" w:rsidP="000820AA">
      <w:pPr>
        <w:rPr>
          <w:rFonts w:ascii="Arial" w:hAnsi="Arial"/>
          <w:sz w:val="22"/>
          <w:szCs w:val="22"/>
        </w:rPr>
      </w:pPr>
    </w:p>
    <w:p w14:paraId="093EC6CA" w14:textId="77777777" w:rsidR="004F7211" w:rsidRDefault="004F7211" w:rsidP="000820AA">
      <w:pPr>
        <w:rPr>
          <w:rFonts w:ascii="Arial" w:hAnsi="Arial"/>
          <w:sz w:val="22"/>
          <w:szCs w:val="22"/>
        </w:rPr>
      </w:pPr>
      <w:r>
        <w:rPr>
          <w:rFonts w:ascii="Arial" w:hAnsi="Arial"/>
          <w:sz w:val="22"/>
          <w:szCs w:val="22"/>
        </w:rPr>
        <w:t>Project Document, Supporting Public Administration Reform in Georgia, UNDP, 2016</w:t>
      </w:r>
    </w:p>
    <w:p w14:paraId="5A8E977D" w14:textId="77777777" w:rsidR="004F7211" w:rsidRDefault="004F7211" w:rsidP="00C60160">
      <w:pPr>
        <w:rPr>
          <w:rFonts w:ascii="Arial" w:hAnsi="Arial"/>
          <w:sz w:val="22"/>
          <w:szCs w:val="22"/>
        </w:rPr>
      </w:pPr>
    </w:p>
    <w:p w14:paraId="485CF339" w14:textId="77777777" w:rsidR="004F7211" w:rsidRDefault="004F7211" w:rsidP="00C60160">
      <w:pPr>
        <w:rPr>
          <w:rFonts w:ascii="Arial" w:hAnsi="Arial"/>
          <w:sz w:val="22"/>
          <w:szCs w:val="22"/>
        </w:rPr>
      </w:pPr>
      <w:r>
        <w:rPr>
          <w:rFonts w:ascii="Arial" w:hAnsi="Arial"/>
          <w:sz w:val="22"/>
          <w:szCs w:val="22"/>
        </w:rPr>
        <w:t>Semi-Annual Report January-June 2018, Supporting Public Administration Reform in Georgia, UNDP Project Office</w:t>
      </w:r>
    </w:p>
    <w:p w14:paraId="2B566CE1" w14:textId="77777777" w:rsidR="004F7211" w:rsidRDefault="004F7211" w:rsidP="00C60160">
      <w:pPr>
        <w:rPr>
          <w:rFonts w:ascii="Arial" w:hAnsi="Arial"/>
          <w:sz w:val="22"/>
          <w:szCs w:val="22"/>
        </w:rPr>
      </w:pPr>
    </w:p>
    <w:p w14:paraId="30EBA242" w14:textId="77777777" w:rsidR="004F7211" w:rsidRDefault="004F7211" w:rsidP="00C60160">
      <w:pPr>
        <w:rPr>
          <w:rFonts w:ascii="Arial" w:hAnsi="Arial"/>
          <w:sz w:val="22"/>
          <w:szCs w:val="22"/>
        </w:rPr>
      </w:pPr>
      <w:r>
        <w:rPr>
          <w:rFonts w:ascii="Arial" w:hAnsi="Arial"/>
          <w:sz w:val="22"/>
          <w:szCs w:val="22"/>
        </w:rPr>
        <w:t>Semi-Annual Report January-June 2019, Supporting Public Administration Reform in Georgia, UNDP Project Office</w:t>
      </w:r>
    </w:p>
    <w:p w14:paraId="2D9BBEBE" w14:textId="77777777" w:rsidR="004F7211" w:rsidRDefault="004F7211" w:rsidP="001F694C">
      <w:pPr>
        <w:rPr>
          <w:rFonts w:ascii="Arial" w:hAnsi="Arial"/>
          <w:sz w:val="22"/>
          <w:szCs w:val="22"/>
        </w:rPr>
      </w:pPr>
    </w:p>
    <w:p w14:paraId="5ABC7B91" w14:textId="77777777" w:rsidR="004F7211" w:rsidRDefault="004F7211" w:rsidP="001F694C">
      <w:pPr>
        <w:rPr>
          <w:rFonts w:ascii="Arial" w:hAnsi="Arial"/>
          <w:sz w:val="22"/>
          <w:szCs w:val="22"/>
        </w:rPr>
      </w:pPr>
      <w:r>
        <w:rPr>
          <w:rFonts w:ascii="Arial" w:hAnsi="Arial"/>
          <w:sz w:val="22"/>
          <w:szCs w:val="22"/>
        </w:rPr>
        <w:t>Semi-Annual Report January-June 2020, Supporting Public Administration Reform in Georgia, UNDP Project Office</w:t>
      </w:r>
    </w:p>
    <w:p w14:paraId="4AF1520B" w14:textId="77777777" w:rsidR="004F7211" w:rsidRDefault="004F7211" w:rsidP="001F694C">
      <w:pPr>
        <w:rPr>
          <w:rFonts w:ascii="Arial" w:hAnsi="Arial"/>
          <w:sz w:val="22"/>
          <w:szCs w:val="22"/>
        </w:rPr>
      </w:pPr>
    </w:p>
    <w:p w14:paraId="0BDD4F5B" w14:textId="77777777" w:rsidR="004F7211" w:rsidRDefault="004F7211" w:rsidP="001F694C">
      <w:pPr>
        <w:rPr>
          <w:rFonts w:ascii="Arial" w:hAnsi="Arial"/>
          <w:sz w:val="22"/>
          <w:szCs w:val="22"/>
        </w:rPr>
      </w:pPr>
      <w:r>
        <w:rPr>
          <w:rFonts w:ascii="Arial" w:hAnsi="Arial"/>
          <w:sz w:val="22"/>
          <w:szCs w:val="22"/>
        </w:rPr>
        <w:t>SIGMA Opinion on Implementation of its Recommendations Set Out in the Baseline Measurement of Georgia against Principle of Public Administration in the area of Policy Development and Coordination, 2019, SIGMA (a joint initiative of the OECD and the EU)</w:t>
      </w:r>
    </w:p>
    <w:p w14:paraId="26E553BA" w14:textId="77777777" w:rsidR="004F7211" w:rsidRDefault="004F7211" w:rsidP="00B409EF">
      <w:pPr>
        <w:rPr>
          <w:rFonts w:ascii="Arial" w:hAnsi="Arial"/>
          <w:sz w:val="22"/>
          <w:szCs w:val="22"/>
        </w:rPr>
      </w:pPr>
    </w:p>
    <w:p w14:paraId="443A1C31" w14:textId="77777777" w:rsidR="004F7211" w:rsidRDefault="004F7211" w:rsidP="00B409EF">
      <w:pPr>
        <w:rPr>
          <w:rFonts w:ascii="Arial" w:hAnsi="Arial"/>
          <w:sz w:val="22"/>
          <w:szCs w:val="22"/>
        </w:rPr>
      </w:pPr>
      <w:r>
        <w:rPr>
          <w:rFonts w:ascii="Arial" w:hAnsi="Arial"/>
          <w:sz w:val="22"/>
          <w:szCs w:val="22"/>
        </w:rPr>
        <w:t>SIGMA The Principles of Public Administration, Policy Development and Co-ordination, Georgia Baseline Measurement Report, May 2018</w:t>
      </w:r>
    </w:p>
    <w:p w14:paraId="46C9D758" w14:textId="77777777" w:rsidR="004F7211" w:rsidRDefault="004F7211" w:rsidP="00C60160">
      <w:pPr>
        <w:rPr>
          <w:rFonts w:ascii="Arial" w:hAnsi="Arial"/>
          <w:sz w:val="22"/>
          <w:szCs w:val="22"/>
        </w:rPr>
      </w:pPr>
    </w:p>
    <w:p w14:paraId="04585E3E" w14:textId="77777777" w:rsidR="004F7211" w:rsidRDefault="004F7211" w:rsidP="00C60160">
      <w:pPr>
        <w:rPr>
          <w:rFonts w:ascii="Arial" w:hAnsi="Arial"/>
          <w:sz w:val="22"/>
          <w:szCs w:val="22"/>
        </w:rPr>
      </w:pPr>
      <w:r>
        <w:rPr>
          <w:rFonts w:ascii="Arial" w:hAnsi="Arial"/>
          <w:sz w:val="22"/>
          <w:szCs w:val="22"/>
        </w:rPr>
        <w:t>Various Monitoring and Evaluation Frameworks and budget reports, UNDP Project Office</w:t>
      </w:r>
    </w:p>
    <w:p w14:paraId="29591ECB" w14:textId="77777777" w:rsidR="0003486B" w:rsidRDefault="0003486B" w:rsidP="00C60160">
      <w:pPr>
        <w:rPr>
          <w:rFonts w:ascii="Arial" w:hAnsi="Arial"/>
          <w:sz w:val="22"/>
          <w:szCs w:val="22"/>
        </w:rPr>
      </w:pPr>
    </w:p>
    <w:p w14:paraId="52AC15FC" w14:textId="77777777" w:rsidR="00C60160" w:rsidRDefault="00C60160" w:rsidP="00C60160">
      <w:pPr>
        <w:rPr>
          <w:rFonts w:ascii="Arial" w:hAnsi="Arial"/>
          <w:sz w:val="22"/>
          <w:szCs w:val="22"/>
        </w:rPr>
      </w:pPr>
    </w:p>
    <w:p w14:paraId="7967BB91" w14:textId="77777777" w:rsidR="00C60160" w:rsidRDefault="00C60160" w:rsidP="00C60160">
      <w:pPr>
        <w:rPr>
          <w:rFonts w:ascii="Arial" w:hAnsi="Arial"/>
          <w:sz w:val="22"/>
          <w:szCs w:val="22"/>
        </w:rPr>
      </w:pPr>
    </w:p>
    <w:p w14:paraId="201214EA" w14:textId="77777777" w:rsidR="00C60160" w:rsidRDefault="00C60160" w:rsidP="00C60160">
      <w:pPr>
        <w:rPr>
          <w:rFonts w:ascii="Arial" w:hAnsi="Arial"/>
          <w:sz w:val="22"/>
          <w:szCs w:val="22"/>
        </w:rPr>
      </w:pPr>
    </w:p>
    <w:p w14:paraId="37759A73" w14:textId="77777777" w:rsidR="00C60160" w:rsidRDefault="00C60160" w:rsidP="00C60160">
      <w:pPr>
        <w:rPr>
          <w:rFonts w:ascii="Arial" w:hAnsi="Arial"/>
          <w:sz w:val="22"/>
          <w:szCs w:val="22"/>
        </w:rPr>
      </w:pPr>
    </w:p>
    <w:p w14:paraId="08A5A341" w14:textId="77777777" w:rsidR="00C60160" w:rsidRDefault="00C60160" w:rsidP="001F694C">
      <w:pPr>
        <w:rPr>
          <w:rFonts w:ascii="Arial" w:hAnsi="Arial"/>
          <w:sz w:val="22"/>
          <w:szCs w:val="22"/>
        </w:rPr>
      </w:pPr>
    </w:p>
    <w:p w14:paraId="60971AD1" w14:textId="77777777" w:rsidR="00C60160" w:rsidRDefault="00C60160" w:rsidP="001F694C">
      <w:pPr>
        <w:rPr>
          <w:rFonts w:ascii="Arial" w:hAnsi="Arial"/>
          <w:sz w:val="22"/>
          <w:szCs w:val="22"/>
        </w:rPr>
      </w:pPr>
    </w:p>
    <w:p w14:paraId="2541BA4E" w14:textId="32C23C7B" w:rsidR="001F694C" w:rsidRPr="00C60160" w:rsidRDefault="00C60160" w:rsidP="001F694C">
      <w:pPr>
        <w:rPr>
          <w:rFonts w:ascii="Arial" w:hAnsi="Arial"/>
          <w:sz w:val="22"/>
          <w:szCs w:val="22"/>
        </w:rPr>
      </w:pPr>
      <w:r>
        <w:rPr>
          <w:rFonts w:ascii="Arial" w:hAnsi="Arial"/>
          <w:sz w:val="22"/>
          <w:szCs w:val="22"/>
        </w:rPr>
        <w:t xml:space="preserve">  </w:t>
      </w:r>
      <w:r w:rsidR="001F694C">
        <w:br w:type="page"/>
      </w:r>
    </w:p>
    <w:p w14:paraId="31E3F7DC" w14:textId="601BA8D8" w:rsidR="007E0B0E" w:rsidRPr="007E0B0E" w:rsidRDefault="001F694C" w:rsidP="007E0B0E">
      <w:pPr>
        <w:pStyle w:val="Heading1"/>
      </w:pPr>
      <w:bookmarkStart w:id="37" w:name="_Toc478138884"/>
      <w:r>
        <w:lastRenderedPageBreak/>
        <w:t>Annex C</w:t>
      </w:r>
      <w:r w:rsidR="00B87E53">
        <w:t>:</w:t>
      </w:r>
      <w:r w:rsidR="00B87E53">
        <w:tab/>
      </w:r>
      <w:r w:rsidR="00C21390" w:rsidRPr="00B87E53">
        <w:t>List of Those Interviewed</w:t>
      </w:r>
      <w:bookmarkEnd w:id="37"/>
    </w:p>
    <w:p w14:paraId="11A87D41" w14:textId="77777777" w:rsidR="007E0B0E" w:rsidRDefault="007E0B0E" w:rsidP="00870303">
      <w:pPr>
        <w:ind w:left="2880" w:hanging="2880"/>
        <w:rPr>
          <w:rFonts w:ascii="Calibri" w:eastAsia="Times New Roman" w:hAnsi="Calibri" w:cs="Times New Roman"/>
          <w:color w:val="000000"/>
          <w:sz w:val="22"/>
          <w:szCs w:val="22"/>
        </w:rPr>
      </w:pPr>
    </w:p>
    <w:p w14:paraId="07D9E149" w14:textId="77777777" w:rsidR="007E0B0E" w:rsidRPr="005E7B73" w:rsidRDefault="007E0B0E" w:rsidP="00870303">
      <w:pPr>
        <w:ind w:left="2880" w:hanging="2880"/>
        <w:rPr>
          <w:rFonts w:ascii="Arial" w:hAnsi="Arial" w:cs="Arial"/>
          <w:sz w:val="22"/>
          <w:szCs w:val="22"/>
        </w:rPr>
      </w:pPr>
      <w:proofErr w:type="spellStart"/>
      <w:r w:rsidRPr="005E7B73">
        <w:rPr>
          <w:rFonts w:ascii="Arial" w:hAnsi="Arial" w:cs="Arial"/>
          <w:sz w:val="22"/>
          <w:szCs w:val="22"/>
        </w:rPr>
        <w:t>Abashmadze</w:t>
      </w:r>
      <w:proofErr w:type="spellEnd"/>
      <w:r w:rsidRPr="005E7B73">
        <w:rPr>
          <w:rFonts w:ascii="Arial" w:hAnsi="Arial" w:cs="Arial"/>
          <w:sz w:val="22"/>
          <w:szCs w:val="22"/>
        </w:rPr>
        <w:t>, Natalia</w:t>
      </w:r>
      <w:r w:rsidRPr="005E7B73">
        <w:rPr>
          <w:rFonts w:ascii="Arial" w:hAnsi="Arial" w:cs="Arial"/>
          <w:sz w:val="22"/>
          <w:szCs w:val="22"/>
        </w:rPr>
        <w:tab/>
        <w:t>Deputy Chief Executive Officer, Chief Operations Officer, Public Service Hall</w:t>
      </w:r>
    </w:p>
    <w:p w14:paraId="20295930" w14:textId="77777777" w:rsidR="007E0B0E" w:rsidRPr="005E7B73" w:rsidRDefault="007E0B0E" w:rsidP="00870303">
      <w:pPr>
        <w:ind w:left="2880" w:hanging="2880"/>
        <w:rPr>
          <w:rFonts w:ascii="Arial" w:hAnsi="Arial" w:cs="Arial"/>
          <w:sz w:val="22"/>
          <w:szCs w:val="22"/>
        </w:rPr>
      </w:pPr>
    </w:p>
    <w:p w14:paraId="4CA4699D" w14:textId="77777777" w:rsidR="007E0B0E" w:rsidRPr="005E7B73" w:rsidRDefault="007E0B0E" w:rsidP="00D35E0B">
      <w:pPr>
        <w:rPr>
          <w:rFonts w:ascii="Arial" w:eastAsia="Times New Roman" w:hAnsi="Arial" w:cs="Arial"/>
          <w:color w:val="0E101A"/>
          <w:sz w:val="22"/>
          <w:szCs w:val="22"/>
        </w:rPr>
      </w:pPr>
      <w:proofErr w:type="spellStart"/>
      <w:r w:rsidRPr="005E7B73">
        <w:rPr>
          <w:rFonts w:ascii="Arial" w:eastAsia="Times New Roman" w:hAnsi="Arial" w:cs="Arial"/>
          <w:color w:val="0E101A"/>
          <w:sz w:val="22"/>
          <w:szCs w:val="22"/>
        </w:rPr>
        <w:t>Aghapishvili</w:t>
      </w:r>
      <w:proofErr w:type="spellEnd"/>
      <w:r w:rsidRPr="005E7B73">
        <w:rPr>
          <w:rFonts w:ascii="Arial" w:eastAsia="Times New Roman" w:hAnsi="Arial" w:cs="Arial"/>
          <w:color w:val="0E101A"/>
          <w:sz w:val="22"/>
          <w:szCs w:val="22"/>
        </w:rPr>
        <w:t>, Irina</w:t>
      </w:r>
      <w:r w:rsidRPr="005E7B73">
        <w:rPr>
          <w:rFonts w:ascii="Arial" w:eastAsia="Times New Roman" w:hAnsi="Arial" w:cs="Arial"/>
          <w:color w:val="0E101A"/>
          <w:sz w:val="22"/>
          <w:szCs w:val="22"/>
        </w:rPr>
        <w:tab/>
      </w:r>
      <w:r w:rsidRPr="005E7B73">
        <w:rPr>
          <w:rFonts w:ascii="Arial" w:eastAsia="Times New Roman" w:hAnsi="Arial" w:cs="Arial"/>
          <w:color w:val="0E101A"/>
          <w:sz w:val="22"/>
          <w:szCs w:val="22"/>
        </w:rPr>
        <w:tab/>
        <w:t>Head, Analytical Department, Civil Service Bureau</w:t>
      </w:r>
    </w:p>
    <w:p w14:paraId="6D4F3D6F" w14:textId="77777777" w:rsidR="007E0B0E" w:rsidRPr="005E7B73" w:rsidRDefault="007E0B0E" w:rsidP="00D35E0B">
      <w:pPr>
        <w:ind w:left="2880" w:hanging="2880"/>
        <w:rPr>
          <w:rFonts w:ascii="Arial" w:eastAsia="Times New Roman" w:hAnsi="Arial" w:cs="Arial"/>
          <w:color w:val="0E101A"/>
          <w:sz w:val="22"/>
          <w:szCs w:val="22"/>
        </w:rPr>
      </w:pPr>
    </w:p>
    <w:p w14:paraId="5A74796F" w14:textId="77777777" w:rsidR="007E0B0E" w:rsidRPr="005E7B73" w:rsidRDefault="007E0B0E" w:rsidP="00D35E0B">
      <w:pPr>
        <w:ind w:left="2880" w:hanging="2880"/>
        <w:rPr>
          <w:rFonts w:ascii="Arial" w:eastAsia="Times New Roman" w:hAnsi="Arial" w:cs="Arial"/>
          <w:color w:val="0E101A"/>
          <w:sz w:val="22"/>
          <w:szCs w:val="22"/>
        </w:rPr>
      </w:pPr>
      <w:r w:rsidRPr="005E7B73">
        <w:rPr>
          <w:rFonts w:ascii="Arial" w:eastAsia="Times New Roman" w:hAnsi="Arial" w:cs="Arial"/>
          <w:color w:val="0E101A"/>
          <w:sz w:val="22"/>
          <w:szCs w:val="22"/>
        </w:rPr>
        <w:t>Baratashvili, Natalia</w:t>
      </w:r>
      <w:r w:rsidRPr="005E7B73">
        <w:rPr>
          <w:rFonts w:ascii="Arial" w:eastAsia="Times New Roman" w:hAnsi="Arial" w:cs="Arial"/>
          <w:color w:val="0E101A"/>
          <w:sz w:val="22"/>
          <w:szCs w:val="22"/>
        </w:rPr>
        <w:tab/>
        <w:t>Capacity Development Coordinator, PAR Project</w:t>
      </w:r>
    </w:p>
    <w:p w14:paraId="13F4B19B" w14:textId="77777777" w:rsidR="007E0B0E" w:rsidRPr="005E7B73" w:rsidRDefault="007E0B0E" w:rsidP="00D35E0B">
      <w:pPr>
        <w:ind w:left="2880" w:hanging="2880"/>
        <w:rPr>
          <w:rFonts w:ascii="Arial" w:eastAsia="Times New Roman" w:hAnsi="Arial" w:cs="Arial"/>
          <w:color w:val="0E101A"/>
          <w:sz w:val="22"/>
          <w:szCs w:val="22"/>
        </w:rPr>
      </w:pPr>
    </w:p>
    <w:p w14:paraId="41638984" w14:textId="77777777" w:rsidR="007E0B0E" w:rsidRPr="005E7B73" w:rsidRDefault="007E0B0E" w:rsidP="00D35E0B">
      <w:pPr>
        <w:ind w:left="2880" w:hanging="2880"/>
        <w:rPr>
          <w:rFonts w:ascii="Arial" w:eastAsia="Times New Roman" w:hAnsi="Arial" w:cs="Arial"/>
          <w:color w:val="0E101A"/>
          <w:sz w:val="22"/>
          <w:szCs w:val="22"/>
        </w:rPr>
      </w:pPr>
      <w:proofErr w:type="spellStart"/>
      <w:r w:rsidRPr="005E7B73">
        <w:rPr>
          <w:rFonts w:ascii="Arial" w:eastAsia="Times New Roman" w:hAnsi="Arial" w:cs="Arial"/>
          <w:color w:val="0E101A"/>
          <w:sz w:val="22"/>
          <w:szCs w:val="22"/>
        </w:rPr>
        <w:t>Beselia</w:t>
      </w:r>
      <w:proofErr w:type="spellEnd"/>
      <w:r w:rsidRPr="005E7B73">
        <w:rPr>
          <w:rFonts w:ascii="Arial" w:eastAsia="Times New Roman" w:hAnsi="Arial" w:cs="Arial"/>
          <w:color w:val="0E101A"/>
          <w:sz w:val="22"/>
          <w:szCs w:val="22"/>
        </w:rPr>
        <w:t>, Gvantsa</w:t>
      </w:r>
      <w:r w:rsidRPr="005E7B73">
        <w:rPr>
          <w:rFonts w:ascii="Arial" w:eastAsia="Times New Roman" w:hAnsi="Arial" w:cs="Arial"/>
          <w:color w:val="0E101A"/>
          <w:sz w:val="22"/>
          <w:szCs w:val="22"/>
        </w:rPr>
        <w:tab/>
        <w:t>Head, Human Resource Management Department, Civil Service Bureau</w:t>
      </w:r>
    </w:p>
    <w:p w14:paraId="2D4E388A" w14:textId="77777777" w:rsidR="007E0B0E" w:rsidRPr="005E7B73" w:rsidRDefault="007E0B0E" w:rsidP="00870303">
      <w:pPr>
        <w:ind w:left="2880" w:hanging="2880"/>
        <w:rPr>
          <w:rFonts w:ascii="Arial" w:hAnsi="Arial" w:cs="Arial"/>
          <w:sz w:val="22"/>
          <w:szCs w:val="22"/>
        </w:rPr>
      </w:pPr>
    </w:p>
    <w:p w14:paraId="229F5FE7" w14:textId="77777777" w:rsidR="007E0B0E" w:rsidRPr="005E7B73" w:rsidRDefault="007E0B0E" w:rsidP="00870303">
      <w:pPr>
        <w:ind w:left="2880" w:hanging="2880"/>
        <w:rPr>
          <w:rFonts w:ascii="Arial" w:hAnsi="Arial" w:cs="Arial"/>
          <w:sz w:val="22"/>
          <w:szCs w:val="22"/>
        </w:rPr>
      </w:pPr>
      <w:proofErr w:type="spellStart"/>
      <w:r w:rsidRPr="005E7B73">
        <w:rPr>
          <w:rFonts w:ascii="Arial" w:hAnsi="Arial" w:cs="Arial"/>
          <w:sz w:val="22"/>
          <w:szCs w:val="22"/>
        </w:rPr>
        <w:t>Bobghiashvili</w:t>
      </w:r>
      <w:proofErr w:type="spellEnd"/>
      <w:r w:rsidRPr="005E7B73">
        <w:rPr>
          <w:rFonts w:ascii="Arial" w:hAnsi="Arial" w:cs="Arial"/>
          <w:sz w:val="22"/>
          <w:szCs w:val="22"/>
        </w:rPr>
        <w:t>, Giorgi</w:t>
      </w:r>
      <w:r w:rsidRPr="005E7B73">
        <w:rPr>
          <w:rFonts w:ascii="Arial" w:hAnsi="Arial" w:cs="Arial"/>
          <w:sz w:val="22"/>
          <w:szCs w:val="22"/>
        </w:rPr>
        <w:tab/>
        <w:t>Head, Policy Planning Unit, Department of Policy Planning and Coordination, Administration of the Government of Georgia</w:t>
      </w:r>
    </w:p>
    <w:p w14:paraId="2CDBC693" w14:textId="77777777" w:rsidR="007E0B0E" w:rsidRPr="005E7B73" w:rsidRDefault="007E0B0E" w:rsidP="00C47CF4">
      <w:pPr>
        <w:ind w:left="2880" w:hanging="2880"/>
        <w:rPr>
          <w:rFonts w:ascii="Arial" w:hAnsi="Arial" w:cs="Arial"/>
          <w:sz w:val="22"/>
          <w:szCs w:val="22"/>
        </w:rPr>
      </w:pPr>
    </w:p>
    <w:p w14:paraId="572ED751" w14:textId="77777777" w:rsidR="007E0B0E" w:rsidRPr="005E7B73" w:rsidRDefault="007E0B0E" w:rsidP="00C47CF4">
      <w:pPr>
        <w:ind w:left="2880" w:hanging="2880"/>
        <w:rPr>
          <w:rFonts w:ascii="Arial" w:hAnsi="Arial" w:cs="Arial"/>
          <w:sz w:val="22"/>
          <w:szCs w:val="22"/>
        </w:rPr>
      </w:pPr>
      <w:r w:rsidRPr="005E7B73">
        <w:rPr>
          <w:rFonts w:ascii="Arial" w:hAnsi="Arial" w:cs="Arial"/>
          <w:sz w:val="22"/>
          <w:szCs w:val="22"/>
        </w:rPr>
        <w:t>Bregadze, Gigi</w:t>
      </w:r>
      <w:r w:rsidRPr="005E7B73">
        <w:rPr>
          <w:rFonts w:ascii="Arial" w:hAnsi="Arial" w:cs="Arial"/>
          <w:sz w:val="22"/>
          <w:szCs w:val="22"/>
        </w:rPr>
        <w:tab/>
        <w:t>Team Leader, Democratic Governance, UNDP</w:t>
      </w:r>
    </w:p>
    <w:p w14:paraId="065DB0F9" w14:textId="77777777" w:rsidR="007E0B0E" w:rsidRPr="005E7B73" w:rsidRDefault="007E0B0E" w:rsidP="00870303">
      <w:pPr>
        <w:ind w:left="2880" w:hanging="2880"/>
        <w:rPr>
          <w:rFonts w:ascii="Arial" w:hAnsi="Arial" w:cs="Arial"/>
          <w:sz w:val="22"/>
          <w:szCs w:val="22"/>
        </w:rPr>
      </w:pPr>
    </w:p>
    <w:p w14:paraId="3B071352" w14:textId="77777777" w:rsidR="007E0B0E" w:rsidRPr="005E7B73" w:rsidRDefault="007E0B0E" w:rsidP="00870303">
      <w:pPr>
        <w:ind w:left="2880" w:hanging="2880"/>
        <w:rPr>
          <w:rFonts w:ascii="Arial" w:hAnsi="Arial" w:cs="Arial"/>
          <w:sz w:val="22"/>
          <w:szCs w:val="22"/>
        </w:rPr>
      </w:pPr>
      <w:proofErr w:type="spellStart"/>
      <w:r w:rsidRPr="005E7B73">
        <w:rPr>
          <w:rFonts w:ascii="Arial" w:hAnsi="Arial" w:cs="Arial"/>
          <w:sz w:val="22"/>
          <w:szCs w:val="22"/>
        </w:rPr>
        <w:t>Burduli</w:t>
      </w:r>
      <w:proofErr w:type="spellEnd"/>
      <w:r w:rsidRPr="005E7B73">
        <w:rPr>
          <w:rFonts w:ascii="Arial" w:hAnsi="Arial" w:cs="Arial"/>
          <w:sz w:val="22"/>
          <w:szCs w:val="22"/>
        </w:rPr>
        <w:t xml:space="preserve">, </w:t>
      </w:r>
      <w:proofErr w:type="spellStart"/>
      <w:r w:rsidRPr="005E7B73">
        <w:rPr>
          <w:rFonts w:ascii="Arial" w:hAnsi="Arial" w:cs="Arial"/>
          <w:sz w:val="22"/>
          <w:szCs w:val="22"/>
        </w:rPr>
        <w:t>Etuna</w:t>
      </w:r>
      <w:proofErr w:type="spellEnd"/>
      <w:r w:rsidRPr="005E7B73">
        <w:rPr>
          <w:rFonts w:ascii="Arial" w:hAnsi="Arial" w:cs="Arial"/>
          <w:sz w:val="22"/>
          <w:szCs w:val="22"/>
        </w:rPr>
        <w:tab/>
        <w:t>Specialist, Strategic Projects and Reforms Department, Public Service Development Agency, Ministry of Justice</w:t>
      </w:r>
    </w:p>
    <w:p w14:paraId="535B0371" w14:textId="77777777" w:rsidR="007E0B0E" w:rsidRPr="005E7B73" w:rsidRDefault="007E0B0E" w:rsidP="00C47CF4">
      <w:pPr>
        <w:ind w:left="2880" w:hanging="2880"/>
        <w:rPr>
          <w:rFonts w:ascii="Arial" w:hAnsi="Arial" w:cs="Arial"/>
          <w:sz w:val="22"/>
          <w:szCs w:val="22"/>
        </w:rPr>
      </w:pPr>
    </w:p>
    <w:p w14:paraId="197D02EA" w14:textId="77777777" w:rsidR="007E0B0E" w:rsidRPr="005E7B73" w:rsidRDefault="007E0B0E" w:rsidP="00C47CF4">
      <w:pPr>
        <w:ind w:left="2880" w:hanging="2880"/>
        <w:rPr>
          <w:rFonts w:ascii="Arial" w:hAnsi="Arial" w:cs="Arial"/>
          <w:sz w:val="22"/>
          <w:szCs w:val="22"/>
        </w:rPr>
      </w:pPr>
      <w:r w:rsidRPr="005E7B73">
        <w:rPr>
          <w:rFonts w:ascii="Arial" w:hAnsi="Arial" w:cs="Arial"/>
          <w:sz w:val="22"/>
          <w:szCs w:val="22"/>
        </w:rPr>
        <w:t>Chanukvadze, Khatuna</w:t>
      </w:r>
      <w:r w:rsidRPr="005E7B73">
        <w:rPr>
          <w:rFonts w:ascii="Arial" w:hAnsi="Arial" w:cs="Arial"/>
          <w:sz w:val="22"/>
          <w:szCs w:val="22"/>
        </w:rPr>
        <w:tab/>
        <w:t>Monitoring and Evaluation Officer, UNDP</w:t>
      </w:r>
    </w:p>
    <w:p w14:paraId="659FEEB9" w14:textId="77777777" w:rsidR="007E0B0E" w:rsidRPr="005E7B73" w:rsidRDefault="007E0B0E" w:rsidP="00C47CF4">
      <w:pPr>
        <w:ind w:left="2880" w:hanging="2880"/>
        <w:rPr>
          <w:rFonts w:ascii="Arial" w:hAnsi="Arial" w:cs="Arial"/>
          <w:sz w:val="22"/>
          <w:szCs w:val="22"/>
        </w:rPr>
      </w:pPr>
    </w:p>
    <w:p w14:paraId="6BE5817A" w14:textId="77777777" w:rsidR="007E0B0E" w:rsidRPr="005E7B73" w:rsidRDefault="007E0B0E" w:rsidP="00C47CF4">
      <w:pPr>
        <w:ind w:left="2880" w:hanging="2880"/>
        <w:rPr>
          <w:rFonts w:ascii="Arial" w:hAnsi="Arial" w:cs="Arial"/>
          <w:sz w:val="22"/>
          <w:szCs w:val="22"/>
        </w:rPr>
      </w:pPr>
      <w:r w:rsidRPr="005E7B73">
        <w:rPr>
          <w:rFonts w:ascii="Arial" w:hAnsi="Arial" w:cs="Arial"/>
          <w:sz w:val="22"/>
          <w:szCs w:val="22"/>
        </w:rPr>
        <w:t>Chernyshova, Anna</w:t>
      </w:r>
      <w:r w:rsidRPr="005E7B73">
        <w:rPr>
          <w:rFonts w:ascii="Arial" w:hAnsi="Arial" w:cs="Arial"/>
          <w:sz w:val="22"/>
          <w:szCs w:val="22"/>
        </w:rPr>
        <w:tab/>
        <w:t>Deputy Resident Representative, UNDP</w:t>
      </w:r>
    </w:p>
    <w:p w14:paraId="439625E5" w14:textId="77777777" w:rsidR="007E0B0E" w:rsidRPr="005E7B73" w:rsidRDefault="007E0B0E" w:rsidP="00D35E0B">
      <w:pPr>
        <w:ind w:left="2880" w:hanging="2880"/>
        <w:rPr>
          <w:rFonts w:ascii="Arial" w:eastAsia="Times New Roman" w:hAnsi="Arial" w:cs="Arial"/>
          <w:color w:val="0E101A"/>
          <w:sz w:val="22"/>
          <w:szCs w:val="22"/>
        </w:rPr>
      </w:pPr>
    </w:p>
    <w:p w14:paraId="5EA5278B" w14:textId="77777777" w:rsidR="007E0B0E" w:rsidRPr="005E7B73" w:rsidRDefault="007E0B0E" w:rsidP="00D35E0B">
      <w:pPr>
        <w:ind w:left="2880" w:hanging="2880"/>
        <w:rPr>
          <w:rFonts w:ascii="Arial" w:eastAsia="Times New Roman" w:hAnsi="Arial" w:cs="Arial"/>
          <w:color w:val="0E101A"/>
          <w:sz w:val="22"/>
          <w:szCs w:val="22"/>
        </w:rPr>
      </w:pPr>
      <w:proofErr w:type="spellStart"/>
      <w:r w:rsidRPr="005E7B73">
        <w:rPr>
          <w:rFonts w:ascii="Arial" w:eastAsia="Times New Roman" w:hAnsi="Arial" w:cs="Arial"/>
          <w:color w:val="0E101A"/>
          <w:sz w:val="22"/>
          <w:szCs w:val="22"/>
        </w:rPr>
        <w:t>Devdariani</w:t>
      </w:r>
      <w:proofErr w:type="spellEnd"/>
      <w:r w:rsidRPr="005E7B73">
        <w:rPr>
          <w:rFonts w:ascii="Arial" w:eastAsia="Times New Roman" w:hAnsi="Arial" w:cs="Arial"/>
          <w:color w:val="0E101A"/>
          <w:sz w:val="22"/>
          <w:szCs w:val="22"/>
        </w:rPr>
        <w:t xml:space="preserve">, </w:t>
      </w:r>
      <w:proofErr w:type="spellStart"/>
      <w:r w:rsidRPr="005E7B73">
        <w:rPr>
          <w:rFonts w:ascii="Arial" w:eastAsia="Times New Roman" w:hAnsi="Arial" w:cs="Arial"/>
          <w:color w:val="0E101A"/>
          <w:sz w:val="22"/>
          <w:szCs w:val="22"/>
        </w:rPr>
        <w:t>Jaba</w:t>
      </w:r>
      <w:proofErr w:type="spellEnd"/>
      <w:r w:rsidRPr="005E7B73">
        <w:rPr>
          <w:rFonts w:ascii="Arial" w:eastAsia="Times New Roman" w:hAnsi="Arial" w:cs="Arial"/>
          <w:color w:val="0E101A"/>
          <w:sz w:val="22"/>
          <w:szCs w:val="22"/>
        </w:rPr>
        <w:tab/>
        <w:t>Part-Time Policy and Planning Advisor, PAR Project</w:t>
      </w:r>
    </w:p>
    <w:p w14:paraId="7238913D" w14:textId="77777777" w:rsidR="007E0B0E" w:rsidRPr="005E7B73" w:rsidRDefault="007E0B0E" w:rsidP="00870303">
      <w:pPr>
        <w:ind w:left="2880" w:hanging="2880"/>
        <w:rPr>
          <w:rFonts w:ascii="Arial" w:eastAsia="Times New Roman" w:hAnsi="Arial" w:cs="Arial"/>
          <w:color w:val="000000"/>
          <w:sz w:val="22"/>
          <w:szCs w:val="22"/>
        </w:rPr>
      </w:pPr>
    </w:p>
    <w:p w14:paraId="00EAF404" w14:textId="77777777" w:rsidR="007E0B0E" w:rsidRPr="005E7B73" w:rsidRDefault="007E0B0E" w:rsidP="00870303">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Dolidze</w:t>
      </w:r>
      <w:proofErr w:type="spellEnd"/>
      <w:r w:rsidRPr="005E7B73">
        <w:rPr>
          <w:rFonts w:ascii="Arial" w:eastAsia="Times New Roman" w:hAnsi="Arial" w:cs="Arial"/>
          <w:color w:val="000000"/>
          <w:sz w:val="22"/>
          <w:szCs w:val="22"/>
        </w:rPr>
        <w:t>, Nino</w:t>
      </w:r>
      <w:r w:rsidRPr="005E7B73">
        <w:rPr>
          <w:rFonts w:ascii="Arial" w:eastAsia="Times New Roman" w:hAnsi="Arial" w:cs="Arial"/>
          <w:color w:val="000000"/>
          <w:sz w:val="22"/>
          <w:szCs w:val="22"/>
        </w:rPr>
        <w:tab/>
        <w:t>Professor, Ilia State University</w:t>
      </w:r>
    </w:p>
    <w:p w14:paraId="7F28C333" w14:textId="77777777" w:rsidR="007E0B0E" w:rsidRPr="005E7B73" w:rsidRDefault="007E0B0E" w:rsidP="00D35E0B">
      <w:pPr>
        <w:rPr>
          <w:rFonts w:ascii="Arial" w:eastAsia="Times New Roman" w:hAnsi="Arial" w:cs="Arial"/>
          <w:color w:val="0E101A"/>
          <w:sz w:val="22"/>
          <w:szCs w:val="22"/>
        </w:rPr>
      </w:pPr>
    </w:p>
    <w:p w14:paraId="509FDBE0" w14:textId="77777777" w:rsidR="007E0B0E" w:rsidRPr="005E7B73" w:rsidRDefault="007E0B0E" w:rsidP="00D35E0B">
      <w:pPr>
        <w:rPr>
          <w:rFonts w:ascii="Arial" w:eastAsia="Times New Roman" w:hAnsi="Arial" w:cs="Arial"/>
          <w:color w:val="0E101A"/>
          <w:sz w:val="22"/>
          <w:szCs w:val="22"/>
        </w:rPr>
      </w:pPr>
      <w:proofErr w:type="spellStart"/>
      <w:r w:rsidRPr="005E7B73">
        <w:rPr>
          <w:rFonts w:ascii="Arial" w:eastAsia="Times New Roman" w:hAnsi="Arial" w:cs="Arial"/>
          <w:color w:val="0E101A"/>
          <w:sz w:val="22"/>
          <w:szCs w:val="22"/>
        </w:rPr>
        <w:t>Dvalishvili</w:t>
      </w:r>
      <w:proofErr w:type="spellEnd"/>
      <w:r w:rsidRPr="005E7B73">
        <w:rPr>
          <w:rFonts w:ascii="Arial" w:eastAsia="Times New Roman" w:hAnsi="Arial" w:cs="Arial"/>
          <w:color w:val="0E101A"/>
          <w:sz w:val="22"/>
          <w:szCs w:val="22"/>
        </w:rPr>
        <w:t xml:space="preserve">, Maia </w:t>
      </w:r>
      <w:r w:rsidRPr="005E7B73">
        <w:rPr>
          <w:rFonts w:ascii="Arial" w:eastAsia="Times New Roman" w:hAnsi="Arial" w:cs="Arial"/>
          <w:color w:val="0E101A"/>
          <w:sz w:val="22"/>
          <w:szCs w:val="22"/>
        </w:rPr>
        <w:tab/>
      </w:r>
      <w:r w:rsidRPr="005E7B73">
        <w:rPr>
          <w:rFonts w:ascii="Arial" w:eastAsia="Times New Roman" w:hAnsi="Arial" w:cs="Arial"/>
          <w:color w:val="0E101A"/>
          <w:sz w:val="22"/>
          <w:szCs w:val="22"/>
        </w:rPr>
        <w:tab/>
        <w:t>Deputy Head, Civil Service Bureau</w:t>
      </w:r>
    </w:p>
    <w:p w14:paraId="59D5670C" w14:textId="77777777" w:rsidR="007E0B0E" w:rsidRPr="005E7B73" w:rsidRDefault="007E0B0E" w:rsidP="00D35E0B">
      <w:pPr>
        <w:ind w:left="2880" w:hanging="2880"/>
        <w:rPr>
          <w:rFonts w:ascii="Arial" w:eastAsia="Times New Roman" w:hAnsi="Arial" w:cs="Arial"/>
          <w:color w:val="0E101A"/>
          <w:sz w:val="22"/>
          <w:szCs w:val="22"/>
        </w:rPr>
      </w:pPr>
    </w:p>
    <w:p w14:paraId="1FC2F07A" w14:textId="77777777" w:rsidR="007E0B0E" w:rsidRPr="005E7B73" w:rsidRDefault="007E0B0E" w:rsidP="00D35E0B">
      <w:pPr>
        <w:ind w:left="2880" w:hanging="2880"/>
        <w:rPr>
          <w:rFonts w:ascii="Arial" w:eastAsia="Times New Roman" w:hAnsi="Arial" w:cs="Arial"/>
          <w:color w:val="0E101A"/>
          <w:sz w:val="22"/>
          <w:szCs w:val="22"/>
        </w:rPr>
      </w:pPr>
      <w:r w:rsidRPr="005E7B73">
        <w:rPr>
          <w:rFonts w:ascii="Arial" w:eastAsia="Times New Roman" w:hAnsi="Arial" w:cs="Arial"/>
          <w:color w:val="0E101A"/>
          <w:sz w:val="22"/>
          <w:szCs w:val="22"/>
        </w:rPr>
        <w:t>Ejibia, Inesa</w:t>
      </w:r>
      <w:r w:rsidRPr="005E7B73">
        <w:rPr>
          <w:rFonts w:ascii="Arial" w:eastAsia="Times New Roman" w:hAnsi="Arial" w:cs="Arial"/>
          <w:color w:val="0E101A"/>
          <w:sz w:val="22"/>
          <w:szCs w:val="22"/>
        </w:rPr>
        <w:tab/>
        <w:t>Administration, Finance and Procurement Associate, PAR Project</w:t>
      </w:r>
    </w:p>
    <w:p w14:paraId="6ADF2A5F" w14:textId="77777777" w:rsidR="007E0B0E" w:rsidRPr="005E7B73" w:rsidRDefault="007E0B0E" w:rsidP="00870303">
      <w:pPr>
        <w:ind w:left="2880" w:hanging="2880"/>
        <w:rPr>
          <w:rFonts w:ascii="Arial" w:eastAsia="Times New Roman" w:hAnsi="Arial" w:cs="Arial"/>
          <w:color w:val="000000"/>
          <w:sz w:val="22"/>
          <w:szCs w:val="22"/>
        </w:rPr>
      </w:pPr>
    </w:p>
    <w:p w14:paraId="14903DEF" w14:textId="77777777" w:rsidR="007E0B0E" w:rsidRPr="005E7B73" w:rsidRDefault="007E0B0E" w:rsidP="00870303">
      <w:pPr>
        <w:ind w:left="2880" w:hanging="2880"/>
        <w:rPr>
          <w:rFonts w:ascii="Arial" w:eastAsia="Times New Roman" w:hAnsi="Arial" w:cs="Arial"/>
          <w:color w:val="000000"/>
          <w:sz w:val="22"/>
          <w:szCs w:val="22"/>
        </w:rPr>
      </w:pPr>
      <w:r w:rsidRPr="005E7B73">
        <w:rPr>
          <w:rFonts w:ascii="Arial" w:eastAsia="Times New Roman" w:hAnsi="Arial" w:cs="Arial"/>
          <w:color w:val="000000"/>
          <w:sz w:val="22"/>
          <w:szCs w:val="22"/>
        </w:rPr>
        <w:t>Evans, George</w:t>
      </w:r>
      <w:r w:rsidRPr="005E7B73">
        <w:rPr>
          <w:rFonts w:ascii="Arial" w:eastAsia="Times New Roman" w:hAnsi="Arial" w:cs="Arial"/>
          <w:color w:val="000000"/>
          <w:sz w:val="22"/>
          <w:szCs w:val="22"/>
        </w:rPr>
        <w:tab/>
        <w:t xml:space="preserve">Georgia Country </w:t>
      </w:r>
      <w:proofErr w:type="spellStart"/>
      <w:r w:rsidRPr="005E7B73">
        <w:rPr>
          <w:rFonts w:ascii="Arial" w:eastAsia="Times New Roman" w:hAnsi="Arial" w:cs="Arial"/>
          <w:color w:val="000000"/>
          <w:sz w:val="22"/>
          <w:szCs w:val="22"/>
        </w:rPr>
        <w:t>Programme</w:t>
      </w:r>
      <w:proofErr w:type="spellEnd"/>
      <w:r w:rsidRPr="005E7B73">
        <w:rPr>
          <w:rFonts w:ascii="Arial" w:eastAsia="Times New Roman" w:hAnsi="Arial" w:cs="Arial"/>
          <w:color w:val="000000"/>
          <w:sz w:val="22"/>
          <w:szCs w:val="22"/>
        </w:rPr>
        <w:t xml:space="preserve"> Manager, Good Governance Fund, Government of the United Kingdom</w:t>
      </w:r>
    </w:p>
    <w:p w14:paraId="0E6977C0" w14:textId="77777777" w:rsidR="007E0B0E" w:rsidRPr="005E7B73" w:rsidRDefault="007E0B0E" w:rsidP="002B7428">
      <w:pPr>
        <w:ind w:left="2880" w:hanging="2880"/>
        <w:rPr>
          <w:rFonts w:ascii="Arial" w:hAnsi="Arial" w:cs="Arial"/>
          <w:sz w:val="22"/>
          <w:szCs w:val="22"/>
        </w:rPr>
      </w:pPr>
    </w:p>
    <w:p w14:paraId="7CA4A37B" w14:textId="77777777" w:rsidR="007E0B0E" w:rsidRPr="005E7B73" w:rsidRDefault="007E0B0E" w:rsidP="002B7428">
      <w:pPr>
        <w:ind w:left="2880" w:hanging="2880"/>
        <w:rPr>
          <w:rFonts w:ascii="Arial" w:hAnsi="Arial" w:cs="Arial"/>
          <w:sz w:val="22"/>
          <w:szCs w:val="22"/>
        </w:rPr>
      </w:pPr>
      <w:proofErr w:type="spellStart"/>
      <w:r w:rsidRPr="005E7B73">
        <w:rPr>
          <w:rFonts w:ascii="Arial" w:hAnsi="Arial" w:cs="Arial"/>
          <w:sz w:val="22"/>
          <w:szCs w:val="22"/>
        </w:rPr>
        <w:t>Gabrielashvili</w:t>
      </w:r>
      <w:proofErr w:type="spellEnd"/>
      <w:r w:rsidRPr="005E7B73">
        <w:rPr>
          <w:rFonts w:ascii="Arial" w:hAnsi="Arial" w:cs="Arial"/>
          <w:sz w:val="22"/>
          <w:szCs w:val="22"/>
        </w:rPr>
        <w:t>, Giorgi</w:t>
      </w:r>
      <w:r w:rsidRPr="005E7B73">
        <w:rPr>
          <w:rFonts w:ascii="Arial" w:hAnsi="Arial" w:cs="Arial"/>
          <w:sz w:val="22"/>
          <w:szCs w:val="22"/>
        </w:rPr>
        <w:tab/>
        <w:t>Director, IRC</w:t>
      </w:r>
    </w:p>
    <w:p w14:paraId="7F23B053" w14:textId="77777777" w:rsidR="007E0B0E" w:rsidRPr="005E7B73" w:rsidRDefault="007E0B0E" w:rsidP="00EC6080">
      <w:pPr>
        <w:ind w:left="2880" w:hanging="2880"/>
        <w:rPr>
          <w:rFonts w:ascii="Arial" w:eastAsia="Times New Roman" w:hAnsi="Arial" w:cs="Arial"/>
          <w:color w:val="000000"/>
          <w:sz w:val="22"/>
          <w:szCs w:val="22"/>
        </w:rPr>
      </w:pPr>
    </w:p>
    <w:p w14:paraId="5320A596" w14:textId="77777777" w:rsidR="007E0B0E" w:rsidRPr="005E7B73" w:rsidRDefault="007E0B0E" w:rsidP="00EC6080">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Gagnidze</w:t>
      </w:r>
      <w:proofErr w:type="spellEnd"/>
      <w:r w:rsidRPr="005E7B73">
        <w:rPr>
          <w:rFonts w:ascii="Arial" w:eastAsia="Times New Roman" w:hAnsi="Arial" w:cs="Arial"/>
          <w:color w:val="000000"/>
          <w:sz w:val="22"/>
          <w:szCs w:val="22"/>
        </w:rPr>
        <w:t>, Nika</w:t>
      </w:r>
      <w:r w:rsidRPr="005E7B73">
        <w:rPr>
          <w:rFonts w:ascii="Arial" w:eastAsia="Times New Roman" w:hAnsi="Arial" w:cs="Arial"/>
          <w:color w:val="000000"/>
          <w:sz w:val="22"/>
          <w:szCs w:val="22"/>
        </w:rPr>
        <w:tab/>
        <w:t>Deputy Chairman, Digital Governance Agency</w:t>
      </w:r>
    </w:p>
    <w:p w14:paraId="17306D78" w14:textId="77777777" w:rsidR="007E0B0E" w:rsidRPr="005E7B73" w:rsidRDefault="007E0B0E" w:rsidP="00D35E0B">
      <w:pPr>
        <w:ind w:left="2880" w:hanging="2880"/>
        <w:rPr>
          <w:rFonts w:ascii="Arial" w:eastAsia="Times New Roman" w:hAnsi="Arial" w:cs="Arial"/>
          <w:color w:val="0E101A"/>
          <w:sz w:val="22"/>
          <w:szCs w:val="22"/>
        </w:rPr>
      </w:pPr>
    </w:p>
    <w:p w14:paraId="267D47BB" w14:textId="77777777" w:rsidR="007E0B0E" w:rsidRPr="005E7B73" w:rsidRDefault="007E0B0E" w:rsidP="00D35E0B">
      <w:pPr>
        <w:ind w:left="2880" w:hanging="2880"/>
        <w:rPr>
          <w:rFonts w:ascii="Arial" w:eastAsia="Times New Roman" w:hAnsi="Arial" w:cs="Arial"/>
          <w:color w:val="0E101A"/>
          <w:sz w:val="22"/>
          <w:szCs w:val="22"/>
        </w:rPr>
      </w:pPr>
      <w:r w:rsidRPr="005E7B73">
        <w:rPr>
          <w:rFonts w:ascii="Arial" w:eastAsia="Times New Roman" w:hAnsi="Arial" w:cs="Arial"/>
          <w:color w:val="0E101A"/>
          <w:sz w:val="22"/>
          <w:szCs w:val="22"/>
        </w:rPr>
        <w:t>Ghonghadze, Nino</w:t>
      </w:r>
      <w:r w:rsidRPr="005E7B73">
        <w:rPr>
          <w:rFonts w:ascii="Arial" w:eastAsia="Times New Roman" w:hAnsi="Arial" w:cs="Arial"/>
          <w:color w:val="0E101A"/>
          <w:sz w:val="22"/>
          <w:szCs w:val="22"/>
        </w:rPr>
        <w:tab/>
        <w:t>Public Policy Specialist, PAR Project</w:t>
      </w:r>
    </w:p>
    <w:p w14:paraId="4F0085EE" w14:textId="77777777" w:rsidR="007E0B0E" w:rsidRPr="005E7B73" w:rsidRDefault="007E0B0E" w:rsidP="00870303">
      <w:pPr>
        <w:ind w:left="2880" w:hanging="2880"/>
        <w:rPr>
          <w:rFonts w:ascii="Arial" w:hAnsi="Arial" w:cs="Arial"/>
          <w:sz w:val="22"/>
          <w:szCs w:val="22"/>
        </w:rPr>
      </w:pPr>
    </w:p>
    <w:p w14:paraId="3697FA1D" w14:textId="77777777" w:rsidR="007E0B0E" w:rsidRPr="005E7B73" w:rsidRDefault="007E0B0E" w:rsidP="00870303">
      <w:pPr>
        <w:ind w:left="2880" w:hanging="2880"/>
        <w:rPr>
          <w:rFonts w:ascii="Arial" w:hAnsi="Arial" w:cs="Arial"/>
          <w:sz w:val="22"/>
          <w:szCs w:val="22"/>
        </w:rPr>
      </w:pPr>
      <w:r w:rsidRPr="005E7B73">
        <w:rPr>
          <w:rFonts w:ascii="Arial" w:hAnsi="Arial" w:cs="Arial"/>
          <w:sz w:val="22"/>
          <w:szCs w:val="22"/>
        </w:rPr>
        <w:t>Gomelauri, Katie</w:t>
      </w:r>
      <w:r w:rsidRPr="005E7B73">
        <w:rPr>
          <w:rFonts w:ascii="Arial" w:hAnsi="Arial" w:cs="Arial"/>
          <w:sz w:val="22"/>
          <w:szCs w:val="22"/>
        </w:rPr>
        <w:tab/>
        <w:t>PAR Project Team Lead/Behavioral Expert, IRC</w:t>
      </w:r>
    </w:p>
    <w:p w14:paraId="621EDCA4" w14:textId="77777777" w:rsidR="007E0B0E" w:rsidRPr="005E7B73" w:rsidRDefault="007E0B0E" w:rsidP="00870303">
      <w:pPr>
        <w:ind w:left="2880" w:hanging="2880"/>
        <w:rPr>
          <w:rFonts w:ascii="Arial" w:eastAsia="Times New Roman" w:hAnsi="Arial" w:cs="Arial"/>
          <w:color w:val="000000"/>
          <w:sz w:val="22"/>
          <w:szCs w:val="22"/>
        </w:rPr>
      </w:pPr>
    </w:p>
    <w:p w14:paraId="7F6304BF" w14:textId="6CE8842F" w:rsidR="007E0B0E" w:rsidRPr="005E7B73" w:rsidRDefault="00C9632E" w:rsidP="00870303">
      <w:pPr>
        <w:ind w:left="2880" w:hanging="2880"/>
        <w:rPr>
          <w:rFonts w:ascii="Arial" w:eastAsia="Times New Roman" w:hAnsi="Arial" w:cs="Arial"/>
          <w:color w:val="000000"/>
          <w:sz w:val="22"/>
          <w:szCs w:val="22"/>
        </w:rPr>
      </w:pPr>
      <w:proofErr w:type="spellStart"/>
      <w:r>
        <w:rPr>
          <w:rFonts w:ascii="Arial" w:eastAsia="Times New Roman" w:hAnsi="Arial" w:cs="Arial"/>
          <w:color w:val="000000"/>
          <w:sz w:val="22"/>
          <w:szCs w:val="22"/>
        </w:rPr>
        <w:t>Japaridze</w:t>
      </w:r>
      <w:proofErr w:type="spellEnd"/>
      <w:r w:rsidR="007E0B0E" w:rsidRPr="005E7B73">
        <w:rPr>
          <w:rFonts w:ascii="Arial" w:eastAsia="Times New Roman" w:hAnsi="Arial" w:cs="Arial"/>
          <w:color w:val="000000"/>
          <w:sz w:val="22"/>
          <w:szCs w:val="22"/>
        </w:rPr>
        <w:t>, Natia</w:t>
      </w:r>
      <w:r w:rsidR="007E0B0E" w:rsidRPr="005E7B73">
        <w:rPr>
          <w:rFonts w:ascii="Arial" w:eastAsia="Times New Roman" w:hAnsi="Arial" w:cs="Arial"/>
          <w:color w:val="000000"/>
          <w:sz w:val="22"/>
          <w:szCs w:val="22"/>
        </w:rPr>
        <w:tab/>
        <w:t>Deputy Head, International Affairs Department, Ministry of Internal Affairs</w:t>
      </w:r>
    </w:p>
    <w:p w14:paraId="55036FF8" w14:textId="77777777" w:rsidR="007E0B0E" w:rsidRPr="005E7B73" w:rsidRDefault="007E0B0E" w:rsidP="00D35E0B">
      <w:pPr>
        <w:rPr>
          <w:rFonts w:ascii="Arial" w:eastAsia="Times New Roman" w:hAnsi="Arial" w:cs="Arial"/>
          <w:color w:val="0E101A"/>
          <w:sz w:val="22"/>
          <w:szCs w:val="22"/>
        </w:rPr>
      </w:pPr>
    </w:p>
    <w:p w14:paraId="14BA07E7" w14:textId="2F2400C7" w:rsidR="007E0B0E" w:rsidRPr="005E7B73" w:rsidRDefault="007E0B0E" w:rsidP="00D35E0B">
      <w:pPr>
        <w:rPr>
          <w:rFonts w:ascii="Arial" w:eastAsia="Times New Roman" w:hAnsi="Arial" w:cs="Arial"/>
          <w:color w:val="0E101A"/>
          <w:sz w:val="22"/>
          <w:szCs w:val="22"/>
        </w:rPr>
      </w:pPr>
      <w:r w:rsidRPr="005E7B73">
        <w:rPr>
          <w:rFonts w:ascii="Arial" w:eastAsia="Times New Roman" w:hAnsi="Arial" w:cs="Arial"/>
          <w:color w:val="0E101A"/>
          <w:sz w:val="22"/>
          <w:szCs w:val="22"/>
        </w:rPr>
        <w:t>Kardava,</w:t>
      </w:r>
      <w:r w:rsidR="00C9632E">
        <w:rPr>
          <w:rFonts w:ascii="Arial" w:eastAsia="Times New Roman" w:hAnsi="Arial" w:cs="Arial"/>
          <w:color w:val="0E101A"/>
          <w:sz w:val="22"/>
          <w:szCs w:val="22"/>
        </w:rPr>
        <w:t xml:space="preserve"> </w:t>
      </w:r>
      <w:r w:rsidRPr="005E7B73">
        <w:rPr>
          <w:rFonts w:ascii="Arial" w:eastAsia="Times New Roman" w:hAnsi="Arial" w:cs="Arial"/>
          <w:color w:val="0E101A"/>
          <w:sz w:val="22"/>
          <w:szCs w:val="22"/>
        </w:rPr>
        <w:t>Catherine</w:t>
      </w:r>
      <w:r w:rsidRPr="005E7B73">
        <w:rPr>
          <w:rFonts w:ascii="Arial" w:eastAsia="Times New Roman" w:hAnsi="Arial" w:cs="Arial"/>
          <w:color w:val="0E101A"/>
          <w:sz w:val="22"/>
          <w:szCs w:val="22"/>
        </w:rPr>
        <w:tab/>
      </w:r>
      <w:r w:rsidRPr="005E7B73">
        <w:rPr>
          <w:rFonts w:ascii="Arial" w:eastAsia="Times New Roman" w:hAnsi="Arial" w:cs="Arial"/>
          <w:color w:val="0E101A"/>
          <w:sz w:val="22"/>
          <w:szCs w:val="22"/>
        </w:rPr>
        <w:tab/>
        <w:t>Head, Civil Service Bureau </w:t>
      </w:r>
    </w:p>
    <w:p w14:paraId="7FEB689D" w14:textId="77777777" w:rsidR="007E0B0E" w:rsidRPr="005E7B73" w:rsidRDefault="007E0B0E" w:rsidP="00870303">
      <w:pPr>
        <w:ind w:left="2880" w:hanging="2880"/>
        <w:rPr>
          <w:rFonts w:ascii="Arial" w:eastAsia="Times New Roman" w:hAnsi="Arial" w:cs="Arial"/>
          <w:color w:val="000000"/>
          <w:sz w:val="22"/>
          <w:szCs w:val="22"/>
        </w:rPr>
      </w:pPr>
    </w:p>
    <w:p w14:paraId="3FCDEDC7" w14:textId="77777777" w:rsidR="007E0B0E" w:rsidRPr="005E7B73" w:rsidRDefault="007E0B0E" w:rsidP="00870303">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Khvedeliani</w:t>
      </w:r>
      <w:proofErr w:type="spellEnd"/>
      <w:r w:rsidRPr="005E7B73">
        <w:rPr>
          <w:rFonts w:ascii="Arial" w:eastAsia="Times New Roman" w:hAnsi="Arial" w:cs="Arial"/>
          <w:color w:val="000000"/>
          <w:sz w:val="22"/>
          <w:szCs w:val="22"/>
        </w:rPr>
        <w:t>, Tata</w:t>
      </w:r>
      <w:r w:rsidRPr="005E7B73">
        <w:rPr>
          <w:rFonts w:ascii="Arial" w:eastAsia="Times New Roman" w:hAnsi="Arial" w:cs="Arial"/>
          <w:color w:val="000000"/>
          <w:sz w:val="22"/>
          <w:szCs w:val="22"/>
        </w:rPr>
        <w:tab/>
        <w:t>Manager, Unified Service Center, Ministry of Internal Affairs</w:t>
      </w:r>
    </w:p>
    <w:p w14:paraId="051941FB" w14:textId="77777777" w:rsidR="007E0B0E" w:rsidRPr="005E7B73" w:rsidRDefault="007E0B0E" w:rsidP="00D35E0B">
      <w:pPr>
        <w:ind w:left="2880" w:hanging="2880"/>
        <w:rPr>
          <w:rFonts w:ascii="Arial" w:eastAsia="Times New Roman" w:hAnsi="Arial" w:cs="Arial"/>
          <w:color w:val="0E101A"/>
          <w:sz w:val="22"/>
          <w:szCs w:val="22"/>
        </w:rPr>
      </w:pPr>
    </w:p>
    <w:p w14:paraId="5A27C25C" w14:textId="77777777" w:rsidR="007E0B0E" w:rsidRPr="005E7B73" w:rsidRDefault="007E0B0E" w:rsidP="00D35E0B">
      <w:pPr>
        <w:ind w:left="2880" w:hanging="2880"/>
        <w:rPr>
          <w:rFonts w:ascii="Arial" w:eastAsia="Times New Roman" w:hAnsi="Arial" w:cs="Arial"/>
          <w:color w:val="0E101A"/>
          <w:sz w:val="22"/>
          <w:szCs w:val="22"/>
        </w:rPr>
      </w:pPr>
      <w:r w:rsidRPr="005E7B73">
        <w:rPr>
          <w:rFonts w:ascii="Arial" w:eastAsia="Times New Roman" w:hAnsi="Arial" w:cs="Arial"/>
          <w:color w:val="0E101A"/>
          <w:sz w:val="22"/>
          <w:szCs w:val="22"/>
        </w:rPr>
        <w:t>Kobakhidze, Mariam</w:t>
      </w:r>
      <w:r w:rsidRPr="005E7B73">
        <w:rPr>
          <w:rFonts w:ascii="Arial" w:eastAsia="Times New Roman" w:hAnsi="Arial" w:cs="Arial"/>
          <w:color w:val="0E101A"/>
          <w:sz w:val="22"/>
          <w:szCs w:val="22"/>
        </w:rPr>
        <w:tab/>
        <w:t>Junior Capacity Development Consultant, PAR Project</w:t>
      </w:r>
    </w:p>
    <w:p w14:paraId="3504DFE0" w14:textId="77777777" w:rsidR="007E0B0E" w:rsidRPr="005E7B73" w:rsidRDefault="007E0B0E" w:rsidP="00870303">
      <w:pPr>
        <w:ind w:left="2880" w:hanging="2880"/>
        <w:rPr>
          <w:rFonts w:ascii="Arial" w:eastAsia="Times New Roman" w:hAnsi="Arial" w:cs="Arial"/>
          <w:color w:val="000000"/>
          <w:sz w:val="22"/>
          <w:szCs w:val="22"/>
        </w:rPr>
      </w:pPr>
    </w:p>
    <w:p w14:paraId="42581FCF" w14:textId="77777777" w:rsidR="007E0B0E" w:rsidRPr="005E7B73" w:rsidRDefault="007E0B0E" w:rsidP="00870303">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Macharashvili</w:t>
      </w:r>
      <w:proofErr w:type="spellEnd"/>
      <w:r w:rsidRPr="005E7B73">
        <w:rPr>
          <w:rFonts w:ascii="Arial" w:eastAsia="Times New Roman" w:hAnsi="Arial" w:cs="Arial"/>
          <w:color w:val="000000"/>
          <w:sz w:val="22"/>
          <w:szCs w:val="22"/>
        </w:rPr>
        <w:t>, Nana</w:t>
      </w:r>
      <w:r w:rsidRPr="005E7B73">
        <w:rPr>
          <w:rFonts w:ascii="Arial" w:eastAsia="Times New Roman" w:hAnsi="Arial" w:cs="Arial"/>
          <w:color w:val="000000"/>
          <w:sz w:val="22"/>
          <w:szCs w:val="22"/>
        </w:rPr>
        <w:tab/>
        <w:t>Professor, School of Governance, Georgian Institute of Public Affairs</w:t>
      </w:r>
    </w:p>
    <w:p w14:paraId="170D55DD" w14:textId="77777777" w:rsidR="007E0B0E" w:rsidRPr="005E7B73" w:rsidRDefault="007E0B0E" w:rsidP="00EC6080">
      <w:pPr>
        <w:ind w:left="2880" w:hanging="2880"/>
        <w:rPr>
          <w:rFonts w:ascii="Arial" w:eastAsia="Times New Roman" w:hAnsi="Arial" w:cs="Arial"/>
          <w:color w:val="000000"/>
          <w:sz w:val="22"/>
          <w:szCs w:val="22"/>
        </w:rPr>
      </w:pPr>
    </w:p>
    <w:p w14:paraId="49C9209D" w14:textId="77777777" w:rsidR="007E0B0E" w:rsidRPr="005E7B73" w:rsidRDefault="007E0B0E" w:rsidP="00EC6080">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Mejlumiani</w:t>
      </w:r>
      <w:proofErr w:type="spellEnd"/>
      <w:r w:rsidRPr="005E7B73">
        <w:rPr>
          <w:rFonts w:ascii="Arial" w:eastAsia="Times New Roman" w:hAnsi="Arial" w:cs="Arial"/>
          <w:color w:val="000000"/>
          <w:sz w:val="22"/>
          <w:szCs w:val="22"/>
        </w:rPr>
        <w:t>, Giorgi</w:t>
      </w:r>
      <w:r w:rsidRPr="005E7B73">
        <w:rPr>
          <w:rFonts w:ascii="Arial" w:eastAsia="Times New Roman" w:hAnsi="Arial" w:cs="Arial"/>
          <w:color w:val="000000"/>
          <w:sz w:val="22"/>
          <w:szCs w:val="22"/>
        </w:rPr>
        <w:tab/>
        <w:t>Chairman, Digital Governance Agency</w:t>
      </w:r>
    </w:p>
    <w:p w14:paraId="75A3CFAE" w14:textId="77777777" w:rsidR="007E0B0E" w:rsidRPr="005E7B73" w:rsidRDefault="007E0B0E" w:rsidP="00870303">
      <w:pPr>
        <w:ind w:left="2880" w:hanging="2880"/>
        <w:rPr>
          <w:rFonts w:ascii="Arial" w:hAnsi="Arial" w:cs="Arial"/>
          <w:sz w:val="22"/>
          <w:szCs w:val="22"/>
        </w:rPr>
      </w:pPr>
    </w:p>
    <w:p w14:paraId="43F50DC3" w14:textId="77777777" w:rsidR="007E0B0E" w:rsidRPr="005E7B73" w:rsidRDefault="007E0B0E" w:rsidP="00870303">
      <w:pPr>
        <w:ind w:left="2880" w:hanging="2880"/>
        <w:rPr>
          <w:rFonts w:ascii="Arial" w:hAnsi="Arial" w:cs="Arial"/>
          <w:sz w:val="22"/>
          <w:szCs w:val="22"/>
        </w:rPr>
      </w:pPr>
      <w:proofErr w:type="spellStart"/>
      <w:r w:rsidRPr="005E7B73">
        <w:rPr>
          <w:rFonts w:ascii="Arial" w:hAnsi="Arial" w:cs="Arial"/>
          <w:sz w:val="22"/>
          <w:szCs w:val="22"/>
        </w:rPr>
        <w:t>Mrulishvili</w:t>
      </w:r>
      <w:proofErr w:type="spellEnd"/>
      <w:r w:rsidRPr="005E7B73">
        <w:rPr>
          <w:rFonts w:ascii="Arial" w:hAnsi="Arial" w:cs="Arial"/>
          <w:sz w:val="22"/>
          <w:szCs w:val="22"/>
        </w:rPr>
        <w:t>, Eka</w:t>
      </w:r>
      <w:r w:rsidRPr="005E7B73">
        <w:rPr>
          <w:rFonts w:ascii="Arial" w:hAnsi="Arial" w:cs="Arial"/>
          <w:sz w:val="22"/>
          <w:szCs w:val="22"/>
        </w:rPr>
        <w:tab/>
        <w:t>Acting Director, Strategic Projects and Reforms Department, Public Service Development Agency, Ministry of Justice</w:t>
      </w:r>
    </w:p>
    <w:p w14:paraId="28634298" w14:textId="77777777" w:rsidR="007E0B0E" w:rsidRPr="005E7B73" w:rsidRDefault="007E0B0E" w:rsidP="00D35E0B">
      <w:pPr>
        <w:ind w:left="2880" w:hanging="2880"/>
        <w:rPr>
          <w:rFonts w:ascii="Arial" w:eastAsia="Times New Roman" w:hAnsi="Arial" w:cs="Arial"/>
          <w:color w:val="0E101A"/>
          <w:sz w:val="22"/>
          <w:szCs w:val="22"/>
        </w:rPr>
      </w:pPr>
    </w:p>
    <w:p w14:paraId="2B1DCCCE" w14:textId="77777777" w:rsidR="007E0B0E" w:rsidRPr="005E7B73" w:rsidRDefault="007E0B0E" w:rsidP="00D35E0B">
      <w:pPr>
        <w:ind w:left="2880" w:hanging="2880"/>
        <w:rPr>
          <w:rFonts w:ascii="Arial" w:eastAsia="Times New Roman" w:hAnsi="Arial" w:cs="Arial"/>
          <w:color w:val="0E101A"/>
          <w:sz w:val="22"/>
          <w:szCs w:val="22"/>
        </w:rPr>
      </w:pPr>
      <w:r w:rsidRPr="005E7B73">
        <w:rPr>
          <w:rFonts w:ascii="Arial" w:eastAsia="Times New Roman" w:hAnsi="Arial" w:cs="Arial"/>
          <w:color w:val="0E101A"/>
          <w:sz w:val="22"/>
          <w:szCs w:val="22"/>
        </w:rPr>
        <w:t xml:space="preserve">Omanadze, </w:t>
      </w:r>
      <w:proofErr w:type="spellStart"/>
      <w:r w:rsidRPr="005E7B73">
        <w:rPr>
          <w:rFonts w:ascii="Arial" w:eastAsia="Times New Roman" w:hAnsi="Arial" w:cs="Arial"/>
          <w:color w:val="0E101A"/>
          <w:sz w:val="22"/>
          <w:szCs w:val="22"/>
        </w:rPr>
        <w:t>Sopho</w:t>
      </w:r>
      <w:proofErr w:type="spellEnd"/>
      <w:r w:rsidRPr="005E7B73">
        <w:rPr>
          <w:rFonts w:ascii="Arial" w:eastAsia="Times New Roman" w:hAnsi="Arial" w:cs="Arial"/>
          <w:color w:val="0E101A"/>
          <w:sz w:val="22"/>
          <w:szCs w:val="22"/>
        </w:rPr>
        <w:tab/>
        <w:t>Monitoring and Evaluation Specialist, PAR Project</w:t>
      </w:r>
    </w:p>
    <w:p w14:paraId="02FE88C8" w14:textId="77777777" w:rsidR="007E0B0E" w:rsidRPr="005E7B73" w:rsidRDefault="007E0B0E" w:rsidP="00870303">
      <w:pPr>
        <w:ind w:left="2880" w:hanging="2880"/>
        <w:rPr>
          <w:rFonts w:ascii="Arial" w:eastAsia="Times New Roman" w:hAnsi="Arial" w:cs="Arial"/>
          <w:color w:val="000000"/>
          <w:sz w:val="22"/>
          <w:szCs w:val="22"/>
        </w:rPr>
      </w:pPr>
    </w:p>
    <w:p w14:paraId="3146C1F2" w14:textId="77777777" w:rsidR="007E0B0E" w:rsidRPr="005E7B73" w:rsidRDefault="007E0B0E" w:rsidP="00870303">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Panteleeva</w:t>
      </w:r>
      <w:proofErr w:type="spellEnd"/>
      <w:r w:rsidRPr="005E7B73">
        <w:rPr>
          <w:rFonts w:ascii="Arial" w:eastAsia="Times New Roman" w:hAnsi="Arial" w:cs="Arial"/>
          <w:color w:val="000000"/>
          <w:sz w:val="22"/>
          <w:szCs w:val="22"/>
        </w:rPr>
        <w:t>, Lina</w:t>
      </w:r>
      <w:r w:rsidRPr="005E7B73">
        <w:rPr>
          <w:rFonts w:ascii="Arial" w:eastAsia="Times New Roman" w:hAnsi="Arial" w:cs="Arial"/>
          <w:color w:val="000000"/>
          <w:sz w:val="22"/>
          <w:szCs w:val="22"/>
        </w:rPr>
        <w:tab/>
        <w:t>Project Management Specialist, U.S. Agency for International Development</w:t>
      </w:r>
    </w:p>
    <w:p w14:paraId="79D1FFAC" w14:textId="77777777" w:rsidR="007E0B0E" w:rsidRPr="005E7B73" w:rsidRDefault="007E0B0E" w:rsidP="00870303">
      <w:pPr>
        <w:ind w:left="2880" w:hanging="2880"/>
        <w:rPr>
          <w:rFonts w:ascii="Arial" w:hAnsi="Arial" w:cs="Arial"/>
          <w:sz w:val="22"/>
          <w:szCs w:val="22"/>
        </w:rPr>
      </w:pPr>
    </w:p>
    <w:p w14:paraId="028B22DB" w14:textId="77777777" w:rsidR="007E0B0E" w:rsidRPr="005E7B73" w:rsidRDefault="007E0B0E" w:rsidP="00870303">
      <w:pPr>
        <w:ind w:left="2880" w:hanging="2880"/>
        <w:rPr>
          <w:rFonts w:ascii="Arial" w:hAnsi="Arial" w:cs="Arial"/>
          <w:sz w:val="22"/>
          <w:szCs w:val="22"/>
        </w:rPr>
      </w:pPr>
      <w:proofErr w:type="spellStart"/>
      <w:r w:rsidRPr="005E7B73">
        <w:rPr>
          <w:rFonts w:ascii="Arial" w:hAnsi="Arial" w:cs="Arial"/>
          <w:sz w:val="22"/>
          <w:szCs w:val="22"/>
        </w:rPr>
        <w:t>Pipia</w:t>
      </w:r>
      <w:proofErr w:type="spellEnd"/>
      <w:r w:rsidRPr="005E7B73">
        <w:rPr>
          <w:rFonts w:ascii="Arial" w:hAnsi="Arial" w:cs="Arial"/>
          <w:sz w:val="22"/>
          <w:szCs w:val="22"/>
        </w:rPr>
        <w:t>, Zviad</w:t>
      </w:r>
      <w:r w:rsidRPr="005E7B73">
        <w:rPr>
          <w:rFonts w:ascii="Arial" w:hAnsi="Arial" w:cs="Arial"/>
          <w:sz w:val="22"/>
          <w:szCs w:val="22"/>
        </w:rPr>
        <w:tab/>
        <w:t>Marketing and Service Development Department Adviser, Public Service Hall</w:t>
      </w:r>
    </w:p>
    <w:p w14:paraId="084A7156" w14:textId="77777777" w:rsidR="007E0B0E" w:rsidRPr="005E7B73" w:rsidRDefault="007E0B0E" w:rsidP="00870303">
      <w:pPr>
        <w:ind w:left="2880" w:hanging="2880"/>
        <w:rPr>
          <w:rFonts w:ascii="Arial" w:eastAsia="Times New Roman" w:hAnsi="Arial" w:cs="Arial"/>
          <w:color w:val="000000"/>
          <w:sz w:val="22"/>
          <w:szCs w:val="22"/>
        </w:rPr>
      </w:pPr>
    </w:p>
    <w:p w14:paraId="2EC4D90B" w14:textId="77777777" w:rsidR="007E0B0E" w:rsidRPr="005E7B73" w:rsidRDefault="007E0B0E" w:rsidP="00870303">
      <w:pPr>
        <w:ind w:left="2880" w:hanging="2880"/>
        <w:rPr>
          <w:rFonts w:ascii="Arial" w:eastAsia="Times New Roman" w:hAnsi="Arial" w:cs="Arial"/>
          <w:color w:val="000000"/>
          <w:sz w:val="22"/>
          <w:szCs w:val="22"/>
        </w:rPr>
      </w:pPr>
      <w:r w:rsidRPr="005E7B73">
        <w:rPr>
          <w:rFonts w:ascii="Arial" w:eastAsia="Times New Roman" w:hAnsi="Arial" w:cs="Arial"/>
          <w:color w:val="000000"/>
          <w:sz w:val="22"/>
          <w:szCs w:val="22"/>
        </w:rPr>
        <w:t>Samadashvili, Levan</w:t>
      </w:r>
      <w:r w:rsidRPr="005E7B73">
        <w:rPr>
          <w:rFonts w:ascii="Arial" w:eastAsia="Times New Roman" w:hAnsi="Arial" w:cs="Arial"/>
          <w:color w:val="000000"/>
          <w:sz w:val="22"/>
          <w:szCs w:val="22"/>
        </w:rPr>
        <w:tab/>
        <w:t xml:space="preserve">Chief of Party, U.S.AID Good Governance Initiative, </w:t>
      </w:r>
      <w:proofErr w:type="spellStart"/>
      <w:r w:rsidRPr="005E7B73">
        <w:rPr>
          <w:rFonts w:ascii="Arial" w:eastAsia="Times New Roman" w:hAnsi="Arial" w:cs="Arial"/>
          <w:color w:val="000000"/>
          <w:sz w:val="22"/>
          <w:szCs w:val="22"/>
        </w:rPr>
        <w:t>TetraTech</w:t>
      </w:r>
      <w:proofErr w:type="spellEnd"/>
      <w:r w:rsidRPr="005E7B73">
        <w:rPr>
          <w:rFonts w:ascii="Arial" w:eastAsia="Times New Roman" w:hAnsi="Arial" w:cs="Arial"/>
          <w:color w:val="000000"/>
          <w:sz w:val="22"/>
          <w:szCs w:val="22"/>
        </w:rPr>
        <w:t xml:space="preserve"> ARD</w:t>
      </w:r>
    </w:p>
    <w:p w14:paraId="2AEAA06C" w14:textId="77777777" w:rsidR="007E0B0E" w:rsidRPr="005E7B73" w:rsidRDefault="007E0B0E" w:rsidP="00D35E0B">
      <w:pPr>
        <w:ind w:left="2880" w:hanging="2880"/>
        <w:rPr>
          <w:rFonts w:ascii="Arial" w:eastAsia="Times New Roman" w:hAnsi="Arial" w:cs="Arial"/>
          <w:color w:val="0E101A"/>
          <w:sz w:val="22"/>
          <w:szCs w:val="22"/>
        </w:rPr>
      </w:pPr>
    </w:p>
    <w:p w14:paraId="50C7384A" w14:textId="77777777" w:rsidR="007E0B0E" w:rsidRPr="005E7B73" w:rsidRDefault="007E0B0E" w:rsidP="00D35E0B">
      <w:pPr>
        <w:ind w:left="2880" w:hanging="2880"/>
        <w:rPr>
          <w:rFonts w:ascii="Arial" w:eastAsia="Times New Roman" w:hAnsi="Arial" w:cs="Arial"/>
          <w:color w:val="0E101A"/>
          <w:sz w:val="22"/>
          <w:szCs w:val="22"/>
        </w:rPr>
      </w:pPr>
      <w:r w:rsidRPr="005E7B73">
        <w:rPr>
          <w:rFonts w:ascii="Arial" w:eastAsia="Times New Roman" w:hAnsi="Arial" w:cs="Arial"/>
          <w:color w:val="0E101A"/>
          <w:sz w:val="22"/>
          <w:szCs w:val="22"/>
        </w:rPr>
        <w:t>Shengelia, Tamar</w:t>
      </w:r>
      <w:r w:rsidRPr="005E7B73">
        <w:rPr>
          <w:rFonts w:ascii="Arial" w:eastAsia="Times New Roman" w:hAnsi="Arial" w:cs="Arial"/>
          <w:color w:val="0E101A"/>
          <w:sz w:val="22"/>
          <w:szCs w:val="22"/>
        </w:rPr>
        <w:tab/>
        <w:t>NEQE</w:t>
      </w:r>
    </w:p>
    <w:p w14:paraId="06192136" w14:textId="77777777" w:rsidR="007E0B0E" w:rsidRPr="005E7B73" w:rsidRDefault="007E0B0E" w:rsidP="00870303">
      <w:pPr>
        <w:ind w:left="2880" w:hanging="2880"/>
        <w:rPr>
          <w:rFonts w:ascii="Arial" w:eastAsia="Times New Roman" w:hAnsi="Arial" w:cs="Arial"/>
          <w:color w:val="000000"/>
          <w:sz w:val="22"/>
          <w:szCs w:val="22"/>
        </w:rPr>
      </w:pPr>
    </w:p>
    <w:p w14:paraId="05C74FB2" w14:textId="77777777" w:rsidR="007E0B0E" w:rsidRPr="005E7B73" w:rsidRDefault="007E0B0E" w:rsidP="00870303">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Simongulashvili</w:t>
      </w:r>
      <w:proofErr w:type="spellEnd"/>
      <w:r w:rsidRPr="005E7B73">
        <w:rPr>
          <w:rFonts w:ascii="Arial" w:eastAsia="Times New Roman" w:hAnsi="Arial" w:cs="Arial"/>
          <w:color w:val="000000"/>
          <w:sz w:val="22"/>
          <w:szCs w:val="22"/>
        </w:rPr>
        <w:t>, George</w:t>
      </w:r>
      <w:r w:rsidRPr="005E7B73">
        <w:rPr>
          <w:rFonts w:ascii="Arial" w:eastAsia="Times New Roman" w:hAnsi="Arial" w:cs="Arial"/>
          <w:color w:val="000000"/>
          <w:sz w:val="22"/>
          <w:szCs w:val="22"/>
        </w:rPr>
        <w:tab/>
        <w:t>GEC, Director</w:t>
      </w:r>
    </w:p>
    <w:p w14:paraId="0D1BBD28" w14:textId="77777777" w:rsidR="007E0B0E" w:rsidRPr="005E7B73" w:rsidRDefault="007E0B0E" w:rsidP="00870303">
      <w:pPr>
        <w:ind w:left="2880" w:hanging="2880"/>
        <w:rPr>
          <w:rFonts w:ascii="Arial" w:eastAsia="Times New Roman" w:hAnsi="Arial" w:cs="Arial"/>
          <w:color w:val="000000"/>
          <w:sz w:val="22"/>
          <w:szCs w:val="22"/>
        </w:rPr>
      </w:pPr>
    </w:p>
    <w:p w14:paraId="4A4906DA" w14:textId="77777777" w:rsidR="007E0B0E" w:rsidRPr="005E7B73" w:rsidRDefault="007E0B0E" w:rsidP="00870303">
      <w:pPr>
        <w:ind w:left="2880" w:hanging="2880"/>
        <w:rPr>
          <w:rFonts w:ascii="Arial" w:eastAsia="Times New Roman" w:hAnsi="Arial" w:cs="Arial"/>
          <w:color w:val="000000"/>
          <w:sz w:val="22"/>
          <w:szCs w:val="22"/>
        </w:rPr>
      </w:pPr>
      <w:proofErr w:type="spellStart"/>
      <w:r w:rsidRPr="005E7B73">
        <w:rPr>
          <w:rFonts w:ascii="Arial" w:eastAsia="Times New Roman" w:hAnsi="Arial" w:cs="Arial"/>
          <w:color w:val="000000"/>
          <w:sz w:val="22"/>
          <w:szCs w:val="22"/>
        </w:rPr>
        <w:t>Trapaidze</w:t>
      </w:r>
      <w:proofErr w:type="spellEnd"/>
      <w:r w:rsidRPr="005E7B73">
        <w:rPr>
          <w:rFonts w:ascii="Arial" w:eastAsia="Times New Roman" w:hAnsi="Arial" w:cs="Arial"/>
          <w:color w:val="000000"/>
          <w:sz w:val="22"/>
          <w:szCs w:val="22"/>
        </w:rPr>
        <w:t>, Tamar</w:t>
      </w:r>
      <w:r w:rsidRPr="005E7B73">
        <w:rPr>
          <w:rFonts w:ascii="Arial" w:eastAsia="Times New Roman" w:hAnsi="Arial" w:cs="Arial"/>
          <w:color w:val="000000"/>
          <w:sz w:val="22"/>
          <w:szCs w:val="22"/>
        </w:rPr>
        <w:tab/>
        <w:t>Projects Manager, Good Governance Fund, Georgia, United Kingdome Embassy</w:t>
      </w:r>
    </w:p>
    <w:p w14:paraId="7C346545" w14:textId="77777777" w:rsidR="007E0B0E" w:rsidRPr="005E7B73" w:rsidRDefault="007E0B0E" w:rsidP="00870303">
      <w:pPr>
        <w:ind w:left="2880" w:hanging="2880"/>
        <w:rPr>
          <w:rFonts w:ascii="Arial" w:hAnsi="Arial" w:cs="Arial"/>
          <w:sz w:val="22"/>
          <w:szCs w:val="22"/>
        </w:rPr>
      </w:pPr>
    </w:p>
    <w:p w14:paraId="6E98B2F5" w14:textId="77777777" w:rsidR="007E0B0E" w:rsidRPr="005E7B73" w:rsidRDefault="007E0B0E" w:rsidP="00870303">
      <w:pPr>
        <w:ind w:left="2880" w:hanging="2880"/>
        <w:rPr>
          <w:rFonts w:ascii="Arial" w:hAnsi="Arial" w:cs="Arial"/>
          <w:sz w:val="22"/>
          <w:szCs w:val="22"/>
        </w:rPr>
      </w:pPr>
      <w:proofErr w:type="spellStart"/>
      <w:r w:rsidRPr="005E7B73">
        <w:rPr>
          <w:rFonts w:ascii="Arial" w:hAnsi="Arial" w:cs="Arial"/>
          <w:sz w:val="22"/>
          <w:szCs w:val="22"/>
        </w:rPr>
        <w:t>Tsanava</w:t>
      </w:r>
      <w:proofErr w:type="spellEnd"/>
      <w:r w:rsidRPr="005E7B73">
        <w:rPr>
          <w:rFonts w:ascii="Arial" w:hAnsi="Arial" w:cs="Arial"/>
          <w:sz w:val="22"/>
          <w:szCs w:val="22"/>
        </w:rPr>
        <w:t>, Keti</w:t>
      </w:r>
      <w:r w:rsidRPr="005E7B73">
        <w:rPr>
          <w:rFonts w:ascii="Arial" w:hAnsi="Arial" w:cs="Arial"/>
          <w:sz w:val="22"/>
          <w:szCs w:val="22"/>
        </w:rPr>
        <w:tab/>
        <w:t>Head, Public Administration Unit, Department of Policy Planning and Coordination, Administration of the Government of Georgia</w:t>
      </w:r>
    </w:p>
    <w:p w14:paraId="73165211" w14:textId="77777777" w:rsidR="007E0B0E" w:rsidRPr="005E7B73" w:rsidRDefault="007E0B0E" w:rsidP="00D35E0B">
      <w:pPr>
        <w:ind w:left="2880" w:hanging="2880"/>
        <w:rPr>
          <w:rFonts w:ascii="Arial" w:eastAsia="Times New Roman" w:hAnsi="Arial" w:cs="Arial"/>
          <w:color w:val="0E101A"/>
          <w:sz w:val="22"/>
          <w:szCs w:val="22"/>
        </w:rPr>
      </w:pPr>
      <w:r w:rsidRPr="005E7B73">
        <w:rPr>
          <w:rFonts w:ascii="Arial" w:eastAsia="Times New Roman" w:hAnsi="Arial" w:cs="Arial"/>
          <w:color w:val="0E101A"/>
          <w:sz w:val="22"/>
          <w:szCs w:val="22"/>
        </w:rPr>
        <w:t>Tsiklauri, Nana</w:t>
      </w:r>
      <w:r w:rsidRPr="005E7B73">
        <w:rPr>
          <w:rFonts w:ascii="Arial" w:eastAsia="Times New Roman" w:hAnsi="Arial" w:cs="Arial"/>
          <w:color w:val="0E101A"/>
          <w:sz w:val="22"/>
          <w:szCs w:val="22"/>
        </w:rPr>
        <w:tab/>
        <w:t>Project Manager, PAR Project</w:t>
      </w:r>
    </w:p>
    <w:p w14:paraId="011DFBAF" w14:textId="77777777" w:rsidR="007E0B0E" w:rsidRPr="005E7B73" w:rsidRDefault="007E0B0E" w:rsidP="00870303">
      <w:pPr>
        <w:ind w:left="2880" w:hanging="2880"/>
        <w:rPr>
          <w:rFonts w:ascii="Arial" w:eastAsia="Times New Roman" w:hAnsi="Arial" w:cs="Arial"/>
          <w:color w:val="000000"/>
          <w:sz w:val="22"/>
          <w:szCs w:val="22"/>
        </w:rPr>
      </w:pPr>
    </w:p>
    <w:p w14:paraId="3A575A20" w14:textId="6C5D9000" w:rsidR="007E0B0E" w:rsidRPr="005E7B73" w:rsidRDefault="007E0B0E" w:rsidP="00870303">
      <w:pPr>
        <w:ind w:left="2880" w:hanging="2880"/>
        <w:rPr>
          <w:rFonts w:ascii="Arial" w:eastAsia="Times New Roman" w:hAnsi="Arial" w:cs="Arial"/>
          <w:color w:val="000000"/>
          <w:sz w:val="22"/>
          <w:szCs w:val="22"/>
        </w:rPr>
      </w:pPr>
      <w:r w:rsidRPr="005E7B73">
        <w:rPr>
          <w:rFonts w:ascii="Arial" w:eastAsia="Times New Roman" w:hAnsi="Arial" w:cs="Arial"/>
          <w:color w:val="000000"/>
          <w:sz w:val="22"/>
          <w:szCs w:val="22"/>
        </w:rPr>
        <w:t xml:space="preserve">Van Den </w:t>
      </w:r>
      <w:proofErr w:type="spellStart"/>
      <w:r w:rsidRPr="005E7B73">
        <w:rPr>
          <w:rFonts w:ascii="Arial" w:eastAsia="Times New Roman" w:hAnsi="Arial" w:cs="Arial"/>
          <w:color w:val="000000"/>
          <w:sz w:val="22"/>
          <w:szCs w:val="22"/>
        </w:rPr>
        <w:t>Muijzenberg</w:t>
      </w:r>
      <w:proofErr w:type="spellEnd"/>
      <w:r w:rsidRPr="005E7B73">
        <w:rPr>
          <w:rFonts w:ascii="Arial" w:eastAsia="Times New Roman" w:hAnsi="Arial" w:cs="Arial"/>
          <w:color w:val="000000"/>
          <w:sz w:val="22"/>
          <w:szCs w:val="22"/>
        </w:rPr>
        <w:t>, Marc</w:t>
      </w:r>
      <w:r w:rsidRPr="005E7B73">
        <w:rPr>
          <w:rFonts w:ascii="Arial" w:eastAsia="Times New Roman" w:hAnsi="Arial" w:cs="Arial"/>
          <w:color w:val="000000"/>
          <w:sz w:val="22"/>
          <w:szCs w:val="22"/>
        </w:rPr>
        <w:tab/>
      </w:r>
      <w:r w:rsidR="00C231D1">
        <w:rPr>
          <w:rFonts w:ascii="Arial" w:eastAsia="Times New Roman" w:hAnsi="Arial" w:cs="Arial"/>
          <w:color w:val="000000"/>
          <w:sz w:val="22"/>
          <w:szCs w:val="22"/>
        </w:rPr>
        <w:t xml:space="preserve">Policy Expert, </w:t>
      </w:r>
      <w:r w:rsidRPr="005E7B73">
        <w:rPr>
          <w:rFonts w:ascii="Arial" w:eastAsia="Times New Roman" w:hAnsi="Arial" w:cs="Arial"/>
          <w:color w:val="000000"/>
          <w:sz w:val="22"/>
          <w:szCs w:val="22"/>
        </w:rPr>
        <w:t>European Union</w:t>
      </w:r>
      <w:r w:rsidR="00C231D1">
        <w:rPr>
          <w:rFonts w:ascii="Arial" w:eastAsia="Times New Roman" w:hAnsi="Arial" w:cs="Arial"/>
          <w:color w:val="000000"/>
          <w:sz w:val="22"/>
          <w:szCs w:val="22"/>
        </w:rPr>
        <w:t xml:space="preserve"> PAR Technical Assistance Project</w:t>
      </w:r>
    </w:p>
    <w:p w14:paraId="0EA76890" w14:textId="77777777" w:rsidR="007E0B0E" w:rsidRPr="005E7B73" w:rsidRDefault="007E0B0E" w:rsidP="00870303">
      <w:pPr>
        <w:ind w:left="2880" w:hanging="2880"/>
        <w:rPr>
          <w:rFonts w:ascii="Arial" w:eastAsia="Times New Roman" w:hAnsi="Arial" w:cs="Arial"/>
          <w:color w:val="000000"/>
          <w:sz w:val="22"/>
          <w:szCs w:val="22"/>
        </w:rPr>
      </w:pPr>
    </w:p>
    <w:p w14:paraId="412D49DA" w14:textId="77777777" w:rsidR="007E0B0E" w:rsidRPr="005E7B73" w:rsidRDefault="007E0B0E" w:rsidP="007E0B0E">
      <w:pPr>
        <w:ind w:left="2880" w:hanging="2880"/>
        <w:rPr>
          <w:rFonts w:ascii="Arial" w:hAnsi="Arial" w:cs="Arial"/>
          <w:sz w:val="22"/>
          <w:szCs w:val="22"/>
        </w:rPr>
      </w:pPr>
      <w:r w:rsidRPr="005E7B73">
        <w:rPr>
          <w:rFonts w:ascii="Arial" w:hAnsi="Arial" w:cs="Arial"/>
          <w:sz w:val="22"/>
          <w:szCs w:val="22"/>
        </w:rPr>
        <w:t>Vinton, Louisa</w:t>
      </w:r>
      <w:r w:rsidRPr="005E7B73">
        <w:rPr>
          <w:rFonts w:ascii="Arial" w:hAnsi="Arial" w:cs="Arial"/>
          <w:sz w:val="22"/>
          <w:szCs w:val="22"/>
        </w:rPr>
        <w:tab/>
        <w:t>Resident Representative, UNDP Georgia</w:t>
      </w:r>
    </w:p>
    <w:p w14:paraId="043FF37F" w14:textId="77777777" w:rsidR="007E0B0E" w:rsidRPr="005E7B73" w:rsidRDefault="007E0B0E" w:rsidP="007E0B0E">
      <w:pPr>
        <w:ind w:left="2880" w:hanging="2880"/>
        <w:rPr>
          <w:rFonts w:ascii="Arial" w:eastAsia="Times New Roman" w:hAnsi="Arial" w:cs="Arial"/>
          <w:color w:val="000000"/>
          <w:sz w:val="22"/>
          <w:szCs w:val="22"/>
        </w:rPr>
      </w:pPr>
    </w:p>
    <w:p w14:paraId="01771341" w14:textId="77777777" w:rsidR="007E0B0E" w:rsidRPr="005E7B73" w:rsidRDefault="007E0B0E" w:rsidP="007E0B0E">
      <w:pPr>
        <w:ind w:left="2880" w:hanging="2880"/>
        <w:rPr>
          <w:rFonts w:ascii="Arial" w:eastAsia="Times New Roman" w:hAnsi="Arial" w:cs="Arial"/>
          <w:color w:val="000000"/>
          <w:sz w:val="22"/>
          <w:szCs w:val="22"/>
        </w:rPr>
      </w:pPr>
      <w:r w:rsidRPr="005E7B73">
        <w:rPr>
          <w:rFonts w:ascii="Arial" w:eastAsia="Times New Roman" w:hAnsi="Arial" w:cs="Arial"/>
          <w:color w:val="000000"/>
          <w:sz w:val="22"/>
          <w:szCs w:val="22"/>
        </w:rPr>
        <w:t>Whyte, Kate</w:t>
      </w:r>
      <w:r w:rsidRPr="005E7B73">
        <w:rPr>
          <w:rFonts w:ascii="Arial" w:eastAsia="Times New Roman" w:hAnsi="Arial" w:cs="Arial"/>
          <w:color w:val="000000"/>
          <w:sz w:val="22"/>
          <w:szCs w:val="22"/>
        </w:rPr>
        <w:tab/>
        <w:t>Senior Governance Adviser, Head of the Adviser Hub, Good Governance Fund, Government of the United Kingdom</w:t>
      </w:r>
    </w:p>
    <w:p w14:paraId="246D0A2F" w14:textId="77777777" w:rsidR="007E0B0E" w:rsidRPr="005E7B73" w:rsidRDefault="007E0B0E" w:rsidP="007E0B0E">
      <w:pPr>
        <w:ind w:left="2880" w:hanging="2880"/>
        <w:rPr>
          <w:rFonts w:ascii="Arial" w:eastAsia="Times New Roman" w:hAnsi="Arial" w:cs="Arial"/>
          <w:color w:val="000000"/>
          <w:sz w:val="22"/>
          <w:szCs w:val="22"/>
        </w:rPr>
      </w:pPr>
    </w:p>
    <w:p w14:paraId="47632272" w14:textId="235972AC" w:rsidR="007E0B0E" w:rsidRPr="005E7B73" w:rsidRDefault="007E0B0E" w:rsidP="007E0B0E">
      <w:pPr>
        <w:ind w:left="2880" w:hanging="2880"/>
        <w:rPr>
          <w:rFonts w:ascii="Arial" w:eastAsia="Times New Roman" w:hAnsi="Arial" w:cs="Arial"/>
          <w:color w:val="000000"/>
          <w:sz w:val="22"/>
          <w:szCs w:val="22"/>
        </w:rPr>
        <w:sectPr w:rsidR="007E0B0E" w:rsidRPr="005E7B73" w:rsidSect="00991536">
          <w:headerReference w:type="even" r:id="rId20"/>
          <w:headerReference w:type="default" r:id="rId21"/>
          <w:footerReference w:type="even" r:id="rId22"/>
          <w:footerReference w:type="default" r:id="rId23"/>
          <w:pgSz w:w="12240" w:h="15840"/>
          <w:pgMar w:top="30" w:right="1620" w:bottom="1080" w:left="1080" w:header="944" w:footer="720" w:gutter="0"/>
          <w:cols w:space="720"/>
          <w:titlePg/>
          <w:docGrid w:linePitch="360"/>
        </w:sectPr>
      </w:pPr>
      <w:r w:rsidRPr="005E7B73">
        <w:rPr>
          <w:rFonts w:ascii="Arial" w:eastAsia="Times New Roman" w:hAnsi="Arial" w:cs="Arial"/>
          <w:color w:val="000000"/>
          <w:sz w:val="22"/>
          <w:szCs w:val="22"/>
        </w:rPr>
        <w:t>Wichmann, Ellen</w:t>
      </w:r>
      <w:r w:rsidRPr="005E7B73">
        <w:rPr>
          <w:rFonts w:ascii="Arial" w:eastAsia="Times New Roman" w:hAnsi="Arial" w:cs="Arial"/>
          <w:color w:val="000000"/>
          <w:sz w:val="22"/>
          <w:szCs w:val="22"/>
        </w:rPr>
        <w:tab/>
        <w:t>Head, Good Governance Fun</w:t>
      </w:r>
      <w:r w:rsidR="005E7B73">
        <w:rPr>
          <w:rFonts w:ascii="Arial" w:eastAsia="Times New Roman" w:hAnsi="Arial" w:cs="Arial"/>
          <w:color w:val="000000"/>
          <w:sz w:val="22"/>
          <w:szCs w:val="22"/>
        </w:rPr>
        <w:t>d, Georgia, United Kingdom Embassy</w:t>
      </w:r>
    </w:p>
    <w:p w14:paraId="067EC787" w14:textId="547E5C4A" w:rsidR="007E0B0E" w:rsidRDefault="007E0B0E" w:rsidP="00870303">
      <w:pPr>
        <w:ind w:left="2880" w:hanging="2880"/>
        <w:rPr>
          <w:rFonts w:ascii="Calibri" w:eastAsia="Times New Roman" w:hAnsi="Calibri" w:cs="Times New Roman"/>
          <w:color w:val="000000"/>
          <w:sz w:val="22"/>
          <w:szCs w:val="22"/>
        </w:rPr>
      </w:pPr>
    </w:p>
    <w:p w14:paraId="277124DE" w14:textId="0DABDDDD" w:rsidR="007D3B8E" w:rsidRDefault="008E3A88" w:rsidP="005E7B73">
      <w:pPr>
        <w:pStyle w:val="Heading1"/>
      </w:pPr>
      <w:bookmarkStart w:id="38" w:name="_Toc478138885"/>
      <w:r>
        <w:t>Annex D:</w:t>
      </w:r>
      <w:r>
        <w:tab/>
      </w:r>
      <w:r w:rsidRPr="00B87E53">
        <w:t xml:space="preserve">List of </w:t>
      </w:r>
      <w:r w:rsidR="00C60160">
        <w:t xml:space="preserve">Project </w:t>
      </w:r>
      <w:r>
        <w:t>Personnel</w:t>
      </w:r>
      <w:r w:rsidR="005E7B73">
        <w:t xml:space="preserve"> and Main Contractors</w:t>
      </w:r>
      <w:bookmarkEnd w:id="38"/>
      <w:r w:rsidR="005E7B73">
        <w:t xml:space="preserve"> </w:t>
      </w:r>
    </w:p>
    <w:p w14:paraId="59870F1D" w14:textId="77777777" w:rsidR="005E7B73" w:rsidRDefault="005E7B73" w:rsidP="005E7B73">
      <w:pPr>
        <w:rPr>
          <w:rFonts w:ascii="Arial" w:hAnsi="Arial" w:cs="Arial"/>
        </w:rPr>
      </w:pPr>
    </w:p>
    <w:p w14:paraId="2D5BA90C" w14:textId="4BEDF9FB" w:rsidR="005E7B73" w:rsidRPr="005E7B73" w:rsidRDefault="005E7B73" w:rsidP="00EB743C">
      <w:pPr>
        <w:pStyle w:val="ListParagraph"/>
        <w:numPr>
          <w:ilvl w:val="0"/>
          <w:numId w:val="47"/>
        </w:numPr>
        <w:jc w:val="center"/>
        <w:rPr>
          <w:rFonts w:ascii="Arial" w:hAnsi="Arial" w:cs="Arial"/>
          <w:b/>
          <w:sz w:val="22"/>
          <w:szCs w:val="22"/>
        </w:rPr>
      </w:pPr>
      <w:r w:rsidRPr="005E7B73">
        <w:rPr>
          <w:rFonts w:ascii="Arial" w:hAnsi="Arial" w:cs="Arial"/>
          <w:b/>
          <w:sz w:val="22"/>
          <w:szCs w:val="22"/>
        </w:rPr>
        <w:t>Project Personnel</w:t>
      </w:r>
    </w:p>
    <w:p w14:paraId="156B2EC5" w14:textId="77777777" w:rsidR="005E7B73" w:rsidRPr="005E7B73" w:rsidRDefault="005E7B73" w:rsidP="005E7B73">
      <w:pPr>
        <w:ind w:left="360"/>
        <w:jc w:val="center"/>
        <w:rPr>
          <w:rFonts w:ascii="Arial" w:hAnsi="Arial" w:cs="Arial"/>
          <w:b/>
          <w:sz w:val="22"/>
          <w:szCs w:val="22"/>
        </w:rPr>
      </w:pPr>
    </w:p>
    <w:tbl>
      <w:tblPr>
        <w:tblW w:w="0" w:type="auto"/>
        <w:tblLook w:val="04A0" w:firstRow="1" w:lastRow="0" w:firstColumn="1" w:lastColumn="0" w:noHBand="0" w:noVBand="1"/>
      </w:tblPr>
      <w:tblGrid>
        <w:gridCol w:w="2538"/>
        <w:gridCol w:w="5220"/>
        <w:gridCol w:w="2070"/>
        <w:gridCol w:w="1800"/>
      </w:tblGrid>
      <w:tr w:rsidR="005E7B73" w:rsidRPr="00BA2B99" w14:paraId="4B7C3D2A" w14:textId="77777777" w:rsidTr="005E7B73">
        <w:trPr>
          <w:trHeight w:val="20"/>
        </w:trPr>
        <w:tc>
          <w:tcPr>
            <w:tcW w:w="2538" w:type="dxa"/>
            <w:shd w:val="clear" w:color="auto" w:fill="DBE5F1" w:themeFill="accent1" w:themeFillTint="33"/>
          </w:tcPr>
          <w:p w14:paraId="3070FF36" w14:textId="77777777" w:rsidR="005E7B73" w:rsidRPr="00171926" w:rsidRDefault="005E7B73" w:rsidP="005E7B73">
            <w:pPr>
              <w:jc w:val="center"/>
              <w:rPr>
                <w:rFonts w:ascii="Arial" w:hAnsi="Arial" w:cs="Arial"/>
                <w:b/>
                <w:sz w:val="22"/>
                <w:szCs w:val="22"/>
              </w:rPr>
            </w:pPr>
            <w:r w:rsidRPr="00171926">
              <w:rPr>
                <w:rFonts w:ascii="Arial" w:hAnsi="Arial" w:cs="Arial"/>
                <w:b/>
                <w:sz w:val="22"/>
                <w:szCs w:val="22"/>
              </w:rPr>
              <w:t>Name</w:t>
            </w:r>
          </w:p>
        </w:tc>
        <w:tc>
          <w:tcPr>
            <w:tcW w:w="5220" w:type="dxa"/>
            <w:shd w:val="clear" w:color="auto" w:fill="DBE5F1" w:themeFill="accent1" w:themeFillTint="33"/>
          </w:tcPr>
          <w:p w14:paraId="79FB89E3" w14:textId="77777777" w:rsidR="005E7B73" w:rsidRPr="00171926" w:rsidRDefault="005E7B73" w:rsidP="005E7B73">
            <w:pPr>
              <w:jc w:val="center"/>
              <w:rPr>
                <w:rFonts w:ascii="Arial" w:hAnsi="Arial" w:cs="Arial"/>
                <w:b/>
                <w:sz w:val="22"/>
                <w:szCs w:val="22"/>
              </w:rPr>
            </w:pPr>
            <w:r w:rsidRPr="00171926">
              <w:rPr>
                <w:rFonts w:ascii="Arial" w:hAnsi="Arial" w:cs="Arial"/>
                <w:b/>
                <w:sz w:val="22"/>
                <w:szCs w:val="22"/>
              </w:rPr>
              <w:t>Position</w:t>
            </w:r>
          </w:p>
        </w:tc>
        <w:tc>
          <w:tcPr>
            <w:tcW w:w="2070" w:type="dxa"/>
            <w:shd w:val="clear" w:color="auto" w:fill="DBE5F1" w:themeFill="accent1" w:themeFillTint="33"/>
          </w:tcPr>
          <w:p w14:paraId="41E5D069" w14:textId="77777777" w:rsidR="005E7B73" w:rsidRPr="00171926" w:rsidRDefault="005E7B73" w:rsidP="005E7B73">
            <w:pPr>
              <w:jc w:val="center"/>
              <w:rPr>
                <w:rFonts w:ascii="Arial" w:hAnsi="Arial" w:cs="Arial"/>
                <w:b/>
                <w:sz w:val="22"/>
                <w:szCs w:val="22"/>
              </w:rPr>
            </w:pPr>
            <w:r w:rsidRPr="00171926">
              <w:rPr>
                <w:rFonts w:ascii="Arial" w:hAnsi="Arial" w:cs="Arial"/>
                <w:b/>
                <w:sz w:val="22"/>
                <w:szCs w:val="22"/>
              </w:rPr>
              <w:t>Start Date</w:t>
            </w:r>
          </w:p>
        </w:tc>
        <w:tc>
          <w:tcPr>
            <w:tcW w:w="1800" w:type="dxa"/>
            <w:shd w:val="clear" w:color="auto" w:fill="DBE5F1" w:themeFill="accent1" w:themeFillTint="33"/>
          </w:tcPr>
          <w:p w14:paraId="28792B3B" w14:textId="77777777" w:rsidR="005E7B73" w:rsidRPr="00171926" w:rsidRDefault="005E7B73" w:rsidP="005E7B73">
            <w:pPr>
              <w:jc w:val="center"/>
              <w:rPr>
                <w:rFonts w:ascii="Arial" w:hAnsi="Arial" w:cs="Arial"/>
                <w:b/>
                <w:sz w:val="22"/>
                <w:szCs w:val="22"/>
              </w:rPr>
            </w:pPr>
            <w:r w:rsidRPr="00171926">
              <w:rPr>
                <w:rFonts w:ascii="Arial" w:hAnsi="Arial" w:cs="Arial"/>
                <w:b/>
                <w:sz w:val="22"/>
                <w:szCs w:val="22"/>
              </w:rPr>
              <w:t>End Date</w:t>
            </w:r>
          </w:p>
        </w:tc>
      </w:tr>
      <w:tr w:rsidR="005E7B73" w:rsidRPr="00BA2B99" w14:paraId="1EA9DC73" w14:textId="77777777" w:rsidTr="005E7B73">
        <w:trPr>
          <w:trHeight w:val="20"/>
        </w:trPr>
        <w:tc>
          <w:tcPr>
            <w:tcW w:w="2538" w:type="dxa"/>
          </w:tcPr>
          <w:p w14:paraId="78436014"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Nana Tsiklauri </w:t>
            </w:r>
          </w:p>
        </w:tc>
        <w:tc>
          <w:tcPr>
            <w:tcW w:w="5220" w:type="dxa"/>
          </w:tcPr>
          <w:p w14:paraId="4BC9C7B7" w14:textId="77777777" w:rsidR="005E7B73" w:rsidRPr="00171926" w:rsidRDefault="005E7B73" w:rsidP="005E7B73">
            <w:pPr>
              <w:rPr>
                <w:rFonts w:ascii="Arial" w:hAnsi="Arial" w:cs="Arial"/>
                <w:sz w:val="22"/>
                <w:szCs w:val="22"/>
              </w:rPr>
            </w:pPr>
            <w:r w:rsidRPr="00171926">
              <w:rPr>
                <w:rFonts w:ascii="Arial" w:hAnsi="Arial" w:cs="Arial"/>
                <w:sz w:val="22"/>
                <w:szCs w:val="22"/>
              </w:rPr>
              <w:t>PAR Project Manager</w:t>
            </w:r>
          </w:p>
        </w:tc>
        <w:tc>
          <w:tcPr>
            <w:tcW w:w="2070" w:type="dxa"/>
          </w:tcPr>
          <w:p w14:paraId="16FF996A"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September 2017 </w:t>
            </w:r>
          </w:p>
        </w:tc>
        <w:tc>
          <w:tcPr>
            <w:tcW w:w="1800" w:type="dxa"/>
          </w:tcPr>
          <w:p w14:paraId="66AD3A7E"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2021 </w:t>
            </w:r>
          </w:p>
        </w:tc>
      </w:tr>
      <w:tr w:rsidR="005E7B73" w:rsidRPr="00BA2B99" w14:paraId="7EA2C4DD" w14:textId="77777777" w:rsidTr="005E7B73">
        <w:trPr>
          <w:trHeight w:val="20"/>
        </w:trPr>
        <w:tc>
          <w:tcPr>
            <w:tcW w:w="2538" w:type="dxa"/>
          </w:tcPr>
          <w:p w14:paraId="757AF819" w14:textId="77777777" w:rsidR="005E7B73" w:rsidRPr="00171926" w:rsidRDefault="005E7B73" w:rsidP="005E7B73">
            <w:pPr>
              <w:rPr>
                <w:rFonts w:ascii="Arial" w:hAnsi="Arial" w:cs="Arial"/>
                <w:sz w:val="22"/>
                <w:szCs w:val="22"/>
              </w:rPr>
            </w:pPr>
            <w:proofErr w:type="spellStart"/>
            <w:r w:rsidRPr="00171926">
              <w:rPr>
                <w:rFonts w:ascii="Arial" w:hAnsi="Arial" w:cs="Arial"/>
                <w:sz w:val="22"/>
                <w:szCs w:val="22"/>
              </w:rPr>
              <w:t>Jaba</w:t>
            </w:r>
            <w:proofErr w:type="spellEnd"/>
            <w:r w:rsidRPr="00171926">
              <w:rPr>
                <w:rFonts w:ascii="Arial" w:hAnsi="Arial" w:cs="Arial"/>
                <w:sz w:val="22"/>
                <w:szCs w:val="22"/>
              </w:rPr>
              <w:t xml:space="preserve"> </w:t>
            </w:r>
            <w:proofErr w:type="spellStart"/>
            <w:r w:rsidRPr="00171926">
              <w:rPr>
                <w:rFonts w:ascii="Arial" w:hAnsi="Arial" w:cs="Arial"/>
                <w:sz w:val="22"/>
                <w:szCs w:val="22"/>
              </w:rPr>
              <w:t>Devdariani</w:t>
            </w:r>
            <w:proofErr w:type="spellEnd"/>
            <w:r w:rsidRPr="00171926">
              <w:rPr>
                <w:rFonts w:ascii="Arial" w:hAnsi="Arial" w:cs="Arial"/>
                <w:sz w:val="22"/>
                <w:szCs w:val="22"/>
              </w:rPr>
              <w:t xml:space="preserve"> </w:t>
            </w:r>
          </w:p>
        </w:tc>
        <w:tc>
          <w:tcPr>
            <w:tcW w:w="5220" w:type="dxa"/>
          </w:tcPr>
          <w:p w14:paraId="098CCC80" w14:textId="77777777" w:rsidR="005E7B73" w:rsidRPr="00171926" w:rsidRDefault="005E7B73" w:rsidP="005E7B73">
            <w:pPr>
              <w:rPr>
                <w:rFonts w:ascii="Arial" w:hAnsi="Arial" w:cs="Arial"/>
                <w:sz w:val="22"/>
                <w:szCs w:val="22"/>
              </w:rPr>
            </w:pPr>
            <w:r w:rsidRPr="00171926">
              <w:rPr>
                <w:rFonts w:ascii="Arial" w:hAnsi="Arial" w:cs="Arial"/>
                <w:sz w:val="22"/>
                <w:szCs w:val="22"/>
              </w:rPr>
              <w:t>Part- time Policy and Planning Advisor</w:t>
            </w:r>
          </w:p>
        </w:tc>
        <w:tc>
          <w:tcPr>
            <w:tcW w:w="2070" w:type="dxa"/>
          </w:tcPr>
          <w:p w14:paraId="798DEFE3" w14:textId="77777777" w:rsidR="005E7B73" w:rsidRPr="00171926" w:rsidRDefault="005E7B73" w:rsidP="005E7B73">
            <w:pPr>
              <w:rPr>
                <w:rFonts w:ascii="Arial" w:hAnsi="Arial" w:cs="Arial"/>
                <w:sz w:val="22"/>
                <w:szCs w:val="22"/>
              </w:rPr>
            </w:pPr>
            <w:r w:rsidRPr="00171926">
              <w:rPr>
                <w:rFonts w:ascii="Arial" w:hAnsi="Arial" w:cs="Arial"/>
                <w:sz w:val="22"/>
                <w:szCs w:val="22"/>
              </w:rPr>
              <w:t>July 2016</w:t>
            </w:r>
          </w:p>
        </w:tc>
        <w:tc>
          <w:tcPr>
            <w:tcW w:w="1800" w:type="dxa"/>
          </w:tcPr>
          <w:p w14:paraId="5538C9CE"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2021 </w:t>
            </w:r>
          </w:p>
        </w:tc>
      </w:tr>
      <w:tr w:rsidR="005E7B73" w:rsidRPr="00BA2B99" w14:paraId="22D85197" w14:textId="77777777" w:rsidTr="005E7B73">
        <w:trPr>
          <w:trHeight w:val="20"/>
        </w:trPr>
        <w:tc>
          <w:tcPr>
            <w:tcW w:w="2538" w:type="dxa"/>
          </w:tcPr>
          <w:p w14:paraId="45675B1B"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Natalia Baratashvili </w:t>
            </w:r>
          </w:p>
        </w:tc>
        <w:tc>
          <w:tcPr>
            <w:tcW w:w="5220" w:type="dxa"/>
          </w:tcPr>
          <w:p w14:paraId="291EE85C" w14:textId="77777777" w:rsidR="005E7B73" w:rsidRPr="00171926" w:rsidRDefault="005E7B73" w:rsidP="005E7B73">
            <w:pPr>
              <w:rPr>
                <w:rFonts w:ascii="Arial" w:hAnsi="Arial" w:cs="Arial"/>
                <w:sz w:val="22"/>
                <w:szCs w:val="22"/>
              </w:rPr>
            </w:pPr>
            <w:r w:rsidRPr="00171926">
              <w:rPr>
                <w:rFonts w:ascii="Arial" w:hAnsi="Arial" w:cs="Arial"/>
                <w:sz w:val="22"/>
                <w:szCs w:val="22"/>
              </w:rPr>
              <w:t>Capacity Development Coordinator</w:t>
            </w:r>
          </w:p>
        </w:tc>
        <w:tc>
          <w:tcPr>
            <w:tcW w:w="2070" w:type="dxa"/>
          </w:tcPr>
          <w:p w14:paraId="21C4EB30" w14:textId="77777777" w:rsidR="005E7B73" w:rsidRPr="00171926" w:rsidRDefault="005E7B73" w:rsidP="005E7B73">
            <w:pPr>
              <w:rPr>
                <w:rFonts w:ascii="Arial" w:hAnsi="Arial" w:cs="Arial"/>
                <w:sz w:val="22"/>
                <w:szCs w:val="22"/>
              </w:rPr>
            </w:pPr>
            <w:r w:rsidRPr="00171926">
              <w:rPr>
                <w:rFonts w:ascii="Arial" w:hAnsi="Arial" w:cs="Arial"/>
                <w:sz w:val="22"/>
                <w:szCs w:val="22"/>
              </w:rPr>
              <w:t>November 2016</w:t>
            </w:r>
          </w:p>
        </w:tc>
        <w:tc>
          <w:tcPr>
            <w:tcW w:w="1800" w:type="dxa"/>
          </w:tcPr>
          <w:p w14:paraId="1A7F5B25"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2021 </w:t>
            </w:r>
          </w:p>
        </w:tc>
      </w:tr>
      <w:tr w:rsidR="005E7B73" w:rsidRPr="00BA2B99" w14:paraId="752179FA" w14:textId="77777777" w:rsidTr="005E7B73">
        <w:trPr>
          <w:trHeight w:val="20"/>
        </w:trPr>
        <w:tc>
          <w:tcPr>
            <w:tcW w:w="2538" w:type="dxa"/>
          </w:tcPr>
          <w:p w14:paraId="5FBEDBB4" w14:textId="77777777" w:rsidR="005E7B73" w:rsidRPr="00171926" w:rsidRDefault="005E7B73" w:rsidP="005E7B73">
            <w:pPr>
              <w:rPr>
                <w:rFonts w:ascii="Arial" w:hAnsi="Arial" w:cs="Arial"/>
                <w:sz w:val="22"/>
                <w:szCs w:val="22"/>
              </w:rPr>
            </w:pPr>
            <w:r w:rsidRPr="00171926">
              <w:rPr>
                <w:rFonts w:ascii="Arial" w:hAnsi="Arial" w:cs="Arial"/>
                <w:sz w:val="22"/>
                <w:szCs w:val="22"/>
              </w:rPr>
              <w:t>Nino Ghonghadze</w:t>
            </w:r>
          </w:p>
        </w:tc>
        <w:tc>
          <w:tcPr>
            <w:tcW w:w="5220" w:type="dxa"/>
          </w:tcPr>
          <w:p w14:paraId="37FF7E07" w14:textId="77777777" w:rsidR="005E7B73" w:rsidRPr="00171926" w:rsidRDefault="005E7B73" w:rsidP="005E7B73">
            <w:pPr>
              <w:rPr>
                <w:rFonts w:ascii="Arial" w:hAnsi="Arial" w:cs="Arial"/>
                <w:sz w:val="22"/>
                <w:szCs w:val="22"/>
              </w:rPr>
            </w:pPr>
            <w:r w:rsidRPr="00171926">
              <w:rPr>
                <w:rFonts w:ascii="Arial" w:hAnsi="Arial" w:cs="Arial"/>
                <w:sz w:val="22"/>
                <w:szCs w:val="22"/>
              </w:rPr>
              <w:t>Public Policy Specialist</w:t>
            </w:r>
          </w:p>
        </w:tc>
        <w:tc>
          <w:tcPr>
            <w:tcW w:w="2070" w:type="dxa"/>
          </w:tcPr>
          <w:p w14:paraId="5F92B320"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November 2016 </w:t>
            </w:r>
          </w:p>
        </w:tc>
        <w:tc>
          <w:tcPr>
            <w:tcW w:w="1800" w:type="dxa"/>
          </w:tcPr>
          <w:p w14:paraId="19EEB1A3"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2021 </w:t>
            </w:r>
          </w:p>
        </w:tc>
      </w:tr>
      <w:tr w:rsidR="005E7B73" w:rsidRPr="00BA2B99" w14:paraId="414BBAAC" w14:textId="77777777" w:rsidTr="005E7B73">
        <w:trPr>
          <w:trHeight w:val="20"/>
        </w:trPr>
        <w:tc>
          <w:tcPr>
            <w:tcW w:w="2538" w:type="dxa"/>
          </w:tcPr>
          <w:p w14:paraId="20515BC4"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Maia Giorbelidze  </w:t>
            </w:r>
          </w:p>
        </w:tc>
        <w:tc>
          <w:tcPr>
            <w:tcW w:w="5220" w:type="dxa"/>
          </w:tcPr>
          <w:p w14:paraId="6C3A3010" w14:textId="77777777" w:rsidR="005E7B73" w:rsidRPr="00171926" w:rsidRDefault="005E7B73" w:rsidP="005E7B73">
            <w:pPr>
              <w:rPr>
                <w:rFonts w:ascii="Arial" w:hAnsi="Arial" w:cs="Arial"/>
                <w:sz w:val="22"/>
                <w:szCs w:val="22"/>
              </w:rPr>
            </w:pPr>
            <w:r w:rsidRPr="00171926">
              <w:rPr>
                <w:rFonts w:ascii="Arial" w:hAnsi="Arial" w:cs="Arial"/>
                <w:sz w:val="22"/>
                <w:szCs w:val="22"/>
              </w:rPr>
              <w:t>M&amp;E Specialist</w:t>
            </w:r>
          </w:p>
        </w:tc>
        <w:tc>
          <w:tcPr>
            <w:tcW w:w="2070" w:type="dxa"/>
          </w:tcPr>
          <w:p w14:paraId="0F52C90E" w14:textId="77777777" w:rsidR="005E7B73" w:rsidRPr="00171926" w:rsidRDefault="005E7B73" w:rsidP="005E7B73">
            <w:pPr>
              <w:rPr>
                <w:rFonts w:ascii="Arial" w:hAnsi="Arial" w:cs="Arial"/>
                <w:sz w:val="22"/>
                <w:szCs w:val="22"/>
              </w:rPr>
            </w:pPr>
            <w:r w:rsidRPr="00171926">
              <w:rPr>
                <w:rFonts w:ascii="Arial" w:hAnsi="Arial" w:cs="Arial"/>
                <w:sz w:val="22"/>
                <w:szCs w:val="22"/>
              </w:rPr>
              <w:t>July 2016</w:t>
            </w:r>
          </w:p>
        </w:tc>
        <w:tc>
          <w:tcPr>
            <w:tcW w:w="1800" w:type="dxa"/>
          </w:tcPr>
          <w:p w14:paraId="75F7DFA5" w14:textId="77777777" w:rsidR="005E7B73" w:rsidRPr="00171926" w:rsidRDefault="005E7B73" w:rsidP="005E7B73">
            <w:pPr>
              <w:rPr>
                <w:rFonts w:ascii="Arial" w:hAnsi="Arial" w:cs="Arial"/>
                <w:sz w:val="22"/>
                <w:szCs w:val="22"/>
              </w:rPr>
            </w:pPr>
            <w:r w:rsidRPr="00171926">
              <w:rPr>
                <w:rFonts w:ascii="Arial" w:hAnsi="Arial" w:cs="Arial"/>
                <w:sz w:val="22"/>
                <w:szCs w:val="22"/>
              </w:rPr>
              <w:t>February 2020</w:t>
            </w:r>
          </w:p>
        </w:tc>
      </w:tr>
      <w:tr w:rsidR="005E7B73" w:rsidRPr="00BA2B99" w14:paraId="1B9A4B16" w14:textId="77777777" w:rsidTr="005E7B73">
        <w:trPr>
          <w:trHeight w:val="20"/>
        </w:trPr>
        <w:tc>
          <w:tcPr>
            <w:tcW w:w="2538" w:type="dxa"/>
          </w:tcPr>
          <w:p w14:paraId="11452A89" w14:textId="77777777" w:rsidR="005E7B73" w:rsidRPr="00171926" w:rsidRDefault="005E7B73" w:rsidP="005E7B73">
            <w:pPr>
              <w:rPr>
                <w:rFonts w:ascii="Arial" w:hAnsi="Arial" w:cs="Arial"/>
                <w:sz w:val="22"/>
                <w:szCs w:val="22"/>
              </w:rPr>
            </w:pPr>
            <w:proofErr w:type="spellStart"/>
            <w:r w:rsidRPr="00171926">
              <w:rPr>
                <w:rFonts w:ascii="Arial" w:hAnsi="Arial" w:cs="Arial"/>
                <w:sz w:val="22"/>
                <w:szCs w:val="22"/>
              </w:rPr>
              <w:t>Sopho</w:t>
            </w:r>
            <w:proofErr w:type="spellEnd"/>
            <w:r w:rsidRPr="00171926">
              <w:rPr>
                <w:rFonts w:ascii="Arial" w:hAnsi="Arial" w:cs="Arial"/>
                <w:sz w:val="22"/>
                <w:szCs w:val="22"/>
              </w:rPr>
              <w:t xml:space="preserve"> Omanadze </w:t>
            </w:r>
          </w:p>
        </w:tc>
        <w:tc>
          <w:tcPr>
            <w:tcW w:w="5220" w:type="dxa"/>
          </w:tcPr>
          <w:p w14:paraId="257D7947" w14:textId="77777777" w:rsidR="005E7B73" w:rsidRPr="00171926" w:rsidRDefault="005E7B73" w:rsidP="005E7B73">
            <w:pPr>
              <w:rPr>
                <w:rFonts w:ascii="Arial" w:hAnsi="Arial" w:cs="Arial"/>
                <w:sz w:val="22"/>
                <w:szCs w:val="22"/>
              </w:rPr>
            </w:pPr>
            <w:r w:rsidRPr="00171926">
              <w:rPr>
                <w:rFonts w:ascii="Arial" w:hAnsi="Arial" w:cs="Arial"/>
                <w:sz w:val="22"/>
                <w:szCs w:val="22"/>
              </w:rPr>
              <w:t>M&amp;E Specialist</w:t>
            </w:r>
          </w:p>
        </w:tc>
        <w:tc>
          <w:tcPr>
            <w:tcW w:w="2070" w:type="dxa"/>
          </w:tcPr>
          <w:p w14:paraId="59A25269" w14:textId="77777777" w:rsidR="005E7B73" w:rsidRPr="00171926" w:rsidRDefault="005E7B73" w:rsidP="005E7B73">
            <w:pPr>
              <w:rPr>
                <w:rFonts w:ascii="Arial" w:hAnsi="Arial" w:cs="Arial"/>
                <w:sz w:val="22"/>
                <w:szCs w:val="22"/>
              </w:rPr>
            </w:pPr>
            <w:r w:rsidRPr="00171926">
              <w:rPr>
                <w:rFonts w:ascii="Arial" w:hAnsi="Arial" w:cs="Arial"/>
                <w:sz w:val="22"/>
                <w:szCs w:val="22"/>
              </w:rPr>
              <w:t>January 2020</w:t>
            </w:r>
          </w:p>
        </w:tc>
        <w:tc>
          <w:tcPr>
            <w:tcW w:w="1800" w:type="dxa"/>
          </w:tcPr>
          <w:p w14:paraId="43407A22"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2021 </w:t>
            </w:r>
          </w:p>
        </w:tc>
      </w:tr>
      <w:tr w:rsidR="005E7B73" w:rsidRPr="00BA2B99" w14:paraId="044F1DC4" w14:textId="77777777" w:rsidTr="005E7B73">
        <w:trPr>
          <w:trHeight w:val="20"/>
        </w:trPr>
        <w:tc>
          <w:tcPr>
            <w:tcW w:w="2538" w:type="dxa"/>
          </w:tcPr>
          <w:p w14:paraId="093F5194" w14:textId="77777777" w:rsidR="005E7B73" w:rsidRPr="00171926" w:rsidRDefault="005E7B73" w:rsidP="005E7B73">
            <w:pPr>
              <w:rPr>
                <w:rFonts w:ascii="Arial" w:hAnsi="Arial" w:cs="Arial"/>
                <w:sz w:val="22"/>
                <w:szCs w:val="22"/>
                <w:lang w:val="ka-GE"/>
              </w:rPr>
            </w:pPr>
            <w:r w:rsidRPr="00171926">
              <w:rPr>
                <w:rFonts w:ascii="Arial" w:hAnsi="Arial" w:cs="Arial"/>
                <w:sz w:val="22"/>
                <w:szCs w:val="22"/>
              </w:rPr>
              <w:t xml:space="preserve">Mariam Kobakhidze </w:t>
            </w:r>
          </w:p>
        </w:tc>
        <w:tc>
          <w:tcPr>
            <w:tcW w:w="5220" w:type="dxa"/>
          </w:tcPr>
          <w:p w14:paraId="5D295249" w14:textId="77777777" w:rsidR="005E7B73" w:rsidRPr="00171926" w:rsidRDefault="005E7B73" w:rsidP="005E7B73">
            <w:pPr>
              <w:rPr>
                <w:rFonts w:ascii="Arial" w:hAnsi="Arial" w:cs="Arial"/>
                <w:sz w:val="22"/>
                <w:szCs w:val="22"/>
              </w:rPr>
            </w:pPr>
            <w:r w:rsidRPr="00171926">
              <w:rPr>
                <w:rFonts w:ascii="Arial" w:hAnsi="Arial" w:cs="Arial"/>
                <w:sz w:val="22"/>
                <w:szCs w:val="22"/>
              </w:rPr>
              <w:t>Junior Capacity Development Consultant</w:t>
            </w:r>
          </w:p>
        </w:tc>
        <w:tc>
          <w:tcPr>
            <w:tcW w:w="2070" w:type="dxa"/>
          </w:tcPr>
          <w:p w14:paraId="1546AB37" w14:textId="77777777" w:rsidR="005E7B73" w:rsidRPr="00171926" w:rsidRDefault="005E7B73" w:rsidP="005E7B73">
            <w:pPr>
              <w:rPr>
                <w:rFonts w:ascii="Arial" w:hAnsi="Arial" w:cs="Arial"/>
                <w:sz w:val="22"/>
                <w:szCs w:val="22"/>
                <w:lang w:val="ka-GE"/>
              </w:rPr>
            </w:pPr>
            <w:r w:rsidRPr="00171926">
              <w:rPr>
                <w:rFonts w:ascii="Arial" w:hAnsi="Arial" w:cs="Arial"/>
                <w:sz w:val="22"/>
                <w:szCs w:val="22"/>
              </w:rPr>
              <w:t xml:space="preserve">March 2019 </w:t>
            </w:r>
          </w:p>
        </w:tc>
        <w:tc>
          <w:tcPr>
            <w:tcW w:w="1800" w:type="dxa"/>
          </w:tcPr>
          <w:p w14:paraId="532317A6"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2021 </w:t>
            </w:r>
          </w:p>
        </w:tc>
      </w:tr>
      <w:tr w:rsidR="005E7B73" w:rsidRPr="00BA2B99" w14:paraId="382FC280" w14:textId="77777777" w:rsidTr="005E7B73">
        <w:trPr>
          <w:trHeight w:val="20"/>
        </w:trPr>
        <w:tc>
          <w:tcPr>
            <w:tcW w:w="2538" w:type="dxa"/>
          </w:tcPr>
          <w:p w14:paraId="6A358F3D"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Inesa Ejibia </w:t>
            </w:r>
          </w:p>
        </w:tc>
        <w:tc>
          <w:tcPr>
            <w:tcW w:w="5220" w:type="dxa"/>
          </w:tcPr>
          <w:p w14:paraId="23C5095A" w14:textId="77777777" w:rsidR="005E7B73" w:rsidRPr="00171926" w:rsidRDefault="005E7B73" w:rsidP="005E7B73">
            <w:pPr>
              <w:rPr>
                <w:rFonts w:ascii="Arial" w:hAnsi="Arial" w:cs="Arial"/>
                <w:sz w:val="22"/>
                <w:szCs w:val="22"/>
              </w:rPr>
            </w:pPr>
            <w:r w:rsidRPr="00171926">
              <w:rPr>
                <w:rFonts w:ascii="Arial" w:hAnsi="Arial" w:cs="Arial"/>
                <w:sz w:val="22"/>
                <w:szCs w:val="22"/>
              </w:rPr>
              <w:t>Admin/Finance/Procurement Associate</w:t>
            </w:r>
          </w:p>
        </w:tc>
        <w:tc>
          <w:tcPr>
            <w:tcW w:w="2070" w:type="dxa"/>
          </w:tcPr>
          <w:p w14:paraId="590494A4"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2018 </w:t>
            </w:r>
          </w:p>
        </w:tc>
        <w:tc>
          <w:tcPr>
            <w:tcW w:w="1800" w:type="dxa"/>
          </w:tcPr>
          <w:p w14:paraId="1FC73457"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March 2021 </w:t>
            </w:r>
          </w:p>
        </w:tc>
      </w:tr>
    </w:tbl>
    <w:p w14:paraId="1B457AA0" w14:textId="77777777" w:rsidR="005E7B73" w:rsidRPr="00BA2B99" w:rsidRDefault="005E7B73" w:rsidP="005E7B73">
      <w:pPr>
        <w:ind w:firstLine="708"/>
        <w:jc w:val="center"/>
        <w:rPr>
          <w:rFonts w:ascii="Arial" w:hAnsi="Arial" w:cs="Arial"/>
          <w:b/>
          <w:sz w:val="22"/>
          <w:szCs w:val="22"/>
        </w:rPr>
      </w:pPr>
    </w:p>
    <w:p w14:paraId="537E0299" w14:textId="30306676" w:rsidR="005E7B73" w:rsidRPr="005E7B73" w:rsidRDefault="00171926" w:rsidP="00EB743C">
      <w:pPr>
        <w:pStyle w:val="ListParagraph"/>
        <w:numPr>
          <w:ilvl w:val="0"/>
          <w:numId w:val="47"/>
        </w:numPr>
        <w:jc w:val="center"/>
        <w:rPr>
          <w:rFonts w:ascii="Arial" w:hAnsi="Arial" w:cs="Arial"/>
          <w:b/>
          <w:sz w:val="22"/>
          <w:szCs w:val="22"/>
        </w:rPr>
      </w:pPr>
      <w:r>
        <w:rPr>
          <w:rFonts w:ascii="Arial" w:hAnsi="Arial" w:cs="Arial"/>
          <w:b/>
          <w:sz w:val="22"/>
          <w:szCs w:val="22"/>
        </w:rPr>
        <w:t>Main</w:t>
      </w:r>
      <w:r w:rsidR="005E7B73" w:rsidRPr="005E7B73">
        <w:rPr>
          <w:rFonts w:ascii="Arial" w:hAnsi="Arial" w:cs="Arial"/>
          <w:b/>
          <w:sz w:val="22"/>
          <w:szCs w:val="22"/>
        </w:rPr>
        <w:t xml:space="preserve"> Contracting Companies</w:t>
      </w:r>
    </w:p>
    <w:p w14:paraId="3AAE973A" w14:textId="77777777" w:rsidR="005E7B73" w:rsidRPr="005E7B73" w:rsidRDefault="005E7B73" w:rsidP="005E7B73">
      <w:pPr>
        <w:ind w:left="360"/>
        <w:jc w:val="center"/>
        <w:rPr>
          <w:rFonts w:ascii="Arial" w:hAnsi="Arial" w:cs="Arial"/>
          <w:b/>
          <w:sz w:val="22"/>
          <w:szCs w:val="22"/>
        </w:rPr>
      </w:pPr>
    </w:p>
    <w:tbl>
      <w:tblPr>
        <w:tblW w:w="11718" w:type="dxa"/>
        <w:tblInd w:w="-90" w:type="dxa"/>
        <w:tblLook w:val="04A0" w:firstRow="1" w:lastRow="0" w:firstColumn="1" w:lastColumn="0" w:noHBand="0" w:noVBand="1"/>
      </w:tblPr>
      <w:tblGrid>
        <w:gridCol w:w="4788"/>
        <w:gridCol w:w="6930"/>
      </w:tblGrid>
      <w:tr w:rsidR="005E7B73" w14:paraId="4F2E11B8" w14:textId="77777777" w:rsidTr="005E7B73">
        <w:trPr>
          <w:trHeight w:val="350"/>
        </w:trPr>
        <w:tc>
          <w:tcPr>
            <w:tcW w:w="4788" w:type="dxa"/>
            <w:shd w:val="clear" w:color="auto" w:fill="DBE5F1" w:themeFill="accent1" w:themeFillTint="33"/>
          </w:tcPr>
          <w:p w14:paraId="24368372" w14:textId="77777777" w:rsidR="005E7B73" w:rsidRPr="00171926" w:rsidRDefault="005E7B73" w:rsidP="005E7B73">
            <w:pPr>
              <w:jc w:val="center"/>
              <w:rPr>
                <w:rFonts w:ascii="Arial" w:hAnsi="Arial" w:cs="Arial"/>
                <w:b/>
                <w:sz w:val="22"/>
                <w:szCs w:val="22"/>
              </w:rPr>
            </w:pPr>
            <w:r w:rsidRPr="00171926">
              <w:rPr>
                <w:rFonts w:ascii="Arial" w:hAnsi="Arial" w:cs="Arial"/>
                <w:b/>
                <w:sz w:val="22"/>
                <w:szCs w:val="22"/>
              </w:rPr>
              <w:t>Contractor</w:t>
            </w:r>
          </w:p>
        </w:tc>
        <w:tc>
          <w:tcPr>
            <w:tcW w:w="6930" w:type="dxa"/>
            <w:shd w:val="clear" w:color="auto" w:fill="DBE5F1" w:themeFill="accent1" w:themeFillTint="33"/>
          </w:tcPr>
          <w:p w14:paraId="5A5D7A6A" w14:textId="77777777" w:rsidR="005E7B73" w:rsidRPr="00171926" w:rsidRDefault="005E7B73" w:rsidP="005E7B73">
            <w:pPr>
              <w:jc w:val="center"/>
              <w:rPr>
                <w:rFonts w:ascii="Arial" w:hAnsi="Arial" w:cs="Arial"/>
                <w:b/>
                <w:sz w:val="22"/>
                <w:szCs w:val="22"/>
              </w:rPr>
            </w:pPr>
            <w:r w:rsidRPr="00171926">
              <w:rPr>
                <w:rFonts w:ascii="Arial" w:hAnsi="Arial" w:cs="Arial"/>
                <w:b/>
                <w:sz w:val="22"/>
                <w:szCs w:val="22"/>
              </w:rPr>
              <w:t>Details</w:t>
            </w:r>
          </w:p>
        </w:tc>
      </w:tr>
      <w:tr w:rsidR="005E7B73" w14:paraId="710E2476" w14:textId="77777777" w:rsidTr="005E7B73">
        <w:tc>
          <w:tcPr>
            <w:tcW w:w="4788" w:type="dxa"/>
          </w:tcPr>
          <w:p w14:paraId="356A982F" w14:textId="77777777" w:rsidR="005E7B73" w:rsidRPr="00171926" w:rsidRDefault="005E7B73" w:rsidP="005E7B73">
            <w:pPr>
              <w:rPr>
                <w:rFonts w:ascii="Arial" w:hAnsi="Arial" w:cs="Arial"/>
                <w:sz w:val="22"/>
                <w:szCs w:val="22"/>
              </w:rPr>
            </w:pPr>
            <w:r w:rsidRPr="00171926">
              <w:rPr>
                <w:rFonts w:ascii="Arial" w:hAnsi="Arial" w:cs="Arial"/>
                <w:sz w:val="22"/>
                <w:szCs w:val="22"/>
              </w:rPr>
              <w:t>1. Center for Effective Dispute Resolution</w:t>
            </w:r>
          </w:p>
        </w:tc>
        <w:tc>
          <w:tcPr>
            <w:tcW w:w="6930" w:type="dxa"/>
          </w:tcPr>
          <w:p w14:paraId="555D22D5" w14:textId="77777777" w:rsidR="005E7B73" w:rsidRPr="00171926" w:rsidRDefault="005E7B73" w:rsidP="005E7B73">
            <w:pPr>
              <w:rPr>
                <w:rFonts w:ascii="Arial" w:hAnsi="Arial" w:cs="Arial"/>
                <w:sz w:val="22"/>
                <w:szCs w:val="22"/>
              </w:rPr>
            </w:pPr>
            <w:r w:rsidRPr="00171926">
              <w:rPr>
                <w:rFonts w:ascii="Arial" w:hAnsi="Arial" w:cs="Arial"/>
                <w:sz w:val="22"/>
                <w:szCs w:val="22"/>
              </w:rPr>
              <w:t>International</w:t>
            </w:r>
          </w:p>
        </w:tc>
      </w:tr>
      <w:tr w:rsidR="005E7B73" w14:paraId="55DD85E3" w14:textId="77777777" w:rsidTr="005E7B73">
        <w:tc>
          <w:tcPr>
            <w:tcW w:w="4788" w:type="dxa"/>
          </w:tcPr>
          <w:p w14:paraId="4699AFF6"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2. Public Administration International </w:t>
            </w:r>
          </w:p>
        </w:tc>
        <w:tc>
          <w:tcPr>
            <w:tcW w:w="6930" w:type="dxa"/>
          </w:tcPr>
          <w:p w14:paraId="11005C31" w14:textId="77777777" w:rsidR="005E7B73" w:rsidRPr="00171926" w:rsidRDefault="005E7B73" w:rsidP="005E7B73">
            <w:pPr>
              <w:rPr>
                <w:rFonts w:ascii="Arial" w:hAnsi="Arial" w:cs="Arial"/>
                <w:sz w:val="22"/>
                <w:szCs w:val="22"/>
              </w:rPr>
            </w:pPr>
            <w:r w:rsidRPr="00171926">
              <w:rPr>
                <w:rFonts w:ascii="Arial" w:hAnsi="Arial" w:cs="Arial"/>
                <w:sz w:val="22"/>
                <w:szCs w:val="22"/>
              </w:rPr>
              <w:t>International – contract twice in consortium with GEC JCS identified below</w:t>
            </w:r>
          </w:p>
        </w:tc>
      </w:tr>
      <w:tr w:rsidR="005E7B73" w14:paraId="2F561F87" w14:textId="77777777" w:rsidTr="005E7B73">
        <w:tc>
          <w:tcPr>
            <w:tcW w:w="4788" w:type="dxa"/>
          </w:tcPr>
          <w:p w14:paraId="2E66373F" w14:textId="77777777" w:rsidR="005E7B73" w:rsidRPr="00171926" w:rsidRDefault="005E7B73" w:rsidP="005E7B73">
            <w:pPr>
              <w:rPr>
                <w:rFonts w:ascii="Arial" w:hAnsi="Arial" w:cs="Arial"/>
                <w:sz w:val="22"/>
                <w:szCs w:val="22"/>
              </w:rPr>
            </w:pPr>
            <w:r w:rsidRPr="00171926">
              <w:rPr>
                <w:rFonts w:ascii="Arial" w:hAnsi="Arial" w:cs="Arial"/>
                <w:sz w:val="22"/>
                <w:szCs w:val="22"/>
              </w:rPr>
              <w:t>3. ACT Ltd.</w:t>
            </w:r>
          </w:p>
        </w:tc>
        <w:tc>
          <w:tcPr>
            <w:tcW w:w="6930" w:type="dxa"/>
          </w:tcPr>
          <w:p w14:paraId="2262474D" w14:textId="77777777" w:rsidR="005E7B73" w:rsidRPr="00171926" w:rsidRDefault="005E7B73" w:rsidP="005E7B73">
            <w:pPr>
              <w:rPr>
                <w:rFonts w:ascii="Arial" w:hAnsi="Arial" w:cs="Arial"/>
                <w:sz w:val="22"/>
                <w:szCs w:val="22"/>
              </w:rPr>
            </w:pPr>
            <w:r w:rsidRPr="00171926">
              <w:rPr>
                <w:rFonts w:ascii="Arial" w:hAnsi="Arial" w:cs="Arial"/>
                <w:sz w:val="22"/>
                <w:szCs w:val="22"/>
              </w:rPr>
              <w:t>Local – contracted to conduct the PAR Baseline Review in 2016 and PAR Mid-Term Review Survey in 2019</w:t>
            </w:r>
          </w:p>
        </w:tc>
      </w:tr>
      <w:tr w:rsidR="005E7B73" w14:paraId="4C0EBC4C" w14:textId="77777777" w:rsidTr="005E7B73">
        <w:tc>
          <w:tcPr>
            <w:tcW w:w="4788" w:type="dxa"/>
          </w:tcPr>
          <w:p w14:paraId="16044D9F"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4. Behavioral Insights U.S. Ltd. </w:t>
            </w:r>
          </w:p>
        </w:tc>
        <w:tc>
          <w:tcPr>
            <w:tcW w:w="6930" w:type="dxa"/>
          </w:tcPr>
          <w:p w14:paraId="3E227C7E" w14:textId="77777777" w:rsidR="005E7B73" w:rsidRPr="00171926" w:rsidRDefault="005E7B73" w:rsidP="005E7B73">
            <w:pPr>
              <w:rPr>
                <w:rFonts w:ascii="Arial" w:hAnsi="Arial" w:cs="Arial"/>
                <w:sz w:val="22"/>
                <w:szCs w:val="22"/>
              </w:rPr>
            </w:pPr>
            <w:r w:rsidRPr="00171926">
              <w:rPr>
                <w:rFonts w:ascii="Arial" w:hAnsi="Arial" w:cs="Arial"/>
                <w:sz w:val="22"/>
                <w:szCs w:val="22"/>
              </w:rPr>
              <w:t>International</w:t>
            </w:r>
          </w:p>
        </w:tc>
      </w:tr>
      <w:tr w:rsidR="005E7B73" w14:paraId="4ECD7B33" w14:textId="77777777" w:rsidTr="005E7B73">
        <w:tc>
          <w:tcPr>
            <w:tcW w:w="4788" w:type="dxa"/>
          </w:tcPr>
          <w:p w14:paraId="6C5A973C"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5. </w:t>
            </w:r>
            <w:proofErr w:type="spellStart"/>
            <w:r w:rsidRPr="00171926">
              <w:rPr>
                <w:rFonts w:ascii="Arial" w:hAnsi="Arial" w:cs="Arial"/>
                <w:sz w:val="22"/>
                <w:szCs w:val="22"/>
              </w:rPr>
              <w:t>Betterfly</w:t>
            </w:r>
            <w:proofErr w:type="spellEnd"/>
            <w:r w:rsidRPr="00171926">
              <w:rPr>
                <w:rFonts w:ascii="Arial" w:hAnsi="Arial" w:cs="Arial"/>
                <w:sz w:val="22"/>
                <w:szCs w:val="22"/>
              </w:rPr>
              <w:t xml:space="preserve"> Ltd.</w:t>
            </w:r>
          </w:p>
        </w:tc>
        <w:tc>
          <w:tcPr>
            <w:tcW w:w="6930" w:type="dxa"/>
          </w:tcPr>
          <w:p w14:paraId="6A68BAA7" w14:textId="77777777" w:rsidR="005E7B73" w:rsidRPr="00171926" w:rsidRDefault="005E7B73" w:rsidP="005E7B73">
            <w:pPr>
              <w:rPr>
                <w:rFonts w:ascii="Arial" w:hAnsi="Arial" w:cs="Arial"/>
                <w:sz w:val="22"/>
                <w:szCs w:val="22"/>
              </w:rPr>
            </w:pPr>
            <w:r w:rsidRPr="00171926">
              <w:rPr>
                <w:rFonts w:ascii="Arial" w:hAnsi="Arial" w:cs="Arial"/>
                <w:sz w:val="22"/>
                <w:szCs w:val="22"/>
              </w:rPr>
              <w:t>Local – contracted twice</w:t>
            </w:r>
          </w:p>
        </w:tc>
      </w:tr>
      <w:tr w:rsidR="005E7B73" w14:paraId="59605FA9" w14:textId="77777777" w:rsidTr="005E7B73">
        <w:tc>
          <w:tcPr>
            <w:tcW w:w="4788" w:type="dxa"/>
          </w:tcPr>
          <w:p w14:paraId="3BFC27E6" w14:textId="77777777" w:rsidR="005E7B73" w:rsidRPr="00171926" w:rsidRDefault="005E7B73" w:rsidP="005E7B73">
            <w:pPr>
              <w:rPr>
                <w:rFonts w:ascii="Arial" w:hAnsi="Arial" w:cs="Arial"/>
                <w:sz w:val="22"/>
                <w:szCs w:val="22"/>
              </w:rPr>
            </w:pPr>
            <w:r w:rsidRPr="00171926">
              <w:rPr>
                <w:rFonts w:ascii="Arial" w:hAnsi="Arial" w:cs="Arial"/>
                <w:sz w:val="22"/>
                <w:szCs w:val="22"/>
              </w:rPr>
              <w:t xml:space="preserve">6. GEC JSC (GEC </w:t>
            </w:r>
            <w:proofErr w:type="spellStart"/>
            <w:r w:rsidRPr="00171926">
              <w:rPr>
                <w:rFonts w:ascii="Arial" w:hAnsi="Arial" w:cs="Arial"/>
                <w:sz w:val="22"/>
                <w:szCs w:val="22"/>
              </w:rPr>
              <w:t>Coorps</w:t>
            </w:r>
            <w:proofErr w:type="spellEnd"/>
            <w:r w:rsidRPr="00171926">
              <w:rPr>
                <w:rFonts w:ascii="Arial" w:hAnsi="Arial" w:cs="Arial"/>
                <w:sz w:val="22"/>
                <w:szCs w:val="22"/>
              </w:rPr>
              <w:t>)</w:t>
            </w:r>
          </w:p>
        </w:tc>
        <w:tc>
          <w:tcPr>
            <w:tcW w:w="6930" w:type="dxa"/>
          </w:tcPr>
          <w:p w14:paraId="53936A43" w14:textId="77777777" w:rsidR="005E7B73" w:rsidRPr="00171926" w:rsidRDefault="005E7B73" w:rsidP="005E7B73">
            <w:pPr>
              <w:rPr>
                <w:rFonts w:ascii="Arial" w:hAnsi="Arial" w:cs="Arial"/>
                <w:sz w:val="22"/>
                <w:szCs w:val="22"/>
              </w:rPr>
            </w:pPr>
            <w:r w:rsidRPr="00171926">
              <w:rPr>
                <w:rFonts w:ascii="Arial" w:hAnsi="Arial" w:cs="Arial"/>
                <w:sz w:val="22"/>
                <w:szCs w:val="22"/>
              </w:rPr>
              <w:t>Local – contracted through competitive procedures several times and implemented 5 contracts</w:t>
            </w:r>
          </w:p>
        </w:tc>
      </w:tr>
    </w:tbl>
    <w:p w14:paraId="6142AFA2" w14:textId="02CF1C31" w:rsidR="00171926" w:rsidRDefault="00171926" w:rsidP="005E7B73">
      <w:pPr>
        <w:ind w:left="-90"/>
        <w:jc w:val="center"/>
        <w:rPr>
          <w:rFonts w:ascii="Arial" w:hAnsi="Arial" w:cs="Arial"/>
          <w:sz w:val="22"/>
          <w:szCs w:val="22"/>
        </w:rPr>
      </w:pPr>
    </w:p>
    <w:p w14:paraId="5E793F71" w14:textId="77777777" w:rsidR="00171926" w:rsidRDefault="00171926">
      <w:pPr>
        <w:rPr>
          <w:rFonts w:ascii="Arial" w:hAnsi="Arial" w:cs="Arial"/>
          <w:sz w:val="22"/>
          <w:szCs w:val="22"/>
        </w:rPr>
      </w:pPr>
      <w:r>
        <w:rPr>
          <w:rFonts w:ascii="Arial" w:hAnsi="Arial" w:cs="Arial"/>
          <w:sz w:val="22"/>
          <w:szCs w:val="22"/>
        </w:rPr>
        <w:br w:type="page"/>
      </w:r>
    </w:p>
    <w:p w14:paraId="1D207FAF" w14:textId="77777777" w:rsidR="005E7B73" w:rsidRDefault="005E7B73" w:rsidP="005E7B73">
      <w:pPr>
        <w:ind w:left="-90"/>
        <w:jc w:val="center"/>
        <w:rPr>
          <w:rFonts w:ascii="Arial" w:hAnsi="Arial" w:cs="Arial"/>
          <w:sz w:val="22"/>
          <w:szCs w:val="22"/>
        </w:rPr>
      </w:pPr>
    </w:p>
    <w:p w14:paraId="5658C081" w14:textId="27C35AAE" w:rsidR="005E7B73" w:rsidRPr="001A6F6F" w:rsidRDefault="00171926" w:rsidP="005E7B73">
      <w:pPr>
        <w:ind w:left="-90"/>
        <w:jc w:val="center"/>
        <w:rPr>
          <w:rFonts w:ascii="Arial" w:hAnsi="Arial" w:cs="Arial"/>
          <w:b/>
          <w:sz w:val="22"/>
          <w:szCs w:val="22"/>
        </w:rPr>
      </w:pPr>
      <w:r>
        <w:rPr>
          <w:rFonts w:ascii="Arial" w:hAnsi="Arial" w:cs="Arial"/>
          <w:b/>
          <w:sz w:val="22"/>
          <w:szCs w:val="22"/>
        </w:rPr>
        <w:t>C.</w:t>
      </w:r>
      <w:r>
        <w:rPr>
          <w:rFonts w:ascii="Arial" w:hAnsi="Arial" w:cs="Arial"/>
          <w:b/>
          <w:sz w:val="22"/>
          <w:szCs w:val="22"/>
        </w:rPr>
        <w:tab/>
        <w:t>Main</w:t>
      </w:r>
      <w:r w:rsidR="005E7B73">
        <w:rPr>
          <w:rFonts w:ascii="Arial" w:hAnsi="Arial" w:cs="Arial"/>
          <w:b/>
          <w:sz w:val="22"/>
          <w:szCs w:val="22"/>
        </w:rPr>
        <w:t xml:space="preserve"> individual Contractors</w:t>
      </w:r>
    </w:p>
    <w:p w14:paraId="72B0982A" w14:textId="77777777" w:rsidR="00171926" w:rsidRDefault="00171926" w:rsidP="005E7B73">
      <w:pPr>
        <w:rPr>
          <w:rFonts w:ascii="Arial" w:hAnsi="Arial" w:cs="Arial"/>
          <w:sz w:val="22"/>
          <w:szCs w:val="22"/>
        </w:rPr>
      </w:pPr>
    </w:p>
    <w:p w14:paraId="25DDE8DC" w14:textId="34EDD6C7" w:rsidR="005E7B73" w:rsidRPr="00171926" w:rsidRDefault="005E7B73" w:rsidP="005E7B73">
      <w:pPr>
        <w:rPr>
          <w:rFonts w:ascii="Arial" w:hAnsi="Arial" w:cs="Arial"/>
          <w:b/>
          <w:sz w:val="22"/>
          <w:szCs w:val="22"/>
          <w:u w:val="single"/>
        </w:rPr>
      </w:pPr>
      <w:r w:rsidRPr="00171926">
        <w:rPr>
          <w:rFonts w:ascii="Arial" w:hAnsi="Arial" w:cs="Arial"/>
          <w:b/>
          <w:sz w:val="22"/>
          <w:szCs w:val="22"/>
          <w:u w:val="single"/>
        </w:rPr>
        <w:t>Outcome 1 – P</w:t>
      </w:r>
      <w:r w:rsidR="00171926">
        <w:rPr>
          <w:rFonts w:ascii="Arial" w:hAnsi="Arial" w:cs="Arial"/>
          <w:b/>
          <w:sz w:val="22"/>
          <w:szCs w:val="22"/>
          <w:u w:val="single"/>
        </w:rPr>
        <w:t>olicy Planning and Coordination</w:t>
      </w:r>
      <w:r w:rsidRPr="00171926">
        <w:rPr>
          <w:rFonts w:ascii="Arial" w:hAnsi="Arial" w:cs="Arial"/>
          <w:b/>
          <w:sz w:val="22"/>
          <w:szCs w:val="22"/>
          <w:u w:val="single"/>
        </w:rPr>
        <w:t xml:space="preserve"> </w:t>
      </w:r>
    </w:p>
    <w:p w14:paraId="7BCA65EF" w14:textId="77777777" w:rsidR="00171926" w:rsidRPr="001A6F6F" w:rsidRDefault="00171926" w:rsidP="005E7B73">
      <w:pPr>
        <w:rPr>
          <w:rFonts w:ascii="Arial" w:hAnsi="Arial" w:cs="Arial"/>
          <w:sz w:val="22"/>
          <w:szCs w:val="22"/>
        </w:rPr>
      </w:pPr>
    </w:p>
    <w:p w14:paraId="4D3B0B26"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David Johnson – International Expert in </w:t>
      </w:r>
      <w:r>
        <w:rPr>
          <w:rFonts w:ascii="Arial" w:hAnsi="Arial" w:cs="Arial"/>
          <w:sz w:val="22"/>
          <w:szCs w:val="22"/>
        </w:rPr>
        <w:t xml:space="preserve">public </w:t>
      </w:r>
      <w:r w:rsidRPr="001A6F6F">
        <w:rPr>
          <w:rFonts w:ascii="Arial" w:hAnsi="Arial" w:cs="Arial"/>
          <w:sz w:val="22"/>
          <w:szCs w:val="22"/>
        </w:rPr>
        <w:t>policy</w:t>
      </w:r>
      <w:r>
        <w:rPr>
          <w:rFonts w:ascii="Arial" w:hAnsi="Arial" w:cs="Arial"/>
          <w:sz w:val="22"/>
          <w:szCs w:val="22"/>
        </w:rPr>
        <w:t>, monitoring and evaluation</w:t>
      </w:r>
    </w:p>
    <w:p w14:paraId="6D2798BA"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Nani </w:t>
      </w:r>
      <w:proofErr w:type="spellStart"/>
      <w:r w:rsidRPr="001A6F6F">
        <w:rPr>
          <w:rFonts w:ascii="Arial" w:hAnsi="Arial" w:cs="Arial"/>
          <w:sz w:val="22"/>
          <w:szCs w:val="22"/>
        </w:rPr>
        <w:t>Macharashvili</w:t>
      </w:r>
      <w:proofErr w:type="spellEnd"/>
      <w:r w:rsidRPr="001A6F6F">
        <w:rPr>
          <w:rFonts w:ascii="Arial" w:hAnsi="Arial" w:cs="Arial"/>
          <w:sz w:val="22"/>
          <w:szCs w:val="22"/>
        </w:rPr>
        <w:t xml:space="preserve"> -Local Expert/trainer in Policy Analysis </w:t>
      </w:r>
    </w:p>
    <w:p w14:paraId="231B154D"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Nodar </w:t>
      </w:r>
      <w:proofErr w:type="spellStart"/>
      <w:r w:rsidRPr="001A6F6F">
        <w:rPr>
          <w:rFonts w:ascii="Arial" w:hAnsi="Arial" w:cs="Arial"/>
          <w:sz w:val="22"/>
          <w:szCs w:val="22"/>
        </w:rPr>
        <w:t>Tangiashvili</w:t>
      </w:r>
      <w:proofErr w:type="spellEnd"/>
      <w:r w:rsidRPr="001A6F6F">
        <w:rPr>
          <w:rFonts w:ascii="Arial" w:hAnsi="Arial" w:cs="Arial"/>
          <w:sz w:val="22"/>
          <w:szCs w:val="22"/>
        </w:rPr>
        <w:t xml:space="preserve"> - Local Expert/trainer in Policy Analysis</w:t>
      </w:r>
    </w:p>
    <w:p w14:paraId="610CFD04"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Irakli </w:t>
      </w:r>
      <w:proofErr w:type="spellStart"/>
      <w:r w:rsidRPr="001A6F6F">
        <w:rPr>
          <w:rFonts w:ascii="Arial" w:hAnsi="Arial" w:cs="Arial"/>
          <w:sz w:val="22"/>
          <w:szCs w:val="22"/>
        </w:rPr>
        <w:t>Mizandari</w:t>
      </w:r>
      <w:proofErr w:type="spellEnd"/>
      <w:r w:rsidRPr="001A6F6F">
        <w:rPr>
          <w:rFonts w:ascii="Arial" w:hAnsi="Arial" w:cs="Arial"/>
          <w:sz w:val="22"/>
          <w:szCs w:val="22"/>
        </w:rPr>
        <w:t xml:space="preserve"> – Local Expert in Policy Planning </w:t>
      </w:r>
    </w:p>
    <w:p w14:paraId="4A537EAF"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Giorgi </w:t>
      </w:r>
      <w:proofErr w:type="spellStart"/>
      <w:r w:rsidRPr="001A6F6F">
        <w:rPr>
          <w:rFonts w:ascii="Arial" w:hAnsi="Arial" w:cs="Arial"/>
          <w:sz w:val="22"/>
          <w:szCs w:val="22"/>
        </w:rPr>
        <w:t>Gabrielashvili</w:t>
      </w:r>
      <w:proofErr w:type="spellEnd"/>
      <w:r w:rsidRPr="001A6F6F">
        <w:rPr>
          <w:rFonts w:ascii="Arial" w:hAnsi="Arial" w:cs="Arial"/>
          <w:sz w:val="22"/>
          <w:szCs w:val="22"/>
        </w:rPr>
        <w:t xml:space="preserve"> – Local PAR Expert</w:t>
      </w:r>
    </w:p>
    <w:p w14:paraId="002FDF90" w14:textId="77777777" w:rsidR="005E7B73" w:rsidRPr="00171926" w:rsidRDefault="005E7B73" w:rsidP="005E7B73">
      <w:pPr>
        <w:rPr>
          <w:rFonts w:ascii="Arial" w:hAnsi="Arial" w:cs="Arial"/>
          <w:b/>
          <w:sz w:val="22"/>
          <w:szCs w:val="22"/>
          <w:u w:val="single"/>
        </w:rPr>
      </w:pPr>
      <w:r w:rsidRPr="00171926">
        <w:rPr>
          <w:rFonts w:ascii="Arial" w:hAnsi="Arial" w:cs="Arial"/>
          <w:b/>
          <w:sz w:val="22"/>
          <w:szCs w:val="22"/>
          <w:u w:val="single"/>
        </w:rPr>
        <w:t>Outcome 2 – Civil Service Reform</w:t>
      </w:r>
    </w:p>
    <w:p w14:paraId="1EB58A92" w14:textId="77777777" w:rsidR="00171926" w:rsidRPr="001A6F6F" w:rsidRDefault="00171926" w:rsidP="005E7B73">
      <w:pPr>
        <w:rPr>
          <w:rFonts w:ascii="Arial" w:hAnsi="Arial" w:cs="Arial"/>
          <w:sz w:val="22"/>
          <w:szCs w:val="22"/>
        </w:rPr>
      </w:pPr>
    </w:p>
    <w:p w14:paraId="47A03E93"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proofErr w:type="spellStart"/>
      <w:r w:rsidRPr="001A6F6F">
        <w:rPr>
          <w:rFonts w:ascii="Arial" w:hAnsi="Arial" w:cs="Arial"/>
          <w:sz w:val="22"/>
          <w:szCs w:val="22"/>
        </w:rPr>
        <w:t>Ia</w:t>
      </w:r>
      <w:proofErr w:type="spellEnd"/>
      <w:r w:rsidRPr="001A6F6F">
        <w:rPr>
          <w:rFonts w:ascii="Arial" w:hAnsi="Arial" w:cs="Arial"/>
          <w:sz w:val="22"/>
          <w:szCs w:val="22"/>
        </w:rPr>
        <w:t xml:space="preserve"> Tsulaia – Local Expert in Performance Appraisal </w:t>
      </w:r>
    </w:p>
    <w:p w14:paraId="698D6E22"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Nino </w:t>
      </w:r>
      <w:proofErr w:type="spellStart"/>
      <w:r w:rsidRPr="001A6F6F">
        <w:rPr>
          <w:rFonts w:ascii="Arial" w:hAnsi="Arial" w:cs="Arial"/>
          <w:sz w:val="22"/>
          <w:szCs w:val="22"/>
        </w:rPr>
        <w:t>Okhanashvili</w:t>
      </w:r>
      <w:proofErr w:type="spellEnd"/>
      <w:r w:rsidRPr="001A6F6F">
        <w:rPr>
          <w:rFonts w:ascii="Arial" w:hAnsi="Arial" w:cs="Arial"/>
          <w:sz w:val="22"/>
          <w:szCs w:val="22"/>
        </w:rPr>
        <w:t xml:space="preserve"> - Local Expert in Performance Appraisal</w:t>
      </w:r>
    </w:p>
    <w:p w14:paraId="71C709AE"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Marina Kuchukhidze - Local Expert in Performance Appraisal</w:t>
      </w:r>
    </w:p>
    <w:p w14:paraId="7BCB57A9"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Tamar </w:t>
      </w:r>
      <w:proofErr w:type="spellStart"/>
      <w:r w:rsidRPr="001A6F6F">
        <w:rPr>
          <w:rFonts w:ascii="Arial" w:hAnsi="Arial" w:cs="Arial"/>
          <w:sz w:val="22"/>
          <w:szCs w:val="22"/>
        </w:rPr>
        <w:t>Simongulashvili</w:t>
      </w:r>
      <w:proofErr w:type="spellEnd"/>
      <w:r w:rsidRPr="001A6F6F">
        <w:rPr>
          <w:rFonts w:ascii="Arial" w:hAnsi="Arial" w:cs="Arial"/>
          <w:sz w:val="22"/>
          <w:szCs w:val="22"/>
        </w:rPr>
        <w:t xml:space="preserve"> - Local Expert in Performance Appraisal</w:t>
      </w:r>
    </w:p>
    <w:p w14:paraId="42EEED8C"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Natia </w:t>
      </w:r>
      <w:proofErr w:type="spellStart"/>
      <w:r w:rsidRPr="001A6F6F">
        <w:rPr>
          <w:rFonts w:ascii="Arial" w:hAnsi="Arial" w:cs="Arial"/>
          <w:sz w:val="22"/>
          <w:szCs w:val="22"/>
        </w:rPr>
        <w:t>Zedginidze</w:t>
      </w:r>
      <w:proofErr w:type="spellEnd"/>
      <w:r w:rsidRPr="001A6F6F">
        <w:rPr>
          <w:rFonts w:ascii="Arial" w:hAnsi="Arial" w:cs="Arial"/>
          <w:sz w:val="22"/>
          <w:szCs w:val="22"/>
        </w:rPr>
        <w:t xml:space="preserve"> – Local Expert in Strategic Planning </w:t>
      </w:r>
    </w:p>
    <w:p w14:paraId="631BF723"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Maia </w:t>
      </w:r>
      <w:proofErr w:type="spellStart"/>
      <w:r w:rsidRPr="001A6F6F">
        <w:rPr>
          <w:rFonts w:ascii="Arial" w:hAnsi="Arial" w:cs="Arial"/>
          <w:sz w:val="22"/>
          <w:szCs w:val="22"/>
        </w:rPr>
        <w:t>Khositashvili</w:t>
      </w:r>
      <w:proofErr w:type="spellEnd"/>
      <w:r w:rsidRPr="001A6F6F">
        <w:rPr>
          <w:rFonts w:ascii="Arial" w:hAnsi="Arial" w:cs="Arial"/>
          <w:sz w:val="22"/>
          <w:szCs w:val="22"/>
        </w:rPr>
        <w:t xml:space="preserve"> – Local Expert (Civil Servants Curricula Development and Communication in Civil Service) </w:t>
      </w:r>
    </w:p>
    <w:p w14:paraId="42E4ED67"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proofErr w:type="spellStart"/>
      <w:r w:rsidRPr="001A6F6F">
        <w:rPr>
          <w:rFonts w:ascii="Arial" w:hAnsi="Arial" w:cs="Arial"/>
          <w:sz w:val="22"/>
          <w:szCs w:val="22"/>
        </w:rPr>
        <w:t>Baria</w:t>
      </w:r>
      <w:proofErr w:type="spellEnd"/>
      <w:r w:rsidRPr="001A6F6F">
        <w:rPr>
          <w:rFonts w:ascii="Arial" w:hAnsi="Arial" w:cs="Arial"/>
          <w:sz w:val="22"/>
          <w:szCs w:val="22"/>
        </w:rPr>
        <w:t xml:space="preserve"> Ahmed – International Expert in Alternative Dispute Resolution Mechanisms</w:t>
      </w:r>
    </w:p>
    <w:p w14:paraId="637473A3"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Hans Rieger – International Expert on Unified e-Learning Platform for Civil Servants </w:t>
      </w:r>
    </w:p>
    <w:p w14:paraId="058531A6"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Giorgi </w:t>
      </w:r>
      <w:proofErr w:type="spellStart"/>
      <w:r w:rsidRPr="001A6F6F">
        <w:rPr>
          <w:rFonts w:ascii="Arial" w:hAnsi="Arial" w:cs="Arial"/>
          <w:sz w:val="22"/>
          <w:szCs w:val="22"/>
        </w:rPr>
        <w:t>Urchukhishvili</w:t>
      </w:r>
      <w:proofErr w:type="spellEnd"/>
      <w:r w:rsidRPr="001A6F6F">
        <w:rPr>
          <w:rFonts w:ascii="Arial" w:hAnsi="Arial" w:cs="Arial"/>
          <w:sz w:val="22"/>
          <w:szCs w:val="22"/>
        </w:rPr>
        <w:t xml:space="preserve"> – Local Expert/Researcher on ADR and Professional Development </w:t>
      </w:r>
    </w:p>
    <w:p w14:paraId="61CE6354" w14:textId="77777777" w:rsidR="005E7B73" w:rsidRPr="00171926" w:rsidRDefault="005E7B73" w:rsidP="005E7B73">
      <w:pPr>
        <w:rPr>
          <w:rFonts w:ascii="Arial" w:hAnsi="Arial" w:cs="Arial"/>
          <w:b/>
          <w:sz w:val="22"/>
          <w:szCs w:val="22"/>
          <w:u w:val="single"/>
        </w:rPr>
      </w:pPr>
      <w:r w:rsidRPr="00171926">
        <w:rPr>
          <w:rFonts w:ascii="Arial" w:hAnsi="Arial" w:cs="Arial"/>
          <w:b/>
          <w:sz w:val="22"/>
          <w:szCs w:val="22"/>
          <w:u w:val="single"/>
        </w:rPr>
        <w:t xml:space="preserve">Outcome 3 – Public Service Delivery </w:t>
      </w:r>
    </w:p>
    <w:p w14:paraId="6C83C25E" w14:textId="77777777" w:rsidR="00171926" w:rsidRPr="001A6F6F" w:rsidRDefault="00171926" w:rsidP="005E7B73">
      <w:pPr>
        <w:rPr>
          <w:rFonts w:ascii="Arial" w:hAnsi="Arial" w:cs="Arial"/>
          <w:sz w:val="22"/>
          <w:szCs w:val="22"/>
        </w:rPr>
      </w:pPr>
    </w:p>
    <w:p w14:paraId="45C565EE"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Giorgi </w:t>
      </w:r>
      <w:proofErr w:type="spellStart"/>
      <w:r w:rsidRPr="001A6F6F">
        <w:rPr>
          <w:rFonts w:ascii="Arial" w:hAnsi="Arial" w:cs="Arial"/>
          <w:sz w:val="22"/>
          <w:szCs w:val="22"/>
        </w:rPr>
        <w:t>Vashakidze</w:t>
      </w:r>
      <w:proofErr w:type="spellEnd"/>
      <w:r w:rsidRPr="001A6F6F">
        <w:rPr>
          <w:rFonts w:ascii="Arial" w:hAnsi="Arial" w:cs="Arial"/>
          <w:sz w:val="22"/>
          <w:szCs w:val="22"/>
        </w:rPr>
        <w:t xml:space="preserve"> – International Expert in Public Service Delivery and Common Assessment Framework (CAF)</w:t>
      </w:r>
    </w:p>
    <w:p w14:paraId="40E44230"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Giorgi </w:t>
      </w:r>
      <w:proofErr w:type="spellStart"/>
      <w:r w:rsidRPr="001A6F6F">
        <w:rPr>
          <w:rFonts w:ascii="Arial" w:hAnsi="Arial" w:cs="Arial"/>
          <w:sz w:val="22"/>
          <w:szCs w:val="22"/>
        </w:rPr>
        <w:t>Simongulashvili</w:t>
      </w:r>
      <w:proofErr w:type="spellEnd"/>
      <w:r w:rsidRPr="001A6F6F">
        <w:rPr>
          <w:rFonts w:ascii="Arial" w:hAnsi="Arial" w:cs="Arial"/>
          <w:sz w:val="22"/>
          <w:szCs w:val="22"/>
        </w:rPr>
        <w:t xml:space="preserve"> – Local Expert in costing methodologies for services</w:t>
      </w:r>
    </w:p>
    <w:p w14:paraId="0FCC0667"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Christin Chastain – International Expert in Service Design Methodologies</w:t>
      </w:r>
    </w:p>
    <w:p w14:paraId="211E6487"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Irakli </w:t>
      </w:r>
      <w:proofErr w:type="spellStart"/>
      <w:r w:rsidRPr="001A6F6F">
        <w:rPr>
          <w:rFonts w:ascii="Arial" w:hAnsi="Arial" w:cs="Arial"/>
          <w:sz w:val="22"/>
          <w:szCs w:val="22"/>
        </w:rPr>
        <w:t>Gvenetadze</w:t>
      </w:r>
      <w:proofErr w:type="spellEnd"/>
      <w:r w:rsidRPr="001A6F6F">
        <w:rPr>
          <w:rFonts w:ascii="Arial" w:hAnsi="Arial" w:cs="Arial"/>
          <w:sz w:val="22"/>
          <w:szCs w:val="22"/>
        </w:rPr>
        <w:t xml:space="preserve"> – Local Expert in Service Delivery Models</w:t>
      </w:r>
    </w:p>
    <w:p w14:paraId="260350FB" w14:textId="77777777" w:rsidR="005E7B73" w:rsidRPr="001A6F6F" w:rsidRDefault="005E7B73" w:rsidP="00EB743C">
      <w:pPr>
        <w:pStyle w:val="ListParagraph"/>
        <w:numPr>
          <w:ilvl w:val="0"/>
          <w:numId w:val="46"/>
        </w:numPr>
        <w:spacing w:after="160" w:line="259" w:lineRule="auto"/>
        <w:rPr>
          <w:rFonts w:ascii="Arial" w:hAnsi="Arial" w:cs="Arial"/>
          <w:sz w:val="22"/>
          <w:szCs w:val="22"/>
        </w:rPr>
      </w:pPr>
      <w:r w:rsidRPr="001A6F6F">
        <w:rPr>
          <w:rFonts w:ascii="Arial" w:hAnsi="Arial" w:cs="Arial"/>
          <w:sz w:val="22"/>
          <w:szCs w:val="22"/>
        </w:rPr>
        <w:t xml:space="preserve">Khatuna </w:t>
      </w:r>
      <w:proofErr w:type="spellStart"/>
      <w:r w:rsidRPr="001A6F6F">
        <w:rPr>
          <w:rFonts w:ascii="Arial" w:hAnsi="Arial" w:cs="Arial"/>
          <w:sz w:val="22"/>
          <w:szCs w:val="22"/>
        </w:rPr>
        <w:t>Nachkhebia</w:t>
      </w:r>
      <w:proofErr w:type="spellEnd"/>
      <w:r w:rsidRPr="001A6F6F">
        <w:rPr>
          <w:rFonts w:ascii="Arial" w:hAnsi="Arial" w:cs="Arial"/>
          <w:sz w:val="22"/>
          <w:szCs w:val="22"/>
        </w:rPr>
        <w:t xml:space="preserve"> – Local Expert in Citizen Satisfaction Surveys </w:t>
      </w:r>
    </w:p>
    <w:p w14:paraId="68468107" w14:textId="77777777" w:rsidR="005E7B73" w:rsidRPr="00BA2B99" w:rsidRDefault="005E7B73" w:rsidP="005E7B73">
      <w:pPr>
        <w:ind w:left="-90"/>
        <w:rPr>
          <w:rFonts w:ascii="Arial" w:hAnsi="Arial" w:cs="Arial"/>
          <w:sz w:val="22"/>
          <w:szCs w:val="22"/>
        </w:rPr>
      </w:pPr>
    </w:p>
    <w:p w14:paraId="0CBECE78" w14:textId="77777777" w:rsidR="00077484" w:rsidRDefault="00077484">
      <w:pPr>
        <w:rPr>
          <w:rFonts w:asciiTheme="majorHAnsi" w:eastAsiaTheme="majorEastAsia" w:hAnsiTheme="majorHAnsi" w:cstheme="majorBidi"/>
          <w:b/>
          <w:bCs/>
          <w:color w:val="345A8A" w:themeColor="accent1" w:themeShade="B5"/>
          <w:sz w:val="32"/>
          <w:szCs w:val="32"/>
        </w:rPr>
      </w:pPr>
      <w:r>
        <w:br w:type="page"/>
      </w:r>
    </w:p>
    <w:p w14:paraId="6CF1FC4F" w14:textId="51613C4B" w:rsidR="00F0269B" w:rsidRDefault="00F0269B" w:rsidP="00F0269B">
      <w:pPr>
        <w:pStyle w:val="Heading1"/>
        <w:spacing w:before="240"/>
      </w:pPr>
      <w:bookmarkStart w:id="39" w:name="_Toc478138886"/>
      <w:r>
        <w:lastRenderedPageBreak/>
        <w:t>A</w:t>
      </w:r>
      <w:r w:rsidR="00AB12BD">
        <w:t>nnex E</w:t>
      </w:r>
      <w:r w:rsidR="001A58F1">
        <w:t>:</w:t>
      </w:r>
      <w:r w:rsidR="001A58F1">
        <w:tab/>
      </w:r>
      <w:r w:rsidR="006F2FE4">
        <w:t>Progress Towards Outcomes and Outputs</w:t>
      </w:r>
      <w:bookmarkEnd w:id="39"/>
    </w:p>
    <w:p w14:paraId="1A696633" w14:textId="77777777" w:rsidR="009D7C03" w:rsidRDefault="009D7C03" w:rsidP="009D7C03"/>
    <w:p w14:paraId="33077C7F" w14:textId="584B3D76" w:rsidR="006F2FE4" w:rsidRPr="006F2FE4" w:rsidRDefault="006F2FE4" w:rsidP="006F2FE4">
      <w:pPr>
        <w:rPr>
          <w:rFonts w:ascii="Arial" w:hAnsi="Arial" w:cs="Arial"/>
          <w:i/>
          <w:iCs/>
          <w:sz w:val="22"/>
          <w:szCs w:val="22"/>
        </w:rPr>
      </w:pPr>
      <w:r w:rsidRPr="006F2FE4">
        <w:rPr>
          <w:rFonts w:ascii="Arial" w:hAnsi="Arial" w:cs="Arial"/>
          <w:i/>
          <w:iCs/>
          <w:sz w:val="22"/>
          <w:szCs w:val="22"/>
        </w:rPr>
        <w:t>The following table presents the project’s status as of 25 February 2021</w:t>
      </w:r>
      <w:r>
        <w:rPr>
          <w:rFonts w:ascii="Arial" w:hAnsi="Arial" w:cs="Arial"/>
          <w:i/>
          <w:iCs/>
          <w:sz w:val="22"/>
          <w:szCs w:val="22"/>
        </w:rPr>
        <w:t>.</w:t>
      </w:r>
    </w:p>
    <w:p w14:paraId="4A0CDED9" w14:textId="77777777" w:rsidR="006F2FE4" w:rsidRPr="006F2FE4" w:rsidRDefault="006F2FE4" w:rsidP="006F2FE4">
      <w:pPr>
        <w:rPr>
          <w:rFonts w:ascii="Arial" w:hAnsi="Arial" w:cs="Arial"/>
          <w:i/>
          <w:iCs/>
          <w:sz w:val="22"/>
          <w:szCs w:val="22"/>
        </w:rPr>
      </w:pPr>
    </w:p>
    <w:p w14:paraId="77140C1C" w14:textId="6ACE12FB" w:rsidR="006F2FE4" w:rsidRPr="006F2FE4" w:rsidRDefault="006F2FE4" w:rsidP="006F2FE4">
      <w:pPr>
        <w:rPr>
          <w:rFonts w:ascii="Arial" w:hAnsi="Arial" w:cs="Arial"/>
          <w:i/>
          <w:iCs/>
          <w:sz w:val="22"/>
          <w:szCs w:val="22"/>
        </w:rPr>
      </w:pPr>
      <w:r w:rsidRPr="006F2FE4">
        <w:rPr>
          <w:rFonts w:ascii="Arial" w:hAnsi="Arial" w:cs="Arial"/>
          <w:i/>
          <w:iCs/>
          <w:sz w:val="22"/>
          <w:szCs w:val="22"/>
        </w:rPr>
        <w:t xml:space="preserve">KEY: </w:t>
      </w:r>
    </w:p>
    <w:p w14:paraId="57218D19" w14:textId="77777777" w:rsidR="006F2FE4" w:rsidRPr="006F2FE4" w:rsidRDefault="006F2FE4" w:rsidP="006F2FE4">
      <w:pPr>
        <w:rPr>
          <w:rFonts w:ascii="Arial" w:hAnsi="Arial" w:cs="Arial"/>
          <w:i/>
          <w:iCs/>
          <w:sz w:val="22"/>
          <w:szCs w:val="22"/>
        </w:rPr>
      </w:pPr>
      <w:r w:rsidRPr="006F2FE4">
        <w:rPr>
          <w:rFonts w:ascii="Arial" w:hAnsi="Arial" w:cs="Arial"/>
          <w:b/>
          <w:bCs/>
          <w:i/>
          <w:iCs/>
          <w:sz w:val="22"/>
          <w:szCs w:val="22"/>
        </w:rPr>
        <w:t>Not Available (N/A)</w:t>
      </w:r>
      <w:r w:rsidRPr="006F2FE4">
        <w:rPr>
          <w:rFonts w:ascii="Arial" w:hAnsi="Arial" w:cs="Arial"/>
          <w:i/>
          <w:iCs/>
          <w:sz w:val="22"/>
          <w:szCs w:val="22"/>
        </w:rPr>
        <w:t xml:space="preserve"> – The data has not been measured yet / analysis to support the indicator has not been performed yet </w:t>
      </w:r>
    </w:p>
    <w:p w14:paraId="3D2EECE5" w14:textId="77777777" w:rsidR="006F2FE4" w:rsidRPr="006F2FE4" w:rsidRDefault="006F2FE4" w:rsidP="006F2FE4">
      <w:pPr>
        <w:rPr>
          <w:rFonts w:ascii="Arial" w:hAnsi="Arial" w:cs="Arial"/>
          <w:i/>
          <w:iCs/>
          <w:sz w:val="22"/>
          <w:szCs w:val="22"/>
        </w:rPr>
      </w:pPr>
      <w:r w:rsidRPr="006F2FE4">
        <w:rPr>
          <w:rFonts w:ascii="Arial" w:hAnsi="Arial" w:cs="Arial"/>
          <w:b/>
          <w:bCs/>
          <w:i/>
          <w:iCs/>
          <w:sz w:val="22"/>
          <w:szCs w:val="22"/>
        </w:rPr>
        <w:t>Underachieved</w:t>
      </w:r>
      <w:r w:rsidRPr="006F2FE4">
        <w:rPr>
          <w:rFonts w:ascii="Arial" w:hAnsi="Arial" w:cs="Arial"/>
          <w:i/>
          <w:iCs/>
          <w:sz w:val="22"/>
          <w:szCs w:val="22"/>
        </w:rPr>
        <w:t xml:space="preserve"> – The future activities are not targeting this activity and the target is not likely to be achieved</w:t>
      </w:r>
    </w:p>
    <w:p w14:paraId="4C42EDD9" w14:textId="77777777" w:rsidR="006F2FE4" w:rsidRPr="006F2FE4" w:rsidRDefault="006F2FE4" w:rsidP="006F2FE4">
      <w:pPr>
        <w:rPr>
          <w:rFonts w:ascii="Arial" w:hAnsi="Arial" w:cs="Arial"/>
          <w:i/>
          <w:iCs/>
          <w:sz w:val="22"/>
          <w:szCs w:val="22"/>
        </w:rPr>
      </w:pPr>
      <w:r w:rsidRPr="006F2FE4">
        <w:rPr>
          <w:rFonts w:ascii="Arial" w:hAnsi="Arial" w:cs="Arial"/>
          <w:b/>
          <w:bCs/>
          <w:i/>
          <w:iCs/>
          <w:sz w:val="22"/>
          <w:szCs w:val="22"/>
        </w:rPr>
        <w:t>Partially Achieved</w:t>
      </w:r>
      <w:r w:rsidRPr="006F2FE4">
        <w:rPr>
          <w:rFonts w:ascii="Arial" w:hAnsi="Arial" w:cs="Arial"/>
          <w:i/>
          <w:iCs/>
          <w:sz w:val="22"/>
          <w:szCs w:val="22"/>
        </w:rPr>
        <w:t xml:space="preserve"> - The future activities are targeting this activity and it is likely to be achieved / The target is likely to be achieved but falls outside the project timeline  </w:t>
      </w:r>
    </w:p>
    <w:p w14:paraId="5C201810" w14:textId="729EDEEB" w:rsidR="00222DAB" w:rsidRPr="001C608A" w:rsidRDefault="006F2FE4" w:rsidP="006F2FE4">
      <w:pPr>
        <w:rPr>
          <w:rFonts w:ascii="Arial" w:hAnsi="Arial" w:cs="Arial"/>
          <w:i/>
          <w:iCs/>
          <w:sz w:val="22"/>
          <w:szCs w:val="22"/>
        </w:rPr>
      </w:pPr>
      <w:r w:rsidRPr="006F2FE4">
        <w:rPr>
          <w:rFonts w:ascii="Arial" w:hAnsi="Arial" w:cs="Arial"/>
          <w:b/>
          <w:bCs/>
          <w:i/>
          <w:iCs/>
          <w:sz w:val="22"/>
          <w:szCs w:val="22"/>
        </w:rPr>
        <w:t>Achieved</w:t>
      </w:r>
      <w:r w:rsidRPr="006F2FE4">
        <w:rPr>
          <w:rFonts w:ascii="Arial" w:hAnsi="Arial" w:cs="Arial"/>
          <w:sz w:val="22"/>
          <w:szCs w:val="22"/>
        </w:rPr>
        <w:t xml:space="preserve"> – </w:t>
      </w:r>
      <w:r w:rsidR="00222DAB">
        <w:rPr>
          <w:rFonts w:ascii="Arial" w:hAnsi="Arial" w:cs="Arial"/>
          <w:i/>
          <w:iCs/>
          <w:sz w:val="22"/>
          <w:szCs w:val="22"/>
        </w:rPr>
        <w:t>The target is fully achieve</w:t>
      </w:r>
      <w:r w:rsidR="001C608A" w:rsidRPr="001C608A">
        <w:rPr>
          <w:rFonts w:ascii="Arial" w:hAnsi="Arial" w:cs="Arial"/>
          <w:i/>
          <w:iCs/>
          <w:sz w:val="22"/>
          <w:szCs w:val="22"/>
        </w:rPr>
        <w:t>d</w:t>
      </w:r>
    </w:p>
    <w:p w14:paraId="6A7A209F" w14:textId="77777777" w:rsidR="00222DAB" w:rsidRDefault="00222DAB" w:rsidP="00222DAB">
      <w:pPr>
        <w:rPr>
          <w:rFonts w:ascii="Arial" w:hAnsi="Arial" w:cs="Arial"/>
          <w:b/>
        </w:rPr>
      </w:pPr>
      <w:bookmarkStart w:id="40" w:name="_Toc61452202"/>
      <w:bookmarkStart w:id="41" w:name="_Toc61483713"/>
    </w:p>
    <w:p w14:paraId="24B7B387" w14:textId="77777777" w:rsidR="00222DAB" w:rsidRPr="00222DAB" w:rsidRDefault="00222DAB" w:rsidP="00222DAB">
      <w:pPr>
        <w:rPr>
          <w:rFonts w:ascii="Arial" w:hAnsi="Arial" w:cs="Arial"/>
          <w:b/>
          <w:color w:val="4F81BD" w:themeColor="accent1"/>
        </w:rPr>
      </w:pPr>
      <w:r w:rsidRPr="00222DAB">
        <w:rPr>
          <w:rFonts w:ascii="Arial" w:hAnsi="Arial" w:cs="Arial"/>
          <w:b/>
          <w:color w:val="4F81BD" w:themeColor="accent1"/>
        </w:rPr>
        <w:t>Outcome 1</w:t>
      </w:r>
      <w:bookmarkEnd w:id="40"/>
      <w:bookmarkEnd w:id="41"/>
      <w:r w:rsidRPr="00222DAB">
        <w:rPr>
          <w:rFonts w:ascii="Arial" w:hAnsi="Arial" w:cs="Arial"/>
          <w:b/>
          <w:color w:val="4F81BD" w:themeColor="accent1"/>
        </w:rPr>
        <w:t xml:space="preserve"> </w:t>
      </w:r>
    </w:p>
    <w:p w14:paraId="366F0B19" w14:textId="77777777" w:rsidR="00222DAB" w:rsidRPr="00B5699C" w:rsidRDefault="00222DAB" w:rsidP="00222DAB">
      <w:pPr>
        <w:rPr>
          <w:rFonts w:ascii="Lora" w:hAnsi="Lora"/>
          <w:b/>
          <w:bCs/>
          <w:i/>
          <w:iCs/>
        </w:rPr>
      </w:pPr>
      <w:r w:rsidRPr="00B5699C">
        <w:rPr>
          <w:rFonts w:ascii="Lora" w:hAnsi="Lora"/>
          <w:b/>
          <w:bCs/>
          <w:i/>
          <w:iCs/>
        </w:rPr>
        <w:t>Government of Georgia ensures enhanced participatory policy making and coordination between its institutions in PAR implementation</w:t>
      </w:r>
    </w:p>
    <w:tbl>
      <w:tblPr>
        <w:tblStyle w:val="GridTable4-Accent11"/>
        <w:tblW w:w="5001" w:type="pct"/>
        <w:tblLook w:val="04A0" w:firstRow="1" w:lastRow="0" w:firstColumn="1" w:lastColumn="0" w:noHBand="0" w:noVBand="1"/>
      </w:tblPr>
      <w:tblGrid>
        <w:gridCol w:w="626"/>
        <w:gridCol w:w="1525"/>
        <w:gridCol w:w="913"/>
        <w:gridCol w:w="1487"/>
        <w:gridCol w:w="931"/>
        <w:gridCol w:w="2873"/>
        <w:gridCol w:w="4824"/>
      </w:tblGrid>
      <w:tr w:rsidR="00222DAB" w:rsidRPr="00B5699C" w14:paraId="27BAEAD8" w14:textId="77777777" w:rsidTr="00222D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1" w:type="pct"/>
          </w:tcPr>
          <w:p w14:paraId="5D099BBE" w14:textId="77777777" w:rsidR="00222DAB" w:rsidRPr="00B5699C" w:rsidRDefault="00222DAB" w:rsidP="00222DAB">
            <w:pPr>
              <w:jc w:val="center"/>
              <w:rPr>
                <w:rFonts w:ascii="Lora" w:hAnsi="Lora"/>
                <w:i/>
                <w:iCs/>
                <w:sz w:val="20"/>
                <w:szCs w:val="20"/>
                <w:lang w:val="en-US"/>
              </w:rPr>
            </w:pPr>
            <w:r w:rsidRPr="00B5699C">
              <w:rPr>
                <w:rFonts w:ascii="Lora" w:hAnsi="Lora"/>
                <w:i/>
                <w:iCs/>
                <w:sz w:val="20"/>
                <w:szCs w:val="20"/>
                <w:lang w:val="en-US"/>
              </w:rPr>
              <w:t>#</w:t>
            </w:r>
          </w:p>
        </w:tc>
        <w:tc>
          <w:tcPr>
            <w:tcW w:w="557" w:type="pct"/>
          </w:tcPr>
          <w:p w14:paraId="54A8A3CF"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Outcome Indicator</w:t>
            </w:r>
          </w:p>
        </w:tc>
        <w:tc>
          <w:tcPr>
            <w:tcW w:w="354" w:type="pct"/>
          </w:tcPr>
          <w:p w14:paraId="64A12998"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Baseline</w:t>
            </w:r>
          </w:p>
        </w:tc>
        <w:tc>
          <w:tcPr>
            <w:tcW w:w="583" w:type="pct"/>
          </w:tcPr>
          <w:p w14:paraId="15C58D8E"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Target </w:t>
            </w:r>
          </w:p>
        </w:tc>
        <w:tc>
          <w:tcPr>
            <w:tcW w:w="349" w:type="pct"/>
          </w:tcPr>
          <w:p w14:paraId="56D43230"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Progress to date</w:t>
            </w:r>
          </w:p>
        </w:tc>
        <w:tc>
          <w:tcPr>
            <w:tcW w:w="1118" w:type="pct"/>
          </w:tcPr>
          <w:p w14:paraId="25963EB8"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Status </w:t>
            </w:r>
          </w:p>
        </w:tc>
        <w:tc>
          <w:tcPr>
            <w:tcW w:w="1848" w:type="pct"/>
          </w:tcPr>
          <w:p w14:paraId="0FF0E62C"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Issues and Next Steps </w:t>
            </w:r>
          </w:p>
        </w:tc>
      </w:tr>
      <w:tr w:rsidR="00222DAB" w:rsidRPr="00B5699C" w14:paraId="3D26BEE7" w14:textId="77777777" w:rsidTr="0022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 w:type="pct"/>
          </w:tcPr>
          <w:p w14:paraId="48D03789" w14:textId="77777777" w:rsidR="00222DAB" w:rsidRPr="00B5699C" w:rsidRDefault="00222DAB" w:rsidP="00EB743C">
            <w:pPr>
              <w:pStyle w:val="ListParagraph"/>
              <w:numPr>
                <w:ilvl w:val="0"/>
                <w:numId w:val="48"/>
              </w:numPr>
              <w:tabs>
                <w:tab w:val="left" w:pos="340"/>
                <w:tab w:val="left" w:pos="430"/>
              </w:tabs>
              <w:ind w:hanging="700"/>
              <w:rPr>
                <w:rFonts w:ascii="Lora" w:hAnsi="Lora"/>
                <w:sz w:val="20"/>
                <w:szCs w:val="20"/>
                <w:lang w:val="en-US"/>
              </w:rPr>
            </w:pPr>
          </w:p>
        </w:tc>
        <w:tc>
          <w:tcPr>
            <w:tcW w:w="557" w:type="pct"/>
          </w:tcPr>
          <w:p w14:paraId="76EF5F2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Share of Government Strategies drafted in line with new policy standards</w:t>
            </w:r>
          </w:p>
        </w:tc>
        <w:tc>
          <w:tcPr>
            <w:tcW w:w="354" w:type="pct"/>
          </w:tcPr>
          <w:p w14:paraId="582259F2"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i/>
                <w:iCs/>
                <w:sz w:val="20"/>
                <w:szCs w:val="20"/>
                <w:lang w:val="en-US"/>
              </w:rPr>
              <w:t>0</w:t>
            </w:r>
          </w:p>
        </w:tc>
        <w:tc>
          <w:tcPr>
            <w:tcW w:w="583" w:type="pct"/>
          </w:tcPr>
          <w:p w14:paraId="38E17FA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80% of drafted Government strategies are in line with new policy standards</w:t>
            </w:r>
          </w:p>
        </w:tc>
        <w:tc>
          <w:tcPr>
            <w:tcW w:w="349" w:type="pct"/>
          </w:tcPr>
          <w:p w14:paraId="3DEA918B"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53,3% </w:t>
            </w:r>
          </w:p>
        </w:tc>
        <w:tc>
          <w:tcPr>
            <w:tcW w:w="1118" w:type="pct"/>
          </w:tcPr>
          <w:p w14:paraId="6ADE489A" w14:textId="77777777" w:rsidR="00222DAB" w:rsidRPr="003575C0"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3575C0">
              <w:rPr>
                <w:rFonts w:ascii="Lora" w:hAnsi="Lora"/>
                <w:i/>
                <w:iCs/>
                <w:sz w:val="20"/>
                <w:szCs w:val="20"/>
                <w:lang w:val="en-US"/>
              </w:rPr>
              <w:t xml:space="preserve">Partially Achieved | </w:t>
            </w:r>
            <w:proofErr w:type="spellStart"/>
            <w:r w:rsidRPr="003575C0">
              <w:rPr>
                <w:rFonts w:ascii="Lora" w:hAnsi="Lora"/>
                <w:i/>
                <w:iCs/>
                <w:sz w:val="20"/>
                <w:szCs w:val="20"/>
                <w:lang w:val="en-US"/>
              </w:rPr>
              <w:t>GoG</w:t>
            </w:r>
            <w:proofErr w:type="spellEnd"/>
            <w:r w:rsidRPr="003575C0">
              <w:rPr>
                <w:rFonts w:ascii="Lora" w:hAnsi="Lora"/>
                <w:i/>
                <w:iCs/>
                <w:sz w:val="20"/>
                <w:szCs w:val="20"/>
                <w:lang w:val="en-US"/>
              </w:rPr>
              <w:t xml:space="preserve"> has approved 8 policy documents out of submitted 15. Source: PAR 2019-2020 Action Plan Progress Report January-June 2020.  </w:t>
            </w:r>
          </w:p>
          <w:p w14:paraId="6C94243E" w14:textId="77777777" w:rsidR="00222DAB" w:rsidRPr="003575C0"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p>
          <w:p w14:paraId="0A3F58BC" w14:textId="77777777" w:rsidR="00222DAB" w:rsidRPr="003575C0"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p>
        </w:tc>
        <w:tc>
          <w:tcPr>
            <w:tcW w:w="1848" w:type="pct"/>
          </w:tcPr>
          <w:p w14:paraId="3B3BE1AA"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The government decree # 2275 (dated November 19 2020) of Administration of Government of Georgia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lists the policy documents that were planned to be reviewed in 2020 against UNDP supported new Policy Planning, Monitoring and Evaluation Handbook for national, sectoral and institutional policy documents (approved by the Government Decree #629 on December 20 2019). Due to spread of COVID-19 some activities envisaged in the policy document development cycle were delayed and respectively the review of the documents by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was postponed to 2021. The list to be approved as per decree contains 15 strategic, 2 concept documents and 6 action plans. Out of 15 strategic documents subject to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screening against new methodological guidelines, three strategic documents are being drafted with the project support - PAR Strategy 2021-2026 and its Action Plan, e-Governance Strategy 2021-2025 and its Action Plan, Maritime Transport Strategy 2021-2025, and its Action Plan. Presumably, the target will be reached – as the current </w:t>
            </w:r>
            <w:r w:rsidRPr="00B5699C">
              <w:rPr>
                <w:rFonts w:ascii="Lora" w:hAnsi="Lora"/>
                <w:i/>
                <w:iCs/>
                <w:sz w:val="20"/>
                <w:szCs w:val="20"/>
                <w:lang w:val="en-US"/>
              </w:rPr>
              <w:lastRenderedPageBreak/>
              <w:t>practice shows, the process of developing national strategies involves consultation of strategy developers – mostly ministries – with the Administration of the Government Georgia. The consultations give the strategy creators a possibility to closely follow the new standards.</w:t>
            </w:r>
          </w:p>
          <w:p w14:paraId="034D0789"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p>
        </w:tc>
      </w:tr>
      <w:tr w:rsidR="00222DAB" w:rsidRPr="00B5699C" w14:paraId="6DF1D104" w14:textId="77777777" w:rsidTr="00222DAB">
        <w:tc>
          <w:tcPr>
            <w:cnfStyle w:val="001000000000" w:firstRow="0" w:lastRow="0" w:firstColumn="1" w:lastColumn="0" w:oddVBand="0" w:evenVBand="0" w:oddHBand="0" w:evenHBand="0" w:firstRowFirstColumn="0" w:firstRowLastColumn="0" w:lastRowFirstColumn="0" w:lastRowLastColumn="0"/>
            <w:tcW w:w="191" w:type="pct"/>
          </w:tcPr>
          <w:p w14:paraId="12767D3D" w14:textId="77777777" w:rsidR="00222DAB" w:rsidRPr="00B5699C" w:rsidRDefault="00222DAB" w:rsidP="00EB743C">
            <w:pPr>
              <w:pStyle w:val="ListParagraph"/>
              <w:numPr>
                <w:ilvl w:val="0"/>
                <w:numId w:val="48"/>
              </w:numPr>
              <w:tabs>
                <w:tab w:val="left" w:pos="340"/>
                <w:tab w:val="left" w:pos="430"/>
              </w:tabs>
              <w:ind w:hanging="700"/>
              <w:rPr>
                <w:rFonts w:ascii="Lora" w:hAnsi="Lora"/>
                <w:sz w:val="20"/>
                <w:szCs w:val="20"/>
                <w:lang w:val="en-US"/>
              </w:rPr>
            </w:pPr>
            <w:r w:rsidRPr="00B5699C">
              <w:rPr>
                <w:rFonts w:ascii="Lora" w:hAnsi="Lora"/>
                <w:sz w:val="20"/>
                <w:szCs w:val="20"/>
                <w:lang w:val="en-US"/>
              </w:rPr>
              <w:lastRenderedPageBreak/>
              <w:t xml:space="preserve"> </w:t>
            </w:r>
          </w:p>
        </w:tc>
        <w:tc>
          <w:tcPr>
            <w:tcW w:w="557" w:type="pct"/>
          </w:tcPr>
          <w:p w14:paraId="66AF450E"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Degree of institutionalized coordination between government institutions</w:t>
            </w:r>
          </w:p>
        </w:tc>
        <w:tc>
          <w:tcPr>
            <w:tcW w:w="354" w:type="pct"/>
          </w:tcPr>
          <w:p w14:paraId="6CF91741"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i/>
                <w:iCs/>
                <w:sz w:val="20"/>
                <w:szCs w:val="20"/>
                <w:lang w:val="en-US"/>
              </w:rPr>
              <w:t>0</w:t>
            </w:r>
          </w:p>
        </w:tc>
        <w:tc>
          <w:tcPr>
            <w:tcW w:w="583" w:type="pct"/>
          </w:tcPr>
          <w:p w14:paraId="2AFE0B68"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All line ministries and their subordinate agencies are part of e-platform</w:t>
            </w:r>
          </w:p>
        </w:tc>
        <w:tc>
          <w:tcPr>
            <w:tcW w:w="349" w:type="pct"/>
          </w:tcPr>
          <w:p w14:paraId="6F0852BF"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0</w:t>
            </w:r>
          </w:p>
        </w:tc>
        <w:tc>
          <w:tcPr>
            <w:tcW w:w="1118" w:type="pct"/>
          </w:tcPr>
          <w:p w14:paraId="2D5B4B8B"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Partially Achieved | The M&amp;E e-system (e-platform) of public policy documents is under the development. All ministries, their subordinated agencies and coordination structures (such as secretariats responsible for coordinating certain strategies) are already integrated into the platform (envisaged in the concept based on which the e-system is being developed).</w:t>
            </w:r>
          </w:p>
        </w:tc>
        <w:tc>
          <w:tcPr>
            <w:tcW w:w="1848" w:type="pct"/>
          </w:tcPr>
          <w:p w14:paraId="226DEB8A"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The development process of M&amp;E platform includes two critical phases: the first one is building the overall architecture of the platform and creation of parts/services for policy planning and monitoring stages. The second phase will include the integration of additional non-key services and creation of parts for policy evaluation stage. 1st phase of the government-wide M&amp;E e-System will be completed by March 2021. </w:t>
            </w:r>
          </w:p>
        </w:tc>
      </w:tr>
      <w:tr w:rsidR="00222DAB" w:rsidRPr="00B5699C" w14:paraId="02C81F53" w14:textId="77777777" w:rsidTr="0022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 w:type="pct"/>
          </w:tcPr>
          <w:p w14:paraId="70EC7605" w14:textId="77777777" w:rsidR="00222DAB" w:rsidRPr="008C1E0E" w:rsidRDefault="00222DAB" w:rsidP="00EB743C">
            <w:pPr>
              <w:pStyle w:val="ListParagraph"/>
              <w:numPr>
                <w:ilvl w:val="0"/>
                <w:numId w:val="48"/>
              </w:numPr>
              <w:tabs>
                <w:tab w:val="left" w:pos="340"/>
                <w:tab w:val="left" w:pos="430"/>
              </w:tabs>
              <w:ind w:hanging="700"/>
              <w:rPr>
                <w:rFonts w:ascii="Lora" w:hAnsi="Lora"/>
                <w:sz w:val="20"/>
                <w:szCs w:val="20"/>
                <w:lang w:val="en-US"/>
              </w:rPr>
            </w:pPr>
          </w:p>
        </w:tc>
        <w:tc>
          <w:tcPr>
            <w:tcW w:w="557" w:type="pct"/>
          </w:tcPr>
          <w:p w14:paraId="3A78897D"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8C1E0E">
              <w:rPr>
                <w:rFonts w:ascii="Lora" w:hAnsi="Lora"/>
                <w:sz w:val="20"/>
                <w:szCs w:val="20"/>
                <w:lang w:val="en-US"/>
              </w:rPr>
              <w:t>Rate of satisfaction by CSO participation in policy processes</w:t>
            </w:r>
          </w:p>
        </w:tc>
        <w:tc>
          <w:tcPr>
            <w:tcW w:w="354" w:type="pct"/>
          </w:tcPr>
          <w:p w14:paraId="3D3F5B00"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8C1E0E">
              <w:rPr>
                <w:rFonts w:ascii="Lora" w:hAnsi="Lora"/>
                <w:i/>
                <w:iCs/>
                <w:sz w:val="20"/>
                <w:szCs w:val="20"/>
                <w:lang w:val="en-US"/>
              </w:rPr>
              <w:t>0</w:t>
            </w:r>
          </w:p>
        </w:tc>
        <w:tc>
          <w:tcPr>
            <w:tcW w:w="583" w:type="pct"/>
          </w:tcPr>
          <w:p w14:paraId="4292D9A1"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8C1E0E">
              <w:rPr>
                <w:rFonts w:ascii="Lora" w:hAnsi="Lora"/>
                <w:sz w:val="20"/>
                <w:szCs w:val="20"/>
                <w:lang w:val="en-US"/>
              </w:rPr>
              <w:t>60% of surveyed CSOs representatives satisfied by participation in policy processes</w:t>
            </w:r>
          </w:p>
        </w:tc>
        <w:tc>
          <w:tcPr>
            <w:tcW w:w="349" w:type="pct"/>
          </w:tcPr>
          <w:p w14:paraId="16B3CC09"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0%</w:t>
            </w:r>
          </w:p>
        </w:tc>
        <w:tc>
          <w:tcPr>
            <w:tcW w:w="1118" w:type="pct"/>
          </w:tcPr>
          <w:p w14:paraId="0AA720E2"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b/>
                <w:bCs/>
                <w:i/>
                <w:iCs/>
                <w:sz w:val="20"/>
                <w:szCs w:val="20"/>
                <w:lang w:val="en-US"/>
              </w:rPr>
            </w:pPr>
            <w:r w:rsidRPr="008C1E0E">
              <w:rPr>
                <w:rFonts w:ascii="Lora" w:hAnsi="Lora"/>
                <w:i/>
                <w:iCs/>
                <w:sz w:val="20"/>
                <w:szCs w:val="20"/>
                <w:lang w:val="en-US"/>
              </w:rPr>
              <w:t xml:space="preserve">N/A | Data will be available March 2021.  </w:t>
            </w:r>
          </w:p>
        </w:tc>
        <w:tc>
          <w:tcPr>
            <w:tcW w:w="1848" w:type="pct"/>
          </w:tcPr>
          <w:p w14:paraId="48A526A3"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Ongoing study “Assessing Public Participation in Policy Making Process” (through a low value grant supported by the project), to be finished by March 2021, will demonstrate achievements in this regard.</w:t>
            </w:r>
          </w:p>
        </w:tc>
      </w:tr>
      <w:tr w:rsidR="00222DAB" w:rsidRPr="00B5699C" w14:paraId="516DC30D" w14:textId="77777777" w:rsidTr="00222DAB">
        <w:tc>
          <w:tcPr>
            <w:cnfStyle w:val="001000000000" w:firstRow="0" w:lastRow="0" w:firstColumn="1" w:lastColumn="0" w:oddVBand="0" w:evenVBand="0" w:oddHBand="0" w:evenHBand="0" w:firstRowFirstColumn="0" w:firstRowLastColumn="0" w:lastRowFirstColumn="0" w:lastRowLastColumn="0"/>
            <w:tcW w:w="191" w:type="pct"/>
          </w:tcPr>
          <w:p w14:paraId="52665A0A" w14:textId="77777777" w:rsidR="00222DAB" w:rsidRPr="008C1E0E" w:rsidRDefault="00222DAB" w:rsidP="00EB743C">
            <w:pPr>
              <w:pStyle w:val="ListParagraph"/>
              <w:numPr>
                <w:ilvl w:val="0"/>
                <w:numId w:val="48"/>
              </w:numPr>
              <w:tabs>
                <w:tab w:val="left" w:pos="340"/>
                <w:tab w:val="left" w:pos="430"/>
              </w:tabs>
              <w:ind w:hanging="700"/>
              <w:rPr>
                <w:rFonts w:ascii="Lora" w:hAnsi="Lora"/>
                <w:sz w:val="20"/>
                <w:szCs w:val="20"/>
                <w:lang w:val="en-US"/>
              </w:rPr>
            </w:pPr>
          </w:p>
        </w:tc>
        <w:tc>
          <w:tcPr>
            <w:tcW w:w="557" w:type="pct"/>
          </w:tcPr>
          <w:p w14:paraId="3B9915E4"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8C1E0E">
              <w:rPr>
                <w:rFonts w:ascii="Lora" w:hAnsi="Lora"/>
                <w:sz w:val="20"/>
                <w:szCs w:val="20"/>
                <w:lang w:val="en-US"/>
              </w:rPr>
              <w:t>Share of civil servants supporting ongoing PAR through the development of PAR communication strategy and action plan</w:t>
            </w:r>
          </w:p>
        </w:tc>
        <w:tc>
          <w:tcPr>
            <w:tcW w:w="354" w:type="pct"/>
          </w:tcPr>
          <w:p w14:paraId="7AE997A7"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8C1E0E">
              <w:rPr>
                <w:rFonts w:ascii="Lora" w:hAnsi="Lora"/>
                <w:i/>
                <w:iCs/>
                <w:sz w:val="20"/>
                <w:szCs w:val="20"/>
                <w:lang w:val="en-US"/>
              </w:rPr>
              <w:t>92%</w:t>
            </w:r>
          </w:p>
        </w:tc>
        <w:tc>
          <w:tcPr>
            <w:tcW w:w="583" w:type="pct"/>
          </w:tcPr>
          <w:p w14:paraId="6E6BDAF9"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8C1E0E">
              <w:rPr>
                <w:rFonts w:ascii="Lora" w:hAnsi="Lora"/>
                <w:sz w:val="20"/>
                <w:szCs w:val="20"/>
                <w:lang w:val="en-US"/>
              </w:rPr>
              <w:t xml:space="preserve">85% of civil servants support ongoing PAR </w:t>
            </w:r>
          </w:p>
        </w:tc>
        <w:tc>
          <w:tcPr>
            <w:tcW w:w="349" w:type="pct"/>
          </w:tcPr>
          <w:p w14:paraId="3ABC85A8"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79%</w:t>
            </w:r>
          </w:p>
        </w:tc>
        <w:tc>
          <w:tcPr>
            <w:tcW w:w="1118" w:type="pct"/>
          </w:tcPr>
          <w:p w14:paraId="6D6059F7"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N/A |Data will be available March 2021.  </w:t>
            </w:r>
          </w:p>
        </w:tc>
        <w:tc>
          <w:tcPr>
            <w:tcW w:w="1848" w:type="pct"/>
          </w:tcPr>
          <w:p w14:paraId="24685411"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The indicator was measured as a part of the larger study commissioned by the local research and consultancy company in 2019. The indicator will be measured in March 2021 using the same questionnaire and closely following the methodology of the study.</w:t>
            </w:r>
          </w:p>
        </w:tc>
      </w:tr>
      <w:tr w:rsidR="00222DAB" w:rsidRPr="00B5699C" w14:paraId="06C9950E" w14:textId="77777777" w:rsidTr="00222DAB">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91" w:type="pct"/>
          </w:tcPr>
          <w:p w14:paraId="7AE0B05F" w14:textId="77777777" w:rsidR="00222DAB" w:rsidRPr="00B5699C" w:rsidRDefault="00222DAB" w:rsidP="00EB743C">
            <w:pPr>
              <w:pStyle w:val="ListParagraph"/>
              <w:numPr>
                <w:ilvl w:val="0"/>
                <w:numId w:val="48"/>
              </w:numPr>
              <w:tabs>
                <w:tab w:val="left" w:pos="340"/>
                <w:tab w:val="left" w:pos="430"/>
              </w:tabs>
              <w:ind w:hanging="700"/>
              <w:rPr>
                <w:rFonts w:ascii="Lora" w:hAnsi="Lora"/>
                <w:sz w:val="20"/>
                <w:szCs w:val="20"/>
                <w:lang w:val="en-US"/>
              </w:rPr>
            </w:pPr>
          </w:p>
        </w:tc>
        <w:tc>
          <w:tcPr>
            <w:tcW w:w="557" w:type="pct"/>
          </w:tcPr>
          <w:p w14:paraId="18DB26DF"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PAR Council meetings reviewing the new PAR Strategy and Action plan for 2021-2024</w:t>
            </w:r>
          </w:p>
        </w:tc>
        <w:tc>
          <w:tcPr>
            <w:tcW w:w="354" w:type="pct"/>
          </w:tcPr>
          <w:p w14:paraId="2A6F0451"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i/>
                <w:iCs/>
                <w:sz w:val="20"/>
                <w:szCs w:val="20"/>
                <w:lang w:val="en-US"/>
              </w:rPr>
              <w:t>0</w:t>
            </w:r>
          </w:p>
        </w:tc>
        <w:tc>
          <w:tcPr>
            <w:tcW w:w="583" w:type="pct"/>
          </w:tcPr>
          <w:p w14:paraId="00055FF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New PAR Strategy and Action plan for 2021-2024 reviewed and approved via 1 PAR council meeting</w:t>
            </w:r>
          </w:p>
        </w:tc>
        <w:tc>
          <w:tcPr>
            <w:tcW w:w="349" w:type="pct"/>
          </w:tcPr>
          <w:p w14:paraId="693F0D3F"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0</w:t>
            </w:r>
          </w:p>
        </w:tc>
        <w:tc>
          <w:tcPr>
            <w:tcW w:w="1118" w:type="pct"/>
          </w:tcPr>
          <w:p w14:paraId="32EC2286"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N/A |Data will be available March 2021.  </w:t>
            </w:r>
          </w:p>
        </w:tc>
        <w:tc>
          <w:tcPr>
            <w:tcW w:w="1848" w:type="pct"/>
          </w:tcPr>
          <w:p w14:paraId="27F540F4"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COVID-19 associated disruptions combined with the political hustle caused by elections, which in turn protracted formation of the Cabinet, delayed the process of drafting of the strategy as well as PAR Council meetings. The PAR council meetings are planned in February and March 2021 for the mid-term verification of the strategy priorities, logical framework as well as approval of the new PAR strategy and action plan.  </w:t>
            </w:r>
          </w:p>
        </w:tc>
      </w:tr>
    </w:tbl>
    <w:p w14:paraId="6A4274C9" w14:textId="77777777" w:rsidR="00222DAB" w:rsidRDefault="00222DAB" w:rsidP="00222DAB">
      <w:pPr>
        <w:rPr>
          <w:rFonts w:ascii="Arial" w:hAnsi="Arial" w:cs="Arial"/>
          <w:b/>
          <w:color w:val="4F81BD" w:themeColor="accent1"/>
        </w:rPr>
      </w:pPr>
      <w:bookmarkStart w:id="42" w:name="_Toc61452203"/>
      <w:bookmarkStart w:id="43" w:name="_Toc61483714"/>
    </w:p>
    <w:p w14:paraId="7E67E757" w14:textId="77777777" w:rsidR="00222DAB" w:rsidRPr="00222DAB" w:rsidRDefault="00222DAB" w:rsidP="00222DAB">
      <w:pPr>
        <w:rPr>
          <w:rFonts w:ascii="Arial" w:hAnsi="Arial" w:cs="Arial"/>
          <w:b/>
          <w:color w:val="4F81BD" w:themeColor="accent1"/>
        </w:rPr>
      </w:pPr>
      <w:r w:rsidRPr="00222DAB">
        <w:rPr>
          <w:rFonts w:ascii="Arial" w:hAnsi="Arial" w:cs="Arial"/>
          <w:b/>
          <w:color w:val="4F81BD" w:themeColor="accent1"/>
        </w:rPr>
        <w:t>Outputs for Outcome 1</w:t>
      </w:r>
      <w:bookmarkEnd w:id="42"/>
      <w:bookmarkEnd w:id="43"/>
      <w:r w:rsidRPr="00222DAB">
        <w:rPr>
          <w:rFonts w:ascii="Arial" w:hAnsi="Arial" w:cs="Arial"/>
          <w:b/>
          <w:color w:val="4F81BD" w:themeColor="accent1"/>
        </w:rPr>
        <w:t xml:space="preserve"> </w:t>
      </w:r>
    </w:p>
    <w:tbl>
      <w:tblPr>
        <w:tblStyle w:val="GridTable4-Accent11"/>
        <w:tblW w:w="5000" w:type="pct"/>
        <w:tblLayout w:type="fixed"/>
        <w:tblLook w:val="04A0" w:firstRow="1" w:lastRow="0" w:firstColumn="1" w:lastColumn="0" w:noHBand="0" w:noVBand="1"/>
      </w:tblPr>
      <w:tblGrid>
        <w:gridCol w:w="629"/>
        <w:gridCol w:w="1544"/>
        <w:gridCol w:w="635"/>
        <w:gridCol w:w="1542"/>
        <w:gridCol w:w="617"/>
        <w:gridCol w:w="1468"/>
        <w:gridCol w:w="1141"/>
        <w:gridCol w:w="1871"/>
        <w:gridCol w:w="3729"/>
      </w:tblGrid>
      <w:tr w:rsidR="00222DAB" w:rsidRPr="00B5699C" w14:paraId="17D6A7ED" w14:textId="77777777" w:rsidTr="00222D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 w:type="pct"/>
          </w:tcPr>
          <w:p w14:paraId="7322E9B7" w14:textId="77777777" w:rsidR="00222DAB" w:rsidRPr="00B5699C" w:rsidRDefault="00222DAB" w:rsidP="00222DAB">
            <w:pPr>
              <w:jc w:val="center"/>
              <w:rPr>
                <w:rFonts w:ascii="Lora" w:hAnsi="Lora"/>
                <w:i/>
                <w:iCs/>
                <w:sz w:val="20"/>
                <w:szCs w:val="20"/>
                <w:lang w:val="en-US"/>
              </w:rPr>
            </w:pPr>
            <w:r w:rsidRPr="00B5699C">
              <w:rPr>
                <w:rFonts w:ascii="Lora" w:hAnsi="Lora"/>
                <w:i/>
                <w:iCs/>
                <w:sz w:val="20"/>
                <w:szCs w:val="20"/>
                <w:lang w:val="en-US"/>
              </w:rPr>
              <w:t>#</w:t>
            </w:r>
          </w:p>
        </w:tc>
        <w:tc>
          <w:tcPr>
            <w:tcW w:w="586" w:type="pct"/>
          </w:tcPr>
          <w:p w14:paraId="1D6D0E17"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Output </w:t>
            </w:r>
          </w:p>
        </w:tc>
        <w:tc>
          <w:tcPr>
            <w:tcW w:w="241" w:type="pct"/>
          </w:tcPr>
          <w:p w14:paraId="7BC23E86"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b w:val="0"/>
                <w:bCs w:val="0"/>
                <w:i/>
                <w:iCs/>
                <w:sz w:val="20"/>
                <w:szCs w:val="20"/>
                <w:lang w:val="en-US"/>
              </w:rPr>
            </w:pPr>
            <w:r w:rsidRPr="00B5699C">
              <w:rPr>
                <w:rFonts w:ascii="Lora" w:hAnsi="Lora"/>
                <w:b w:val="0"/>
                <w:bCs w:val="0"/>
                <w:i/>
                <w:iCs/>
                <w:sz w:val="20"/>
                <w:szCs w:val="20"/>
                <w:lang w:val="en-US"/>
              </w:rPr>
              <w:t>#</w:t>
            </w:r>
          </w:p>
        </w:tc>
        <w:tc>
          <w:tcPr>
            <w:tcW w:w="585" w:type="pct"/>
          </w:tcPr>
          <w:p w14:paraId="65E5A765"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Output Indicator </w:t>
            </w:r>
          </w:p>
        </w:tc>
        <w:tc>
          <w:tcPr>
            <w:tcW w:w="234" w:type="pct"/>
          </w:tcPr>
          <w:p w14:paraId="3653AC54"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Baseline</w:t>
            </w:r>
          </w:p>
        </w:tc>
        <w:tc>
          <w:tcPr>
            <w:tcW w:w="557" w:type="pct"/>
          </w:tcPr>
          <w:p w14:paraId="4306D5CD"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Target</w:t>
            </w:r>
          </w:p>
        </w:tc>
        <w:tc>
          <w:tcPr>
            <w:tcW w:w="433" w:type="pct"/>
          </w:tcPr>
          <w:p w14:paraId="7844F7A8"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Progress to date </w:t>
            </w:r>
          </w:p>
        </w:tc>
        <w:tc>
          <w:tcPr>
            <w:tcW w:w="710" w:type="pct"/>
          </w:tcPr>
          <w:p w14:paraId="08DDCE3D"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Status  </w:t>
            </w:r>
          </w:p>
        </w:tc>
        <w:tc>
          <w:tcPr>
            <w:tcW w:w="1415" w:type="pct"/>
          </w:tcPr>
          <w:p w14:paraId="403DA458"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Issues and Next Steps </w:t>
            </w:r>
          </w:p>
        </w:tc>
      </w:tr>
      <w:tr w:rsidR="00222DAB" w:rsidRPr="00B5699C" w14:paraId="731FF9B5" w14:textId="77777777" w:rsidTr="00222DAB">
        <w:trPr>
          <w:cnfStyle w:val="000000100000" w:firstRow="0" w:lastRow="0" w:firstColumn="0" w:lastColumn="0" w:oddVBand="0" w:evenVBand="0" w:oddHBand="1" w:evenHBand="0" w:firstRowFirstColumn="0" w:firstRowLastColumn="0" w:lastRowFirstColumn="0" w:lastRowLastColumn="0"/>
          <w:trHeight w:val="3916"/>
        </w:trPr>
        <w:tc>
          <w:tcPr>
            <w:cnfStyle w:val="001000000000" w:firstRow="0" w:lastRow="0" w:firstColumn="1" w:lastColumn="0" w:oddVBand="0" w:evenVBand="0" w:oddHBand="0" w:evenHBand="0" w:firstRowFirstColumn="0" w:firstRowLastColumn="0" w:lastRowFirstColumn="0" w:lastRowLastColumn="0"/>
            <w:tcW w:w="239" w:type="pct"/>
            <w:vMerge w:val="restart"/>
          </w:tcPr>
          <w:p w14:paraId="20F4EE6A" w14:textId="77777777" w:rsidR="00222DAB" w:rsidRPr="00B5699C" w:rsidRDefault="00222DAB" w:rsidP="00EB743C">
            <w:pPr>
              <w:pStyle w:val="ListParagraph"/>
              <w:numPr>
                <w:ilvl w:val="0"/>
                <w:numId w:val="49"/>
              </w:numPr>
              <w:ind w:left="430"/>
              <w:rPr>
                <w:rFonts w:ascii="Lora" w:hAnsi="Lora"/>
                <w:i/>
                <w:iCs/>
                <w:sz w:val="20"/>
                <w:szCs w:val="20"/>
                <w:lang w:val="en-US"/>
              </w:rPr>
            </w:pPr>
          </w:p>
        </w:tc>
        <w:tc>
          <w:tcPr>
            <w:tcW w:w="586" w:type="pct"/>
            <w:vMerge w:val="restart"/>
          </w:tcPr>
          <w:p w14:paraId="6F6B1EA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Policy planning unit staff from line ministries trained in line with new policy standards</w:t>
            </w:r>
          </w:p>
        </w:tc>
        <w:tc>
          <w:tcPr>
            <w:tcW w:w="241" w:type="pct"/>
          </w:tcPr>
          <w:p w14:paraId="7B83540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1.1.2</w:t>
            </w:r>
          </w:p>
        </w:tc>
        <w:tc>
          <w:tcPr>
            <w:tcW w:w="585" w:type="pct"/>
          </w:tcPr>
          <w:p w14:paraId="783B0095" w14:textId="4BBA0715"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Share of Policy Planning Unit staff from central and A</w:t>
            </w:r>
            <w:r w:rsidR="00B03A89">
              <w:rPr>
                <w:rFonts w:ascii="Lora" w:hAnsi="Lora"/>
                <w:sz w:val="20"/>
                <w:szCs w:val="20"/>
                <w:lang w:val="en-US"/>
              </w:rPr>
              <w:t>d</w:t>
            </w:r>
            <w:r w:rsidRPr="00B5699C">
              <w:rPr>
                <w:rFonts w:ascii="Lora" w:hAnsi="Lora"/>
                <w:sz w:val="20"/>
                <w:szCs w:val="20"/>
                <w:lang w:val="en-US"/>
              </w:rPr>
              <w:t xml:space="preserve">jara AR trained on policy planning, monitoring and evaluation standards </w:t>
            </w:r>
          </w:p>
          <w:p w14:paraId="0A9239F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tc>
        <w:tc>
          <w:tcPr>
            <w:tcW w:w="234" w:type="pct"/>
          </w:tcPr>
          <w:p w14:paraId="26C6402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1E97CAF9"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90% of female and male civil servants from Policy Planning Units trained on policy planning, monitoring and evaluation from all line ministries</w:t>
            </w:r>
          </w:p>
        </w:tc>
        <w:tc>
          <w:tcPr>
            <w:tcW w:w="433" w:type="pct"/>
          </w:tcPr>
          <w:p w14:paraId="40526BC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ka-GE"/>
              </w:rPr>
              <w:t>94</w:t>
            </w:r>
            <w:r w:rsidRPr="00B5699C">
              <w:rPr>
                <w:rFonts w:ascii="Lora" w:hAnsi="Lora"/>
                <w:sz w:val="20"/>
                <w:szCs w:val="20"/>
                <w:lang w:val="en-US"/>
              </w:rPr>
              <w:t>%</w:t>
            </w:r>
          </w:p>
        </w:tc>
        <w:tc>
          <w:tcPr>
            <w:tcW w:w="710" w:type="pct"/>
          </w:tcPr>
          <w:p w14:paraId="34FD8969"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Achieved | </w:t>
            </w:r>
            <w:r w:rsidRPr="00B5699C">
              <w:rPr>
                <w:rFonts w:ascii="Lora" w:hAnsi="Lora"/>
                <w:i/>
                <w:iCs/>
                <w:sz w:val="20"/>
                <w:szCs w:val="20"/>
                <w:lang w:val="ka-GE"/>
              </w:rPr>
              <w:t>94</w:t>
            </w:r>
            <w:r w:rsidRPr="00B5699C">
              <w:rPr>
                <w:rFonts w:ascii="Lora" w:hAnsi="Lora"/>
                <w:i/>
                <w:iCs/>
                <w:sz w:val="20"/>
                <w:szCs w:val="20"/>
                <w:lang w:val="en-US"/>
              </w:rPr>
              <w:t xml:space="preserve">% of female and male civil servants from Policy Planning Units trained on policy planning, monitoring and evaluation from all line ministries. </w:t>
            </w:r>
          </w:p>
        </w:tc>
        <w:tc>
          <w:tcPr>
            <w:tcW w:w="1415" w:type="pct"/>
          </w:tcPr>
          <w:p w14:paraId="7D8D4BFF"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Following the onset of the social distancing and quarantine measures linked to the C-19 pandemic, one third of the 3rd cohort training was delivered on-line.  The primary focus was to retain the quality of </w:t>
            </w:r>
            <w:proofErr w:type="gramStart"/>
            <w:r w:rsidRPr="00B5699C">
              <w:rPr>
                <w:rFonts w:ascii="Lora" w:hAnsi="Lora"/>
                <w:i/>
                <w:iCs/>
                <w:sz w:val="20"/>
                <w:szCs w:val="20"/>
                <w:lang w:val="en-US"/>
              </w:rPr>
              <w:t>the  training</w:t>
            </w:r>
            <w:proofErr w:type="gramEnd"/>
            <w:r w:rsidRPr="00B5699C">
              <w:rPr>
                <w:rFonts w:ascii="Lora" w:hAnsi="Lora"/>
                <w:i/>
                <w:iCs/>
                <w:sz w:val="20"/>
                <w:szCs w:val="20"/>
                <w:lang w:val="en-US"/>
              </w:rPr>
              <w:t xml:space="preserve">:  deliver  the  best  experience  to  the  training  participants,  while  enabling  the  trainers  and  the  participants  to  focus  on  the process rather being distracted by technology. The online sessions were trainings were observed and evaluated at the end of the session to identify the shortcomings and address them accordingly. The overall assessment of the participants over the online training experience was positive.  </w:t>
            </w:r>
          </w:p>
          <w:p w14:paraId="30A9611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To ensure sustainability of the training program, together with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next phase of the project plans to digitalize the training and integrate it on the unified e-learning platform. The training became mandatory for policy unit staff as per official agreement between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and CSB </w:t>
            </w:r>
            <w:r w:rsidRPr="00B5699C">
              <w:rPr>
                <w:rFonts w:ascii="Lora" w:hAnsi="Lora"/>
                <w:i/>
                <w:iCs/>
                <w:sz w:val="20"/>
                <w:szCs w:val="20"/>
                <w:lang w:val="en-US"/>
              </w:rPr>
              <w:lastRenderedPageBreak/>
              <w:t xml:space="preserve">according to which all policy unit staff need to undergo trainings at least every </w:t>
            </w:r>
            <w:proofErr w:type="gramStart"/>
            <w:r w:rsidRPr="00B5699C">
              <w:rPr>
                <w:rFonts w:ascii="Lora" w:hAnsi="Lora"/>
                <w:i/>
                <w:iCs/>
                <w:sz w:val="20"/>
                <w:szCs w:val="20"/>
                <w:lang w:val="en-US"/>
              </w:rPr>
              <w:t>three  years</w:t>
            </w:r>
            <w:proofErr w:type="gramEnd"/>
            <w:r w:rsidRPr="00B5699C">
              <w:rPr>
                <w:rFonts w:ascii="Lora" w:hAnsi="Lora"/>
                <w:i/>
                <w:iCs/>
                <w:sz w:val="20"/>
                <w:szCs w:val="20"/>
                <w:lang w:val="en-US"/>
              </w:rPr>
              <w:t xml:space="preserve"> while the new staff will have to complete upon entering civil service. </w:t>
            </w:r>
          </w:p>
          <w:p w14:paraId="6CFE4EBF"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p>
        </w:tc>
      </w:tr>
      <w:tr w:rsidR="00222DAB" w:rsidRPr="00B5699C" w14:paraId="6382F880" w14:textId="77777777" w:rsidTr="00222DAB">
        <w:trPr>
          <w:trHeight w:val="1390"/>
        </w:trPr>
        <w:tc>
          <w:tcPr>
            <w:cnfStyle w:val="001000000000" w:firstRow="0" w:lastRow="0" w:firstColumn="1" w:lastColumn="0" w:oddVBand="0" w:evenVBand="0" w:oddHBand="0" w:evenHBand="0" w:firstRowFirstColumn="0" w:firstRowLastColumn="0" w:lastRowFirstColumn="0" w:lastRowLastColumn="0"/>
            <w:tcW w:w="239" w:type="pct"/>
            <w:vMerge/>
          </w:tcPr>
          <w:p w14:paraId="2CBB8C91"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p>
        </w:tc>
        <w:tc>
          <w:tcPr>
            <w:tcW w:w="586" w:type="pct"/>
            <w:vMerge/>
          </w:tcPr>
          <w:p w14:paraId="320C5B3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41" w:type="pct"/>
          </w:tcPr>
          <w:p w14:paraId="1F14EE5B"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1.1.3 </w:t>
            </w:r>
          </w:p>
          <w:p w14:paraId="0108DF92"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c>
          <w:tcPr>
            <w:tcW w:w="585" w:type="pct"/>
          </w:tcPr>
          <w:p w14:paraId="4C759498"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Share of female and male policy planning unit staff demonstrating increased knowledge of the unified standards</w:t>
            </w:r>
          </w:p>
          <w:p w14:paraId="55D259AB"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34" w:type="pct"/>
          </w:tcPr>
          <w:p w14:paraId="01C6E13F"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45BBE57C"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80% of female and male civil servants attending the trainings demonstrating 10% of increased knowledge</w:t>
            </w:r>
          </w:p>
        </w:tc>
        <w:tc>
          <w:tcPr>
            <w:tcW w:w="433" w:type="pct"/>
          </w:tcPr>
          <w:p w14:paraId="545F9758"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87%</w:t>
            </w:r>
          </w:p>
        </w:tc>
        <w:tc>
          <w:tcPr>
            <w:tcW w:w="710" w:type="pct"/>
          </w:tcPr>
          <w:p w14:paraId="723DFEE1"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Achieved | 87% of female and male civil servants attending the trainings demonstrated increase in knowledge. </w:t>
            </w:r>
          </w:p>
        </w:tc>
        <w:tc>
          <w:tcPr>
            <w:tcW w:w="1415" w:type="pct"/>
          </w:tcPr>
          <w:p w14:paraId="4F67FDD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The increased knowledge of the civil servants is likely to contribute to higher quality of the policy documents in the future. </w:t>
            </w:r>
          </w:p>
        </w:tc>
      </w:tr>
      <w:tr w:rsidR="00222DAB" w:rsidRPr="00B5699C" w14:paraId="3DE3CB15" w14:textId="77777777" w:rsidTr="00222DAB">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239" w:type="pct"/>
            <w:vMerge w:val="restart"/>
          </w:tcPr>
          <w:p w14:paraId="328431F3"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r w:rsidRPr="00B5699C">
              <w:rPr>
                <w:rFonts w:ascii="Lora" w:hAnsi="Lora"/>
                <w:b w:val="0"/>
                <w:bCs w:val="0"/>
                <w:i/>
                <w:iCs/>
                <w:sz w:val="20"/>
                <w:szCs w:val="20"/>
                <w:lang w:val="en-US"/>
              </w:rPr>
              <w:t xml:space="preserve"> </w:t>
            </w:r>
          </w:p>
        </w:tc>
        <w:tc>
          <w:tcPr>
            <w:tcW w:w="586" w:type="pct"/>
            <w:vMerge w:val="restart"/>
          </w:tcPr>
          <w:p w14:paraId="147CFCE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Government strategic documents drafted through coaching of individual ministries in line with new policy standards</w:t>
            </w:r>
          </w:p>
        </w:tc>
        <w:tc>
          <w:tcPr>
            <w:tcW w:w="241" w:type="pct"/>
          </w:tcPr>
          <w:p w14:paraId="19FE607E"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1.2.1</w:t>
            </w:r>
          </w:p>
        </w:tc>
        <w:tc>
          <w:tcPr>
            <w:tcW w:w="585" w:type="pct"/>
          </w:tcPr>
          <w:p w14:paraId="4EC874F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government strategic documents drafted via coaching</w:t>
            </w:r>
          </w:p>
        </w:tc>
        <w:tc>
          <w:tcPr>
            <w:tcW w:w="234" w:type="pct"/>
          </w:tcPr>
          <w:p w14:paraId="7B3B6A70"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316F3490"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One Government strategic document is drafted via coaching in each of the 3 target ministries</w:t>
            </w:r>
          </w:p>
        </w:tc>
        <w:tc>
          <w:tcPr>
            <w:tcW w:w="433" w:type="pct"/>
          </w:tcPr>
          <w:p w14:paraId="1240451E"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ka-GE"/>
              </w:rPr>
            </w:pPr>
            <w:r w:rsidRPr="008C1E0E">
              <w:rPr>
                <w:rFonts w:ascii="Lora" w:hAnsi="Lora"/>
                <w:i/>
                <w:iCs/>
                <w:sz w:val="20"/>
                <w:szCs w:val="20"/>
                <w:lang w:val="en-US"/>
              </w:rPr>
              <w:t xml:space="preserve">N/A |Data will be available March 2021.  </w:t>
            </w:r>
          </w:p>
        </w:tc>
        <w:tc>
          <w:tcPr>
            <w:tcW w:w="710" w:type="pct"/>
          </w:tcPr>
          <w:p w14:paraId="46A84A58"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Partially Achieved | Three strategic documents are being drafted in line with the new policy standards - PAR Strategy 2021-2026 and its Action Plan, e-Governance Strategy 2021-2025 </w:t>
            </w:r>
            <w:r w:rsidRPr="008C1E0E">
              <w:rPr>
                <w:rFonts w:ascii="Lora" w:hAnsi="Lora"/>
                <w:i/>
                <w:iCs/>
                <w:sz w:val="20"/>
                <w:szCs w:val="20"/>
                <w:lang w:val="en-US"/>
              </w:rPr>
              <w:lastRenderedPageBreak/>
              <w:t xml:space="preserve">and its Action Plan, Maritime Transport Strategy 2021-2025 and its Action Plan. </w:t>
            </w:r>
          </w:p>
        </w:tc>
        <w:tc>
          <w:tcPr>
            <w:tcW w:w="1415" w:type="pct"/>
          </w:tcPr>
          <w:p w14:paraId="4138DF85"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lastRenderedPageBreak/>
              <w:t xml:space="preserve">All three documents are included in the list of the policy documents to be approved by </w:t>
            </w:r>
            <w:proofErr w:type="spellStart"/>
            <w:r w:rsidRPr="008C1E0E">
              <w:rPr>
                <w:rFonts w:ascii="Lora" w:hAnsi="Lora"/>
                <w:i/>
                <w:iCs/>
                <w:sz w:val="20"/>
                <w:szCs w:val="20"/>
                <w:lang w:val="en-US"/>
              </w:rPr>
              <w:t>AoG</w:t>
            </w:r>
            <w:proofErr w:type="spellEnd"/>
            <w:r w:rsidRPr="008C1E0E">
              <w:rPr>
                <w:rFonts w:ascii="Lora" w:hAnsi="Lora"/>
                <w:i/>
                <w:iCs/>
                <w:sz w:val="20"/>
                <w:szCs w:val="20"/>
                <w:lang w:val="en-US"/>
              </w:rPr>
              <w:t xml:space="preserve"> in compliance with the new policy standards in 2021. Project consultants are actively engaged in the </w:t>
            </w:r>
            <w:proofErr w:type="spellStart"/>
            <w:r w:rsidRPr="008C1E0E">
              <w:rPr>
                <w:rFonts w:ascii="Lora" w:hAnsi="Lora"/>
                <w:i/>
                <w:iCs/>
                <w:sz w:val="20"/>
                <w:szCs w:val="20"/>
                <w:lang w:val="en-US"/>
              </w:rPr>
              <w:t>AoG</w:t>
            </w:r>
            <w:proofErr w:type="spellEnd"/>
            <w:r w:rsidRPr="008C1E0E">
              <w:rPr>
                <w:rFonts w:ascii="Lora" w:hAnsi="Lora"/>
                <w:i/>
                <w:iCs/>
                <w:sz w:val="20"/>
                <w:szCs w:val="20"/>
                <w:lang w:val="en-US"/>
              </w:rPr>
              <w:t xml:space="preserve"> screening process and the target is likely to be fully achieved by March 2021. </w:t>
            </w:r>
          </w:p>
        </w:tc>
      </w:tr>
      <w:tr w:rsidR="00222DAB" w:rsidRPr="00B5699C" w14:paraId="02B1643F" w14:textId="77777777" w:rsidTr="00222DAB">
        <w:trPr>
          <w:trHeight w:val="340"/>
        </w:trPr>
        <w:tc>
          <w:tcPr>
            <w:cnfStyle w:val="001000000000" w:firstRow="0" w:lastRow="0" w:firstColumn="1" w:lastColumn="0" w:oddVBand="0" w:evenVBand="0" w:oddHBand="0" w:evenHBand="0" w:firstRowFirstColumn="0" w:firstRowLastColumn="0" w:lastRowFirstColumn="0" w:lastRowLastColumn="0"/>
            <w:tcW w:w="239" w:type="pct"/>
            <w:vMerge/>
          </w:tcPr>
          <w:p w14:paraId="66F2AF55"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p>
        </w:tc>
        <w:tc>
          <w:tcPr>
            <w:tcW w:w="586" w:type="pct"/>
            <w:vMerge/>
          </w:tcPr>
          <w:p w14:paraId="073D2D65"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41" w:type="pct"/>
          </w:tcPr>
          <w:p w14:paraId="5103232E"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1.2.2</w:t>
            </w:r>
          </w:p>
        </w:tc>
        <w:tc>
          <w:tcPr>
            <w:tcW w:w="585" w:type="pct"/>
          </w:tcPr>
          <w:p w14:paraId="00696AF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Quality of government strategic documents drafted via coaching</w:t>
            </w:r>
          </w:p>
        </w:tc>
        <w:tc>
          <w:tcPr>
            <w:tcW w:w="234" w:type="pct"/>
          </w:tcPr>
          <w:p w14:paraId="673A2621"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3CD59F00"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roofErr w:type="spellStart"/>
            <w:r w:rsidRPr="00B5699C">
              <w:rPr>
                <w:rFonts w:ascii="Lora" w:hAnsi="Lora"/>
                <w:sz w:val="20"/>
                <w:szCs w:val="20"/>
                <w:lang w:val="en-US"/>
              </w:rPr>
              <w:t>AoG's</w:t>
            </w:r>
            <w:proofErr w:type="spellEnd"/>
            <w:r w:rsidRPr="00B5699C">
              <w:rPr>
                <w:rFonts w:ascii="Lora" w:hAnsi="Lora"/>
                <w:sz w:val="20"/>
                <w:szCs w:val="20"/>
                <w:lang w:val="en-US"/>
              </w:rPr>
              <w:t xml:space="preserve"> Positive feedback on all 3 strategic documents drafted by all 3 target ministries</w:t>
            </w:r>
          </w:p>
        </w:tc>
        <w:tc>
          <w:tcPr>
            <w:tcW w:w="433" w:type="pct"/>
          </w:tcPr>
          <w:p w14:paraId="6A419126"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8C1E0E">
              <w:rPr>
                <w:rFonts w:ascii="Lora" w:hAnsi="Lora"/>
                <w:i/>
                <w:iCs/>
                <w:sz w:val="20"/>
                <w:szCs w:val="20"/>
                <w:lang w:val="en-US"/>
              </w:rPr>
              <w:t xml:space="preserve">N/A |Data will be available March 2021.  </w:t>
            </w:r>
          </w:p>
        </w:tc>
        <w:tc>
          <w:tcPr>
            <w:tcW w:w="710" w:type="pct"/>
          </w:tcPr>
          <w:p w14:paraId="706A49F3"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Partially Achieved | Due to COVID-19 disruptions, all three strategies are still in development phase and will be finalized and submitted for review to the </w:t>
            </w:r>
            <w:proofErr w:type="spellStart"/>
            <w:r w:rsidRPr="008C1E0E">
              <w:rPr>
                <w:rFonts w:ascii="Lora" w:hAnsi="Lora"/>
                <w:i/>
                <w:iCs/>
                <w:sz w:val="20"/>
                <w:szCs w:val="20"/>
                <w:lang w:val="en-US"/>
              </w:rPr>
              <w:t>AoG</w:t>
            </w:r>
            <w:proofErr w:type="spellEnd"/>
            <w:r w:rsidRPr="008C1E0E">
              <w:rPr>
                <w:rFonts w:ascii="Lora" w:hAnsi="Lora"/>
                <w:i/>
                <w:iCs/>
                <w:sz w:val="20"/>
                <w:szCs w:val="20"/>
                <w:lang w:val="en-US"/>
              </w:rPr>
              <w:t xml:space="preserve"> in early 2021.</w:t>
            </w:r>
          </w:p>
        </w:tc>
        <w:tc>
          <w:tcPr>
            <w:tcW w:w="1415" w:type="pct"/>
          </w:tcPr>
          <w:p w14:paraId="38A3E5BD"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As creators of all three agencies have close consultations with the </w:t>
            </w:r>
            <w:proofErr w:type="spellStart"/>
            <w:r w:rsidRPr="008C1E0E">
              <w:rPr>
                <w:rFonts w:ascii="Lora" w:hAnsi="Lora"/>
                <w:i/>
                <w:iCs/>
                <w:sz w:val="20"/>
                <w:szCs w:val="20"/>
                <w:lang w:val="en-US"/>
              </w:rPr>
              <w:t>AoG</w:t>
            </w:r>
            <w:proofErr w:type="spellEnd"/>
            <w:r w:rsidRPr="008C1E0E">
              <w:rPr>
                <w:rFonts w:ascii="Lora" w:hAnsi="Lora"/>
                <w:i/>
                <w:iCs/>
                <w:sz w:val="20"/>
                <w:szCs w:val="20"/>
                <w:lang w:val="en-US"/>
              </w:rPr>
              <w:t>, it is expected that they will be positively assessed once submitted for review.</w:t>
            </w:r>
          </w:p>
        </w:tc>
      </w:tr>
      <w:tr w:rsidR="00222DAB" w:rsidRPr="00B5699C" w14:paraId="1E118E70" w14:textId="77777777" w:rsidTr="00222DAB">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239" w:type="pct"/>
            <w:vMerge w:val="restart"/>
          </w:tcPr>
          <w:p w14:paraId="6A5F7D88"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r w:rsidRPr="00B5699C">
              <w:rPr>
                <w:rFonts w:ascii="Lora" w:hAnsi="Lora"/>
                <w:b w:val="0"/>
                <w:bCs w:val="0"/>
                <w:i/>
                <w:iCs/>
                <w:sz w:val="20"/>
                <w:szCs w:val="20"/>
                <w:lang w:val="en-US"/>
              </w:rPr>
              <w:t xml:space="preserve"> </w:t>
            </w:r>
          </w:p>
        </w:tc>
        <w:tc>
          <w:tcPr>
            <w:tcW w:w="586" w:type="pct"/>
            <w:vMerge w:val="restart"/>
          </w:tcPr>
          <w:p w14:paraId="6C5FB089"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Unified electronic system for Policy Planning, Monitoring and Evaluation is operational and meeting its objectives</w:t>
            </w:r>
          </w:p>
        </w:tc>
        <w:tc>
          <w:tcPr>
            <w:tcW w:w="241" w:type="pct"/>
          </w:tcPr>
          <w:p w14:paraId="2E04585B"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1.3.1</w:t>
            </w:r>
          </w:p>
        </w:tc>
        <w:tc>
          <w:tcPr>
            <w:tcW w:w="585" w:type="pct"/>
          </w:tcPr>
          <w:p w14:paraId="77BE53C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Government strategic documents produced using new system</w:t>
            </w:r>
          </w:p>
        </w:tc>
        <w:tc>
          <w:tcPr>
            <w:tcW w:w="234" w:type="pct"/>
          </w:tcPr>
          <w:p w14:paraId="5BA0E66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46B34FC9"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One Government strategic document drafted in the system</w:t>
            </w:r>
          </w:p>
        </w:tc>
        <w:tc>
          <w:tcPr>
            <w:tcW w:w="433" w:type="pct"/>
          </w:tcPr>
          <w:p w14:paraId="6808BA78"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ka-GE"/>
              </w:rPr>
            </w:pPr>
            <w:r w:rsidRPr="00B5699C">
              <w:rPr>
                <w:rFonts w:ascii="Lora" w:hAnsi="Lora"/>
                <w:i/>
                <w:iCs/>
                <w:sz w:val="20"/>
                <w:szCs w:val="20"/>
                <w:lang w:val="en-US"/>
              </w:rPr>
              <w:t xml:space="preserve">Partially Achieved </w:t>
            </w:r>
          </w:p>
        </w:tc>
        <w:tc>
          <w:tcPr>
            <w:tcW w:w="710" w:type="pct"/>
          </w:tcPr>
          <w:p w14:paraId="31E66F60"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1st phase of the government-wide M&amp;E e-System is scheduled to be completed by March 2021. The second phase will be finalized by August 2021 and thus, all three critical stages of public policy-making process – planning, monitoring and evaluation will be integrated into the system. Thus, the Government will be able to draft a strategic document via the system by </w:t>
            </w:r>
            <w:r w:rsidRPr="00B5699C">
              <w:rPr>
                <w:rFonts w:ascii="Lora" w:hAnsi="Lora"/>
                <w:i/>
                <w:iCs/>
                <w:sz w:val="20"/>
                <w:szCs w:val="20"/>
                <w:lang w:val="en-US"/>
              </w:rPr>
              <w:lastRenderedPageBreak/>
              <w:t>September 2021.</w:t>
            </w:r>
          </w:p>
        </w:tc>
        <w:tc>
          <w:tcPr>
            <w:tcW w:w="1415" w:type="pct"/>
          </w:tcPr>
          <w:p w14:paraId="704B9149"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ka-GE"/>
              </w:rPr>
            </w:pPr>
            <w:r w:rsidRPr="00B5699C">
              <w:rPr>
                <w:rFonts w:ascii="Lora" w:hAnsi="Lora"/>
                <w:i/>
                <w:iCs/>
                <w:sz w:val="20"/>
                <w:szCs w:val="20"/>
                <w:lang w:val="en-US"/>
              </w:rPr>
              <w:lastRenderedPageBreak/>
              <w:t>The project supported Administration of the Government of Georgia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to develop and finalize the concept of the M&amp;E e-system together with the Digital Governance Agency (DGA) and through active participation of the line ministries. The project has been facilitating the collaboration on M&amp;E system development between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and DGA from the initial phases; in order to ensure the collaboration continues with the same efforts from both parties once PAR project (phase I) is completed in March 2021, project initiated the process of signing an MoU</w:t>
            </w:r>
            <w:r w:rsidRPr="00B5699C">
              <w:rPr>
                <w:rFonts w:ascii="Lora" w:hAnsi="Lora"/>
                <w:i/>
                <w:iCs/>
                <w:sz w:val="20"/>
                <w:szCs w:val="20"/>
                <w:lang w:val="ka-GE"/>
              </w:rPr>
              <w:t xml:space="preserve"> </w:t>
            </w:r>
            <w:r w:rsidRPr="00B5699C">
              <w:rPr>
                <w:rFonts w:ascii="Lora" w:hAnsi="Lora"/>
                <w:i/>
                <w:iCs/>
                <w:sz w:val="20"/>
                <w:szCs w:val="20"/>
                <w:lang w:val="en-US"/>
              </w:rPr>
              <w:t xml:space="preserve">between the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and DGA. The idea was welcomed from both stakeholders. The MoU will incorporate the responsibilities on the e-system development process after March 2021 once the first phase of the PAR project is completed.</w:t>
            </w:r>
          </w:p>
        </w:tc>
      </w:tr>
      <w:tr w:rsidR="00222DAB" w:rsidRPr="00B5699C" w14:paraId="24A2DFD5" w14:textId="77777777" w:rsidTr="00222DAB">
        <w:trPr>
          <w:trHeight w:val="1230"/>
        </w:trPr>
        <w:tc>
          <w:tcPr>
            <w:cnfStyle w:val="001000000000" w:firstRow="0" w:lastRow="0" w:firstColumn="1" w:lastColumn="0" w:oddVBand="0" w:evenVBand="0" w:oddHBand="0" w:evenHBand="0" w:firstRowFirstColumn="0" w:firstRowLastColumn="0" w:lastRowFirstColumn="0" w:lastRowLastColumn="0"/>
            <w:tcW w:w="239" w:type="pct"/>
            <w:vMerge/>
          </w:tcPr>
          <w:p w14:paraId="22922E57"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p>
        </w:tc>
        <w:tc>
          <w:tcPr>
            <w:tcW w:w="586" w:type="pct"/>
            <w:vMerge/>
          </w:tcPr>
          <w:p w14:paraId="5D08764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41" w:type="pct"/>
          </w:tcPr>
          <w:p w14:paraId="28AF58BE"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1.3.2</w:t>
            </w:r>
          </w:p>
        </w:tc>
        <w:tc>
          <w:tcPr>
            <w:tcW w:w="585" w:type="pct"/>
          </w:tcPr>
          <w:p w14:paraId="69EC32A9"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men and women from the respective ministries and LEPLs trained</w:t>
            </w:r>
          </w:p>
        </w:tc>
        <w:tc>
          <w:tcPr>
            <w:tcW w:w="234" w:type="pct"/>
          </w:tcPr>
          <w:p w14:paraId="25605BBB"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7CABE2B5"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20 men and women designated from the respective ministries and LEPLs trained in usage of the system</w:t>
            </w:r>
          </w:p>
        </w:tc>
        <w:tc>
          <w:tcPr>
            <w:tcW w:w="433" w:type="pct"/>
          </w:tcPr>
          <w:p w14:paraId="6925286C"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 N/A  </w:t>
            </w:r>
          </w:p>
        </w:tc>
        <w:tc>
          <w:tcPr>
            <w:tcW w:w="710" w:type="pct"/>
          </w:tcPr>
          <w:p w14:paraId="518C9C03"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Partially Achieved | 1st phase of the government-wide M&amp;E e-System is scheduled to be completed by March 2021. The trainings will be feasible to conducted after the first phase of the system is completed. </w:t>
            </w:r>
          </w:p>
        </w:tc>
        <w:tc>
          <w:tcPr>
            <w:tcW w:w="1415" w:type="pct"/>
          </w:tcPr>
          <w:p w14:paraId="1A4A04B2"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Training of public servants in usage of the system is planned once the 1</w:t>
            </w:r>
            <w:r w:rsidRPr="00B5699C">
              <w:rPr>
                <w:rFonts w:ascii="Lora" w:hAnsi="Lora"/>
                <w:i/>
                <w:iCs/>
                <w:sz w:val="20"/>
                <w:szCs w:val="20"/>
                <w:vertAlign w:val="superscript"/>
                <w:lang w:val="en-US"/>
              </w:rPr>
              <w:t>st</w:t>
            </w:r>
            <w:r w:rsidRPr="00B5699C">
              <w:rPr>
                <w:rFonts w:ascii="Lora" w:hAnsi="Lora"/>
                <w:i/>
                <w:iCs/>
                <w:sz w:val="20"/>
                <w:szCs w:val="20"/>
                <w:lang w:val="en-US"/>
              </w:rPr>
              <w:t xml:space="preserve"> stage is completed, in April and May 2021 falling outside of the timeframe of the current phase of the PAR project.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has already committed to conduct the trainings once the first phase of the system is completed and this has been articulated in PAR Strategic documents. </w:t>
            </w:r>
          </w:p>
        </w:tc>
      </w:tr>
      <w:tr w:rsidR="00222DAB" w:rsidRPr="00B5699C" w14:paraId="0774B690" w14:textId="77777777" w:rsidTr="0022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771A694"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r w:rsidRPr="00B5699C">
              <w:rPr>
                <w:rFonts w:ascii="Lora" w:hAnsi="Lora"/>
                <w:b w:val="0"/>
                <w:bCs w:val="0"/>
                <w:i/>
                <w:iCs/>
                <w:sz w:val="20"/>
                <w:szCs w:val="20"/>
                <w:lang w:val="en-US"/>
              </w:rPr>
              <w:t xml:space="preserve"> </w:t>
            </w:r>
          </w:p>
        </w:tc>
        <w:tc>
          <w:tcPr>
            <w:tcW w:w="586" w:type="pct"/>
          </w:tcPr>
          <w:p w14:paraId="7E10381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New training module on policy planning, monitoring and evaluation incorporates inclusive public participation elements</w:t>
            </w:r>
          </w:p>
        </w:tc>
        <w:tc>
          <w:tcPr>
            <w:tcW w:w="241" w:type="pct"/>
          </w:tcPr>
          <w:p w14:paraId="4F445FEF"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1.4.2</w:t>
            </w:r>
          </w:p>
        </w:tc>
        <w:tc>
          <w:tcPr>
            <w:tcW w:w="585" w:type="pct"/>
          </w:tcPr>
          <w:p w14:paraId="0D2139A8"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Rate of female and male participants reporting usage of inclusive public participation elements</w:t>
            </w:r>
          </w:p>
        </w:tc>
        <w:tc>
          <w:tcPr>
            <w:tcW w:w="234" w:type="pct"/>
          </w:tcPr>
          <w:p w14:paraId="4EAD8FBD"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737017DB"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60% of participants demonstrate the understanding of inclusive public participation elements</w:t>
            </w:r>
          </w:p>
        </w:tc>
        <w:tc>
          <w:tcPr>
            <w:tcW w:w="433" w:type="pct"/>
          </w:tcPr>
          <w:p w14:paraId="2E50105D"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Achieved |75%</w:t>
            </w:r>
          </w:p>
        </w:tc>
        <w:tc>
          <w:tcPr>
            <w:tcW w:w="710" w:type="pct"/>
          </w:tcPr>
          <w:p w14:paraId="5090978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b/>
                <w:bCs/>
                <w:i/>
                <w:iCs/>
                <w:sz w:val="20"/>
                <w:szCs w:val="20"/>
                <w:lang w:val="en-US"/>
              </w:rPr>
            </w:pPr>
            <w:r w:rsidRPr="00B5699C">
              <w:rPr>
                <w:rFonts w:ascii="Lora" w:hAnsi="Lora"/>
                <w:i/>
                <w:iCs/>
                <w:sz w:val="20"/>
                <w:szCs w:val="20"/>
                <w:lang w:val="en-US"/>
              </w:rPr>
              <w:t xml:space="preserve">75% of participants demonstrated the understanding of inclusive public participation elements via providing correct answers to 2 public participation questions included in the final exam of the training.  </w:t>
            </w:r>
          </w:p>
        </w:tc>
        <w:tc>
          <w:tcPr>
            <w:tcW w:w="1415" w:type="pct"/>
          </w:tcPr>
          <w:p w14:paraId="5611E46B"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The project supported an independent CSO study on compliance with public participation component in policy making as part of which the researchers have developed an index for measuring the public participation element in the policy making process that can serve as an effective tool to measure public engagement in the future. </w:t>
            </w:r>
          </w:p>
        </w:tc>
      </w:tr>
      <w:tr w:rsidR="00222DAB" w:rsidRPr="00B5699C" w14:paraId="423B158B" w14:textId="77777777" w:rsidTr="00222DAB">
        <w:tc>
          <w:tcPr>
            <w:cnfStyle w:val="001000000000" w:firstRow="0" w:lastRow="0" w:firstColumn="1" w:lastColumn="0" w:oddVBand="0" w:evenVBand="0" w:oddHBand="0" w:evenHBand="0" w:firstRowFirstColumn="0" w:firstRowLastColumn="0" w:lastRowFirstColumn="0" w:lastRowLastColumn="0"/>
            <w:tcW w:w="239" w:type="pct"/>
          </w:tcPr>
          <w:p w14:paraId="238C760D"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p>
        </w:tc>
        <w:tc>
          <w:tcPr>
            <w:tcW w:w="586" w:type="pct"/>
          </w:tcPr>
          <w:p w14:paraId="5E998BF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roofErr w:type="spellStart"/>
            <w:r w:rsidRPr="00B5699C">
              <w:rPr>
                <w:rFonts w:ascii="Lora" w:hAnsi="Lora"/>
                <w:sz w:val="20"/>
                <w:szCs w:val="20"/>
                <w:lang w:val="en-US"/>
              </w:rPr>
              <w:t>AoG</w:t>
            </w:r>
            <w:proofErr w:type="spellEnd"/>
            <w:r w:rsidRPr="00B5699C">
              <w:rPr>
                <w:rFonts w:ascii="Lora" w:hAnsi="Lora"/>
                <w:sz w:val="20"/>
                <w:szCs w:val="20"/>
                <w:lang w:val="en-US"/>
              </w:rPr>
              <w:t xml:space="preserve"> has tools to improve the communication on PAR both internally and externally </w:t>
            </w:r>
          </w:p>
        </w:tc>
        <w:tc>
          <w:tcPr>
            <w:tcW w:w="241" w:type="pct"/>
          </w:tcPr>
          <w:p w14:paraId="439C5CC0"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1.5.1 </w:t>
            </w:r>
          </w:p>
        </w:tc>
        <w:tc>
          <w:tcPr>
            <w:tcW w:w="585" w:type="pct"/>
          </w:tcPr>
          <w:p w14:paraId="609F048B"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PAR communication strategy and action plan drafted</w:t>
            </w:r>
          </w:p>
        </w:tc>
        <w:tc>
          <w:tcPr>
            <w:tcW w:w="234" w:type="pct"/>
          </w:tcPr>
          <w:p w14:paraId="4F7E3DAF"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39113FB6"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PAR communication strategy and action plan drafted and approved</w:t>
            </w:r>
          </w:p>
        </w:tc>
        <w:tc>
          <w:tcPr>
            <w:tcW w:w="433" w:type="pct"/>
          </w:tcPr>
          <w:p w14:paraId="65C5FA7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Partially Achieved | PAR communication strategy </w:t>
            </w:r>
            <w:r w:rsidRPr="00B5699C">
              <w:rPr>
                <w:rFonts w:ascii="Lora" w:hAnsi="Lora"/>
                <w:i/>
                <w:iCs/>
                <w:sz w:val="20"/>
                <w:szCs w:val="20"/>
                <w:lang w:val="en-US"/>
              </w:rPr>
              <w:lastRenderedPageBreak/>
              <w:t>and action plan drafted</w:t>
            </w:r>
          </w:p>
        </w:tc>
        <w:tc>
          <w:tcPr>
            <w:tcW w:w="710" w:type="pct"/>
          </w:tcPr>
          <w:p w14:paraId="77277149"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lastRenderedPageBreak/>
              <w:t xml:space="preserve">PAR communication strategy and action plan were shared with the PAR Council and will be officially adopted </w:t>
            </w:r>
            <w:r w:rsidRPr="00B5699C">
              <w:rPr>
                <w:rFonts w:ascii="Lora" w:hAnsi="Lora"/>
                <w:i/>
                <w:iCs/>
                <w:sz w:val="20"/>
                <w:szCs w:val="20"/>
                <w:lang w:val="en-US"/>
              </w:rPr>
              <w:lastRenderedPageBreak/>
              <w:t>on the next PAR Council’s session (March 2021).</w:t>
            </w:r>
          </w:p>
          <w:p w14:paraId="3F320298"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p w14:paraId="7C9A4B78"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c>
          <w:tcPr>
            <w:tcW w:w="1415" w:type="pct"/>
          </w:tcPr>
          <w:p w14:paraId="464E3B05"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lastRenderedPageBreak/>
              <w:t xml:space="preserve">The PAR Communication Strategy and its Tactical Plan were finalized in October 2020. The piloting of the Strategy and Tactical Plan across at least two pillars (public policy and service delivery) is foreseen as part of the next UNDP PAR </w:t>
            </w:r>
            <w:r w:rsidRPr="00B5699C">
              <w:rPr>
                <w:rFonts w:ascii="Lora" w:hAnsi="Lora"/>
                <w:i/>
                <w:iCs/>
                <w:sz w:val="20"/>
                <w:szCs w:val="20"/>
                <w:lang w:val="en-US"/>
              </w:rPr>
              <w:lastRenderedPageBreak/>
              <w:t>Project.</w:t>
            </w:r>
          </w:p>
        </w:tc>
      </w:tr>
      <w:tr w:rsidR="00222DAB" w:rsidRPr="00B5699C" w14:paraId="35279400" w14:textId="77777777" w:rsidTr="0022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FB65075" w14:textId="77777777" w:rsidR="00222DAB" w:rsidRPr="00B5699C" w:rsidRDefault="00222DAB" w:rsidP="00EB743C">
            <w:pPr>
              <w:pStyle w:val="ListParagraph"/>
              <w:numPr>
                <w:ilvl w:val="0"/>
                <w:numId w:val="49"/>
              </w:numPr>
              <w:ind w:left="430"/>
              <w:rPr>
                <w:rFonts w:ascii="Lora" w:hAnsi="Lora"/>
                <w:b w:val="0"/>
                <w:bCs w:val="0"/>
                <w:i/>
                <w:iCs/>
                <w:sz w:val="20"/>
                <w:szCs w:val="20"/>
                <w:lang w:val="en-US"/>
              </w:rPr>
            </w:pPr>
          </w:p>
        </w:tc>
        <w:tc>
          <w:tcPr>
            <w:tcW w:w="586" w:type="pct"/>
          </w:tcPr>
          <w:p w14:paraId="403985F9"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roofErr w:type="spellStart"/>
            <w:r w:rsidRPr="00B5699C">
              <w:rPr>
                <w:rFonts w:ascii="Lora" w:hAnsi="Lora"/>
                <w:sz w:val="20"/>
                <w:szCs w:val="20"/>
                <w:lang w:val="en-US"/>
              </w:rPr>
              <w:t>AoG</w:t>
            </w:r>
            <w:proofErr w:type="spellEnd"/>
            <w:r w:rsidRPr="00B5699C">
              <w:rPr>
                <w:rFonts w:ascii="Lora" w:hAnsi="Lora"/>
                <w:sz w:val="20"/>
                <w:szCs w:val="20"/>
                <w:lang w:val="en-US"/>
              </w:rPr>
              <w:t xml:space="preserve"> is able to launch and steer the implementation of the PAR beyond 2020</w:t>
            </w:r>
          </w:p>
        </w:tc>
        <w:tc>
          <w:tcPr>
            <w:tcW w:w="241" w:type="pct"/>
          </w:tcPr>
          <w:p w14:paraId="79D589D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1.6.1</w:t>
            </w:r>
          </w:p>
        </w:tc>
        <w:tc>
          <w:tcPr>
            <w:tcW w:w="585" w:type="pct"/>
          </w:tcPr>
          <w:p w14:paraId="10158B32"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New PAR Strategy and Action plan for 2021-2024 is compliant with new policy guidelines and is based on PAR Roadmap 2020 review</w:t>
            </w:r>
          </w:p>
        </w:tc>
        <w:tc>
          <w:tcPr>
            <w:tcW w:w="234" w:type="pct"/>
          </w:tcPr>
          <w:p w14:paraId="2589B65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557" w:type="pct"/>
          </w:tcPr>
          <w:p w14:paraId="2F24CB6C"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PAR Strategy and action plan for 2021-2024 drafted and approved by </w:t>
            </w:r>
            <w:proofErr w:type="spellStart"/>
            <w:r w:rsidRPr="00B5699C">
              <w:rPr>
                <w:rFonts w:ascii="Lora" w:hAnsi="Lora"/>
                <w:sz w:val="20"/>
                <w:szCs w:val="20"/>
                <w:lang w:val="en-US"/>
              </w:rPr>
              <w:t>GoG</w:t>
            </w:r>
            <w:proofErr w:type="spellEnd"/>
          </w:p>
        </w:tc>
        <w:tc>
          <w:tcPr>
            <w:tcW w:w="433" w:type="pct"/>
          </w:tcPr>
          <w:p w14:paraId="319CC155"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Partially Achieved | PAR Strategy and action plan for is being developed </w:t>
            </w:r>
          </w:p>
        </w:tc>
        <w:tc>
          <w:tcPr>
            <w:tcW w:w="710" w:type="pct"/>
          </w:tcPr>
          <w:p w14:paraId="65B19E3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b/>
                <w:bCs/>
                <w:i/>
                <w:iCs/>
                <w:sz w:val="20"/>
                <w:szCs w:val="20"/>
                <w:lang w:val="en-US"/>
              </w:rPr>
            </w:pPr>
            <w:r w:rsidRPr="00B5699C">
              <w:rPr>
                <w:rFonts w:ascii="Lora" w:hAnsi="Lora"/>
                <w:i/>
                <w:iCs/>
                <w:sz w:val="20"/>
                <w:szCs w:val="20"/>
                <w:lang w:val="en-US"/>
              </w:rPr>
              <w:t xml:space="preserve">New PAR Strategy and its Action Plan is being drafted in collaboration with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and UN Women. The team of consultants has conducted multiple focus groups and workshops with academia, CSOs and public entities for the purposes of drafting situational analysis and problem tree of the document, further workshops are expected to take place in January/February 2021 to prioritize the problems, develop Logical Framework with the respective indicators, monitoring and evaluation plan and action plan. The document is </w:t>
            </w:r>
            <w:r w:rsidRPr="00B5699C">
              <w:rPr>
                <w:rFonts w:ascii="Lora" w:hAnsi="Lora"/>
                <w:i/>
                <w:iCs/>
                <w:sz w:val="20"/>
                <w:szCs w:val="20"/>
                <w:lang w:val="en-US"/>
              </w:rPr>
              <w:lastRenderedPageBreak/>
              <w:t xml:space="preserve">expected to be finalized in March 2021. </w:t>
            </w:r>
          </w:p>
        </w:tc>
        <w:tc>
          <w:tcPr>
            <w:tcW w:w="1415" w:type="pct"/>
          </w:tcPr>
          <w:p w14:paraId="6A0F70A1"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lastRenderedPageBreak/>
              <w:t xml:space="preserve">PAR Roadmap 2020 expired in December 2020 and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the main administrative body overseeing and coordinating the reform initiated the process of developing the new PAR Strategy. New PAR Strategy for 2021-2024 and associated Action Plan will be developed in line with new policy standards and a strong focus on GESI elements with the project support ensuring the high quality of the document. </w:t>
            </w:r>
          </w:p>
          <w:p w14:paraId="6D60C9B8"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Moreover, in December 2020, the Government officially submitted the Program for years 2021-2024. Chapter 4 of this program, titled “Public Administration” stipulates, “Professional, conscientious, functional public administration system will form the basis for effective implementation of the government… Continued reform of Public Administration and enhancing cooperation with international partners in this area remains a priority for this Government.” Further, the chapter outlines the priorities of policy planning and coordination, continued reform of civil service, promotion of transparency and accountability, de-concentration and decentralization, development of service delivery and e-governance, and enhancement of cyber-security as key priority areas. The program states, that these priorities will be further </w:t>
            </w:r>
            <w:r w:rsidRPr="00B5699C">
              <w:rPr>
                <w:rFonts w:ascii="Lora" w:hAnsi="Lora"/>
                <w:i/>
                <w:iCs/>
                <w:sz w:val="20"/>
                <w:szCs w:val="20"/>
                <w:lang w:val="en-US"/>
              </w:rPr>
              <w:lastRenderedPageBreak/>
              <w:t>expanded upon in the new Public Administration Reform Strategy 2021-2024. All of these priorities and their wording reflect the elements developed in collaboration with UNDP PAR project during the first phase of implementation, while some elements, especially in policy planning and coordination, as well as service delivery can be considered as directly impacted by the UNDP PAR project.</w:t>
            </w:r>
            <w:r w:rsidRPr="00AE6565">
              <w:rPr>
                <w:rFonts w:ascii="Lora" w:hAnsi="Lora" w:cstheme="minorHAnsi"/>
                <w:lang w:val="en-US"/>
              </w:rPr>
              <w:t xml:space="preserve"> </w:t>
            </w:r>
          </w:p>
        </w:tc>
      </w:tr>
    </w:tbl>
    <w:p w14:paraId="0A2797B8" w14:textId="77777777" w:rsidR="00222DAB" w:rsidRPr="00B5699C" w:rsidRDefault="00222DAB" w:rsidP="00222DAB">
      <w:pPr>
        <w:rPr>
          <w:rFonts w:ascii="Lora" w:hAnsi="Lora"/>
          <w:b/>
          <w:bCs/>
          <w:i/>
          <w:iCs/>
        </w:rPr>
      </w:pPr>
    </w:p>
    <w:p w14:paraId="2BF4236B" w14:textId="77777777" w:rsidR="00222DAB" w:rsidRPr="00B5699C" w:rsidRDefault="00222DAB" w:rsidP="00222DAB">
      <w:pPr>
        <w:rPr>
          <w:rFonts w:ascii="Lora" w:hAnsi="Lora"/>
          <w:b/>
          <w:bCs/>
          <w:i/>
          <w:iCs/>
        </w:rPr>
      </w:pPr>
    </w:p>
    <w:p w14:paraId="4FFF94D7" w14:textId="77777777" w:rsidR="00222DAB" w:rsidRPr="00222DAB" w:rsidRDefault="00222DAB" w:rsidP="00222DAB">
      <w:pPr>
        <w:rPr>
          <w:rFonts w:ascii="Arial" w:hAnsi="Arial" w:cs="Arial"/>
          <w:b/>
          <w:color w:val="4F81BD" w:themeColor="accent1"/>
        </w:rPr>
      </w:pPr>
      <w:bookmarkStart w:id="44" w:name="_Toc61483715"/>
      <w:r w:rsidRPr="00222DAB">
        <w:rPr>
          <w:rFonts w:ascii="Arial" w:hAnsi="Arial" w:cs="Arial"/>
          <w:b/>
          <w:color w:val="4F81BD" w:themeColor="accent1"/>
        </w:rPr>
        <w:t>Outcome 2</w:t>
      </w:r>
      <w:bookmarkEnd w:id="44"/>
      <w:r w:rsidRPr="00222DAB">
        <w:rPr>
          <w:rFonts w:ascii="Arial" w:hAnsi="Arial" w:cs="Arial"/>
          <w:b/>
          <w:color w:val="4F81BD" w:themeColor="accent1"/>
        </w:rPr>
        <w:t xml:space="preserve"> </w:t>
      </w:r>
    </w:p>
    <w:p w14:paraId="1AFDD533" w14:textId="77777777" w:rsidR="00222DAB" w:rsidRPr="00B5699C" w:rsidRDefault="00222DAB" w:rsidP="00222DAB">
      <w:pPr>
        <w:rPr>
          <w:rFonts w:ascii="Lora" w:hAnsi="Lora"/>
          <w:b/>
          <w:bCs/>
          <w:i/>
          <w:iCs/>
        </w:rPr>
      </w:pPr>
      <w:r w:rsidRPr="00B5699C">
        <w:rPr>
          <w:rFonts w:ascii="Lora" w:hAnsi="Lora"/>
          <w:b/>
          <w:bCs/>
          <w:i/>
          <w:iCs/>
        </w:rPr>
        <w:t>Performance of Civil Service is more professional and effective</w:t>
      </w:r>
    </w:p>
    <w:tbl>
      <w:tblPr>
        <w:tblStyle w:val="GridTable4-Accent11"/>
        <w:tblW w:w="5000" w:type="pct"/>
        <w:tblLook w:val="04A0" w:firstRow="1" w:lastRow="0" w:firstColumn="1" w:lastColumn="0" w:noHBand="0" w:noVBand="1"/>
      </w:tblPr>
      <w:tblGrid>
        <w:gridCol w:w="470"/>
        <w:gridCol w:w="1922"/>
        <w:gridCol w:w="913"/>
        <w:gridCol w:w="2418"/>
        <w:gridCol w:w="977"/>
        <w:gridCol w:w="2026"/>
        <w:gridCol w:w="4450"/>
      </w:tblGrid>
      <w:tr w:rsidR="00222DAB" w:rsidRPr="00B5699C" w14:paraId="39820A29" w14:textId="77777777" w:rsidTr="00222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Pr>
          <w:p w14:paraId="16E8B7E2" w14:textId="77777777" w:rsidR="00222DAB" w:rsidRPr="00B5699C" w:rsidRDefault="00222DAB" w:rsidP="00222DAB">
            <w:pPr>
              <w:jc w:val="center"/>
              <w:rPr>
                <w:rFonts w:ascii="Lora" w:hAnsi="Lora"/>
                <w:i/>
                <w:iCs/>
                <w:sz w:val="20"/>
                <w:szCs w:val="20"/>
                <w:lang w:val="en-US"/>
              </w:rPr>
            </w:pPr>
            <w:r w:rsidRPr="00B5699C">
              <w:rPr>
                <w:rFonts w:ascii="Lora" w:hAnsi="Lora"/>
                <w:i/>
                <w:iCs/>
                <w:sz w:val="20"/>
                <w:szCs w:val="20"/>
                <w:lang w:val="en-US"/>
              </w:rPr>
              <w:t>#</w:t>
            </w:r>
          </w:p>
        </w:tc>
        <w:tc>
          <w:tcPr>
            <w:tcW w:w="734" w:type="pct"/>
          </w:tcPr>
          <w:p w14:paraId="78E30EF9"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Outcome Indicator</w:t>
            </w:r>
          </w:p>
        </w:tc>
        <w:tc>
          <w:tcPr>
            <w:tcW w:w="337" w:type="pct"/>
          </w:tcPr>
          <w:p w14:paraId="39C2574D"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Baseline</w:t>
            </w:r>
          </w:p>
        </w:tc>
        <w:tc>
          <w:tcPr>
            <w:tcW w:w="922" w:type="pct"/>
          </w:tcPr>
          <w:p w14:paraId="6F9BEDBA"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Target </w:t>
            </w:r>
          </w:p>
        </w:tc>
        <w:tc>
          <w:tcPr>
            <w:tcW w:w="375" w:type="pct"/>
          </w:tcPr>
          <w:p w14:paraId="4BFBE0B8"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Progress to date </w:t>
            </w:r>
          </w:p>
        </w:tc>
        <w:tc>
          <w:tcPr>
            <w:tcW w:w="773" w:type="pct"/>
          </w:tcPr>
          <w:p w14:paraId="18E8DF45"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Status </w:t>
            </w:r>
          </w:p>
        </w:tc>
        <w:tc>
          <w:tcPr>
            <w:tcW w:w="1693" w:type="pct"/>
          </w:tcPr>
          <w:p w14:paraId="38CA072D"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Issues and Next Steps </w:t>
            </w:r>
          </w:p>
        </w:tc>
      </w:tr>
      <w:tr w:rsidR="00222DAB" w:rsidRPr="00B5699C" w14:paraId="55DEFC11" w14:textId="77777777" w:rsidTr="0022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Pr>
          <w:p w14:paraId="4CCCA54E" w14:textId="77777777" w:rsidR="00222DAB" w:rsidRPr="00B5699C" w:rsidRDefault="00222DAB" w:rsidP="00222DAB">
            <w:pPr>
              <w:tabs>
                <w:tab w:val="left" w:pos="340"/>
                <w:tab w:val="left" w:pos="430"/>
              </w:tabs>
              <w:rPr>
                <w:rFonts w:ascii="Lora" w:hAnsi="Lora"/>
                <w:b w:val="0"/>
                <w:bCs w:val="0"/>
                <w:sz w:val="20"/>
                <w:szCs w:val="20"/>
                <w:lang w:val="en-US"/>
              </w:rPr>
            </w:pPr>
            <w:r w:rsidRPr="00B5699C">
              <w:rPr>
                <w:rFonts w:ascii="Lora" w:hAnsi="Lora"/>
                <w:b w:val="0"/>
                <w:bCs w:val="0"/>
                <w:sz w:val="20"/>
                <w:szCs w:val="20"/>
                <w:lang w:val="en-US"/>
              </w:rPr>
              <w:t xml:space="preserve">2.1 </w:t>
            </w:r>
          </w:p>
        </w:tc>
        <w:tc>
          <w:tcPr>
            <w:tcW w:w="734" w:type="pct"/>
          </w:tcPr>
          <w:p w14:paraId="61EE7614" w14:textId="77777777" w:rsidR="00222DAB" w:rsidRPr="00AE6565"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Share of female and male civil servants whose individual performance plans are in line with organizational strategic goals/objectives</w:t>
            </w:r>
          </w:p>
        </w:tc>
        <w:tc>
          <w:tcPr>
            <w:tcW w:w="337" w:type="pct"/>
          </w:tcPr>
          <w:p w14:paraId="1434C7D1"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922" w:type="pct"/>
          </w:tcPr>
          <w:p w14:paraId="47E25BA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80% of female and male civil servants of target Ministries’ individual performance plans are in line with organization strategic goals/objectives</w:t>
            </w:r>
          </w:p>
        </w:tc>
        <w:tc>
          <w:tcPr>
            <w:tcW w:w="375" w:type="pct"/>
          </w:tcPr>
          <w:p w14:paraId="51E27DB1" w14:textId="77777777" w:rsidR="00222DAB" w:rsidRPr="00B5699C"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sz w:val="20"/>
                <w:szCs w:val="20"/>
                <w:lang w:val="en-US"/>
              </w:rPr>
              <w:t>0</w:t>
            </w:r>
          </w:p>
        </w:tc>
        <w:tc>
          <w:tcPr>
            <w:tcW w:w="773" w:type="pct"/>
          </w:tcPr>
          <w:p w14:paraId="78FCC457" w14:textId="77777777" w:rsidR="00222DAB" w:rsidRPr="00B5699C"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Partially Achieved | Data will be available March 2021.  </w:t>
            </w:r>
          </w:p>
        </w:tc>
        <w:tc>
          <w:tcPr>
            <w:tcW w:w="1693" w:type="pct"/>
          </w:tcPr>
          <w:p w14:paraId="14054408" w14:textId="77777777" w:rsidR="00222DAB" w:rsidRPr="00B5699C"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Due to COVID-19-related emergency the consultancy support at the three target ministries has been delayed. However, by January 2021, the local experts provided significant assistance in enhancing performance appraisal models and related documents/forms. Individual performance plans have been already revised in the Ministry of Environment and Agriculture and aligned with departmental goals. Similar work is underway in the Ministry of IDPs, Health, Labor, and Social Affairs. Additionally, the same work is ongoing at the </w:t>
            </w:r>
            <w:proofErr w:type="spellStart"/>
            <w:r w:rsidRPr="00B5699C">
              <w:rPr>
                <w:rFonts w:ascii="Lora" w:hAnsi="Lora"/>
                <w:i/>
                <w:iCs/>
                <w:sz w:val="20"/>
                <w:szCs w:val="20"/>
                <w:lang w:val="en-US"/>
              </w:rPr>
              <w:t>AoG</w:t>
            </w:r>
            <w:proofErr w:type="spellEnd"/>
            <w:r w:rsidRPr="00B5699C">
              <w:rPr>
                <w:rFonts w:ascii="Lora" w:hAnsi="Lora"/>
                <w:i/>
                <w:iCs/>
                <w:sz w:val="20"/>
                <w:szCs w:val="20"/>
                <w:lang w:val="en-US"/>
              </w:rPr>
              <w:t xml:space="preserve"> with the project support.</w:t>
            </w:r>
          </w:p>
          <w:p w14:paraId="290F954A" w14:textId="77777777" w:rsidR="00222DAB" w:rsidRPr="00B5699C"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p>
        </w:tc>
      </w:tr>
      <w:tr w:rsidR="00222DAB" w:rsidRPr="00B5699C" w14:paraId="2403E00A" w14:textId="77777777" w:rsidTr="00222DAB">
        <w:tc>
          <w:tcPr>
            <w:cnfStyle w:val="001000000000" w:firstRow="0" w:lastRow="0" w:firstColumn="1" w:lastColumn="0" w:oddVBand="0" w:evenVBand="0" w:oddHBand="0" w:evenHBand="0" w:firstRowFirstColumn="0" w:firstRowLastColumn="0" w:lastRowFirstColumn="0" w:lastRowLastColumn="0"/>
            <w:tcW w:w="166" w:type="pct"/>
          </w:tcPr>
          <w:p w14:paraId="6678FD41" w14:textId="77777777" w:rsidR="00222DAB" w:rsidRPr="00B5699C" w:rsidRDefault="00222DAB" w:rsidP="00222DAB">
            <w:pPr>
              <w:tabs>
                <w:tab w:val="left" w:pos="430"/>
              </w:tabs>
              <w:rPr>
                <w:rFonts w:ascii="Lora" w:hAnsi="Lora"/>
                <w:b w:val="0"/>
                <w:bCs w:val="0"/>
                <w:sz w:val="20"/>
                <w:szCs w:val="20"/>
                <w:lang w:val="en-US"/>
              </w:rPr>
            </w:pPr>
            <w:r w:rsidRPr="00B5699C">
              <w:rPr>
                <w:rFonts w:ascii="Lora" w:hAnsi="Lora"/>
                <w:b w:val="0"/>
                <w:bCs w:val="0"/>
                <w:sz w:val="20"/>
                <w:szCs w:val="20"/>
                <w:lang w:val="en-US"/>
              </w:rPr>
              <w:t xml:space="preserve">2.2  </w:t>
            </w:r>
          </w:p>
        </w:tc>
        <w:tc>
          <w:tcPr>
            <w:tcW w:w="734" w:type="pct"/>
          </w:tcPr>
          <w:p w14:paraId="4A9881BA" w14:textId="77777777" w:rsidR="00222DAB" w:rsidRPr="00AE6565"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Share of female and male civil servants satisfied with individual   performance plans</w:t>
            </w:r>
          </w:p>
        </w:tc>
        <w:tc>
          <w:tcPr>
            <w:tcW w:w="337" w:type="pct"/>
          </w:tcPr>
          <w:p w14:paraId="57B5919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922" w:type="pct"/>
          </w:tcPr>
          <w:p w14:paraId="6BA01417"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70 % of targeted female and male civil servants satisfied</w:t>
            </w:r>
          </w:p>
        </w:tc>
        <w:tc>
          <w:tcPr>
            <w:tcW w:w="375" w:type="pct"/>
          </w:tcPr>
          <w:p w14:paraId="772FB14F"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sz w:val="20"/>
                <w:szCs w:val="20"/>
                <w:lang w:val="en-US"/>
              </w:rPr>
              <w:t>0</w:t>
            </w:r>
          </w:p>
        </w:tc>
        <w:tc>
          <w:tcPr>
            <w:tcW w:w="773" w:type="pct"/>
          </w:tcPr>
          <w:p w14:paraId="7BB226BF"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N/A | Data will be available March 2021.  </w:t>
            </w:r>
          </w:p>
        </w:tc>
        <w:tc>
          <w:tcPr>
            <w:tcW w:w="1693" w:type="pct"/>
          </w:tcPr>
          <w:p w14:paraId="7C8561BF" w14:textId="77777777" w:rsidR="00222DAB" w:rsidRPr="008C1E0E"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The analysis will be conducted by end of February 2021.   </w:t>
            </w:r>
          </w:p>
        </w:tc>
      </w:tr>
      <w:tr w:rsidR="00222DAB" w:rsidRPr="00B5699C" w14:paraId="02707F6C" w14:textId="77777777" w:rsidTr="0022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tcPr>
          <w:p w14:paraId="43B698A7" w14:textId="77777777" w:rsidR="00222DAB" w:rsidRPr="00B5699C" w:rsidRDefault="00222DAB" w:rsidP="00222DAB">
            <w:pPr>
              <w:tabs>
                <w:tab w:val="left" w:pos="340"/>
                <w:tab w:val="left" w:pos="430"/>
              </w:tabs>
              <w:rPr>
                <w:rFonts w:ascii="Lora" w:hAnsi="Lora"/>
                <w:b w:val="0"/>
                <w:bCs w:val="0"/>
                <w:sz w:val="20"/>
                <w:szCs w:val="20"/>
                <w:lang w:val="en-US"/>
              </w:rPr>
            </w:pPr>
            <w:r w:rsidRPr="00B5699C">
              <w:rPr>
                <w:rFonts w:ascii="Lora" w:hAnsi="Lora"/>
                <w:b w:val="0"/>
                <w:bCs w:val="0"/>
                <w:sz w:val="20"/>
                <w:szCs w:val="20"/>
                <w:lang w:val="en-US"/>
              </w:rPr>
              <w:lastRenderedPageBreak/>
              <w:t>2.3</w:t>
            </w:r>
          </w:p>
        </w:tc>
        <w:tc>
          <w:tcPr>
            <w:tcW w:w="734" w:type="pct"/>
          </w:tcPr>
          <w:p w14:paraId="4F0B2146" w14:textId="77777777" w:rsidR="00222DAB" w:rsidRPr="00AE6565"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Quality of drafted individual performance plans</w:t>
            </w:r>
          </w:p>
        </w:tc>
        <w:tc>
          <w:tcPr>
            <w:tcW w:w="337" w:type="pct"/>
          </w:tcPr>
          <w:p w14:paraId="790855C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922" w:type="pct"/>
          </w:tcPr>
          <w:p w14:paraId="4FCF2A2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90% of the individual plans meet quality standards developed by an expert</w:t>
            </w:r>
          </w:p>
        </w:tc>
        <w:tc>
          <w:tcPr>
            <w:tcW w:w="375" w:type="pct"/>
          </w:tcPr>
          <w:p w14:paraId="5990EE03"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sz w:val="20"/>
                <w:szCs w:val="20"/>
                <w:lang w:val="en-US"/>
              </w:rPr>
              <w:t>0</w:t>
            </w:r>
          </w:p>
        </w:tc>
        <w:tc>
          <w:tcPr>
            <w:tcW w:w="773" w:type="pct"/>
          </w:tcPr>
          <w:p w14:paraId="2807CCBF"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b/>
                <w:bCs/>
                <w:i/>
                <w:iCs/>
                <w:sz w:val="20"/>
                <w:szCs w:val="20"/>
                <w:lang w:val="en-US"/>
              </w:rPr>
            </w:pPr>
            <w:r w:rsidRPr="008C1E0E">
              <w:rPr>
                <w:rFonts w:ascii="Lora" w:hAnsi="Lora"/>
                <w:i/>
                <w:iCs/>
                <w:sz w:val="20"/>
                <w:szCs w:val="20"/>
                <w:lang w:val="en-US"/>
              </w:rPr>
              <w:t xml:space="preserve">N/A | Data will be available March 2021.  </w:t>
            </w:r>
          </w:p>
        </w:tc>
        <w:tc>
          <w:tcPr>
            <w:tcW w:w="1693" w:type="pct"/>
          </w:tcPr>
          <w:p w14:paraId="4E468531" w14:textId="77777777" w:rsidR="00222DAB" w:rsidRPr="008C1E0E"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8C1E0E">
              <w:rPr>
                <w:rFonts w:ascii="Lora" w:hAnsi="Lora"/>
                <w:i/>
                <w:iCs/>
                <w:sz w:val="20"/>
                <w:szCs w:val="20"/>
                <w:lang w:val="en-US"/>
              </w:rPr>
              <w:t>The analysis will be conducted by end of February 2021.</w:t>
            </w:r>
          </w:p>
        </w:tc>
      </w:tr>
      <w:tr w:rsidR="00222DAB" w:rsidRPr="00B5699C" w14:paraId="30152ECD" w14:textId="77777777" w:rsidTr="00222DAB">
        <w:tc>
          <w:tcPr>
            <w:cnfStyle w:val="001000000000" w:firstRow="0" w:lastRow="0" w:firstColumn="1" w:lastColumn="0" w:oddVBand="0" w:evenVBand="0" w:oddHBand="0" w:evenHBand="0" w:firstRowFirstColumn="0" w:firstRowLastColumn="0" w:lastRowFirstColumn="0" w:lastRowLastColumn="0"/>
            <w:tcW w:w="166" w:type="pct"/>
          </w:tcPr>
          <w:p w14:paraId="30D504D0" w14:textId="77777777" w:rsidR="00222DAB" w:rsidRPr="00B5699C" w:rsidRDefault="00222DAB" w:rsidP="00222DAB">
            <w:pPr>
              <w:tabs>
                <w:tab w:val="left" w:pos="340"/>
                <w:tab w:val="left" w:pos="430"/>
              </w:tabs>
              <w:rPr>
                <w:rFonts w:ascii="Lora" w:hAnsi="Lora"/>
                <w:b w:val="0"/>
                <w:bCs w:val="0"/>
                <w:sz w:val="20"/>
                <w:szCs w:val="20"/>
                <w:lang w:val="en-US"/>
              </w:rPr>
            </w:pPr>
            <w:r w:rsidRPr="00B5699C">
              <w:rPr>
                <w:rFonts w:ascii="Lora" w:hAnsi="Lora"/>
                <w:b w:val="0"/>
                <w:bCs w:val="0"/>
                <w:sz w:val="20"/>
                <w:szCs w:val="20"/>
                <w:lang w:val="en-US"/>
              </w:rPr>
              <w:t>2.4</w:t>
            </w:r>
          </w:p>
        </w:tc>
        <w:tc>
          <w:tcPr>
            <w:tcW w:w="734" w:type="pct"/>
          </w:tcPr>
          <w:p w14:paraId="77266A57" w14:textId="77777777" w:rsidR="00222DAB" w:rsidRPr="00AE6565"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Share of female and male civil servants, who support project-relevant changes brought by civil service reform</w:t>
            </w:r>
          </w:p>
        </w:tc>
        <w:tc>
          <w:tcPr>
            <w:tcW w:w="337" w:type="pct"/>
          </w:tcPr>
          <w:p w14:paraId="17CA8717"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i/>
                <w:iCs/>
                <w:sz w:val="20"/>
                <w:szCs w:val="20"/>
                <w:lang w:val="en-US"/>
              </w:rPr>
              <w:t>0</w:t>
            </w:r>
          </w:p>
        </w:tc>
        <w:tc>
          <w:tcPr>
            <w:tcW w:w="922" w:type="pct"/>
          </w:tcPr>
          <w:p w14:paraId="4FAD3E05"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70% of female and male civil servants in all line ministries, support the civil service reform</w:t>
            </w:r>
          </w:p>
        </w:tc>
        <w:tc>
          <w:tcPr>
            <w:tcW w:w="375" w:type="pct"/>
          </w:tcPr>
          <w:p w14:paraId="4431164A"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76%</w:t>
            </w:r>
          </w:p>
        </w:tc>
        <w:tc>
          <w:tcPr>
            <w:tcW w:w="773" w:type="pct"/>
          </w:tcPr>
          <w:p w14:paraId="2A30F1DF"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Achieved | New data will be available March 2021</w:t>
            </w:r>
          </w:p>
          <w:p w14:paraId="32BBBB73"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b/>
                <w:bCs/>
                <w:i/>
                <w:iCs/>
                <w:sz w:val="20"/>
                <w:szCs w:val="20"/>
                <w:lang w:val="en-US"/>
              </w:rPr>
            </w:pPr>
          </w:p>
        </w:tc>
        <w:tc>
          <w:tcPr>
            <w:tcW w:w="1693" w:type="pct"/>
          </w:tcPr>
          <w:p w14:paraId="6712F089"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The vast majority of respondents (96%) appear to be aware of key civil service reform issues such as the new Law on Civil Service, and most of them believe that the changes brought about by the law are definitely (or more or less) positive (76%). Source: Public attitudes towards Public Administration Reform, ACT, 2019</w:t>
            </w:r>
          </w:p>
          <w:p w14:paraId="5CA295BA"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The indicator was measured as a part of the larger study commissioned by the local research and consultancy company in 2019. The indicator will be measured in February 2021 using the same questionnaire and closely following the methodology of the study. </w:t>
            </w:r>
          </w:p>
          <w:p w14:paraId="6456F83B"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p w14:paraId="777DCC57"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r>
    </w:tbl>
    <w:p w14:paraId="12873AFC" w14:textId="77777777" w:rsidR="00222DAB" w:rsidRDefault="00222DAB" w:rsidP="00222DAB">
      <w:pPr>
        <w:rPr>
          <w:rFonts w:ascii="Arial" w:hAnsi="Arial" w:cs="Arial"/>
          <w:b/>
          <w:color w:val="4F81BD" w:themeColor="accent1"/>
        </w:rPr>
      </w:pPr>
      <w:bookmarkStart w:id="45" w:name="_Toc61483716"/>
    </w:p>
    <w:p w14:paraId="24CE9227" w14:textId="68EE819A" w:rsidR="00222DAB" w:rsidRPr="00222DAB" w:rsidRDefault="00222DAB" w:rsidP="00222DAB">
      <w:pPr>
        <w:rPr>
          <w:rFonts w:ascii="Arial" w:hAnsi="Arial" w:cs="Arial"/>
          <w:b/>
          <w:color w:val="4F81BD" w:themeColor="accent1"/>
        </w:rPr>
      </w:pPr>
      <w:r w:rsidRPr="00222DAB">
        <w:rPr>
          <w:rFonts w:ascii="Arial" w:hAnsi="Arial" w:cs="Arial"/>
          <w:b/>
          <w:color w:val="4F81BD" w:themeColor="accent1"/>
        </w:rPr>
        <w:t>Outputs for Outcome 2</w:t>
      </w:r>
      <w:bookmarkEnd w:id="45"/>
      <w:r w:rsidRPr="00222DAB">
        <w:rPr>
          <w:rFonts w:ascii="Arial" w:hAnsi="Arial" w:cs="Arial"/>
          <w:b/>
          <w:color w:val="4F81BD" w:themeColor="accent1"/>
        </w:rPr>
        <w:t xml:space="preserve"> </w:t>
      </w:r>
    </w:p>
    <w:tbl>
      <w:tblPr>
        <w:tblStyle w:val="GridTable4-Accent11"/>
        <w:tblW w:w="5063" w:type="pct"/>
        <w:tblLayout w:type="fixed"/>
        <w:tblLook w:val="04A0" w:firstRow="1" w:lastRow="0" w:firstColumn="1" w:lastColumn="0" w:noHBand="0" w:noVBand="1"/>
      </w:tblPr>
      <w:tblGrid>
        <w:gridCol w:w="559"/>
        <w:gridCol w:w="1262"/>
        <w:gridCol w:w="630"/>
        <w:gridCol w:w="1259"/>
        <w:gridCol w:w="990"/>
        <w:gridCol w:w="1577"/>
        <w:gridCol w:w="979"/>
        <w:gridCol w:w="1873"/>
        <w:gridCol w:w="4213"/>
      </w:tblGrid>
      <w:tr w:rsidR="00222DAB" w:rsidRPr="00EF01FF" w14:paraId="4E5D498B" w14:textId="77777777" w:rsidTr="00EF01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 w:type="pct"/>
          </w:tcPr>
          <w:p w14:paraId="23C9B2DE" w14:textId="77777777" w:rsidR="00222DAB" w:rsidRPr="00EF01FF" w:rsidRDefault="00222DAB" w:rsidP="00222DAB">
            <w:pPr>
              <w:jc w:val="center"/>
              <w:rPr>
                <w:rFonts w:ascii="Lora" w:hAnsi="Lora"/>
                <w:i/>
                <w:iCs/>
                <w:sz w:val="20"/>
                <w:szCs w:val="20"/>
                <w:lang w:val="en-US"/>
              </w:rPr>
            </w:pPr>
            <w:r w:rsidRPr="00EF01FF">
              <w:rPr>
                <w:rFonts w:ascii="Lora" w:hAnsi="Lora"/>
                <w:i/>
                <w:iCs/>
                <w:sz w:val="20"/>
                <w:szCs w:val="20"/>
                <w:lang w:val="en-US"/>
              </w:rPr>
              <w:t>#</w:t>
            </w:r>
          </w:p>
        </w:tc>
        <w:tc>
          <w:tcPr>
            <w:tcW w:w="473" w:type="pct"/>
          </w:tcPr>
          <w:p w14:paraId="0BDFBA2E"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Output </w:t>
            </w:r>
          </w:p>
        </w:tc>
        <w:tc>
          <w:tcPr>
            <w:tcW w:w="236" w:type="pct"/>
          </w:tcPr>
          <w:p w14:paraId="20F62DC9"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b w:val="0"/>
                <w:bCs w:val="0"/>
                <w:i/>
                <w:iCs/>
                <w:sz w:val="20"/>
                <w:szCs w:val="20"/>
                <w:lang w:val="en-US"/>
              </w:rPr>
            </w:pPr>
            <w:r w:rsidRPr="00EF01FF">
              <w:rPr>
                <w:rFonts w:ascii="Lora" w:hAnsi="Lora"/>
                <w:b w:val="0"/>
                <w:bCs w:val="0"/>
                <w:i/>
                <w:iCs/>
                <w:sz w:val="20"/>
                <w:szCs w:val="20"/>
                <w:lang w:val="en-US"/>
              </w:rPr>
              <w:t>#</w:t>
            </w:r>
          </w:p>
        </w:tc>
        <w:tc>
          <w:tcPr>
            <w:tcW w:w="472" w:type="pct"/>
          </w:tcPr>
          <w:p w14:paraId="1F473EE7"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Output Indicator </w:t>
            </w:r>
          </w:p>
        </w:tc>
        <w:tc>
          <w:tcPr>
            <w:tcW w:w="371" w:type="pct"/>
          </w:tcPr>
          <w:p w14:paraId="0B44F751"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Baseline</w:t>
            </w:r>
          </w:p>
        </w:tc>
        <w:tc>
          <w:tcPr>
            <w:tcW w:w="591" w:type="pct"/>
          </w:tcPr>
          <w:p w14:paraId="6FD09845"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Target</w:t>
            </w:r>
          </w:p>
        </w:tc>
        <w:tc>
          <w:tcPr>
            <w:tcW w:w="367" w:type="pct"/>
          </w:tcPr>
          <w:p w14:paraId="306E7199"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Progress to date </w:t>
            </w:r>
          </w:p>
        </w:tc>
        <w:tc>
          <w:tcPr>
            <w:tcW w:w="702" w:type="pct"/>
          </w:tcPr>
          <w:p w14:paraId="1808CF07"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Status  </w:t>
            </w:r>
          </w:p>
        </w:tc>
        <w:tc>
          <w:tcPr>
            <w:tcW w:w="1579" w:type="pct"/>
          </w:tcPr>
          <w:p w14:paraId="24FB0E38" w14:textId="77777777" w:rsidR="00222DAB" w:rsidRPr="00EF01FF"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Issues and Next Steps </w:t>
            </w:r>
          </w:p>
        </w:tc>
      </w:tr>
      <w:tr w:rsidR="00222DAB" w:rsidRPr="00EF01FF" w14:paraId="0B7F18CD" w14:textId="77777777" w:rsidTr="00EF01FF">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09" w:type="pct"/>
            <w:vMerge w:val="restart"/>
          </w:tcPr>
          <w:p w14:paraId="6BDB331C" w14:textId="77777777" w:rsidR="00222DAB" w:rsidRPr="00EF01FF" w:rsidRDefault="00222DAB" w:rsidP="00222DAB">
            <w:pPr>
              <w:rPr>
                <w:rFonts w:ascii="Lora" w:hAnsi="Lora"/>
                <w:b w:val="0"/>
                <w:bCs w:val="0"/>
                <w:sz w:val="20"/>
                <w:szCs w:val="20"/>
                <w:lang w:val="en-US"/>
              </w:rPr>
            </w:pPr>
            <w:r w:rsidRPr="00EF01FF">
              <w:rPr>
                <w:rFonts w:ascii="Lora" w:hAnsi="Lora"/>
                <w:b w:val="0"/>
                <w:bCs w:val="0"/>
                <w:sz w:val="20"/>
                <w:szCs w:val="20"/>
                <w:lang w:val="en-US"/>
              </w:rPr>
              <w:t>2.1</w:t>
            </w:r>
          </w:p>
        </w:tc>
        <w:tc>
          <w:tcPr>
            <w:tcW w:w="473" w:type="pct"/>
            <w:vMerge w:val="restart"/>
          </w:tcPr>
          <w:p w14:paraId="53449C4D"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Trained managers develop individual performance and professional development plans jointly with civil servants</w:t>
            </w:r>
          </w:p>
        </w:tc>
        <w:tc>
          <w:tcPr>
            <w:tcW w:w="236" w:type="pct"/>
          </w:tcPr>
          <w:p w14:paraId="0A2D1BCE"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2.1.1</w:t>
            </w:r>
          </w:p>
        </w:tc>
        <w:tc>
          <w:tcPr>
            <w:tcW w:w="472" w:type="pct"/>
          </w:tcPr>
          <w:p w14:paraId="7F905B8A"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Share of female and male managers trained in elaboration of professional development plans</w:t>
            </w:r>
          </w:p>
        </w:tc>
        <w:tc>
          <w:tcPr>
            <w:tcW w:w="371" w:type="pct"/>
          </w:tcPr>
          <w:p w14:paraId="6014B5B1"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Pr>
          <w:p w14:paraId="158B2B2F"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90% female and male managers trained in 3 target ministries</w:t>
            </w:r>
          </w:p>
        </w:tc>
        <w:tc>
          <w:tcPr>
            <w:tcW w:w="367" w:type="pct"/>
          </w:tcPr>
          <w:p w14:paraId="1704626C" w14:textId="77777777" w:rsidR="00222DAB" w:rsidRPr="008C1E0E"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sz w:val="20"/>
                <w:szCs w:val="20"/>
                <w:lang w:val="en-US"/>
              </w:rPr>
              <w:t>0</w:t>
            </w:r>
          </w:p>
        </w:tc>
        <w:tc>
          <w:tcPr>
            <w:tcW w:w="702" w:type="pct"/>
          </w:tcPr>
          <w:p w14:paraId="1E40937E" w14:textId="77777777" w:rsidR="00222DAB" w:rsidRPr="008C1E0E"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N/A | Data will be available March 2021.  </w:t>
            </w:r>
          </w:p>
        </w:tc>
        <w:tc>
          <w:tcPr>
            <w:tcW w:w="1579" w:type="pct"/>
          </w:tcPr>
          <w:p w14:paraId="2E66FC7A" w14:textId="30F320AD"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Professional development plans will be enhanced in three ministries: Ministry of Economy and Sustainable Development, Ministry of environmental Protection and Agriculture and Ministry of IDPs, Health, Labor and Social Affairs. </w:t>
            </w:r>
            <w:r w:rsidR="00EF01FF">
              <w:rPr>
                <w:rFonts w:ascii="Lora" w:hAnsi="Lora"/>
                <w:i/>
                <w:iCs/>
                <w:sz w:val="20"/>
                <w:szCs w:val="20"/>
                <w:lang w:val="en-US"/>
              </w:rPr>
              <w:t xml:space="preserve">Further trainings </w:t>
            </w:r>
            <w:proofErr w:type="gramStart"/>
            <w:r w:rsidR="00EF01FF">
              <w:rPr>
                <w:rFonts w:ascii="Lora" w:hAnsi="Lora"/>
                <w:i/>
                <w:iCs/>
                <w:sz w:val="20"/>
                <w:szCs w:val="20"/>
                <w:lang w:val="en-US"/>
              </w:rPr>
              <w:t>is</w:t>
            </w:r>
            <w:proofErr w:type="gramEnd"/>
            <w:r w:rsidR="00EF01FF">
              <w:rPr>
                <w:rFonts w:ascii="Lora" w:hAnsi="Lora"/>
                <w:i/>
                <w:iCs/>
                <w:sz w:val="20"/>
                <w:szCs w:val="20"/>
                <w:lang w:val="en-US"/>
              </w:rPr>
              <w:t xml:space="preserve"> planned for</w:t>
            </w:r>
            <w:r w:rsidRPr="00EF01FF">
              <w:rPr>
                <w:rFonts w:ascii="Lora" w:hAnsi="Lora"/>
                <w:i/>
                <w:iCs/>
                <w:sz w:val="20"/>
                <w:szCs w:val="20"/>
                <w:lang w:val="en-US"/>
              </w:rPr>
              <w:t xml:space="preserve"> February 2021.</w:t>
            </w:r>
          </w:p>
          <w:p w14:paraId="3FF09489"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p>
        </w:tc>
      </w:tr>
      <w:tr w:rsidR="00222DAB" w:rsidRPr="00EF01FF" w14:paraId="31E20255" w14:textId="77777777" w:rsidTr="00EF01FF">
        <w:trPr>
          <w:trHeight w:val="937"/>
        </w:trPr>
        <w:tc>
          <w:tcPr>
            <w:cnfStyle w:val="001000000000" w:firstRow="0" w:lastRow="0" w:firstColumn="1" w:lastColumn="0" w:oddVBand="0" w:evenVBand="0" w:oddHBand="0" w:evenHBand="0" w:firstRowFirstColumn="0" w:firstRowLastColumn="0" w:lastRowFirstColumn="0" w:lastRowLastColumn="0"/>
            <w:tcW w:w="209" w:type="pct"/>
            <w:vMerge/>
          </w:tcPr>
          <w:p w14:paraId="25E71976" w14:textId="77777777" w:rsidR="00222DAB" w:rsidRPr="00EF01FF" w:rsidRDefault="00222DAB" w:rsidP="00EB743C">
            <w:pPr>
              <w:pStyle w:val="ListParagraph"/>
              <w:numPr>
                <w:ilvl w:val="0"/>
                <w:numId w:val="50"/>
              </w:numPr>
              <w:ind w:left="430"/>
              <w:rPr>
                <w:rFonts w:ascii="Lora" w:hAnsi="Lora"/>
                <w:b w:val="0"/>
                <w:bCs w:val="0"/>
                <w:sz w:val="20"/>
                <w:szCs w:val="20"/>
                <w:lang w:val="en-US"/>
              </w:rPr>
            </w:pPr>
          </w:p>
        </w:tc>
        <w:tc>
          <w:tcPr>
            <w:tcW w:w="473" w:type="pct"/>
            <w:vMerge/>
          </w:tcPr>
          <w:p w14:paraId="2DC8850E"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36" w:type="pct"/>
          </w:tcPr>
          <w:p w14:paraId="00A544FA"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 2.1.2</w:t>
            </w:r>
          </w:p>
          <w:p w14:paraId="5F53EAF5"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c>
          <w:tcPr>
            <w:tcW w:w="472" w:type="pct"/>
          </w:tcPr>
          <w:p w14:paraId="3169A56D"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 xml:space="preserve">Share of female and male civil servants that have </w:t>
            </w:r>
            <w:r w:rsidRPr="00EF01FF">
              <w:rPr>
                <w:rFonts w:ascii="Lora" w:hAnsi="Lora"/>
                <w:sz w:val="20"/>
                <w:szCs w:val="20"/>
                <w:lang w:val="en-US"/>
              </w:rPr>
              <w:lastRenderedPageBreak/>
              <w:t xml:space="preserve">professional development plans </w:t>
            </w:r>
          </w:p>
        </w:tc>
        <w:tc>
          <w:tcPr>
            <w:tcW w:w="371" w:type="pct"/>
          </w:tcPr>
          <w:p w14:paraId="3CFC2588"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lastRenderedPageBreak/>
              <w:t>0</w:t>
            </w:r>
          </w:p>
        </w:tc>
        <w:tc>
          <w:tcPr>
            <w:tcW w:w="591" w:type="pct"/>
          </w:tcPr>
          <w:p w14:paraId="3038B191"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 xml:space="preserve">70% of targeted female and male civil servants have professional </w:t>
            </w:r>
            <w:r w:rsidRPr="00EF01FF">
              <w:rPr>
                <w:rFonts w:ascii="Lora" w:hAnsi="Lora"/>
                <w:sz w:val="20"/>
                <w:szCs w:val="20"/>
                <w:lang w:val="en-US"/>
              </w:rPr>
              <w:lastRenderedPageBreak/>
              <w:t>development plans in 3 target ministries</w:t>
            </w:r>
          </w:p>
        </w:tc>
        <w:tc>
          <w:tcPr>
            <w:tcW w:w="367" w:type="pct"/>
          </w:tcPr>
          <w:p w14:paraId="0A00D561" w14:textId="77777777" w:rsidR="00222DAB" w:rsidRPr="008C1E0E"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sz w:val="20"/>
                <w:szCs w:val="20"/>
                <w:lang w:val="en-US"/>
              </w:rPr>
              <w:lastRenderedPageBreak/>
              <w:t>0</w:t>
            </w:r>
          </w:p>
        </w:tc>
        <w:tc>
          <w:tcPr>
            <w:tcW w:w="702" w:type="pct"/>
          </w:tcPr>
          <w:p w14:paraId="5D06AB93" w14:textId="77777777" w:rsidR="00222DAB" w:rsidRPr="008C1E0E"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8C1E0E">
              <w:rPr>
                <w:rFonts w:ascii="Lora" w:hAnsi="Lora"/>
                <w:i/>
                <w:iCs/>
                <w:sz w:val="20"/>
                <w:szCs w:val="20"/>
                <w:lang w:val="en-US"/>
              </w:rPr>
              <w:t xml:space="preserve">N/A | Data will be available March 2021.  </w:t>
            </w:r>
          </w:p>
        </w:tc>
        <w:tc>
          <w:tcPr>
            <w:tcW w:w="1579" w:type="pct"/>
          </w:tcPr>
          <w:p w14:paraId="63F10F3A"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The results can be measured as soon as the process of enhancement of professional development plans is completed.</w:t>
            </w:r>
          </w:p>
        </w:tc>
      </w:tr>
      <w:tr w:rsidR="00222DAB" w:rsidRPr="00EF01FF" w14:paraId="30861DC4" w14:textId="77777777" w:rsidTr="00EF01FF">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9" w:type="pct"/>
            <w:vMerge w:val="restart"/>
          </w:tcPr>
          <w:p w14:paraId="46803DB0" w14:textId="77777777" w:rsidR="00222DAB" w:rsidRPr="00EF01FF" w:rsidRDefault="00222DAB" w:rsidP="00222DAB">
            <w:pPr>
              <w:rPr>
                <w:rFonts w:ascii="Lora" w:hAnsi="Lora"/>
                <w:b w:val="0"/>
                <w:bCs w:val="0"/>
                <w:sz w:val="20"/>
                <w:szCs w:val="20"/>
                <w:lang w:val="en-US"/>
              </w:rPr>
            </w:pPr>
            <w:r w:rsidRPr="00EF01FF">
              <w:rPr>
                <w:rFonts w:ascii="Lora" w:hAnsi="Lora"/>
                <w:b w:val="0"/>
                <w:bCs w:val="0"/>
                <w:sz w:val="20"/>
                <w:szCs w:val="20"/>
                <w:lang w:val="en-US"/>
              </w:rPr>
              <w:t>2.2</w:t>
            </w:r>
          </w:p>
        </w:tc>
        <w:tc>
          <w:tcPr>
            <w:tcW w:w="473" w:type="pct"/>
            <w:vMerge w:val="restart"/>
          </w:tcPr>
          <w:p w14:paraId="40CB555D"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Accreditation system of civil servants’ training programs is operational</w:t>
            </w:r>
          </w:p>
        </w:tc>
        <w:tc>
          <w:tcPr>
            <w:tcW w:w="236" w:type="pct"/>
          </w:tcPr>
          <w:p w14:paraId="5396B51D"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2.2.1</w:t>
            </w:r>
          </w:p>
        </w:tc>
        <w:tc>
          <w:tcPr>
            <w:tcW w:w="472" w:type="pct"/>
          </w:tcPr>
          <w:p w14:paraId="57AEFBB1" w14:textId="7A394BC9"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 xml:space="preserve">Number of accredited training programs </w:t>
            </w:r>
          </w:p>
        </w:tc>
        <w:tc>
          <w:tcPr>
            <w:tcW w:w="371" w:type="pct"/>
          </w:tcPr>
          <w:p w14:paraId="6EFA8D30"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Pr>
          <w:p w14:paraId="1D076D1D"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10 training programs (both classroom and online) are accredited</w:t>
            </w:r>
          </w:p>
        </w:tc>
        <w:tc>
          <w:tcPr>
            <w:tcW w:w="367" w:type="pct"/>
          </w:tcPr>
          <w:p w14:paraId="40F1C2FC"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11</w:t>
            </w:r>
          </w:p>
        </w:tc>
        <w:tc>
          <w:tcPr>
            <w:tcW w:w="702" w:type="pct"/>
          </w:tcPr>
          <w:p w14:paraId="15D20209"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Achieved | 11 training programs (both classroom and online) are accredited</w:t>
            </w:r>
          </w:p>
        </w:tc>
        <w:tc>
          <w:tcPr>
            <w:tcW w:w="1579" w:type="pct"/>
          </w:tcPr>
          <w:p w14:paraId="34A4C77F"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To further improve Accreditation procedures, with the support of a local expert the project team will evaluate the existing legislative provisions and develop a set of recommendations.</w:t>
            </w:r>
          </w:p>
        </w:tc>
      </w:tr>
      <w:tr w:rsidR="00222DAB" w:rsidRPr="00EF01FF" w14:paraId="05212EC4" w14:textId="77777777" w:rsidTr="00EF01FF">
        <w:trPr>
          <w:trHeight w:val="937"/>
        </w:trPr>
        <w:tc>
          <w:tcPr>
            <w:cnfStyle w:val="001000000000" w:firstRow="0" w:lastRow="0" w:firstColumn="1" w:lastColumn="0" w:oddVBand="0" w:evenVBand="0" w:oddHBand="0" w:evenHBand="0" w:firstRowFirstColumn="0" w:firstRowLastColumn="0" w:lastRowFirstColumn="0" w:lastRowLastColumn="0"/>
            <w:tcW w:w="209" w:type="pct"/>
            <w:vMerge/>
          </w:tcPr>
          <w:p w14:paraId="2430BEBF" w14:textId="77777777" w:rsidR="00222DAB" w:rsidRPr="00EF01FF" w:rsidRDefault="00222DAB" w:rsidP="00EB743C">
            <w:pPr>
              <w:pStyle w:val="ListParagraph"/>
              <w:numPr>
                <w:ilvl w:val="0"/>
                <w:numId w:val="50"/>
              </w:numPr>
              <w:ind w:left="430"/>
              <w:rPr>
                <w:rFonts w:ascii="Lora" w:hAnsi="Lora"/>
                <w:b w:val="0"/>
                <w:bCs w:val="0"/>
                <w:sz w:val="20"/>
                <w:szCs w:val="20"/>
                <w:lang w:val="en-US"/>
              </w:rPr>
            </w:pPr>
          </w:p>
        </w:tc>
        <w:tc>
          <w:tcPr>
            <w:tcW w:w="473" w:type="pct"/>
            <w:vMerge/>
          </w:tcPr>
          <w:p w14:paraId="7D12775B"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36" w:type="pct"/>
          </w:tcPr>
          <w:p w14:paraId="4879D352"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 2.2.2</w:t>
            </w:r>
          </w:p>
          <w:p w14:paraId="04ACD4F9"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c>
          <w:tcPr>
            <w:tcW w:w="472" w:type="pct"/>
          </w:tcPr>
          <w:p w14:paraId="7573024F"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Number of female and male civil servants from all line ministries trained through accredited programs</w:t>
            </w:r>
          </w:p>
        </w:tc>
        <w:tc>
          <w:tcPr>
            <w:tcW w:w="371" w:type="pct"/>
          </w:tcPr>
          <w:p w14:paraId="582C9732"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Pr>
          <w:p w14:paraId="41B134CD"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100 female and male civil servants are trained through accredited professional development programs</w:t>
            </w:r>
          </w:p>
        </w:tc>
        <w:tc>
          <w:tcPr>
            <w:tcW w:w="367" w:type="pct"/>
          </w:tcPr>
          <w:p w14:paraId="46437BEE"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300</w:t>
            </w:r>
          </w:p>
        </w:tc>
        <w:tc>
          <w:tcPr>
            <w:tcW w:w="702" w:type="pct"/>
          </w:tcPr>
          <w:p w14:paraId="25F64309"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Achieved | 1510 female and male civil servants are trained through accredited professional development programs  </w:t>
            </w:r>
          </w:p>
        </w:tc>
        <w:tc>
          <w:tcPr>
            <w:tcW w:w="1579" w:type="pct"/>
            <w:shd w:val="clear" w:color="auto" w:fill="auto"/>
          </w:tcPr>
          <w:p w14:paraId="7376877C"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Sex disaggregated data is not available. The fact that the training programs are officially accredited will ensure continuous training process among respective civil servants.  Moreover, more training programs are expected to be accredited in the upcoming period. </w:t>
            </w:r>
          </w:p>
          <w:p w14:paraId="25388A5F"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r>
      <w:tr w:rsidR="00222DAB" w:rsidRPr="00EF01FF" w14:paraId="436014FD" w14:textId="77777777" w:rsidTr="00EF01FF">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209" w:type="pct"/>
          </w:tcPr>
          <w:p w14:paraId="650BB6EB" w14:textId="77777777" w:rsidR="00222DAB" w:rsidRPr="00EF01FF" w:rsidRDefault="00222DAB" w:rsidP="00222DAB">
            <w:pPr>
              <w:rPr>
                <w:rFonts w:ascii="Lora" w:hAnsi="Lora"/>
                <w:b w:val="0"/>
                <w:bCs w:val="0"/>
                <w:sz w:val="20"/>
                <w:szCs w:val="20"/>
                <w:lang w:val="en-US"/>
              </w:rPr>
            </w:pPr>
            <w:r w:rsidRPr="00EF01FF">
              <w:rPr>
                <w:rFonts w:ascii="Lora" w:hAnsi="Lora"/>
                <w:b w:val="0"/>
                <w:bCs w:val="0"/>
                <w:sz w:val="20"/>
                <w:szCs w:val="20"/>
                <w:lang w:val="en-US"/>
              </w:rPr>
              <w:t>2.3</w:t>
            </w:r>
          </w:p>
        </w:tc>
        <w:tc>
          <w:tcPr>
            <w:tcW w:w="473" w:type="pct"/>
          </w:tcPr>
          <w:p w14:paraId="0D754B89"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Civil servants access learning opportunities online through unified platform</w:t>
            </w:r>
          </w:p>
        </w:tc>
        <w:tc>
          <w:tcPr>
            <w:tcW w:w="236" w:type="pct"/>
          </w:tcPr>
          <w:p w14:paraId="67DF8B67"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2.3.1</w:t>
            </w:r>
          </w:p>
        </w:tc>
        <w:tc>
          <w:tcPr>
            <w:tcW w:w="472" w:type="pct"/>
          </w:tcPr>
          <w:p w14:paraId="05F3D6F2"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Share of female and male civil servants using the unified e-learning platform</w:t>
            </w:r>
          </w:p>
        </w:tc>
        <w:tc>
          <w:tcPr>
            <w:tcW w:w="371" w:type="pct"/>
          </w:tcPr>
          <w:p w14:paraId="7689C44C"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Pr>
          <w:p w14:paraId="1E3C9544"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15% female and male civil servants from all line ministries are registered on e-learning platform</w:t>
            </w:r>
          </w:p>
        </w:tc>
        <w:tc>
          <w:tcPr>
            <w:tcW w:w="367" w:type="pct"/>
          </w:tcPr>
          <w:p w14:paraId="15371CB6"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0</w:t>
            </w:r>
          </w:p>
        </w:tc>
        <w:tc>
          <w:tcPr>
            <w:tcW w:w="702" w:type="pct"/>
          </w:tcPr>
          <w:p w14:paraId="7E551EC5"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Partially Achieved | The development of the platform is currently ongoing. </w:t>
            </w:r>
          </w:p>
        </w:tc>
        <w:tc>
          <w:tcPr>
            <w:tcW w:w="1579" w:type="pct"/>
          </w:tcPr>
          <w:p w14:paraId="228A75A9"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The concept of the unified e-learning platform is planned to be finalized by February. In parallel, a technical work on integration of E-Human Resource Management System and open-source Moodle platform is ongoing. Given that ready-made Moodle platform does not require an intensive technical development work, the platform will be open for piloting by April 2021.</w:t>
            </w:r>
          </w:p>
          <w:p w14:paraId="34D0A53E"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p>
        </w:tc>
      </w:tr>
      <w:tr w:rsidR="00222DAB" w:rsidRPr="00EF01FF" w14:paraId="5604006E" w14:textId="77777777" w:rsidTr="00EF01FF">
        <w:trPr>
          <w:trHeight w:val="480"/>
        </w:trPr>
        <w:tc>
          <w:tcPr>
            <w:cnfStyle w:val="001000000000" w:firstRow="0" w:lastRow="0" w:firstColumn="1" w:lastColumn="0" w:oddVBand="0" w:evenVBand="0" w:oddHBand="0" w:evenHBand="0" w:firstRowFirstColumn="0" w:firstRowLastColumn="0" w:lastRowFirstColumn="0" w:lastRowLastColumn="0"/>
            <w:tcW w:w="209" w:type="pct"/>
            <w:vMerge w:val="restart"/>
          </w:tcPr>
          <w:p w14:paraId="5812031A" w14:textId="77777777" w:rsidR="00222DAB" w:rsidRPr="00EF01FF" w:rsidRDefault="00222DAB" w:rsidP="00222DAB">
            <w:pPr>
              <w:rPr>
                <w:rFonts w:ascii="Lora" w:hAnsi="Lora"/>
                <w:b w:val="0"/>
                <w:bCs w:val="0"/>
                <w:sz w:val="20"/>
                <w:szCs w:val="20"/>
                <w:lang w:val="en-US"/>
              </w:rPr>
            </w:pPr>
            <w:r w:rsidRPr="00EF01FF">
              <w:rPr>
                <w:rFonts w:ascii="Lora" w:hAnsi="Lora"/>
                <w:b w:val="0"/>
                <w:bCs w:val="0"/>
                <w:sz w:val="20"/>
                <w:szCs w:val="20"/>
                <w:lang w:val="en-US"/>
              </w:rPr>
              <w:t>2.4</w:t>
            </w:r>
          </w:p>
        </w:tc>
        <w:tc>
          <w:tcPr>
            <w:tcW w:w="473" w:type="pct"/>
            <w:vMerge w:val="restart"/>
          </w:tcPr>
          <w:p w14:paraId="460DEA71"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Enhanced knowledge of female and male civil servants on civil service reform</w:t>
            </w:r>
          </w:p>
        </w:tc>
        <w:tc>
          <w:tcPr>
            <w:tcW w:w="236" w:type="pct"/>
            <w:tcBorders>
              <w:bottom w:val="single" w:sz="4" w:space="0" w:color="auto"/>
            </w:tcBorders>
          </w:tcPr>
          <w:p w14:paraId="1EE7BD68"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2.4.1</w:t>
            </w:r>
          </w:p>
        </w:tc>
        <w:tc>
          <w:tcPr>
            <w:tcW w:w="472" w:type="pct"/>
            <w:tcBorders>
              <w:bottom w:val="single" w:sz="4" w:space="0" w:color="auto"/>
            </w:tcBorders>
          </w:tcPr>
          <w:p w14:paraId="3B59F5C7"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 xml:space="preserve">Number of female and male civil servants participating in Civil Servants’ Forum </w:t>
            </w:r>
            <w:r w:rsidRPr="00EF01FF">
              <w:rPr>
                <w:rFonts w:ascii="Lora" w:hAnsi="Lora"/>
                <w:sz w:val="20"/>
                <w:szCs w:val="20"/>
                <w:lang w:val="en-US"/>
              </w:rPr>
              <w:lastRenderedPageBreak/>
              <w:t>meetings</w:t>
            </w:r>
          </w:p>
        </w:tc>
        <w:tc>
          <w:tcPr>
            <w:tcW w:w="371" w:type="pct"/>
            <w:tcBorders>
              <w:bottom w:val="single" w:sz="4" w:space="0" w:color="auto"/>
            </w:tcBorders>
          </w:tcPr>
          <w:p w14:paraId="0536B993"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lastRenderedPageBreak/>
              <w:t>0</w:t>
            </w:r>
          </w:p>
        </w:tc>
        <w:tc>
          <w:tcPr>
            <w:tcW w:w="591" w:type="pct"/>
            <w:tcBorders>
              <w:bottom w:val="single" w:sz="4" w:space="0" w:color="auto"/>
            </w:tcBorders>
          </w:tcPr>
          <w:p w14:paraId="1F79ED8F"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700 female and male civil servants from 11 ministries participate in meetings</w:t>
            </w:r>
          </w:p>
        </w:tc>
        <w:tc>
          <w:tcPr>
            <w:tcW w:w="367" w:type="pct"/>
            <w:tcBorders>
              <w:bottom w:val="single" w:sz="4" w:space="0" w:color="auto"/>
            </w:tcBorders>
          </w:tcPr>
          <w:p w14:paraId="239B406C"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1388</w:t>
            </w:r>
          </w:p>
        </w:tc>
        <w:tc>
          <w:tcPr>
            <w:tcW w:w="702" w:type="pct"/>
            <w:tcBorders>
              <w:bottom w:val="single" w:sz="4" w:space="0" w:color="auto"/>
            </w:tcBorders>
          </w:tcPr>
          <w:p w14:paraId="16032EED"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Achieved | 1388 female and male civil servants from 11 ministries participate in meetings</w:t>
            </w:r>
          </w:p>
        </w:tc>
        <w:tc>
          <w:tcPr>
            <w:tcW w:w="1579" w:type="pct"/>
            <w:tcBorders>
              <w:bottom w:val="single" w:sz="4" w:space="0" w:color="auto"/>
            </w:tcBorders>
          </w:tcPr>
          <w:p w14:paraId="132BFCB6"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CSB arranged 21 thematic Civil Servants’ Forum meetings attended by 1,388 female and male civil servants. Sex disaggregated data is not available since vast majority of the forums were conducted online and part of the attendees’ gender could not be identified. Observing the forum participants who were using their cameras during the meetings, the forum can be </w:t>
            </w:r>
            <w:r w:rsidRPr="00EF01FF">
              <w:rPr>
                <w:rFonts w:ascii="Lora" w:hAnsi="Lora"/>
                <w:i/>
                <w:iCs/>
                <w:sz w:val="20"/>
                <w:szCs w:val="20"/>
                <w:lang w:val="en-US"/>
              </w:rPr>
              <w:lastRenderedPageBreak/>
              <w:t xml:space="preserve">characterized as female dominant. To track the attendance by gender, CSB will be recommended to use the online registration form for the future forums. </w:t>
            </w:r>
          </w:p>
          <w:p w14:paraId="198A97F4"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Civil Servants’ Forum meetings proved to be a successful platform for enhancing the knowledge civil servants on civil service reform and CSB is planning to continue this effort with the support of another UNDP project. </w:t>
            </w:r>
          </w:p>
          <w:p w14:paraId="74F42A34"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r>
      <w:tr w:rsidR="00222DAB" w:rsidRPr="00EF01FF" w14:paraId="67EBB971" w14:textId="77777777" w:rsidTr="00EF01F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9" w:type="pct"/>
            <w:vMerge/>
          </w:tcPr>
          <w:p w14:paraId="72915965" w14:textId="77777777" w:rsidR="00222DAB" w:rsidRPr="00EF01FF" w:rsidRDefault="00222DAB" w:rsidP="00222DAB">
            <w:pPr>
              <w:rPr>
                <w:rFonts w:ascii="Lora" w:hAnsi="Lora"/>
                <w:b w:val="0"/>
                <w:bCs w:val="0"/>
                <w:sz w:val="20"/>
                <w:szCs w:val="20"/>
                <w:lang w:val="en-US"/>
              </w:rPr>
            </w:pPr>
          </w:p>
        </w:tc>
        <w:tc>
          <w:tcPr>
            <w:tcW w:w="473" w:type="pct"/>
            <w:vMerge/>
          </w:tcPr>
          <w:p w14:paraId="4D1F64F0"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tc>
        <w:tc>
          <w:tcPr>
            <w:tcW w:w="236" w:type="pct"/>
            <w:tcBorders>
              <w:top w:val="single" w:sz="4" w:space="0" w:color="auto"/>
              <w:bottom w:val="single" w:sz="4" w:space="0" w:color="auto"/>
            </w:tcBorders>
          </w:tcPr>
          <w:p w14:paraId="48701EBB"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2.4.2</w:t>
            </w:r>
          </w:p>
        </w:tc>
        <w:tc>
          <w:tcPr>
            <w:tcW w:w="472" w:type="pct"/>
            <w:tcBorders>
              <w:top w:val="single" w:sz="4" w:space="0" w:color="auto"/>
              <w:bottom w:val="single" w:sz="4" w:space="0" w:color="auto"/>
            </w:tcBorders>
          </w:tcPr>
          <w:p w14:paraId="1057DA15"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Share of female and male civil servants who report satisfaction with participation in forum meetings</w:t>
            </w:r>
          </w:p>
        </w:tc>
        <w:tc>
          <w:tcPr>
            <w:tcW w:w="371" w:type="pct"/>
            <w:tcBorders>
              <w:top w:val="single" w:sz="4" w:space="0" w:color="auto"/>
              <w:bottom w:val="single" w:sz="4" w:space="0" w:color="auto"/>
            </w:tcBorders>
          </w:tcPr>
          <w:p w14:paraId="15560B8F"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Borders>
              <w:top w:val="single" w:sz="4" w:space="0" w:color="auto"/>
              <w:bottom w:val="single" w:sz="4" w:space="0" w:color="auto"/>
            </w:tcBorders>
          </w:tcPr>
          <w:p w14:paraId="21061BB5"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80% of men and women report the meetings as “useful”</w:t>
            </w:r>
          </w:p>
        </w:tc>
        <w:tc>
          <w:tcPr>
            <w:tcW w:w="367" w:type="pct"/>
            <w:tcBorders>
              <w:top w:val="single" w:sz="4" w:space="0" w:color="auto"/>
              <w:bottom w:val="single" w:sz="4" w:space="0" w:color="auto"/>
            </w:tcBorders>
          </w:tcPr>
          <w:p w14:paraId="0261AF6C"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93%</w:t>
            </w:r>
          </w:p>
        </w:tc>
        <w:tc>
          <w:tcPr>
            <w:tcW w:w="702" w:type="pct"/>
            <w:tcBorders>
              <w:top w:val="single" w:sz="4" w:space="0" w:color="auto"/>
              <w:bottom w:val="single" w:sz="4" w:space="0" w:color="auto"/>
            </w:tcBorders>
          </w:tcPr>
          <w:p w14:paraId="78936C57"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Achieved | 93% of the surveyed forum participants report the meetings as “useful”</w:t>
            </w:r>
          </w:p>
        </w:tc>
        <w:tc>
          <w:tcPr>
            <w:tcW w:w="1579" w:type="pct"/>
            <w:tcBorders>
              <w:top w:val="single" w:sz="4" w:space="0" w:color="auto"/>
              <w:bottom w:val="single" w:sz="4" w:space="0" w:color="auto"/>
            </w:tcBorders>
          </w:tcPr>
          <w:p w14:paraId="4AB048F5"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93% of the surveyed forum participants report the meetings as “useful” Source: CSB Study, 2020 </w:t>
            </w:r>
          </w:p>
        </w:tc>
      </w:tr>
      <w:tr w:rsidR="00222DAB" w:rsidRPr="00EF01FF" w14:paraId="21EE3BAF" w14:textId="77777777" w:rsidTr="00EF01FF">
        <w:trPr>
          <w:trHeight w:val="390"/>
        </w:trPr>
        <w:tc>
          <w:tcPr>
            <w:cnfStyle w:val="001000000000" w:firstRow="0" w:lastRow="0" w:firstColumn="1" w:lastColumn="0" w:oddVBand="0" w:evenVBand="0" w:oddHBand="0" w:evenHBand="0" w:firstRowFirstColumn="0" w:firstRowLastColumn="0" w:lastRowFirstColumn="0" w:lastRowLastColumn="0"/>
            <w:tcW w:w="209" w:type="pct"/>
            <w:vMerge/>
          </w:tcPr>
          <w:p w14:paraId="5936071B" w14:textId="77777777" w:rsidR="00222DAB" w:rsidRPr="00EF01FF" w:rsidRDefault="00222DAB" w:rsidP="00222DAB">
            <w:pPr>
              <w:rPr>
                <w:rFonts w:ascii="Lora" w:hAnsi="Lora"/>
                <w:b w:val="0"/>
                <w:bCs w:val="0"/>
                <w:sz w:val="20"/>
                <w:szCs w:val="20"/>
                <w:lang w:val="en-US"/>
              </w:rPr>
            </w:pPr>
          </w:p>
        </w:tc>
        <w:tc>
          <w:tcPr>
            <w:tcW w:w="473" w:type="pct"/>
            <w:vMerge/>
          </w:tcPr>
          <w:p w14:paraId="08BB7599"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36" w:type="pct"/>
            <w:tcBorders>
              <w:top w:val="single" w:sz="4" w:space="0" w:color="auto"/>
            </w:tcBorders>
          </w:tcPr>
          <w:p w14:paraId="1A9B1972"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2.4.3</w:t>
            </w:r>
          </w:p>
        </w:tc>
        <w:tc>
          <w:tcPr>
            <w:tcW w:w="472" w:type="pct"/>
            <w:tcBorders>
              <w:top w:val="single" w:sz="4" w:space="0" w:color="auto"/>
            </w:tcBorders>
          </w:tcPr>
          <w:p w14:paraId="4B2BD9FE"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Number of trained managers in management and civil service reform-related issues</w:t>
            </w:r>
          </w:p>
        </w:tc>
        <w:tc>
          <w:tcPr>
            <w:tcW w:w="371" w:type="pct"/>
            <w:tcBorders>
              <w:top w:val="single" w:sz="4" w:space="0" w:color="auto"/>
            </w:tcBorders>
          </w:tcPr>
          <w:p w14:paraId="6C56CC39"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Borders>
              <w:top w:val="single" w:sz="4" w:space="0" w:color="auto"/>
            </w:tcBorders>
          </w:tcPr>
          <w:p w14:paraId="58E59693"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300 female and male managers trained from the line ministries and CSB</w:t>
            </w:r>
          </w:p>
        </w:tc>
        <w:tc>
          <w:tcPr>
            <w:tcW w:w="367" w:type="pct"/>
            <w:tcBorders>
              <w:top w:val="single" w:sz="4" w:space="0" w:color="auto"/>
            </w:tcBorders>
          </w:tcPr>
          <w:p w14:paraId="7ACE6695"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330</w:t>
            </w:r>
          </w:p>
        </w:tc>
        <w:tc>
          <w:tcPr>
            <w:tcW w:w="702" w:type="pct"/>
            <w:tcBorders>
              <w:top w:val="single" w:sz="4" w:space="0" w:color="auto"/>
            </w:tcBorders>
          </w:tcPr>
          <w:p w14:paraId="5B425285"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Achieved |330 managers trained on Management and Leadership Skills</w:t>
            </w:r>
          </w:p>
        </w:tc>
        <w:tc>
          <w:tcPr>
            <w:tcW w:w="1579" w:type="pct"/>
            <w:tcBorders>
              <w:top w:val="single" w:sz="4" w:space="0" w:color="auto"/>
            </w:tcBorders>
          </w:tcPr>
          <w:p w14:paraId="1A64A3D7"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CSB took the ownership of the subject training which received positive assessments from the participants and is planning to continue training delivery to the civil servants in the future. </w:t>
            </w:r>
          </w:p>
        </w:tc>
      </w:tr>
      <w:tr w:rsidR="00222DAB" w:rsidRPr="00EF01FF" w14:paraId="29CC7065" w14:textId="77777777" w:rsidTr="00EF01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 w:type="pct"/>
            <w:vMerge w:val="restart"/>
          </w:tcPr>
          <w:p w14:paraId="4B74747A" w14:textId="77777777" w:rsidR="00222DAB" w:rsidRPr="00EF01FF" w:rsidRDefault="00222DAB" w:rsidP="00222DAB">
            <w:pPr>
              <w:rPr>
                <w:rFonts w:ascii="Lora" w:hAnsi="Lora"/>
                <w:b w:val="0"/>
                <w:bCs w:val="0"/>
                <w:sz w:val="20"/>
                <w:szCs w:val="20"/>
                <w:lang w:val="en-US"/>
              </w:rPr>
            </w:pPr>
            <w:r w:rsidRPr="00EF01FF">
              <w:rPr>
                <w:rFonts w:ascii="Lora" w:hAnsi="Lora"/>
                <w:b w:val="0"/>
                <w:bCs w:val="0"/>
                <w:sz w:val="20"/>
                <w:szCs w:val="20"/>
                <w:lang w:val="en-US"/>
              </w:rPr>
              <w:t>2.5</w:t>
            </w:r>
          </w:p>
        </w:tc>
        <w:tc>
          <w:tcPr>
            <w:tcW w:w="473" w:type="pct"/>
            <w:vMerge w:val="restart"/>
          </w:tcPr>
          <w:p w14:paraId="4DA5463C"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Civil Service Bureau has instruments to effectively manage civil service</w:t>
            </w:r>
          </w:p>
        </w:tc>
        <w:tc>
          <w:tcPr>
            <w:tcW w:w="236" w:type="pct"/>
            <w:tcBorders>
              <w:bottom w:val="single" w:sz="4" w:space="0" w:color="auto"/>
            </w:tcBorders>
          </w:tcPr>
          <w:p w14:paraId="58844470"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2.5.1</w:t>
            </w:r>
          </w:p>
        </w:tc>
        <w:tc>
          <w:tcPr>
            <w:tcW w:w="472" w:type="pct"/>
            <w:tcBorders>
              <w:bottom w:val="single" w:sz="4" w:space="0" w:color="auto"/>
            </w:tcBorders>
          </w:tcPr>
          <w:p w14:paraId="654251F4"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 xml:space="preserve">Number of Human Resources Forum (HR Forum) meetings held on key </w:t>
            </w:r>
            <w:r w:rsidRPr="00EF01FF">
              <w:rPr>
                <w:rFonts w:ascii="Lora" w:hAnsi="Lora"/>
                <w:sz w:val="20"/>
                <w:szCs w:val="20"/>
                <w:lang w:val="en-US"/>
              </w:rPr>
              <w:lastRenderedPageBreak/>
              <w:t>issues of CSR</w:t>
            </w:r>
          </w:p>
        </w:tc>
        <w:tc>
          <w:tcPr>
            <w:tcW w:w="371" w:type="pct"/>
            <w:tcBorders>
              <w:bottom w:val="single" w:sz="4" w:space="0" w:color="auto"/>
            </w:tcBorders>
          </w:tcPr>
          <w:p w14:paraId="3C4EF29B"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lastRenderedPageBreak/>
              <w:t>0</w:t>
            </w:r>
          </w:p>
        </w:tc>
        <w:tc>
          <w:tcPr>
            <w:tcW w:w="591" w:type="pct"/>
            <w:tcBorders>
              <w:bottom w:val="single" w:sz="4" w:space="0" w:color="auto"/>
            </w:tcBorders>
          </w:tcPr>
          <w:p w14:paraId="3BBDEC8A"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7 HR Forum meetings held</w:t>
            </w:r>
          </w:p>
        </w:tc>
        <w:tc>
          <w:tcPr>
            <w:tcW w:w="367" w:type="pct"/>
            <w:tcBorders>
              <w:bottom w:val="single" w:sz="4" w:space="0" w:color="auto"/>
            </w:tcBorders>
          </w:tcPr>
          <w:p w14:paraId="002847DF"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6</w:t>
            </w:r>
          </w:p>
        </w:tc>
        <w:tc>
          <w:tcPr>
            <w:tcW w:w="702" w:type="pct"/>
            <w:tcBorders>
              <w:bottom w:val="single" w:sz="4" w:space="0" w:color="auto"/>
            </w:tcBorders>
          </w:tcPr>
          <w:p w14:paraId="2459F268"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Partially Achieved | 6 HR Forum meetings held</w:t>
            </w:r>
          </w:p>
        </w:tc>
        <w:tc>
          <w:tcPr>
            <w:tcW w:w="1579" w:type="pct"/>
            <w:tcBorders>
              <w:bottom w:val="single" w:sz="4" w:space="0" w:color="auto"/>
            </w:tcBorders>
          </w:tcPr>
          <w:p w14:paraId="29B542B2"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By January 2021, 6 HR Forum meetings were held. The next meeting is planned to be organized in February 2021.</w:t>
            </w:r>
          </w:p>
        </w:tc>
      </w:tr>
      <w:tr w:rsidR="00222DAB" w:rsidRPr="00EF01FF" w14:paraId="3127DDC9" w14:textId="77777777" w:rsidTr="00EF01FF">
        <w:trPr>
          <w:trHeight w:val="630"/>
        </w:trPr>
        <w:tc>
          <w:tcPr>
            <w:cnfStyle w:val="001000000000" w:firstRow="0" w:lastRow="0" w:firstColumn="1" w:lastColumn="0" w:oddVBand="0" w:evenVBand="0" w:oddHBand="0" w:evenHBand="0" w:firstRowFirstColumn="0" w:firstRowLastColumn="0" w:lastRowFirstColumn="0" w:lastRowLastColumn="0"/>
            <w:tcW w:w="209" w:type="pct"/>
            <w:vMerge/>
          </w:tcPr>
          <w:p w14:paraId="2300A258" w14:textId="77777777" w:rsidR="00222DAB" w:rsidRPr="00EF01FF" w:rsidRDefault="00222DAB" w:rsidP="00222DAB">
            <w:pPr>
              <w:rPr>
                <w:rFonts w:ascii="Lora" w:hAnsi="Lora"/>
                <w:b w:val="0"/>
                <w:bCs w:val="0"/>
                <w:sz w:val="20"/>
                <w:szCs w:val="20"/>
                <w:lang w:val="en-US"/>
              </w:rPr>
            </w:pPr>
          </w:p>
        </w:tc>
        <w:tc>
          <w:tcPr>
            <w:tcW w:w="473" w:type="pct"/>
            <w:vMerge/>
          </w:tcPr>
          <w:p w14:paraId="6A60C0AA"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36" w:type="pct"/>
            <w:tcBorders>
              <w:top w:val="single" w:sz="4" w:space="0" w:color="auto"/>
              <w:bottom w:val="single" w:sz="4" w:space="0" w:color="auto"/>
            </w:tcBorders>
          </w:tcPr>
          <w:p w14:paraId="1CCC2A87"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2.5.2</w:t>
            </w:r>
          </w:p>
        </w:tc>
        <w:tc>
          <w:tcPr>
            <w:tcW w:w="472" w:type="pct"/>
            <w:tcBorders>
              <w:top w:val="single" w:sz="4" w:space="0" w:color="auto"/>
              <w:bottom w:val="single" w:sz="4" w:space="0" w:color="auto"/>
            </w:tcBorders>
          </w:tcPr>
          <w:p w14:paraId="5F883EAE"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 xml:space="preserve">Electronic Human Resources Management System (HRMS) generates key statistics on civil service   </w:t>
            </w:r>
          </w:p>
        </w:tc>
        <w:tc>
          <w:tcPr>
            <w:tcW w:w="371" w:type="pct"/>
            <w:tcBorders>
              <w:top w:val="single" w:sz="4" w:space="0" w:color="auto"/>
              <w:bottom w:val="single" w:sz="4" w:space="0" w:color="auto"/>
            </w:tcBorders>
          </w:tcPr>
          <w:p w14:paraId="08D9778D"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Borders>
              <w:top w:val="single" w:sz="4" w:space="0" w:color="auto"/>
              <w:bottom w:val="single" w:sz="4" w:space="0" w:color="auto"/>
            </w:tcBorders>
          </w:tcPr>
          <w:p w14:paraId="19CC03A3"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All line ministries input relevant statistical data into HRMS</w:t>
            </w:r>
          </w:p>
        </w:tc>
        <w:tc>
          <w:tcPr>
            <w:tcW w:w="367" w:type="pct"/>
            <w:tcBorders>
              <w:top w:val="single" w:sz="4" w:space="0" w:color="auto"/>
              <w:bottom w:val="single" w:sz="4" w:space="0" w:color="auto"/>
            </w:tcBorders>
          </w:tcPr>
          <w:p w14:paraId="42B44C85"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roofErr w:type="spellStart"/>
            <w:r w:rsidRPr="00EF01FF">
              <w:rPr>
                <w:rFonts w:ascii="Lora" w:hAnsi="Lora"/>
                <w:sz w:val="20"/>
                <w:szCs w:val="20"/>
                <w:lang w:val="en-US"/>
              </w:rPr>
              <w:t>eHRMS</w:t>
            </w:r>
            <w:proofErr w:type="spellEnd"/>
            <w:r w:rsidRPr="00EF01FF">
              <w:rPr>
                <w:rFonts w:ascii="Lora" w:hAnsi="Lora"/>
                <w:sz w:val="20"/>
                <w:szCs w:val="20"/>
                <w:lang w:val="en-US"/>
              </w:rPr>
              <w:t xml:space="preserve"> pilot </w:t>
            </w:r>
          </w:p>
        </w:tc>
        <w:tc>
          <w:tcPr>
            <w:tcW w:w="702" w:type="pct"/>
            <w:tcBorders>
              <w:top w:val="single" w:sz="4" w:space="0" w:color="auto"/>
              <w:bottom w:val="single" w:sz="4" w:space="0" w:color="auto"/>
            </w:tcBorders>
          </w:tcPr>
          <w:p w14:paraId="19E86F06"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Partially Achieved | All line ministries input relevant statistical data into HRMS in pilot mode.  </w:t>
            </w:r>
          </w:p>
        </w:tc>
        <w:tc>
          <w:tcPr>
            <w:tcW w:w="1579" w:type="pct"/>
            <w:tcBorders>
              <w:top w:val="single" w:sz="4" w:space="0" w:color="auto"/>
              <w:bottom w:val="single" w:sz="4" w:space="0" w:color="auto"/>
            </w:tcBorders>
          </w:tcPr>
          <w:p w14:paraId="04F7F174"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With the support of the project team, four new modules were integrated into the E-Human Resource Management Platform. The technical work was finalized by July and training held in August-September 2020. At this stage, platform is fully operational and allows to integrate new data via four new modules – </w:t>
            </w:r>
            <w:proofErr w:type="spellStart"/>
            <w:r w:rsidRPr="00EF01FF">
              <w:rPr>
                <w:rFonts w:ascii="Lora" w:hAnsi="Lora"/>
                <w:i/>
                <w:iCs/>
                <w:sz w:val="20"/>
                <w:szCs w:val="20"/>
                <w:lang w:val="en-US"/>
              </w:rPr>
              <w:t>i</w:t>
            </w:r>
            <w:proofErr w:type="spellEnd"/>
            <w:r w:rsidRPr="00EF01FF">
              <w:rPr>
                <w:rFonts w:ascii="Lora" w:hAnsi="Lora"/>
                <w:i/>
                <w:iCs/>
                <w:sz w:val="20"/>
                <w:szCs w:val="20"/>
                <w:lang w:val="en-US"/>
              </w:rPr>
              <w:t>) performance appraisal, ii) professional development; iii) self-service modules for civil servants; iv) smart analytical module.</w:t>
            </w:r>
          </w:p>
          <w:p w14:paraId="36F6B26D" w14:textId="77777777" w:rsidR="00222DAB" w:rsidRPr="00EF01FF" w:rsidRDefault="00222DAB" w:rsidP="00222DAB">
            <w:pPr>
              <w:jc w:val="both"/>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r>
      <w:tr w:rsidR="00222DAB" w:rsidRPr="00EF01FF" w14:paraId="420FC7E9" w14:textId="77777777" w:rsidTr="00EF01F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9" w:type="pct"/>
            <w:vMerge/>
          </w:tcPr>
          <w:p w14:paraId="617427DB" w14:textId="77777777" w:rsidR="00222DAB" w:rsidRPr="00EF01FF" w:rsidRDefault="00222DAB" w:rsidP="00222DAB">
            <w:pPr>
              <w:rPr>
                <w:rFonts w:ascii="Lora" w:hAnsi="Lora"/>
                <w:b w:val="0"/>
                <w:bCs w:val="0"/>
                <w:sz w:val="20"/>
                <w:szCs w:val="20"/>
                <w:lang w:val="en-US"/>
              </w:rPr>
            </w:pPr>
          </w:p>
        </w:tc>
        <w:tc>
          <w:tcPr>
            <w:tcW w:w="473" w:type="pct"/>
            <w:vMerge/>
          </w:tcPr>
          <w:p w14:paraId="4029F378"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tc>
        <w:tc>
          <w:tcPr>
            <w:tcW w:w="236" w:type="pct"/>
            <w:tcBorders>
              <w:top w:val="single" w:sz="4" w:space="0" w:color="auto"/>
            </w:tcBorders>
          </w:tcPr>
          <w:p w14:paraId="246E268D"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2.5.3</w:t>
            </w:r>
          </w:p>
        </w:tc>
        <w:tc>
          <w:tcPr>
            <w:tcW w:w="472" w:type="pct"/>
            <w:tcBorders>
              <w:top w:val="single" w:sz="4" w:space="0" w:color="auto"/>
            </w:tcBorders>
          </w:tcPr>
          <w:p w14:paraId="30C9AE8A"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Number of female and male civil servants trained in dispute management</w:t>
            </w:r>
          </w:p>
        </w:tc>
        <w:tc>
          <w:tcPr>
            <w:tcW w:w="371" w:type="pct"/>
            <w:tcBorders>
              <w:top w:val="single" w:sz="4" w:space="0" w:color="auto"/>
            </w:tcBorders>
          </w:tcPr>
          <w:p w14:paraId="4439AA44"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Borders>
              <w:top w:val="single" w:sz="4" w:space="0" w:color="auto"/>
            </w:tcBorders>
          </w:tcPr>
          <w:p w14:paraId="7345CD24" w14:textId="77777777" w:rsidR="00222DAB" w:rsidRPr="00EF01FF"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100 female and male civil servants trained from all line ministries and 80% of trainees demonstrating 10% of increased knowledge through pre-post tests</w:t>
            </w:r>
          </w:p>
        </w:tc>
        <w:tc>
          <w:tcPr>
            <w:tcW w:w="367" w:type="pct"/>
            <w:tcBorders>
              <w:top w:val="single" w:sz="4" w:space="0" w:color="auto"/>
            </w:tcBorders>
          </w:tcPr>
          <w:p w14:paraId="57DBC122"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86</w:t>
            </w:r>
          </w:p>
        </w:tc>
        <w:tc>
          <w:tcPr>
            <w:tcW w:w="702" w:type="pct"/>
            <w:tcBorders>
              <w:top w:val="single" w:sz="4" w:space="0" w:color="auto"/>
            </w:tcBorders>
          </w:tcPr>
          <w:p w14:paraId="248D144A"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Partially Achieved | 86 civil servants (F=66; M=34) trained from all line ministries and 83% of trainees demonstrating more than 10% of increased knowledge through pre-post tests</w:t>
            </w:r>
          </w:p>
        </w:tc>
        <w:tc>
          <w:tcPr>
            <w:tcW w:w="1579" w:type="pct"/>
            <w:tcBorders>
              <w:top w:val="single" w:sz="4" w:space="0" w:color="auto"/>
            </w:tcBorders>
          </w:tcPr>
          <w:p w14:paraId="535013AD" w14:textId="77777777" w:rsidR="00222DAB" w:rsidRPr="00EF01FF" w:rsidRDefault="00222DAB" w:rsidP="00222DAB">
            <w:pPr>
              <w:jc w:val="both"/>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In December 2020, new comprehensive qualitative research was conducted to understand perceptions and attitudes of civil servants towards work-place disputes and non-judicial dispute resolutions. The findings coupled with previous research documents is being used by the local expert which was tasked to develop a plan of action for the introduction of a mediation service in the public sector. Based on the document, first, the detailed guidelines on mediation and conflict management techniques shall be developed, then based on the guidelines a group of HRs and other selected civil servants shall be trained. In addition, a memorandum with the Mediation Association of Georgia will be signed which would allow civil servants to engage an external mediator in case of necessity. As a result, through these pilot activities, civil servants will be able to apply mediation as an alternative way of resolving a conflict without any formal judicial proceedings. The process will include an awareness raising activities and training of managers on the new opportunity. It </w:t>
            </w:r>
            <w:r w:rsidRPr="00EF01FF">
              <w:rPr>
                <w:rFonts w:ascii="Lora" w:hAnsi="Lora"/>
                <w:i/>
                <w:iCs/>
                <w:sz w:val="20"/>
                <w:szCs w:val="20"/>
                <w:lang w:val="en-US"/>
              </w:rPr>
              <w:lastRenderedPageBreak/>
              <w:t>is noteworthy, that initially, the plan was to focus on dispute prevention without any reference to mediation or other alternative measures due to the reluctance from the CSB. However, the new research and conducted discussions have created a momentum to expand the possibilities for dispute management and thus, this shall be integrated into the training program of managers (to be conducted on a later stage, once all preparatory work is finalized and mediation is available as a service).</w:t>
            </w:r>
          </w:p>
        </w:tc>
      </w:tr>
      <w:tr w:rsidR="00222DAB" w:rsidRPr="00EF01FF" w14:paraId="76DD9346" w14:textId="77777777" w:rsidTr="00EF01FF">
        <w:trPr>
          <w:trHeight w:val="1390"/>
        </w:trPr>
        <w:tc>
          <w:tcPr>
            <w:cnfStyle w:val="001000000000" w:firstRow="0" w:lastRow="0" w:firstColumn="1" w:lastColumn="0" w:oddVBand="0" w:evenVBand="0" w:oddHBand="0" w:evenHBand="0" w:firstRowFirstColumn="0" w:firstRowLastColumn="0" w:lastRowFirstColumn="0" w:lastRowLastColumn="0"/>
            <w:tcW w:w="209" w:type="pct"/>
          </w:tcPr>
          <w:p w14:paraId="72751D58" w14:textId="77777777" w:rsidR="00222DAB" w:rsidRPr="00EF01FF" w:rsidRDefault="00222DAB" w:rsidP="00222DAB">
            <w:pPr>
              <w:rPr>
                <w:rFonts w:ascii="Lora" w:hAnsi="Lora"/>
                <w:b w:val="0"/>
                <w:bCs w:val="0"/>
                <w:sz w:val="20"/>
                <w:szCs w:val="20"/>
                <w:lang w:val="en-US"/>
              </w:rPr>
            </w:pPr>
            <w:r w:rsidRPr="00EF01FF">
              <w:rPr>
                <w:rFonts w:ascii="Lora" w:hAnsi="Lora"/>
                <w:b w:val="0"/>
                <w:bCs w:val="0"/>
                <w:sz w:val="20"/>
                <w:szCs w:val="20"/>
                <w:lang w:val="en-US"/>
              </w:rPr>
              <w:lastRenderedPageBreak/>
              <w:t>2.6</w:t>
            </w:r>
          </w:p>
        </w:tc>
        <w:tc>
          <w:tcPr>
            <w:tcW w:w="473" w:type="pct"/>
          </w:tcPr>
          <w:p w14:paraId="11F3A1CC"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CSO initiatives supported through small grants scheme provide required research and expertise in designing inclusive policy, improving civil service and offering practical solutions to Government</w:t>
            </w:r>
          </w:p>
        </w:tc>
        <w:tc>
          <w:tcPr>
            <w:tcW w:w="236" w:type="pct"/>
          </w:tcPr>
          <w:p w14:paraId="4A92C715"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2.6.1</w:t>
            </w:r>
          </w:p>
        </w:tc>
        <w:tc>
          <w:tcPr>
            <w:tcW w:w="472" w:type="pct"/>
          </w:tcPr>
          <w:p w14:paraId="7BEC3E67"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Number of CSO initiatives providing expertise to the government inclusive policy making process and civil service reform</w:t>
            </w:r>
          </w:p>
        </w:tc>
        <w:tc>
          <w:tcPr>
            <w:tcW w:w="371" w:type="pct"/>
          </w:tcPr>
          <w:p w14:paraId="3122E417"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0</w:t>
            </w:r>
          </w:p>
        </w:tc>
        <w:tc>
          <w:tcPr>
            <w:tcW w:w="591" w:type="pct"/>
          </w:tcPr>
          <w:p w14:paraId="229504C6"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EF01FF">
              <w:rPr>
                <w:rFonts w:ascii="Lora" w:hAnsi="Lora"/>
                <w:sz w:val="20"/>
                <w:szCs w:val="20"/>
                <w:lang w:val="en-US"/>
              </w:rPr>
              <w:t xml:space="preserve">10 CSOs providing evidence-based inputs for future policy decisions  </w:t>
            </w:r>
          </w:p>
        </w:tc>
        <w:tc>
          <w:tcPr>
            <w:tcW w:w="367" w:type="pct"/>
          </w:tcPr>
          <w:p w14:paraId="49E4DF2B"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sz w:val="20"/>
                <w:szCs w:val="20"/>
                <w:lang w:val="en-US"/>
              </w:rPr>
              <w:t>25</w:t>
            </w:r>
          </w:p>
        </w:tc>
        <w:tc>
          <w:tcPr>
            <w:tcW w:w="702" w:type="pct"/>
          </w:tcPr>
          <w:p w14:paraId="6C525A26"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Achieved | Analysis will be available March 2021.  </w:t>
            </w:r>
          </w:p>
        </w:tc>
        <w:tc>
          <w:tcPr>
            <w:tcW w:w="1579" w:type="pct"/>
          </w:tcPr>
          <w:p w14:paraId="2E59425E"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To encourage and support initiatives from civil society that contribute to the implementation of PAR, the project initiated five cycles of CSO grants throughout the project lifetime.  In 2017 four research and five CSO grants were awarded; in 2018 four civic initiatives and three research grants were awarded, in 2019 four research grants were awarded. In 2020, CSO component was fine-tuned in response to COVID-19; three new research grants were initiated in thematic areas of PAR in the context of COVID-19 focusing on digital learning readiness assessment, challenges in provision of services to women victims of domestic violence by the Ministry of Internal Affairs during pandemic and compliance with public participation component in policy making; additionally two grants were provided to support development and deployment of Risk Communication Strategic Guidelines for public health emergencies and provision of professional home care services to elderly and vulnerable persons, as well as creation of Home Care (HC) online learning platform and adaptation HC mobile application. </w:t>
            </w:r>
          </w:p>
          <w:p w14:paraId="3153CC9E" w14:textId="77777777" w:rsidR="00222DAB" w:rsidRPr="00EF01FF"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 xml:space="preserve">All CSO grants are subject to external evaluation. </w:t>
            </w:r>
            <w:r w:rsidRPr="00EF01FF">
              <w:rPr>
                <w:rFonts w:ascii="Lora" w:hAnsi="Lora"/>
                <w:i/>
                <w:iCs/>
                <w:sz w:val="20"/>
                <w:szCs w:val="20"/>
                <w:lang w:val="en-US"/>
              </w:rPr>
              <w:lastRenderedPageBreak/>
              <w:t xml:space="preserve">The external evaluation focuses on contribution analysis of the initiatives to the PAR Process, assesses the impact and capacity increase of sub-grantees, gender dimension is among the evaluation criteria as well. The indicator will be measured as soon as the third external evaluation results are available (by March 2021).  </w:t>
            </w:r>
          </w:p>
        </w:tc>
      </w:tr>
    </w:tbl>
    <w:p w14:paraId="198AFA8B" w14:textId="77777777" w:rsidR="00222DAB" w:rsidRDefault="00222DAB" w:rsidP="00222DAB">
      <w:pPr>
        <w:rPr>
          <w:rFonts w:ascii="Arial" w:hAnsi="Arial" w:cs="Arial"/>
          <w:b/>
          <w:color w:val="4F81BD" w:themeColor="accent1"/>
        </w:rPr>
      </w:pPr>
      <w:bookmarkStart w:id="46" w:name="_Toc61483717"/>
    </w:p>
    <w:p w14:paraId="78D43878" w14:textId="77777777" w:rsidR="00222DAB" w:rsidRPr="00222DAB" w:rsidRDefault="00222DAB" w:rsidP="00222DAB">
      <w:pPr>
        <w:rPr>
          <w:rFonts w:ascii="Arial" w:hAnsi="Arial" w:cs="Arial"/>
          <w:b/>
          <w:color w:val="4F81BD" w:themeColor="accent1"/>
        </w:rPr>
      </w:pPr>
      <w:r w:rsidRPr="00222DAB">
        <w:rPr>
          <w:rFonts w:ascii="Arial" w:hAnsi="Arial" w:cs="Arial"/>
          <w:b/>
          <w:color w:val="4F81BD" w:themeColor="accent1"/>
        </w:rPr>
        <w:t xml:space="preserve">Outcome </w:t>
      </w:r>
      <w:r w:rsidRPr="00222DAB">
        <w:rPr>
          <w:rFonts w:ascii="Arial" w:hAnsi="Arial" w:cs="Arial"/>
          <w:b/>
          <w:color w:val="4F81BD" w:themeColor="accent1"/>
          <w:lang w:val="ka-GE"/>
        </w:rPr>
        <w:t>3</w:t>
      </w:r>
      <w:bookmarkEnd w:id="46"/>
      <w:r w:rsidRPr="00222DAB">
        <w:rPr>
          <w:rFonts w:ascii="Arial" w:hAnsi="Arial" w:cs="Arial"/>
          <w:b/>
          <w:color w:val="4F81BD" w:themeColor="accent1"/>
        </w:rPr>
        <w:t xml:space="preserve"> </w:t>
      </w:r>
    </w:p>
    <w:p w14:paraId="008756CC" w14:textId="77777777" w:rsidR="00222DAB" w:rsidRPr="00B5699C" w:rsidRDefault="00222DAB" w:rsidP="00222DAB">
      <w:pPr>
        <w:rPr>
          <w:rFonts w:ascii="Lora" w:hAnsi="Lora"/>
          <w:b/>
          <w:bCs/>
          <w:i/>
          <w:iCs/>
        </w:rPr>
      </w:pPr>
      <w:proofErr w:type="spellStart"/>
      <w:r w:rsidRPr="00B5699C">
        <w:rPr>
          <w:rFonts w:ascii="Lora" w:hAnsi="Lora"/>
          <w:b/>
          <w:bCs/>
          <w:i/>
          <w:iCs/>
        </w:rPr>
        <w:t>GoG</w:t>
      </w:r>
      <w:proofErr w:type="spellEnd"/>
      <w:r w:rsidRPr="00B5699C">
        <w:rPr>
          <w:rFonts w:ascii="Lora" w:hAnsi="Lora"/>
          <w:b/>
          <w:bCs/>
          <w:i/>
          <w:iCs/>
        </w:rPr>
        <w:t xml:space="preserve"> delivers higher quality, (digitally) more accessible and inclusive services to citizens</w:t>
      </w:r>
    </w:p>
    <w:tbl>
      <w:tblPr>
        <w:tblStyle w:val="GridTable4-Accent11"/>
        <w:tblW w:w="5000" w:type="pct"/>
        <w:tblLook w:val="04A0" w:firstRow="1" w:lastRow="0" w:firstColumn="1" w:lastColumn="0" w:noHBand="0" w:noVBand="1"/>
      </w:tblPr>
      <w:tblGrid>
        <w:gridCol w:w="470"/>
        <w:gridCol w:w="2559"/>
        <w:gridCol w:w="1747"/>
        <w:gridCol w:w="2325"/>
        <w:gridCol w:w="1054"/>
        <w:gridCol w:w="1950"/>
        <w:gridCol w:w="3071"/>
      </w:tblGrid>
      <w:tr w:rsidR="00222DAB" w:rsidRPr="00B5699C" w14:paraId="2678293F" w14:textId="77777777" w:rsidTr="00222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tcPr>
          <w:p w14:paraId="631985AE" w14:textId="77777777" w:rsidR="00222DAB" w:rsidRPr="00B5699C" w:rsidRDefault="00222DAB" w:rsidP="00222DAB">
            <w:pPr>
              <w:jc w:val="center"/>
              <w:rPr>
                <w:rFonts w:ascii="Lora" w:hAnsi="Lora"/>
                <w:i/>
                <w:iCs/>
                <w:sz w:val="20"/>
                <w:szCs w:val="20"/>
                <w:lang w:val="en-US"/>
              </w:rPr>
            </w:pPr>
            <w:r w:rsidRPr="00B5699C">
              <w:rPr>
                <w:rFonts w:ascii="Lora" w:hAnsi="Lora"/>
                <w:i/>
                <w:iCs/>
                <w:sz w:val="20"/>
                <w:szCs w:val="20"/>
                <w:lang w:val="en-US"/>
              </w:rPr>
              <w:t>#</w:t>
            </w:r>
          </w:p>
        </w:tc>
        <w:tc>
          <w:tcPr>
            <w:tcW w:w="973" w:type="pct"/>
          </w:tcPr>
          <w:p w14:paraId="652A5F8B"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Outcome Indicator</w:t>
            </w:r>
          </w:p>
        </w:tc>
        <w:tc>
          <w:tcPr>
            <w:tcW w:w="665" w:type="pct"/>
          </w:tcPr>
          <w:p w14:paraId="25A03C0D"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Baseline</w:t>
            </w:r>
          </w:p>
        </w:tc>
        <w:tc>
          <w:tcPr>
            <w:tcW w:w="884" w:type="pct"/>
          </w:tcPr>
          <w:p w14:paraId="0F2C8F6C"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Target </w:t>
            </w:r>
          </w:p>
        </w:tc>
        <w:tc>
          <w:tcPr>
            <w:tcW w:w="402" w:type="pct"/>
          </w:tcPr>
          <w:p w14:paraId="3B86EDC3"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Progress to date </w:t>
            </w:r>
          </w:p>
        </w:tc>
        <w:tc>
          <w:tcPr>
            <w:tcW w:w="742" w:type="pct"/>
          </w:tcPr>
          <w:p w14:paraId="425C2F47"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Status  </w:t>
            </w:r>
          </w:p>
        </w:tc>
        <w:tc>
          <w:tcPr>
            <w:tcW w:w="1167" w:type="pct"/>
          </w:tcPr>
          <w:p w14:paraId="658E7DAC"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Issues and Next Steps </w:t>
            </w:r>
          </w:p>
        </w:tc>
      </w:tr>
      <w:tr w:rsidR="00222DAB" w:rsidRPr="00B5699C" w14:paraId="7A203C92" w14:textId="77777777" w:rsidTr="0022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tcPr>
          <w:p w14:paraId="6AD30FBB" w14:textId="77777777" w:rsidR="00222DAB" w:rsidRPr="00B5699C" w:rsidRDefault="00222DAB" w:rsidP="00222DAB">
            <w:pPr>
              <w:tabs>
                <w:tab w:val="left" w:pos="340"/>
                <w:tab w:val="left" w:pos="430"/>
              </w:tabs>
              <w:rPr>
                <w:rFonts w:ascii="Lora" w:hAnsi="Lora"/>
                <w:b w:val="0"/>
                <w:bCs w:val="0"/>
                <w:sz w:val="20"/>
                <w:szCs w:val="20"/>
                <w:lang w:val="en-US"/>
              </w:rPr>
            </w:pPr>
            <w:r w:rsidRPr="00B5699C">
              <w:rPr>
                <w:rFonts w:ascii="Lora" w:hAnsi="Lora"/>
                <w:b w:val="0"/>
                <w:bCs w:val="0"/>
                <w:sz w:val="20"/>
                <w:szCs w:val="20"/>
                <w:lang w:val="ka-GE"/>
              </w:rPr>
              <w:t>3</w:t>
            </w:r>
            <w:r w:rsidRPr="00B5699C">
              <w:rPr>
                <w:rFonts w:ascii="Lora" w:hAnsi="Lora"/>
                <w:b w:val="0"/>
                <w:bCs w:val="0"/>
                <w:sz w:val="20"/>
                <w:szCs w:val="20"/>
                <w:lang w:val="en-US"/>
              </w:rPr>
              <w:t xml:space="preserve">.1 </w:t>
            </w:r>
          </w:p>
        </w:tc>
        <w:tc>
          <w:tcPr>
            <w:tcW w:w="973" w:type="pct"/>
          </w:tcPr>
          <w:p w14:paraId="3E0F5B77" w14:textId="77777777" w:rsidR="00222DAB" w:rsidRPr="00AE6565"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key service delivery agencies initiating implementation of disability inclusive unified service delivery standards</w:t>
            </w:r>
          </w:p>
        </w:tc>
        <w:tc>
          <w:tcPr>
            <w:tcW w:w="665" w:type="pct"/>
          </w:tcPr>
          <w:p w14:paraId="6E34B8AC"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884" w:type="pct"/>
          </w:tcPr>
          <w:p w14:paraId="779D9385"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2 key service delivery agencies have initiated implementation of unified delivery standards</w:t>
            </w:r>
          </w:p>
        </w:tc>
        <w:tc>
          <w:tcPr>
            <w:tcW w:w="402" w:type="pct"/>
          </w:tcPr>
          <w:p w14:paraId="73314B0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 2</w:t>
            </w:r>
          </w:p>
        </w:tc>
        <w:tc>
          <w:tcPr>
            <w:tcW w:w="742" w:type="pct"/>
          </w:tcPr>
          <w:p w14:paraId="4518332B"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Achieved | 2 key service delivery agencies have initiated implementation of unified delivery standards</w:t>
            </w:r>
          </w:p>
        </w:tc>
        <w:tc>
          <w:tcPr>
            <w:tcW w:w="1167" w:type="pct"/>
          </w:tcPr>
          <w:p w14:paraId="4C6FDA8D"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The Public Service Hall as well as the Patrol Department Unified Service Center of the Ministry of Internal Affairs have already implemented Common Assessment Framework (CAF) – a total quality management tool designed for self-assessment and improvement of public organizations from the context of service delivery.</w:t>
            </w:r>
          </w:p>
        </w:tc>
      </w:tr>
      <w:tr w:rsidR="00222DAB" w:rsidRPr="00B5699C" w14:paraId="2E5B7C12" w14:textId="77777777" w:rsidTr="00222DAB">
        <w:tc>
          <w:tcPr>
            <w:cnfStyle w:val="001000000000" w:firstRow="0" w:lastRow="0" w:firstColumn="1" w:lastColumn="0" w:oddVBand="0" w:evenVBand="0" w:oddHBand="0" w:evenHBand="0" w:firstRowFirstColumn="0" w:firstRowLastColumn="0" w:lastRowFirstColumn="0" w:lastRowLastColumn="0"/>
            <w:tcW w:w="167" w:type="pct"/>
          </w:tcPr>
          <w:p w14:paraId="41C095B7" w14:textId="77777777" w:rsidR="00222DAB" w:rsidRPr="00B5699C" w:rsidRDefault="00222DAB" w:rsidP="00222DAB">
            <w:pPr>
              <w:tabs>
                <w:tab w:val="left" w:pos="430"/>
              </w:tabs>
              <w:rPr>
                <w:rFonts w:ascii="Lora" w:hAnsi="Lora"/>
                <w:b w:val="0"/>
                <w:bCs w:val="0"/>
                <w:sz w:val="20"/>
                <w:szCs w:val="20"/>
                <w:lang w:val="en-US"/>
              </w:rPr>
            </w:pPr>
            <w:r w:rsidRPr="00B5699C">
              <w:rPr>
                <w:rFonts w:ascii="Lora" w:hAnsi="Lora"/>
                <w:b w:val="0"/>
                <w:bCs w:val="0"/>
                <w:sz w:val="20"/>
                <w:szCs w:val="20"/>
                <w:lang w:val="ka-GE"/>
              </w:rPr>
              <w:t>3</w:t>
            </w:r>
            <w:r w:rsidRPr="00B5699C">
              <w:rPr>
                <w:rFonts w:ascii="Lora" w:hAnsi="Lora"/>
                <w:b w:val="0"/>
                <w:bCs w:val="0"/>
                <w:sz w:val="20"/>
                <w:szCs w:val="20"/>
                <w:lang w:val="en-US"/>
              </w:rPr>
              <w:t xml:space="preserve">.2  </w:t>
            </w:r>
          </w:p>
        </w:tc>
        <w:tc>
          <w:tcPr>
            <w:tcW w:w="973" w:type="pct"/>
          </w:tcPr>
          <w:p w14:paraId="143C5DE2" w14:textId="77777777" w:rsidR="00222DAB" w:rsidRPr="00AE6565"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Usage rate of the unified government services portal (my.gov.ge) increases</w:t>
            </w:r>
          </w:p>
        </w:tc>
        <w:tc>
          <w:tcPr>
            <w:tcW w:w="665" w:type="pct"/>
          </w:tcPr>
          <w:p w14:paraId="6AEA56C1"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45,000</w:t>
            </w:r>
          </w:p>
        </w:tc>
        <w:tc>
          <w:tcPr>
            <w:tcW w:w="884" w:type="pct"/>
          </w:tcPr>
          <w:p w14:paraId="3B0F1809"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Usage rate of my.gov.ge portal equals to 360,000</w:t>
            </w:r>
          </w:p>
        </w:tc>
        <w:tc>
          <w:tcPr>
            <w:tcW w:w="402" w:type="pct"/>
          </w:tcPr>
          <w:p w14:paraId="4D19D6BA"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sz w:val="20"/>
                <w:szCs w:val="20"/>
                <w:lang w:val="en-US"/>
              </w:rPr>
              <w:t>423,555</w:t>
            </w:r>
          </w:p>
        </w:tc>
        <w:tc>
          <w:tcPr>
            <w:tcW w:w="742" w:type="pct"/>
          </w:tcPr>
          <w:p w14:paraId="734F8604"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Achieved | Usage rate of my.gov.ge portal equals to 423,555</w:t>
            </w:r>
          </w:p>
        </w:tc>
        <w:tc>
          <w:tcPr>
            <w:tcW w:w="1167" w:type="pct"/>
          </w:tcPr>
          <w:p w14:paraId="4CD54F99"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Usage rate of my.gov.ge portal equals to 423,555 as of December 2020, thus there was an 89 % increase in the usage rate as compared to the baseline data (2016).</w:t>
            </w:r>
            <w:r w:rsidRPr="00B5699C">
              <w:rPr>
                <w:rFonts w:ascii="Lora" w:hAnsi="Lora"/>
                <w:sz w:val="20"/>
                <w:szCs w:val="20"/>
                <w:lang w:val="en-US"/>
              </w:rPr>
              <w:t xml:space="preserve">  </w:t>
            </w:r>
          </w:p>
        </w:tc>
      </w:tr>
    </w:tbl>
    <w:p w14:paraId="71F85BFD" w14:textId="77777777" w:rsidR="00222DAB" w:rsidRPr="00B5699C" w:rsidRDefault="00222DAB" w:rsidP="00222DAB">
      <w:pPr>
        <w:rPr>
          <w:rFonts w:ascii="Lora" w:hAnsi="Lora"/>
          <w:b/>
          <w:bCs/>
          <w:i/>
          <w:iCs/>
        </w:rPr>
      </w:pPr>
    </w:p>
    <w:p w14:paraId="4F3EC4B0" w14:textId="77777777" w:rsidR="00BA20D4" w:rsidRDefault="00BA20D4">
      <w:pPr>
        <w:rPr>
          <w:rFonts w:ascii="Arial" w:hAnsi="Arial" w:cs="Arial"/>
          <w:b/>
          <w:color w:val="4F81BD" w:themeColor="accent1"/>
        </w:rPr>
      </w:pPr>
      <w:bookmarkStart w:id="47" w:name="_Toc61483718"/>
      <w:r>
        <w:rPr>
          <w:rFonts w:ascii="Arial" w:hAnsi="Arial" w:cs="Arial"/>
          <w:b/>
          <w:color w:val="4F81BD" w:themeColor="accent1"/>
        </w:rPr>
        <w:br w:type="page"/>
      </w:r>
    </w:p>
    <w:p w14:paraId="5FEDF570" w14:textId="2BB4B98B" w:rsidR="00222DAB" w:rsidRPr="00222DAB" w:rsidRDefault="00222DAB" w:rsidP="00222DAB">
      <w:pPr>
        <w:rPr>
          <w:rFonts w:ascii="Arial" w:hAnsi="Arial" w:cs="Arial"/>
          <w:b/>
          <w:color w:val="4F81BD" w:themeColor="accent1"/>
        </w:rPr>
      </w:pPr>
      <w:r w:rsidRPr="00222DAB">
        <w:rPr>
          <w:rFonts w:ascii="Arial" w:hAnsi="Arial" w:cs="Arial"/>
          <w:b/>
          <w:color w:val="4F81BD" w:themeColor="accent1"/>
        </w:rPr>
        <w:lastRenderedPageBreak/>
        <w:t xml:space="preserve">Outputs for Outcome </w:t>
      </w:r>
      <w:r w:rsidRPr="00222DAB">
        <w:rPr>
          <w:rFonts w:ascii="Arial" w:hAnsi="Arial" w:cs="Arial"/>
          <w:b/>
          <w:color w:val="4F81BD" w:themeColor="accent1"/>
          <w:lang w:val="ka-GE"/>
        </w:rPr>
        <w:t>3</w:t>
      </w:r>
      <w:bookmarkEnd w:id="47"/>
      <w:r w:rsidRPr="00222DAB">
        <w:rPr>
          <w:rFonts w:ascii="Arial" w:hAnsi="Arial" w:cs="Arial"/>
          <w:b/>
          <w:color w:val="4F81BD" w:themeColor="accent1"/>
        </w:rPr>
        <w:t xml:space="preserve"> </w:t>
      </w:r>
    </w:p>
    <w:tbl>
      <w:tblPr>
        <w:tblStyle w:val="GridTable4-Accent11"/>
        <w:tblW w:w="5000" w:type="pct"/>
        <w:tblLayout w:type="fixed"/>
        <w:tblLook w:val="04A0" w:firstRow="1" w:lastRow="0" w:firstColumn="1" w:lastColumn="0" w:noHBand="0" w:noVBand="1"/>
      </w:tblPr>
      <w:tblGrid>
        <w:gridCol w:w="561"/>
        <w:gridCol w:w="1257"/>
        <w:gridCol w:w="630"/>
        <w:gridCol w:w="1441"/>
        <w:gridCol w:w="917"/>
        <w:gridCol w:w="1792"/>
        <w:gridCol w:w="978"/>
        <w:gridCol w:w="1631"/>
        <w:gridCol w:w="3969"/>
      </w:tblGrid>
      <w:tr w:rsidR="00FB3FDC" w:rsidRPr="00B5699C" w14:paraId="7219D824" w14:textId="77777777" w:rsidTr="00FB3F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 w:type="pct"/>
          </w:tcPr>
          <w:p w14:paraId="46EDC5B2" w14:textId="77777777" w:rsidR="00222DAB" w:rsidRPr="00B5699C" w:rsidRDefault="00222DAB" w:rsidP="00222DAB">
            <w:pPr>
              <w:jc w:val="center"/>
              <w:rPr>
                <w:rFonts w:ascii="Lora" w:hAnsi="Lora"/>
                <w:sz w:val="20"/>
                <w:szCs w:val="20"/>
                <w:lang w:val="en-US"/>
              </w:rPr>
            </w:pPr>
            <w:r w:rsidRPr="00B5699C">
              <w:rPr>
                <w:rFonts w:ascii="Lora" w:hAnsi="Lora"/>
                <w:sz w:val="20"/>
                <w:szCs w:val="20"/>
                <w:lang w:val="en-US"/>
              </w:rPr>
              <w:t>#</w:t>
            </w:r>
          </w:p>
        </w:tc>
        <w:tc>
          <w:tcPr>
            <w:tcW w:w="477" w:type="pct"/>
          </w:tcPr>
          <w:p w14:paraId="2AC608BE"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Output </w:t>
            </w:r>
          </w:p>
        </w:tc>
        <w:tc>
          <w:tcPr>
            <w:tcW w:w="239" w:type="pct"/>
          </w:tcPr>
          <w:p w14:paraId="0A4A3B04"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b w:val="0"/>
                <w:bCs w:val="0"/>
                <w:sz w:val="20"/>
                <w:szCs w:val="20"/>
                <w:lang w:val="en-US"/>
              </w:rPr>
            </w:pPr>
            <w:r w:rsidRPr="00B5699C">
              <w:rPr>
                <w:rFonts w:ascii="Lora" w:hAnsi="Lora"/>
                <w:b w:val="0"/>
                <w:bCs w:val="0"/>
                <w:sz w:val="20"/>
                <w:szCs w:val="20"/>
                <w:lang w:val="en-US"/>
              </w:rPr>
              <w:t>#</w:t>
            </w:r>
          </w:p>
        </w:tc>
        <w:tc>
          <w:tcPr>
            <w:tcW w:w="547" w:type="pct"/>
          </w:tcPr>
          <w:p w14:paraId="5CC6C1B2"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Output Indicator </w:t>
            </w:r>
          </w:p>
        </w:tc>
        <w:tc>
          <w:tcPr>
            <w:tcW w:w="348" w:type="pct"/>
          </w:tcPr>
          <w:p w14:paraId="5001C12D"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Baseline</w:t>
            </w:r>
          </w:p>
        </w:tc>
        <w:tc>
          <w:tcPr>
            <w:tcW w:w="680" w:type="pct"/>
          </w:tcPr>
          <w:p w14:paraId="6E5CAA52"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Target</w:t>
            </w:r>
          </w:p>
        </w:tc>
        <w:tc>
          <w:tcPr>
            <w:tcW w:w="371" w:type="pct"/>
          </w:tcPr>
          <w:p w14:paraId="73FEF6DC"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Progress to date </w:t>
            </w:r>
          </w:p>
        </w:tc>
        <w:tc>
          <w:tcPr>
            <w:tcW w:w="619" w:type="pct"/>
          </w:tcPr>
          <w:p w14:paraId="1751457E"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Status  </w:t>
            </w:r>
          </w:p>
        </w:tc>
        <w:tc>
          <w:tcPr>
            <w:tcW w:w="1506" w:type="pct"/>
          </w:tcPr>
          <w:p w14:paraId="23E3B816" w14:textId="77777777" w:rsidR="00222DAB" w:rsidRPr="00B5699C" w:rsidRDefault="00222DAB" w:rsidP="00222DAB">
            <w:pPr>
              <w:cnfStyle w:val="100000000000" w:firstRow="1"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Issues and Next Steps </w:t>
            </w:r>
          </w:p>
        </w:tc>
      </w:tr>
      <w:tr w:rsidR="00FB3FDC" w:rsidRPr="00B5699C" w14:paraId="5AA46A6B" w14:textId="77777777" w:rsidTr="00FB3FD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13" w:type="pct"/>
            <w:vMerge w:val="restart"/>
          </w:tcPr>
          <w:p w14:paraId="6485C71A" w14:textId="77777777" w:rsidR="00222DAB" w:rsidRPr="00B5699C" w:rsidRDefault="00222DAB" w:rsidP="00222DAB">
            <w:pPr>
              <w:jc w:val="center"/>
              <w:rPr>
                <w:rFonts w:ascii="Lora" w:hAnsi="Lora"/>
                <w:b w:val="0"/>
                <w:bCs w:val="0"/>
                <w:sz w:val="20"/>
                <w:szCs w:val="20"/>
                <w:lang w:val="ka-GE"/>
              </w:rPr>
            </w:pPr>
            <w:r w:rsidRPr="00B5699C">
              <w:rPr>
                <w:rFonts w:ascii="Lora" w:hAnsi="Lora"/>
                <w:b w:val="0"/>
                <w:bCs w:val="0"/>
                <w:sz w:val="20"/>
                <w:szCs w:val="20"/>
                <w:lang w:val="ka-GE"/>
              </w:rPr>
              <w:t>3.1</w:t>
            </w:r>
          </w:p>
        </w:tc>
        <w:tc>
          <w:tcPr>
            <w:tcW w:w="477" w:type="pct"/>
            <w:vMerge w:val="restart"/>
          </w:tcPr>
          <w:p w14:paraId="7B340B2E"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Public Service Delivery officials ready to use Unified Service Delivery Standards</w:t>
            </w:r>
          </w:p>
        </w:tc>
        <w:tc>
          <w:tcPr>
            <w:tcW w:w="239" w:type="pct"/>
            <w:tcBorders>
              <w:bottom w:val="single" w:sz="4" w:space="0" w:color="auto"/>
            </w:tcBorders>
          </w:tcPr>
          <w:p w14:paraId="169DE2A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ka-GE"/>
              </w:rPr>
            </w:pPr>
            <w:r w:rsidRPr="00B5699C">
              <w:rPr>
                <w:rFonts w:ascii="Lora" w:hAnsi="Lora"/>
                <w:sz w:val="20"/>
                <w:szCs w:val="20"/>
                <w:lang w:val="ka-GE"/>
              </w:rPr>
              <w:t>3.1.1</w:t>
            </w:r>
          </w:p>
        </w:tc>
        <w:tc>
          <w:tcPr>
            <w:tcW w:w="547" w:type="pct"/>
            <w:tcBorders>
              <w:bottom w:val="single" w:sz="4" w:space="0" w:color="auto"/>
            </w:tcBorders>
          </w:tcPr>
          <w:p w14:paraId="420C7C0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disability inclusive (where applicable) Unified Public Service Design and Delivery (UPSDD) methodological packages developed</w:t>
            </w:r>
          </w:p>
        </w:tc>
        <w:tc>
          <w:tcPr>
            <w:tcW w:w="348" w:type="pct"/>
            <w:tcBorders>
              <w:bottom w:val="single" w:sz="4" w:space="0" w:color="auto"/>
            </w:tcBorders>
          </w:tcPr>
          <w:p w14:paraId="73FEF93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680" w:type="pct"/>
            <w:tcBorders>
              <w:bottom w:val="single" w:sz="4" w:space="0" w:color="auto"/>
            </w:tcBorders>
          </w:tcPr>
          <w:p w14:paraId="17AAFF82"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Five methodological packages developed and ready to use (costing, delivery, CAF, </w:t>
            </w:r>
            <w:proofErr w:type="spellStart"/>
            <w:r w:rsidRPr="00B5699C">
              <w:rPr>
                <w:rFonts w:ascii="Lora" w:hAnsi="Lora"/>
                <w:sz w:val="20"/>
                <w:szCs w:val="20"/>
                <w:lang w:val="en-US"/>
              </w:rPr>
              <w:t>PwDs</w:t>
            </w:r>
            <w:proofErr w:type="spellEnd"/>
            <w:r w:rsidRPr="00B5699C">
              <w:rPr>
                <w:rFonts w:ascii="Lora" w:hAnsi="Lora"/>
                <w:sz w:val="20"/>
                <w:szCs w:val="20"/>
                <w:lang w:val="en-US"/>
              </w:rPr>
              <w:t xml:space="preserve"> inclusive service design and delivery, customer satisfaction)</w:t>
            </w:r>
          </w:p>
        </w:tc>
        <w:tc>
          <w:tcPr>
            <w:tcW w:w="371" w:type="pct"/>
            <w:tcBorders>
              <w:bottom w:val="single" w:sz="4" w:space="0" w:color="auto"/>
            </w:tcBorders>
          </w:tcPr>
          <w:p w14:paraId="1618D9F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sz w:val="20"/>
                <w:szCs w:val="20"/>
                <w:lang w:val="en-US"/>
              </w:rPr>
              <w:t>5</w:t>
            </w:r>
          </w:p>
        </w:tc>
        <w:tc>
          <w:tcPr>
            <w:tcW w:w="619" w:type="pct"/>
            <w:tcBorders>
              <w:bottom w:val="single" w:sz="4" w:space="0" w:color="auto"/>
            </w:tcBorders>
          </w:tcPr>
          <w:p w14:paraId="526DE9D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Achieved / Five methodological and training packages are developed and ready to use (costing, </w:t>
            </w:r>
            <w:proofErr w:type="spellStart"/>
            <w:r w:rsidRPr="00B5699C">
              <w:rPr>
                <w:rFonts w:ascii="Lora" w:hAnsi="Lora"/>
                <w:i/>
                <w:iCs/>
                <w:sz w:val="20"/>
                <w:szCs w:val="20"/>
                <w:lang w:val="en-US"/>
              </w:rPr>
              <w:t>PwDs</w:t>
            </w:r>
            <w:proofErr w:type="spellEnd"/>
            <w:r w:rsidRPr="00B5699C">
              <w:rPr>
                <w:rFonts w:ascii="Lora" w:hAnsi="Lora"/>
                <w:i/>
                <w:iCs/>
                <w:sz w:val="20"/>
                <w:szCs w:val="20"/>
                <w:lang w:val="en-US"/>
              </w:rPr>
              <w:t xml:space="preserve"> inclusive public service design and delivery, CAF, customer satisfaction)</w:t>
            </w:r>
          </w:p>
        </w:tc>
        <w:tc>
          <w:tcPr>
            <w:tcW w:w="1506" w:type="pct"/>
            <w:tcBorders>
              <w:bottom w:val="single" w:sz="4" w:space="0" w:color="auto"/>
            </w:tcBorders>
          </w:tcPr>
          <w:p w14:paraId="5DB0972C"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UPSDD methodological packages </w:t>
            </w:r>
            <w:proofErr w:type="gramStart"/>
            <w:r w:rsidRPr="00B5699C">
              <w:rPr>
                <w:rFonts w:ascii="Lora" w:hAnsi="Lora"/>
                <w:i/>
                <w:iCs/>
                <w:sz w:val="20"/>
                <w:szCs w:val="20"/>
                <w:lang w:val="en-US"/>
              </w:rPr>
              <w:t>have to</w:t>
            </w:r>
            <w:proofErr w:type="gramEnd"/>
            <w:r w:rsidRPr="00B5699C">
              <w:rPr>
                <w:rFonts w:ascii="Lora" w:hAnsi="Lora"/>
                <w:i/>
                <w:iCs/>
                <w:sz w:val="20"/>
                <w:szCs w:val="20"/>
                <w:lang w:val="en-US"/>
              </w:rPr>
              <w:t xml:space="preserve"> undergo official government approval after which full scale implementation of the standards provided in the methodological packages should start in relevant service delivery agencies with the overall coordination from PSDA. The fact that the UPSDD is still pending government approval is due to lack of high-level backing and support from the Ministry of Justice limiting PSDAs ability to move on with the necessary approvals and implementation. </w:t>
            </w:r>
          </w:p>
        </w:tc>
      </w:tr>
      <w:tr w:rsidR="00FB3FDC" w:rsidRPr="00B5699C" w14:paraId="5BBBECB3" w14:textId="77777777" w:rsidTr="00FB3FDC">
        <w:trPr>
          <w:trHeight w:val="400"/>
        </w:trPr>
        <w:tc>
          <w:tcPr>
            <w:cnfStyle w:val="001000000000" w:firstRow="0" w:lastRow="0" w:firstColumn="1" w:lastColumn="0" w:oddVBand="0" w:evenVBand="0" w:oddHBand="0" w:evenHBand="0" w:firstRowFirstColumn="0" w:firstRowLastColumn="0" w:lastRowFirstColumn="0" w:lastRowLastColumn="0"/>
            <w:tcW w:w="213" w:type="pct"/>
            <w:vMerge/>
          </w:tcPr>
          <w:p w14:paraId="7093793D" w14:textId="77777777" w:rsidR="00222DAB" w:rsidRPr="00B5699C" w:rsidRDefault="00222DAB" w:rsidP="00222DAB">
            <w:pPr>
              <w:jc w:val="center"/>
              <w:rPr>
                <w:rFonts w:ascii="Lora" w:hAnsi="Lora"/>
                <w:b w:val="0"/>
                <w:bCs w:val="0"/>
                <w:sz w:val="20"/>
                <w:szCs w:val="20"/>
                <w:lang w:val="ka-GE"/>
              </w:rPr>
            </w:pPr>
          </w:p>
        </w:tc>
        <w:tc>
          <w:tcPr>
            <w:tcW w:w="477" w:type="pct"/>
            <w:vMerge/>
          </w:tcPr>
          <w:p w14:paraId="649F085A"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p>
        </w:tc>
        <w:tc>
          <w:tcPr>
            <w:tcW w:w="239" w:type="pct"/>
            <w:tcBorders>
              <w:top w:val="single" w:sz="4" w:space="0" w:color="auto"/>
              <w:bottom w:val="single" w:sz="4" w:space="0" w:color="auto"/>
            </w:tcBorders>
          </w:tcPr>
          <w:p w14:paraId="441053D0"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ka-GE"/>
              </w:rPr>
            </w:pPr>
            <w:r w:rsidRPr="00B5699C">
              <w:rPr>
                <w:rFonts w:ascii="Lora" w:hAnsi="Lora"/>
                <w:sz w:val="20"/>
                <w:szCs w:val="20"/>
                <w:lang w:val="ka-GE"/>
              </w:rPr>
              <w:t>3.1.2</w:t>
            </w:r>
          </w:p>
        </w:tc>
        <w:tc>
          <w:tcPr>
            <w:tcW w:w="547" w:type="pct"/>
            <w:tcBorders>
              <w:top w:val="single" w:sz="4" w:space="0" w:color="auto"/>
              <w:bottom w:val="single" w:sz="4" w:space="0" w:color="auto"/>
            </w:tcBorders>
          </w:tcPr>
          <w:p w14:paraId="416C3AB7"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female and male civil servants trained under each of UPSDD packages</w:t>
            </w:r>
          </w:p>
        </w:tc>
        <w:tc>
          <w:tcPr>
            <w:tcW w:w="348" w:type="pct"/>
            <w:tcBorders>
              <w:top w:val="single" w:sz="4" w:space="0" w:color="auto"/>
              <w:bottom w:val="single" w:sz="4" w:space="0" w:color="auto"/>
            </w:tcBorders>
          </w:tcPr>
          <w:p w14:paraId="70154463"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680" w:type="pct"/>
            <w:tcBorders>
              <w:top w:val="single" w:sz="4" w:space="0" w:color="auto"/>
              <w:bottom w:val="single" w:sz="4" w:space="0" w:color="auto"/>
            </w:tcBorders>
          </w:tcPr>
          <w:p w14:paraId="7AED75DC"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30 male and female civil servants from key service provider agencies trained under each of UPSDD packages</w:t>
            </w:r>
          </w:p>
        </w:tc>
        <w:tc>
          <w:tcPr>
            <w:tcW w:w="371" w:type="pct"/>
            <w:tcBorders>
              <w:top w:val="single" w:sz="4" w:space="0" w:color="auto"/>
              <w:bottom w:val="single" w:sz="4" w:space="0" w:color="auto"/>
            </w:tcBorders>
          </w:tcPr>
          <w:p w14:paraId="02CF6858"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sz w:val="20"/>
                <w:szCs w:val="20"/>
                <w:lang w:val="en-US"/>
              </w:rPr>
              <w:t>187</w:t>
            </w:r>
          </w:p>
        </w:tc>
        <w:tc>
          <w:tcPr>
            <w:tcW w:w="619" w:type="pct"/>
            <w:tcBorders>
              <w:top w:val="single" w:sz="4" w:space="0" w:color="auto"/>
              <w:bottom w:val="single" w:sz="4" w:space="0" w:color="auto"/>
            </w:tcBorders>
          </w:tcPr>
          <w:p w14:paraId="69E2AF57"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Achieved | 187 public servants (F=139; M= 48) from more than 10 different public agencies trained under UPSDD packages</w:t>
            </w:r>
          </w:p>
        </w:tc>
        <w:tc>
          <w:tcPr>
            <w:tcW w:w="1506" w:type="pct"/>
            <w:tcBorders>
              <w:top w:val="single" w:sz="4" w:space="0" w:color="auto"/>
              <w:bottom w:val="single" w:sz="4" w:space="0" w:color="auto"/>
            </w:tcBorders>
          </w:tcPr>
          <w:p w14:paraId="386D7F5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 xml:space="preserve">Training Center of the Ministry of Justice has taken over the training programs which will be constantly available through their training portfolio, thus ensuring their sustainability. </w:t>
            </w:r>
          </w:p>
        </w:tc>
      </w:tr>
      <w:tr w:rsidR="00FB3FDC" w:rsidRPr="00B5699C" w14:paraId="0CA2F812" w14:textId="77777777" w:rsidTr="00FB3F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3" w:type="pct"/>
            <w:vMerge/>
          </w:tcPr>
          <w:p w14:paraId="537467AB" w14:textId="77777777" w:rsidR="00222DAB" w:rsidRPr="00B5699C" w:rsidRDefault="00222DAB" w:rsidP="00222DAB">
            <w:pPr>
              <w:jc w:val="center"/>
              <w:rPr>
                <w:rFonts w:ascii="Lora" w:hAnsi="Lora"/>
                <w:b w:val="0"/>
                <w:bCs w:val="0"/>
                <w:sz w:val="20"/>
                <w:szCs w:val="20"/>
                <w:lang w:val="ka-GE"/>
              </w:rPr>
            </w:pPr>
          </w:p>
        </w:tc>
        <w:tc>
          <w:tcPr>
            <w:tcW w:w="477" w:type="pct"/>
            <w:vMerge/>
          </w:tcPr>
          <w:p w14:paraId="33B9E064"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tc>
        <w:tc>
          <w:tcPr>
            <w:tcW w:w="239" w:type="pct"/>
            <w:tcBorders>
              <w:top w:val="single" w:sz="4" w:space="0" w:color="auto"/>
            </w:tcBorders>
          </w:tcPr>
          <w:p w14:paraId="7CE22AED"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ka-GE"/>
              </w:rPr>
            </w:pPr>
            <w:r w:rsidRPr="00B5699C">
              <w:rPr>
                <w:rFonts w:ascii="Lora" w:hAnsi="Lora"/>
                <w:sz w:val="20"/>
                <w:szCs w:val="20"/>
                <w:lang w:val="ka-GE"/>
              </w:rPr>
              <w:t>3.1.3</w:t>
            </w:r>
          </w:p>
        </w:tc>
        <w:tc>
          <w:tcPr>
            <w:tcW w:w="547" w:type="pct"/>
            <w:tcBorders>
              <w:top w:val="single" w:sz="4" w:space="0" w:color="auto"/>
            </w:tcBorders>
          </w:tcPr>
          <w:p w14:paraId="0B95B4B2"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agencies implementing new quality assurance standards in line with UPSDD</w:t>
            </w:r>
          </w:p>
          <w:p w14:paraId="0941C80A"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p w14:paraId="3BA3E407"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p w14:paraId="196FA375"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p w14:paraId="6ADE7AD8"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p w14:paraId="741BAB4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tc>
        <w:tc>
          <w:tcPr>
            <w:tcW w:w="348" w:type="pct"/>
            <w:tcBorders>
              <w:top w:val="single" w:sz="4" w:space="0" w:color="auto"/>
            </w:tcBorders>
          </w:tcPr>
          <w:p w14:paraId="6486918A"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680" w:type="pct"/>
            <w:tcBorders>
              <w:top w:val="single" w:sz="4" w:space="0" w:color="auto"/>
            </w:tcBorders>
          </w:tcPr>
          <w:p w14:paraId="198A57BE"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2 agencies comply with quality assurance elements of UPSDD</w:t>
            </w:r>
          </w:p>
        </w:tc>
        <w:tc>
          <w:tcPr>
            <w:tcW w:w="371" w:type="pct"/>
            <w:tcBorders>
              <w:top w:val="single" w:sz="4" w:space="0" w:color="auto"/>
            </w:tcBorders>
          </w:tcPr>
          <w:p w14:paraId="6B54CA1F"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sz w:val="20"/>
                <w:szCs w:val="20"/>
                <w:lang w:val="en-US"/>
              </w:rPr>
              <w:t>2</w:t>
            </w:r>
          </w:p>
        </w:tc>
        <w:tc>
          <w:tcPr>
            <w:tcW w:w="619" w:type="pct"/>
            <w:tcBorders>
              <w:top w:val="single" w:sz="4" w:space="0" w:color="auto"/>
            </w:tcBorders>
          </w:tcPr>
          <w:p w14:paraId="2EDAE6A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i/>
                <w:iCs/>
                <w:sz w:val="20"/>
                <w:szCs w:val="20"/>
                <w:lang w:val="en-US"/>
              </w:rPr>
              <w:t>Achieved | 2 agencies comply with quality assurance elements of UPSDD</w:t>
            </w:r>
          </w:p>
        </w:tc>
        <w:tc>
          <w:tcPr>
            <w:tcW w:w="1506" w:type="pct"/>
            <w:tcBorders>
              <w:top w:val="single" w:sz="4" w:space="0" w:color="auto"/>
            </w:tcBorders>
          </w:tcPr>
          <w:p w14:paraId="1ECF2AA0"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Two agencies -</w:t>
            </w:r>
            <w:r w:rsidRPr="00B5699C">
              <w:rPr>
                <w:rFonts w:ascii="Lora" w:hAnsi="Lora"/>
                <w:sz w:val="20"/>
                <w:szCs w:val="20"/>
                <w:lang w:val="en-US"/>
              </w:rPr>
              <w:t xml:space="preserve"> </w:t>
            </w:r>
            <w:r w:rsidRPr="00B5699C">
              <w:rPr>
                <w:rFonts w:ascii="Lora" w:hAnsi="Lora"/>
                <w:i/>
                <w:iCs/>
                <w:sz w:val="20"/>
                <w:szCs w:val="20"/>
                <w:lang w:val="en-US"/>
              </w:rPr>
              <w:t>Public Service Hall and Patrol Department Unified Service Center of the Ministry of Internal Affairs have already implemented quality assurance element of UPSDD - CAF</w:t>
            </w:r>
          </w:p>
        </w:tc>
      </w:tr>
      <w:tr w:rsidR="00FB3FDC" w:rsidRPr="00B5699C" w14:paraId="79C71474" w14:textId="77777777" w:rsidTr="00FB3FDC">
        <w:trPr>
          <w:trHeight w:val="630"/>
        </w:trPr>
        <w:tc>
          <w:tcPr>
            <w:cnfStyle w:val="001000000000" w:firstRow="0" w:lastRow="0" w:firstColumn="1" w:lastColumn="0" w:oddVBand="0" w:evenVBand="0" w:oddHBand="0" w:evenHBand="0" w:firstRowFirstColumn="0" w:firstRowLastColumn="0" w:lastRowFirstColumn="0" w:lastRowLastColumn="0"/>
            <w:tcW w:w="213" w:type="pct"/>
            <w:vMerge w:val="restart"/>
          </w:tcPr>
          <w:p w14:paraId="63138A00" w14:textId="77777777" w:rsidR="00222DAB" w:rsidRPr="00B5699C" w:rsidRDefault="00222DAB" w:rsidP="00222DAB">
            <w:pPr>
              <w:jc w:val="center"/>
              <w:rPr>
                <w:rFonts w:ascii="Lora" w:hAnsi="Lora"/>
                <w:b w:val="0"/>
                <w:bCs w:val="0"/>
                <w:sz w:val="20"/>
                <w:szCs w:val="20"/>
                <w:lang w:val="ka-GE"/>
              </w:rPr>
            </w:pPr>
            <w:r w:rsidRPr="00B5699C">
              <w:rPr>
                <w:rFonts w:ascii="Lora" w:hAnsi="Lora"/>
                <w:b w:val="0"/>
                <w:bCs w:val="0"/>
                <w:sz w:val="20"/>
                <w:szCs w:val="20"/>
                <w:lang w:val="ka-GE"/>
              </w:rPr>
              <w:lastRenderedPageBreak/>
              <w:t>3.2</w:t>
            </w:r>
          </w:p>
        </w:tc>
        <w:tc>
          <w:tcPr>
            <w:tcW w:w="477" w:type="pct"/>
            <w:vMerge w:val="restart"/>
          </w:tcPr>
          <w:p w14:paraId="7FA21C6E"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More services and data are accessible in digital format on unified government portals and the uptake of service is increased (my.gov.ge)</w:t>
            </w:r>
          </w:p>
        </w:tc>
        <w:tc>
          <w:tcPr>
            <w:tcW w:w="239" w:type="pct"/>
            <w:tcBorders>
              <w:bottom w:val="single" w:sz="4" w:space="0" w:color="auto"/>
            </w:tcBorders>
          </w:tcPr>
          <w:p w14:paraId="0929A086"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ka-GE"/>
              </w:rPr>
            </w:pPr>
            <w:r w:rsidRPr="00B5699C">
              <w:rPr>
                <w:rFonts w:ascii="Lora" w:hAnsi="Lora"/>
                <w:sz w:val="20"/>
                <w:szCs w:val="20"/>
                <w:lang w:val="ka-GE"/>
              </w:rPr>
              <w:t>3.2.1</w:t>
            </w:r>
          </w:p>
        </w:tc>
        <w:tc>
          <w:tcPr>
            <w:tcW w:w="547" w:type="pct"/>
            <w:tcBorders>
              <w:bottom w:val="single" w:sz="4" w:space="0" w:color="auto"/>
            </w:tcBorders>
          </w:tcPr>
          <w:p w14:paraId="1CFFF233"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new services accessible on my.gov.ge</w:t>
            </w:r>
          </w:p>
        </w:tc>
        <w:tc>
          <w:tcPr>
            <w:tcW w:w="348" w:type="pct"/>
            <w:tcBorders>
              <w:bottom w:val="single" w:sz="4" w:space="0" w:color="auto"/>
            </w:tcBorders>
          </w:tcPr>
          <w:p w14:paraId="21FB46E0"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680" w:type="pct"/>
            <w:tcBorders>
              <w:bottom w:val="single" w:sz="4" w:space="0" w:color="auto"/>
            </w:tcBorders>
          </w:tcPr>
          <w:p w14:paraId="3FDAC9A1"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49 new services are accessible on my.gov.ge</w:t>
            </w:r>
          </w:p>
        </w:tc>
        <w:tc>
          <w:tcPr>
            <w:tcW w:w="371" w:type="pct"/>
            <w:tcBorders>
              <w:bottom w:val="single" w:sz="4" w:space="0" w:color="auto"/>
            </w:tcBorders>
          </w:tcPr>
          <w:p w14:paraId="4775FF8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sz w:val="20"/>
                <w:szCs w:val="20"/>
                <w:lang w:val="en-US"/>
              </w:rPr>
              <w:t>133</w:t>
            </w:r>
          </w:p>
        </w:tc>
        <w:tc>
          <w:tcPr>
            <w:tcW w:w="619" w:type="pct"/>
            <w:tcBorders>
              <w:bottom w:val="single" w:sz="4" w:space="0" w:color="auto"/>
            </w:tcBorders>
          </w:tcPr>
          <w:p w14:paraId="14D9AACD"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Achieved | 133 new services are accessible on my.gov.ge</w:t>
            </w:r>
          </w:p>
        </w:tc>
        <w:tc>
          <w:tcPr>
            <w:tcW w:w="1506" w:type="pct"/>
            <w:tcBorders>
              <w:bottom w:val="single" w:sz="4" w:space="0" w:color="auto"/>
            </w:tcBorders>
          </w:tcPr>
          <w:p w14:paraId="7D7A477F"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Only in 2020 37 new services were added to the Unified Service Portal My.gov.ge by DGA; in total 699 services are now available on the Portal, 133 with support of the PAR project</w:t>
            </w:r>
          </w:p>
          <w:p w14:paraId="5715C8D9" w14:textId="77777777" w:rsidR="00222DAB" w:rsidRPr="00B5699C" w:rsidRDefault="00222DAB" w:rsidP="00222DAB">
            <w:pPr>
              <w:cnfStyle w:val="000000000000" w:firstRow="0" w:lastRow="0" w:firstColumn="0" w:lastColumn="0" w:oddVBand="0" w:evenVBand="0" w:oddHBand="0" w:evenHBand="0" w:firstRowFirstColumn="0" w:firstRowLastColumn="0" w:lastRowFirstColumn="0" w:lastRowLastColumn="0"/>
              <w:rPr>
                <w:rFonts w:ascii="Lora" w:hAnsi="Lora"/>
                <w:i/>
                <w:iCs/>
                <w:sz w:val="20"/>
                <w:szCs w:val="20"/>
                <w:lang w:val="en-US"/>
              </w:rPr>
            </w:pPr>
          </w:p>
        </w:tc>
      </w:tr>
      <w:tr w:rsidR="00FB3FDC" w:rsidRPr="00B5699C" w14:paraId="7885906A" w14:textId="77777777" w:rsidTr="00FB3FDC">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213" w:type="pct"/>
            <w:vMerge/>
          </w:tcPr>
          <w:p w14:paraId="6568AE5C" w14:textId="77777777" w:rsidR="00222DAB" w:rsidRPr="00B5699C" w:rsidRDefault="00222DAB" w:rsidP="00222DAB">
            <w:pPr>
              <w:jc w:val="center"/>
              <w:rPr>
                <w:rFonts w:ascii="Lora" w:hAnsi="Lora"/>
                <w:sz w:val="20"/>
                <w:szCs w:val="20"/>
                <w:lang w:val="ka-GE"/>
              </w:rPr>
            </w:pPr>
          </w:p>
        </w:tc>
        <w:tc>
          <w:tcPr>
            <w:tcW w:w="477" w:type="pct"/>
            <w:vMerge/>
          </w:tcPr>
          <w:p w14:paraId="7BF5E1F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p>
        </w:tc>
        <w:tc>
          <w:tcPr>
            <w:tcW w:w="239" w:type="pct"/>
            <w:tcBorders>
              <w:top w:val="single" w:sz="4" w:space="0" w:color="auto"/>
            </w:tcBorders>
          </w:tcPr>
          <w:p w14:paraId="22EA220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ka-GE"/>
              </w:rPr>
            </w:pPr>
            <w:r w:rsidRPr="00B5699C">
              <w:rPr>
                <w:rFonts w:ascii="Lora" w:hAnsi="Lora"/>
                <w:sz w:val="20"/>
                <w:szCs w:val="20"/>
                <w:lang w:val="ka-GE"/>
              </w:rPr>
              <w:t>3.2.3</w:t>
            </w:r>
          </w:p>
        </w:tc>
        <w:tc>
          <w:tcPr>
            <w:tcW w:w="547" w:type="pct"/>
            <w:tcBorders>
              <w:top w:val="single" w:sz="4" w:space="0" w:color="auto"/>
            </w:tcBorders>
          </w:tcPr>
          <w:p w14:paraId="0B2794F3"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Number of citizens covered by public relations and information outreach</w:t>
            </w:r>
          </w:p>
        </w:tc>
        <w:tc>
          <w:tcPr>
            <w:tcW w:w="348" w:type="pct"/>
            <w:tcBorders>
              <w:top w:val="single" w:sz="4" w:space="0" w:color="auto"/>
            </w:tcBorders>
          </w:tcPr>
          <w:p w14:paraId="0889E92D"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0</w:t>
            </w:r>
          </w:p>
        </w:tc>
        <w:tc>
          <w:tcPr>
            <w:tcW w:w="680" w:type="pct"/>
            <w:tcBorders>
              <w:top w:val="single" w:sz="4" w:space="0" w:color="auto"/>
            </w:tcBorders>
          </w:tcPr>
          <w:p w14:paraId="2DC30DFC"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sz w:val="20"/>
                <w:szCs w:val="20"/>
                <w:lang w:val="en-US"/>
              </w:rPr>
            </w:pPr>
            <w:r w:rsidRPr="00B5699C">
              <w:rPr>
                <w:rFonts w:ascii="Lora" w:hAnsi="Lora"/>
                <w:sz w:val="20"/>
                <w:szCs w:val="20"/>
                <w:lang w:val="en-US"/>
              </w:rPr>
              <w:t xml:space="preserve">850,000 citizens are aware of my.gov.ge, the services available and the modalities of its usage via face-to-face meetings.  </w:t>
            </w:r>
          </w:p>
        </w:tc>
        <w:tc>
          <w:tcPr>
            <w:tcW w:w="371" w:type="pct"/>
            <w:tcBorders>
              <w:top w:val="single" w:sz="4" w:space="0" w:color="auto"/>
            </w:tcBorders>
          </w:tcPr>
          <w:p w14:paraId="2EFC3D96" w14:textId="77777777"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sz w:val="20"/>
                <w:szCs w:val="20"/>
                <w:lang w:val="en-US"/>
              </w:rPr>
              <w:t>845,939</w:t>
            </w:r>
          </w:p>
        </w:tc>
        <w:tc>
          <w:tcPr>
            <w:tcW w:w="619" w:type="pct"/>
            <w:tcBorders>
              <w:top w:val="single" w:sz="4" w:space="0" w:color="auto"/>
            </w:tcBorders>
          </w:tcPr>
          <w:p w14:paraId="1DD37072" w14:textId="26E03B08" w:rsidR="00222DAB" w:rsidRPr="00B5699C" w:rsidRDefault="00EF01FF" w:rsidP="00EF01FF">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EF01FF">
              <w:rPr>
                <w:rFonts w:ascii="Lora" w:hAnsi="Lora"/>
                <w:i/>
                <w:iCs/>
                <w:sz w:val="20"/>
                <w:szCs w:val="20"/>
                <w:lang w:val="en-US"/>
              </w:rPr>
              <w:t>Achieved</w:t>
            </w:r>
            <w:r w:rsidR="00222DAB" w:rsidRPr="00EF01FF">
              <w:rPr>
                <w:rFonts w:ascii="Lora" w:hAnsi="Lora"/>
                <w:i/>
                <w:iCs/>
                <w:sz w:val="20"/>
                <w:szCs w:val="20"/>
                <w:lang w:val="en-US"/>
              </w:rPr>
              <w:t>|</w:t>
            </w:r>
            <w:r w:rsidR="00222DAB" w:rsidRPr="00B5699C">
              <w:rPr>
                <w:rFonts w:ascii="Lora" w:hAnsi="Lora"/>
                <w:i/>
                <w:iCs/>
                <w:sz w:val="20"/>
                <w:szCs w:val="20"/>
                <w:lang w:val="en-US"/>
              </w:rPr>
              <w:t xml:space="preserve"> Analysis will be available March 2021.  </w:t>
            </w:r>
          </w:p>
        </w:tc>
        <w:tc>
          <w:tcPr>
            <w:tcW w:w="1506" w:type="pct"/>
            <w:tcBorders>
              <w:top w:val="single" w:sz="4" w:space="0" w:color="auto"/>
            </w:tcBorders>
          </w:tcPr>
          <w:p w14:paraId="538D8DCB" w14:textId="16479E64" w:rsidR="00222DAB" w:rsidRPr="00B5699C" w:rsidRDefault="00222DAB" w:rsidP="00222DAB">
            <w:pPr>
              <w:cnfStyle w:val="000000100000" w:firstRow="0" w:lastRow="0" w:firstColumn="0" w:lastColumn="0" w:oddVBand="0" w:evenVBand="0" w:oddHBand="1" w:evenHBand="0" w:firstRowFirstColumn="0" w:firstRowLastColumn="0" w:lastRowFirstColumn="0" w:lastRowLastColumn="0"/>
              <w:rPr>
                <w:rFonts w:ascii="Lora" w:hAnsi="Lora"/>
                <w:i/>
                <w:iCs/>
                <w:sz w:val="20"/>
                <w:szCs w:val="20"/>
                <w:lang w:val="en-US"/>
              </w:rPr>
            </w:pPr>
            <w:r w:rsidRPr="00B5699C">
              <w:rPr>
                <w:rFonts w:ascii="Lora" w:hAnsi="Lora"/>
                <w:i/>
                <w:iCs/>
                <w:sz w:val="20"/>
                <w:szCs w:val="20"/>
                <w:lang w:val="en-US"/>
              </w:rPr>
              <w:t>DGA has been conducting informational meetings with various stakeholders. The promotional video has been disseminated via TV channels during various time periods of the day. In 2020, DGA   widely disseminated   a   promotional   video for use of My.go</w:t>
            </w:r>
            <w:r w:rsidR="00EF01FF">
              <w:rPr>
                <w:rFonts w:ascii="Lora" w:hAnsi="Lora"/>
                <w:i/>
                <w:iCs/>
                <w:sz w:val="20"/>
                <w:szCs w:val="20"/>
                <w:lang w:val="en-US"/>
              </w:rPr>
              <w:t>v.ge during the COVID-19 pandemic</w:t>
            </w:r>
            <w:r w:rsidRPr="00B5699C">
              <w:rPr>
                <w:rFonts w:ascii="Lora" w:hAnsi="Lora"/>
                <w:i/>
                <w:iCs/>
                <w:sz w:val="20"/>
                <w:szCs w:val="20"/>
                <w:lang w:val="en-US"/>
              </w:rPr>
              <w:t xml:space="preserve"> (detailed outreach figures will be provided by March 2021)</w:t>
            </w:r>
          </w:p>
        </w:tc>
      </w:tr>
    </w:tbl>
    <w:p w14:paraId="56480A15" w14:textId="77777777" w:rsidR="00222DAB" w:rsidRPr="006F2FE4" w:rsidRDefault="00222DAB" w:rsidP="006F2FE4">
      <w:pPr>
        <w:rPr>
          <w:rFonts w:ascii="Arial" w:hAnsi="Arial" w:cs="Arial"/>
          <w:i/>
          <w:iCs/>
          <w:sz w:val="22"/>
          <w:szCs w:val="22"/>
        </w:rPr>
        <w:sectPr w:rsidR="00222DAB" w:rsidRPr="006F2FE4" w:rsidSect="006F2FE4">
          <w:footerReference w:type="default" r:id="rId24"/>
          <w:pgSz w:w="15840" w:h="12240" w:orient="landscape"/>
          <w:pgMar w:top="1440" w:right="1440" w:bottom="1440" w:left="1440" w:header="720" w:footer="720" w:gutter="0"/>
          <w:cols w:space="720"/>
          <w:titlePg/>
          <w:docGrid w:linePitch="360"/>
        </w:sectPr>
      </w:pPr>
    </w:p>
    <w:p w14:paraId="3140086D" w14:textId="1C99709E" w:rsidR="00F82EEB" w:rsidRPr="00F82EEB" w:rsidRDefault="00D63F04" w:rsidP="00F82EEB">
      <w:pPr>
        <w:pStyle w:val="Heading1"/>
      </w:pPr>
      <w:bookmarkStart w:id="48" w:name="_Toc478138887"/>
      <w:r>
        <w:lastRenderedPageBreak/>
        <w:t>Annex F:</w:t>
      </w:r>
      <w:r>
        <w:tab/>
      </w:r>
      <w:r w:rsidR="00F82EEB">
        <w:t>Main PAR Laws, Policies, Decrees, By-Laws, Strategies Prepared</w:t>
      </w:r>
      <w:bookmarkEnd w:id="48"/>
      <w:r w:rsidR="00F82EEB" w:rsidRPr="00B72130">
        <w:rPr>
          <w:rFonts w:ascii="Lora" w:hAnsi="Lora"/>
          <w:lang w:val="ka-GE"/>
        </w:rPr>
        <w:t xml:space="preserve"> </w:t>
      </w:r>
    </w:p>
    <w:p w14:paraId="00900742" w14:textId="77777777" w:rsidR="00F82EEB" w:rsidRPr="00B72130" w:rsidRDefault="00F82EEB" w:rsidP="00F82EEB">
      <w:pPr>
        <w:jc w:val="center"/>
        <w:rPr>
          <w:rFonts w:ascii="Lora" w:hAnsi="Lor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669"/>
        <w:gridCol w:w="3450"/>
        <w:gridCol w:w="1522"/>
        <w:gridCol w:w="1257"/>
        <w:gridCol w:w="1293"/>
        <w:gridCol w:w="4242"/>
      </w:tblGrid>
      <w:tr w:rsidR="00F82EEB" w:rsidRPr="00812932" w14:paraId="6F7DD5EE" w14:textId="77777777" w:rsidTr="00F82EEB">
        <w:trPr>
          <w:tblHeader/>
        </w:trPr>
        <w:tc>
          <w:tcPr>
            <w:tcW w:w="155" w:type="pct"/>
            <w:shd w:val="clear" w:color="auto" w:fill="95B3D7" w:themeFill="accent1" w:themeFillTint="99"/>
          </w:tcPr>
          <w:p w14:paraId="3073114C" w14:textId="77777777" w:rsidR="00F82EEB" w:rsidRPr="00812932" w:rsidRDefault="00F82EEB" w:rsidP="00812932">
            <w:pPr>
              <w:jc w:val="center"/>
              <w:rPr>
                <w:rFonts w:ascii="Arial" w:hAnsi="Arial" w:cs="Arial"/>
                <w:b/>
                <w:bCs/>
                <w:sz w:val="20"/>
                <w:szCs w:val="20"/>
              </w:rPr>
            </w:pPr>
            <w:r w:rsidRPr="00812932">
              <w:rPr>
                <w:rFonts w:ascii="Arial" w:hAnsi="Arial" w:cs="Arial"/>
                <w:b/>
                <w:bCs/>
                <w:sz w:val="20"/>
                <w:szCs w:val="20"/>
              </w:rPr>
              <w:t>#</w:t>
            </w:r>
          </w:p>
        </w:tc>
        <w:tc>
          <w:tcPr>
            <w:tcW w:w="896" w:type="pct"/>
            <w:shd w:val="clear" w:color="auto" w:fill="95B3D7" w:themeFill="accent1" w:themeFillTint="99"/>
          </w:tcPr>
          <w:p w14:paraId="496B4B6E" w14:textId="77777777" w:rsidR="00F82EEB" w:rsidRPr="00812932" w:rsidRDefault="00F82EEB" w:rsidP="00812932">
            <w:pPr>
              <w:jc w:val="center"/>
              <w:rPr>
                <w:rFonts w:ascii="Arial" w:hAnsi="Arial" w:cs="Arial"/>
                <w:b/>
                <w:bCs/>
                <w:sz w:val="22"/>
                <w:szCs w:val="22"/>
              </w:rPr>
            </w:pPr>
            <w:r w:rsidRPr="00812932">
              <w:rPr>
                <w:rFonts w:ascii="Arial" w:hAnsi="Arial" w:cs="Arial"/>
                <w:b/>
                <w:bCs/>
                <w:sz w:val="22"/>
                <w:szCs w:val="22"/>
              </w:rPr>
              <w:t>Subject</w:t>
            </w:r>
          </w:p>
        </w:tc>
        <w:tc>
          <w:tcPr>
            <w:tcW w:w="1158" w:type="pct"/>
            <w:shd w:val="clear" w:color="auto" w:fill="95B3D7" w:themeFill="accent1" w:themeFillTint="99"/>
          </w:tcPr>
          <w:p w14:paraId="3439907E" w14:textId="77777777" w:rsidR="00F82EEB" w:rsidRPr="00812932" w:rsidRDefault="00F82EEB" w:rsidP="00812932">
            <w:pPr>
              <w:jc w:val="center"/>
              <w:rPr>
                <w:rFonts w:ascii="Arial" w:hAnsi="Arial" w:cs="Arial"/>
                <w:b/>
                <w:bCs/>
                <w:sz w:val="22"/>
                <w:szCs w:val="22"/>
              </w:rPr>
            </w:pPr>
            <w:r w:rsidRPr="00812932">
              <w:rPr>
                <w:rFonts w:ascii="Arial" w:hAnsi="Arial" w:cs="Arial"/>
                <w:b/>
                <w:bCs/>
                <w:sz w:val="22"/>
                <w:szCs w:val="22"/>
              </w:rPr>
              <w:t>Brief Description</w:t>
            </w:r>
          </w:p>
        </w:tc>
        <w:tc>
          <w:tcPr>
            <w:tcW w:w="511" w:type="pct"/>
            <w:shd w:val="clear" w:color="auto" w:fill="95B3D7" w:themeFill="accent1" w:themeFillTint="99"/>
          </w:tcPr>
          <w:p w14:paraId="1F69058C" w14:textId="77777777" w:rsidR="00F82EEB" w:rsidRPr="00812932" w:rsidRDefault="00F82EEB" w:rsidP="00812932">
            <w:pPr>
              <w:jc w:val="center"/>
              <w:rPr>
                <w:rFonts w:ascii="Arial" w:hAnsi="Arial" w:cs="Arial"/>
                <w:b/>
                <w:bCs/>
                <w:sz w:val="22"/>
                <w:szCs w:val="22"/>
              </w:rPr>
            </w:pPr>
            <w:r w:rsidRPr="00812932">
              <w:rPr>
                <w:rFonts w:ascii="Arial" w:hAnsi="Arial" w:cs="Arial"/>
                <w:b/>
                <w:bCs/>
                <w:sz w:val="22"/>
                <w:szCs w:val="22"/>
              </w:rPr>
              <w:t>Partner</w:t>
            </w:r>
          </w:p>
        </w:tc>
        <w:tc>
          <w:tcPr>
            <w:tcW w:w="422" w:type="pct"/>
            <w:shd w:val="clear" w:color="auto" w:fill="95B3D7" w:themeFill="accent1" w:themeFillTint="99"/>
          </w:tcPr>
          <w:p w14:paraId="1B06822F" w14:textId="77777777" w:rsidR="00F82EEB" w:rsidRPr="00812932" w:rsidRDefault="00F82EEB" w:rsidP="00812932">
            <w:pPr>
              <w:jc w:val="center"/>
              <w:rPr>
                <w:rFonts w:ascii="Arial" w:hAnsi="Arial" w:cs="Arial"/>
                <w:b/>
                <w:bCs/>
                <w:sz w:val="22"/>
                <w:szCs w:val="22"/>
              </w:rPr>
            </w:pPr>
            <w:r w:rsidRPr="00812932">
              <w:rPr>
                <w:rFonts w:ascii="Arial" w:hAnsi="Arial" w:cs="Arial"/>
                <w:b/>
                <w:bCs/>
                <w:sz w:val="22"/>
                <w:szCs w:val="22"/>
              </w:rPr>
              <w:t>Date</w:t>
            </w:r>
          </w:p>
          <w:p w14:paraId="63BD12FF" w14:textId="77777777" w:rsidR="00F82EEB" w:rsidRPr="00812932" w:rsidRDefault="00F82EEB" w:rsidP="00812932">
            <w:pPr>
              <w:jc w:val="center"/>
              <w:rPr>
                <w:rFonts w:ascii="Arial" w:hAnsi="Arial" w:cs="Arial"/>
                <w:b/>
                <w:bCs/>
                <w:sz w:val="22"/>
                <w:szCs w:val="22"/>
              </w:rPr>
            </w:pPr>
            <w:r w:rsidRPr="00812932">
              <w:rPr>
                <w:rFonts w:ascii="Arial" w:hAnsi="Arial" w:cs="Arial"/>
                <w:b/>
                <w:bCs/>
                <w:sz w:val="22"/>
                <w:szCs w:val="22"/>
              </w:rPr>
              <w:t>Prepared</w:t>
            </w:r>
          </w:p>
        </w:tc>
        <w:tc>
          <w:tcPr>
            <w:tcW w:w="434" w:type="pct"/>
            <w:shd w:val="clear" w:color="auto" w:fill="95B3D7" w:themeFill="accent1" w:themeFillTint="99"/>
          </w:tcPr>
          <w:p w14:paraId="678EBD3E" w14:textId="77777777" w:rsidR="00F82EEB" w:rsidRPr="00812932" w:rsidRDefault="00F82EEB" w:rsidP="00812932">
            <w:pPr>
              <w:jc w:val="center"/>
              <w:rPr>
                <w:rFonts w:ascii="Arial" w:hAnsi="Arial" w:cs="Arial"/>
                <w:b/>
                <w:bCs/>
                <w:sz w:val="22"/>
                <w:szCs w:val="22"/>
              </w:rPr>
            </w:pPr>
            <w:r w:rsidRPr="00812932">
              <w:rPr>
                <w:rFonts w:ascii="Arial" w:hAnsi="Arial" w:cs="Arial"/>
                <w:b/>
                <w:bCs/>
                <w:sz w:val="22"/>
                <w:szCs w:val="22"/>
              </w:rPr>
              <w:t>Date Approved</w:t>
            </w:r>
          </w:p>
        </w:tc>
        <w:tc>
          <w:tcPr>
            <w:tcW w:w="1424" w:type="pct"/>
            <w:shd w:val="clear" w:color="auto" w:fill="95B3D7" w:themeFill="accent1" w:themeFillTint="99"/>
          </w:tcPr>
          <w:p w14:paraId="69FECFFC" w14:textId="77777777" w:rsidR="00F82EEB" w:rsidRPr="00812932" w:rsidRDefault="00F82EEB" w:rsidP="00812932">
            <w:pPr>
              <w:jc w:val="center"/>
              <w:rPr>
                <w:rFonts w:ascii="Arial" w:hAnsi="Arial" w:cs="Arial"/>
                <w:b/>
                <w:bCs/>
                <w:sz w:val="22"/>
                <w:szCs w:val="22"/>
              </w:rPr>
            </w:pPr>
            <w:r w:rsidRPr="00812932">
              <w:rPr>
                <w:rFonts w:ascii="Arial" w:hAnsi="Arial" w:cs="Arial"/>
                <w:b/>
                <w:bCs/>
                <w:sz w:val="22"/>
                <w:szCs w:val="22"/>
              </w:rPr>
              <w:t>Result and/or Next Steps</w:t>
            </w:r>
          </w:p>
        </w:tc>
      </w:tr>
      <w:tr w:rsidR="00F82EEB" w:rsidRPr="00812932" w14:paraId="0BADDD84" w14:textId="77777777" w:rsidTr="00F82EEB">
        <w:tc>
          <w:tcPr>
            <w:tcW w:w="5000" w:type="pct"/>
            <w:gridSpan w:val="7"/>
            <w:shd w:val="clear" w:color="auto" w:fill="B8CCE4" w:themeFill="accent1" w:themeFillTint="66"/>
          </w:tcPr>
          <w:p w14:paraId="4984EE11" w14:textId="77777777" w:rsidR="00F82EEB" w:rsidRPr="00812932" w:rsidRDefault="00F82EEB" w:rsidP="00812932">
            <w:pPr>
              <w:jc w:val="center"/>
              <w:rPr>
                <w:rFonts w:ascii="Arial" w:hAnsi="Arial" w:cs="Arial"/>
                <w:sz w:val="20"/>
                <w:szCs w:val="20"/>
              </w:rPr>
            </w:pPr>
            <w:r w:rsidRPr="00812932">
              <w:rPr>
                <w:rFonts w:ascii="Arial" w:hAnsi="Arial" w:cs="Arial"/>
                <w:b/>
                <w:bCs/>
                <w:sz w:val="20"/>
                <w:szCs w:val="20"/>
              </w:rPr>
              <w:t>Policy Development and Coordination</w:t>
            </w:r>
          </w:p>
        </w:tc>
      </w:tr>
      <w:tr w:rsidR="00F82EEB" w:rsidRPr="00812932" w14:paraId="44FD1C36" w14:textId="77777777" w:rsidTr="00F82EEB">
        <w:tc>
          <w:tcPr>
            <w:tcW w:w="155" w:type="pct"/>
          </w:tcPr>
          <w:p w14:paraId="2817D48A"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1</w:t>
            </w:r>
          </w:p>
        </w:tc>
        <w:tc>
          <w:tcPr>
            <w:tcW w:w="896" w:type="pct"/>
          </w:tcPr>
          <w:p w14:paraId="354185D4"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New policy methodological package approved by a Government Decree the Government Decree #629</w:t>
            </w:r>
          </w:p>
        </w:tc>
        <w:tc>
          <w:tcPr>
            <w:tcW w:w="1158" w:type="pct"/>
          </w:tcPr>
          <w:p w14:paraId="2DB7EBBC"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The new policy methodological package, including: the “Rule on Development, Monitoring and Evaluation of Policy Documents”, along with the relevant Policy Handbook and detailed guides was approved by a Government Decree, thereby introducing a whole-of-Government approach in national-level policy development and coordination.</w:t>
            </w:r>
          </w:p>
        </w:tc>
        <w:tc>
          <w:tcPr>
            <w:tcW w:w="511" w:type="pct"/>
          </w:tcPr>
          <w:p w14:paraId="03DB5D59" w14:textId="77777777" w:rsidR="00F82EEB" w:rsidRPr="00812932" w:rsidRDefault="00F82EEB" w:rsidP="00812932">
            <w:pPr>
              <w:jc w:val="center"/>
              <w:rPr>
                <w:rFonts w:ascii="Arial" w:hAnsi="Arial" w:cs="Arial"/>
                <w:sz w:val="20"/>
                <w:szCs w:val="20"/>
              </w:rPr>
            </w:pPr>
            <w:proofErr w:type="spellStart"/>
            <w:r w:rsidRPr="00812932">
              <w:rPr>
                <w:rFonts w:ascii="Arial" w:hAnsi="Arial" w:cs="Arial"/>
                <w:sz w:val="20"/>
                <w:szCs w:val="20"/>
              </w:rPr>
              <w:t>AoG</w:t>
            </w:r>
            <w:proofErr w:type="spellEnd"/>
          </w:p>
        </w:tc>
        <w:tc>
          <w:tcPr>
            <w:tcW w:w="422" w:type="pct"/>
          </w:tcPr>
          <w:p w14:paraId="1198CED7"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2018-2019</w:t>
            </w:r>
          </w:p>
        </w:tc>
        <w:tc>
          <w:tcPr>
            <w:tcW w:w="434" w:type="pct"/>
          </w:tcPr>
          <w:p w14:paraId="2E43C7BA"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December, 2020</w:t>
            </w:r>
          </w:p>
        </w:tc>
        <w:tc>
          <w:tcPr>
            <w:tcW w:w="1424" w:type="pct"/>
          </w:tcPr>
          <w:p w14:paraId="7951F831" w14:textId="77777777" w:rsidR="00F82EEB" w:rsidRPr="00812932" w:rsidRDefault="00F82EEB" w:rsidP="00812932">
            <w:pPr>
              <w:rPr>
                <w:rFonts w:ascii="Arial" w:hAnsi="Arial" w:cs="Arial"/>
                <w:sz w:val="20"/>
                <w:szCs w:val="20"/>
              </w:rPr>
            </w:pPr>
            <w:r w:rsidRPr="00812932">
              <w:rPr>
                <w:rFonts w:ascii="Arial" w:hAnsi="Arial" w:cs="Arial"/>
                <w:sz w:val="20"/>
                <w:szCs w:val="20"/>
              </w:rPr>
              <w:t xml:space="preserve">“Rule on Development, Monitoring and Evaluation of Policy Documents”, along with the relevant Policy Handbook and detailed guides became mandatory standards for developing the national level policy documents. </w:t>
            </w:r>
            <w:proofErr w:type="spellStart"/>
            <w:r w:rsidRPr="00812932">
              <w:rPr>
                <w:rFonts w:ascii="Arial" w:hAnsi="Arial" w:cs="Arial"/>
                <w:sz w:val="20"/>
                <w:szCs w:val="20"/>
              </w:rPr>
              <w:t>AoG</w:t>
            </w:r>
            <w:proofErr w:type="spellEnd"/>
            <w:r w:rsidRPr="00812932">
              <w:rPr>
                <w:rFonts w:ascii="Arial" w:hAnsi="Arial" w:cs="Arial"/>
                <w:sz w:val="20"/>
                <w:szCs w:val="20"/>
              </w:rPr>
              <w:t xml:space="preserve"> will screen the policy documents against the new standards, recommend respective changes ensuring the overall high quality of the documents prior to </w:t>
            </w:r>
            <w:proofErr w:type="spellStart"/>
            <w:r w:rsidRPr="00812932">
              <w:rPr>
                <w:rFonts w:ascii="Arial" w:hAnsi="Arial" w:cs="Arial"/>
                <w:sz w:val="20"/>
                <w:szCs w:val="20"/>
              </w:rPr>
              <w:t>GoG</w:t>
            </w:r>
            <w:proofErr w:type="spellEnd"/>
            <w:r w:rsidRPr="00812932">
              <w:rPr>
                <w:rFonts w:ascii="Arial" w:hAnsi="Arial" w:cs="Arial"/>
                <w:sz w:val="20"/>
                <w:szCs w:val="20"/>
              </w:rPr>
              <w:t xml:space="preserve"> approval. </w:t>
            </w:r>
          </w:p>
          <w:p w14:paraId="58AB76E5" w14:textId="77777777" w:rsidR="00F82EEB" w:rsidRPr="00812932" w:rsidRDefault="00F82EEB" w:rsidP="00812932">
            <w:pPr>
              <w:rPr>
                <w:rFonts w:ascii="Arial" w:hAnsi="Arial" w:cs="Arial"/>
                <w:sz w:val="20"/>
                <w:szCs w:val="20"/>
              </w:rPr>
            </w:pPr>
          </w:p>
        </w:tc>
      </w:tr>
      <w:tr w:rsidR="00F82EEB" w:rsidRPr="00812932" w14:paraId="4CC64EE7" w14:textId="77777777" w:rsidTr="00F82EEB">
        <w:trPr>
          <w:trHeight w:val="566"/>
        </w:trPr>
        <w:tc>
          <w:tcPr>
            <w:tcW w:w="155" w:type="pct"/>
            <w:shd w:val="clear" w:color="auto" w:fill="F3F7FB"/>
          </w:tcPr>
          <w:p w14:paraId="3D302879"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2</w:t>
            </w:r>
          </w:p>
        </w:tc>
        <w:tc>
          <w:tcPr>
            <w:tcW w:w="896" w:type="pct"/>
            <w:shd w:val="clear" w:color="auto" w:fill="F3F7FB"/>
          </w:tcPr>
          <w:p w14:paraId="7B8D7029"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PAR Communication Strategy</w:t>
            </w:r>
          </w:p>
        </w:tc>
        <w:tc>
          <w:tcPr>
            <w:tcW w:w="1158" w:type="pct"/>
            <w:shd w:val="clear" w:color="auto" w:fill="F3F7FB"/>
          </w:tcPr>
          <w:p w14:paraId="7C14DCA9"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The PAR Communication Strategy and its Tactical Plan finalized and presented.</w:t>
            </w:r>
          </w:p>
        </w:tc>
        <w:tc>
          <w:tcPr>
            <w:tcW w:w="511" w:type="pct"/>
            <w:shd w:val="clear" w:color="auto" w:fill="F3F7FB"/>
          </w:tcPr>
          <w:p w14:paraId="476244B1" w14:textId="77777777" w:rsidR="00F82EEB" w:rsidRPr="00812932" w:rsidRDefault="00F82EEB" w:rsidP="00812932">
            <w:pPr>
              <w:jc w:val="center"/>
              <w:rPr>
                <w:rFonts w:ascii="Arial" w:hAnsi="Arial" w:cs="Arial"/>
                <w:sz w:val="20"/>
                <w:szCs w:val="20"/>
              </w:rPr>
            </w:pPr>
            <w:proofErr w:type="spellStart"/>
            <w:r w:rsidRPr="00812932">
              <w:rPr>
                <w:rFonts w:ascii="Arial" w:hAnsi="Arial" w:cs="Arial"/>
                <w:sz w:val="20"/>
                <w:szCs w:val="20"/>
              </w:rPr>
              <w:t>AoG</w:t>
            </w:r>
            <w:proofErr w:type="spellEnd"/>
          </w:p>
        </w:tc>
        <w:tc>
          <w:tcPr>
            <w:tcW w:w="422" w:type="pct"/>
            <w:shd w:val="clear" w:color="auto" w:fill="F3F7FB"/>
          </w:tcPr>
          <w:p w14:paraId="1FF21989"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2020</w:t>
            </w:r>
          </w:p>
        </w:tc>
        <w:tc>
          <w:tcPr>
            <w:tcW w:w="434" w:type="pct"/>
            <w:shd w:val="clear" w:color="auto" w:fill="F3F7FB"/>
          </w:tcPr>
          <w:p w14:paraId="25CA7171"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October 2020</w:t>
            </w:r>
          </w:p>
        </w:tc>
        <w:tc>
          <w:tcPr>
            <w:tcW w:w="1424" w:type="pct"/>
            <w:shd w:val="clear" w:color="auto" w:fill="F3F7FB"/>
          </w:tcPr>
          <w:p w14:paraId="626EB944" w14:textId="77777777" w:rsidR="00F82EEB" w:rsidRPr="00812932" w:rsidRDefault="00F82EEB" w:rsidP="00812932">
            <w:pPr>
              <w:rPr>
                <w:rFonts w:ascii="Arial" w:hAnsi="Arial" w:cs="Arial"/>
                <w:sz w:val="20"/>
                <w:szCs w:val="20"/>
              </w:rPr>
            </w:pPr>
            <w:r w:rsidRPr="00812932">
              <w:rPr>
                <w:rFonts w:ascii="Arial" w:hAnsi="Arial" w:cs="Arial"/>
                <w:sz w:val="20"/>
                <w:szCs w:val="20"/>
              </w:rPr>
              <w:t>The PAR Communication Strategy and its Tactical Plan were shared with the PAR Council and will be officially adopted on the next PAR Council’s session (February – March 2021). The piloting of the Strategy and Tactical Plan across at least two pillars (public policy and service delivery) is foreseen as part of the next UNDP PAR Project.</w:t>
            </w:r>
          </w:p>
        </w:tc>
      </w:tr>
      <w:tr w:rsidR="00F82EEB" w:rsidRPr="00812932" w14:paraId="2E111B8A" w14:textId="77777777" w:rsidTr="00F82EEB">
        <w:tc>
          <w:tcPr>
            <w:tcW w:w="155" w:type="pct"/>
          </w:tcPr>
          <w:p w14:paraId="6ECDCEA7" w14:textId="77777777" w:rsidR="00F82EEB" w:rsidRPr="00812932" w:rsidRDefault="00F82EEB" w:rsidP="00812932">
            <w:pPr>
              <w:autoSpaceDE w:val="0"/>
              <w:autoSpaceDN w:val="0"/>
              <w:adjustRightInd w:val="0"/>
              <w:jc w:val="both"/>
              <w:rPr>
                <w:rFonts w:ascii="Arial" w:hAnsi="Arial" w:cs="Arial"/>
                <w:sz w:val="20"/>
                <w:szCs w:val="20"/>
                <w:lang w:val="ka-GE"/>
              </w:rPr>
            </w:pPr>
            <w:r w:rsidRPr="00812932">
              <w:rPr>
                <w:rFonts w:ascii="Arial" w:hAnsi="Arial" w:cs="Arial"/>
                <w:sz w:val="20"/>
                <w:szCs w:val="20"/>
                <w:lang w:val="ka-GE"/>
              </w:rPr>
              <w:t>3</w:t>
            </w:r>
          </w:p>
        </w:tc>
        <w:tc>
          <w:tcPr>
            <w:tcW w:w="896" w:type="pct"/>
          </w:tcPr>
          <w:p w14:paraId="687DDB98"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sz w:val="20"/>
                <w:szCs w:val="20"/>
              </w:rPr>
              <w:t>The project supported development of four pending strategic documents for 2020: E-Governance Strategy by the Data Exchange Agency, PAR Strategy and Action Plan 2021-2024, Public Service Design and Delivery Policy Document (PSDD) and Maritime Transport Strategy.</w:t>
            </w:r>
          </w:p>
        </w:tc>
        <w:tc>
          <w:tcPr>
            <w:tcW w:w="1158" w:type="pct"/>
          </w:tcPr>
          <w:p w14:paraId="3F5E4B08"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sz w:val="20"/>
                <w:szCs w:val="20"/>
              </w:rPr>
              <w:t xml:space="preserve">15 strategic documents pending for 2020 (delayed to 2021 due to C-19): the ministries and agencies notified the </w:t>
            </w:r>
            <w:proofErr w:type="spellStart"/>
            <w:r w:rsidRPr="00812932">
              <w:rPr>
                <w:rFonts w:ascii="Arial" w:hAnsi="Arial" w:cs="Arial"/>
                <w:sz w:val="20"/>
                <w:szCs w:val="20"/>
              </w:rPr>
              <w:t>AoG</w:t>
            </w:r>
            <w:proofErr w:type="spellEnd"/>
            <w:r w:rsidRPr="00812932">
              <w:rPr>
                <w:rFonts w:ascii="Arial" w:hAnsi="Arial" w:cs="Arial"/>
                <w:sz w:val="20"/>
                <w:szCs w:val="20"/>
              </w:rPr>
              <w:t xml:space="preserve"> of 15 policy documents requiring </w:t>
            </w:r>
            <w:proofErr w:type="spellStart"/>
            <w:r w:rsidRPr="00812932">
              <w:rPr>
                <w:rFonts w:ascii="Arial" w:hAnsi="Arial" w:cs="Arial"/>
                <w:sz w:val="20"/>
                <w:szCs w:val="20"/>
              </w:rPr>
              <w:t>GoG</w:t>
            </w:r>
            <w:proofErr w:type="spellEnd"/>
            <w:r w:rsidRPr="00812932">
              <w:rPr>
                <w:rFonts w:ascii="Arial" w:hAnsi="Arial" w:cs="Arial"/>
                <w:sz w:val="20"/>
                <w:szCs w:val="20"/>
              </w:rPr>
              <w:t xml:space="preserve"> approval. New e-Governance Strategy 2021-2025 and its Action Plan is being drafted with the project's support and is on the list of the documents to be approved in 2020/2021 by </w:t>
            </w:r>
            <w:proofErr w:type="spellStart"/>
            <w:r w:rsidRPr="00812932">
              <w:rPr>
                <w:rFonts w:ascii="Arial" w:hAnsi="Arial" w:cs="Arial"/>
                <w:sz w:val="20"/>
                <w:szCs w:val="20"/>
              </w:rPr>
              <w:t>GoG</w:t>
            </w:r>
            <w:proofErr w:type="spellEnd"/>
            <w:r w:rsidRPr="00812932">
              <w:rPr>
                <w:rFonts w:ascii="Arial" w:hAnsi="Arial" w:cs="Arial"/>
                <w:sz w:val="20"/>
                <w:szCs w:val="20"/>
              </w:rPr>
              <w:t xml:space="preserve">. This strategy will be drafted in line with the new policy standards and it is already going through the </w:t>
            </w:r>
            <w:proofErr w:type="spellStart"/>
            <w:r w:rsidRPr="00812932">
              <w:rPr>
                <w:rFonts w:ascii="Arial" w:hAnsi="Arial" w:cs="Arial"/>
                <w:sz w:val="20"/>
                <w:szCs w:val="20"/>
              </w:rPr>
              <w:t>AoG</w:t>
            </w:r>
            <w:proofErr w:type="spellEnd"/>
            <w:r w:rsidRPr="00812932">
              <w:rPr>
                <w:rFonts w:ascii="Arial" w:hAnsi="Arial" w:cs="Arial"/>
                <w:sz w:val="20"/>
                <w:szCs w:val="20"/>
              </w:rPr>
              <w:t xml:space="preserve"> </w:t>
            </w:r>
            <w:r w:rsidRPr="00812932">
              <w:rPr>
                <w:rFonts w:ascii="Arial" w:hAnsi="Arial" w:cs="Arial"/>
                <w:sz w:val="20"/>
                <w:szCs w:val="20"/>
              </w:rPr>
              <w:lastRenderedPageBreak/>
              <w:t xml:space="preserve">screening with the project consultant support. The strategy draft will be available by end of March 2021. New PAR Strategy and its Action Plan is being drafted in collaboration with </w:t>
            </w:r>
            <w:proofErr w:type="spellStart"/>
            <w:r w:rsidRPr="00812932">
              <w:rPr>
                <w:rFonts w:ascii="Arial" w:hAnsi="Arial" w:cs="Arial"/>
                <w:sz w:val="20"/>
                <w:szCs w:val="20"/>
              </w:rPr>
              <w:t>AoG</w:t>
            </w:r>
            <w:proofErr w:type="spellEnd"/>
            <w:r w:rsidRPr="00812932">
              <w:rPr>
                <w:rFonts w:ascii="Arial" w:hAnsi="Arial" w:cs="Arial"/>
                <w:sz w:val="20"/>
                <w:szCs w:val="20"/>
              </w:rPr>
              <w:t xml:space="preserve"> and UN Women. The document is expected to be finalized in March 2021.  Public Service Design and Delivery Policy Document (PSDD) is already finalized and is pending Government approval; work on Maritime Transport Strategy 2021-2025, and its Action Plan</w:t>
            </w:r>
            <w:r w:rsidRPr="00812932" w:rsidDel="00D54362">
              <w:rPr>
                <w:rFonts w:ascii="Arial" w:hAnsi="Arial" w:cs="Arial"/>
                <w:sz w:val="20"/>
                <w:szCs w:val="20"/>
              </w:rPr>
              <w:t xml:space="preserve"> </w:t>
            </w:r>
            <w:r w:rsidRPr="00812932">
              <w:rPr>
                <w:rFonts w:ascii="Arial" w:hAnsi="Arial" w:cs="Arial"/>
                <w:sz w:val="20"/>
                <w:szCs w:val="20"/>
              </w:rPr>
              <w:t>is still in progress and is expected to be finalized by end of March 2021</w:t>
            </w:r>
            <w:proofErr w:type="gramStart"/>
            <w:r w:rsidRPr="00812932">
              <w:rPr>
                <w:rFonts w:ascii="Arial" w:hAnsi="Arial" w:cs="Arial"/>
                <w:sz w:val="20"/>
                <w:szCs w:val="20"/>
              </w:rPr>
              <w:t>. .</w:t>
            </w:r>
            <w:proofErr w:type="gramEnd"/>
            <w:r w:rsidRPr="00812932">
              <w:rPr>
                <w:rFonts w:ascii="Arial" w:hAnsi="Arial" w:cs="Arial"/>
                <w:sz w:val="20"/>
                <w:szCs w:val="20"/>
              </w:rPr>
              <w:t xml:space="preserve"> </w:t>
            </w:r>
          </w:p>
        </w:tc>
        <w:tc>
          <w:tcPr>
            <w:tcW w:w="511" w:type="pct"/>
          </w:tcPr>
          <w:p w14:paraId="1F715291"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lastRenderedPageBreak/>
              <w:t xml:space="preserve">DGA, </w:t>
            </w:r>
            <w:proofErr w:type="spellStart"/>
            <w:r w:rsidRPr="00812932">
              <w:rPr>
                <w:rFonts w:ascii="Arial" w:hAnsi="Arial" w:cs="Arial"/>
                <w:sz w:val="20"/>
                <w:szCs w:val="20"/>
              </w:rPr>
              <w:t>AoG</w:t>
            </w:r>
            <w:proofErr w:type="spellEnd"/>
            <w:r w:rsidRPr="00812932">
              <w:rPr>
                <w:rFonts w:ascii="Arial" w:hAnsi="Arial" w:cs="Arial"/>
                <w:sz w:val="20"/>
                <w:szCs w:val="20"/>
              </w:rPr>
              <w:t>, PSDA and Maritime Transport Agency of the Ministry of Economic Development and Sustainable Growth</w:t>
            </w:r>
          </w:p>
        </w:tc>
        <w:tc>
          <w:tcPr>
            <w:tcW w:w="422" w:type="pct"/>
          </w:tcPr>
          <w:p w14:paraId="5979444A"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2018-2021</w:t>
            </w:r>
          </w:p>
        </w:tc>
        <w:tc>
          <w:tcPr>
            <w:tcW w:w="434" w:type="pct"/>
          </w:tcPr>
          <w:p w14:paraId="1C3DACE4"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2020</w:t>
            </w:r>
          </w:p>
        </w:tc>
        <w:tc>
          <w:tcPr>
            <w:tcW w:w="1424" w:type="pct"/>
          </w:tcPr>
          <w:p w14:paraId="051E70C9"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b/>
                <w:bCs/>
                <w:sz w:val="20"/>
                <w:szCs w:val="20"/>
              </w:rPr>
              <w:t>E-governance Strategy</w:t>
            </w:r>
            <w:r w:rsidRPr="00812932">
              <w:rPr>
                <w:rFonts w:ascii="Arial" w:hAnsi="Arial" w:cs="Arial"/>
                <w:sz w:val="20"/>
                <w:szCs w:val="20"/>
              </w:rPr>
              <w:t xml:space="preserve">: The second e-Government strategy and its action plan will become a basis document for the </w:t>
            </w:r>
            <w:proofErr w:type="spellStart"/>
            <w:r w:rsidRPr="00812932">
              <w:rPr>
                <w:rFonts w:ascii="Arial" w:hAnsi="Arial" w:cs="Arial"/>
                <w:sz w:val="20"/>
                <w:szCs w:val="20"/>
              </w:rPr>
              <w:t>GoG</w:t>
            </w:r>
            <w:proofErr w:type="spellEnd"/>
            <w:r w:rsidRPr="00812932">
              <w:rPr>
                <w:rFonts w:ascii="Arial" w:hAnsi="Arial" w:cs="Arial"/>
                <w:sz w:val="20"/>
                <w:szCs w:val="20"/>
              </w:rPr>
              <w:t xml:space="preserve"> to ensure strategic approach for the development of e-Governance. </w:t>
            </w:r>
          </w:p>
          <w:p w14:paraId="7BD98D35" w14:textId="77777777" w:rsidR="00F82EEB" w:rsidRPr="00812932" w:rsidRDefault="00F82EEB" w:rsidP="00812932">
            <w:pPr>
              <w:autoSpaceDE w:val="0"/>
              <w:autoSpaceDN w:val="0"/>
              <w:adjustRightInd w:val="0"/>
              <w:jc w:val="both"/>
              <w:rPr>
                <w:rFonts w:ascii="Arial" w:hAnsi="Arial" w:cs="Arial"/>
                <w:sz w:val="20"/>
                <w:szCs w:val="20"/>
              </w:rPr>
            </w:pPr>
          </w:p>
          <w:p w14:paraId="640B2150"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b/>
                <w:bCs/>
                <w:sz w:val="20"/>
                <w:szCs w:val="20"/>
              </w:rPr>
              <w:t>PSDD</w:t>
            </w:r>
            <w:r w:rsidRPr="00812932">
              <w:rPr>
                <w:rFonts w:ascii="Arial" w:hAnsi="Arial" w:cs="Arial"/>
                <w:sz w:val="20"/>
                <w:szCs w:val="20"/>
              </w:rPr>
              <w:t xml:space="preserve">: The project has supported the first comprehensive assessment of the state of service delivery in Georgia; and initiated the drafting of a policy document on common guiding principles and standards for public service delivery. The PSDD establishes common principles and standards on the </w:t>
            </w:r>
            <w:r w:rsidRPr="00812932">
              <w:rPr>
                <w:rFonts w:ascii="Arial" w:hAnsi="Arial" w:cs="Arial"/>
                <w:sz w:val="20"/>
                <w:szCs w:val="20"/>
              </w:rPr>
              <w:lastRenderedPageBreak/>
              <w:t xml:space="preserve">design, delivery, pricing and quality assurance of public services in Georgia. The creation of common standards targets the discrepancies in the quality of service delivery in various agencies, but also between the national and local levels.  </w:t>
            </w:r>
          </w:p>
          <w:p w14:paraId="1A09EC08" w14:textId="77777777" w:rsidR="00F82EEB" w:rsidRPr="00812932" w:rsidRDefault="00F82EEB" w:rsidP="00812932">
            <w:pPr>
              <w:autoSpaceDE w:val="0"/>
              <w:autoSpaceDN w:val="0"/>
              <w:adjustRightInd w:val="0"/>
              <w:jc w:val="both"/>
              <w:rPr>
                <w:rFonts w:ascii="Arial" w:hAnsi="Arial" w:cs="Arial"/>
                <w:sz w:val="20"/>
                <w:szCs w:val="20"/>
              </w:rPr>
            </w:pPr>
          </w:p>
          <w:p w14:paraId="09B0ACF3"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b/>
                <w:bCs/>
                <w:sz w:val="20"/>
                <w:szCs w:val="20"/>
              </w:rPr>
              <w:t>PAR Strategy</w:t>
            </w:r>
            <w:r w:rsidRPr="00812932">
              <w:rPr>
                <w:rFonts w:ascii="Arial" w:hAnsi="Arial" w:cs="Arial"/>
                <w:sz w:val="20"/>
                <w:szCs w:val="20"/>
              </w:rPr>
              <w:t xml:space="preserve">: </w:t>
            </w:r>
            <w:proofErr w:type="spellStart"/>
            <w:r w:rsidRPr="00812932">
              <w:rPr>
                <w:rFonts w:ascii="Arial" w:hAnsi="Arial" w:cs="Arial"/>
                <w:sz w:val="20"/>
                <w:szCs w:val="20"/>
              </w:rPr>
              <w:t>GoG</w:t>
            </w:r>
            <w:proofErr w:type="spellEnd"/>
            <w:r w:rsidRPr="00812932">
              <w:rPr>
                <w:rFonts w:ascii="Arial" w:hAnsi="Arial" w:cs="Arial"/>
                <w:sz w:val="20"/>
                <w:szCs w:val="20"/>
              </w:rPr>
              <w:t xml:space="preserve"> has made PAR one of its highest priorities. In 2014-2015 the "Public Administration Reform Roadmap – 2020" and its corresponding action plan were developed. The roadmap is based on the OECD/SIGMA PAR principles, which aims to improve and bring the public administration of Georgia closer to the standards of the European administrative space. The PAR Roadmap has been used as the key strategic document for the implementation of the Public Administration Reform (PAR) since 2015.  In December 2020, the PAR Roadmap 2020 expires and new PAR Strategy for 2021-2024 and associated Action Plan will be developed in line with new policy standards and strong focus on GESI elements. </w:t>
            </w:r>
          </w:p>
          <w:p w14:paraId="59E7A90A" w14:textId="77777777" w:rsidR="00F82EEB" w:rsidRPr="00812932" w:rsidRDefault="00F82EEB" w:rsidP="00812932">
            <w:pPr>
              <w:autoSpaceDE w:val="0"/>
              <w:autoSpaceDN w:val="0"/>
              <w:adjustRightInd w:val="0"/>
              <w:jc w:val="both"/>
              <w:rPr>
                <w:rFonts w:ascii="Arial" w:hAnsi="Arial" w:cs="Arial"/>
                <w:sz w:val="20"/>
                <w:szCs w:val="20"/>
              </w:rPr>
            </w:pPr>
          </w:p>
          <w:p w14:paraId="274CB868"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b/>
                <w:bCs/>
                <w:sz w:val="20"/>
                <w:szCs w:val="20"/>
              </w:rPr>
              <w:t>Maritime Transport Strategy:</w:t>
            </w:r>
            <w:r w:rsidRPr="00812932">
              <w:rPr>
                <w:rFonts w:ascii="Arial" w:hAnsi="Arial" w:cs="Arial"/>
                <w:sz w:val="20"/>
                <w:szCs w:val="20"/>
                <w:lang w:val="ka-GE"/>
              </w:rPr>
              <w:t xml:space="preserve"> </w:t>
            </w:r>
            <w:r w:rsidRPr="00812932">
              <w:rPr>
                <w:rFonts w:ascii="Arial" w:hAnsi="Arial" w:cs="Arial"/>
                <w:sz w:val="20"/>
                <w:szCs w:val="20"/>
              </w:rPr>
              <w:t xml:space="preserve">Maritime Strategy 2021-2030 has been drafted as part of the EU-funded Technical Assistance project, supporting the </w:t>
            </w:r>
            <w:proofErr w:type="spellStart"/>
            <w:r w:rsidRPr="00812932">
              <w:rPr>
                <w:rFonts w:ascii="Arial" w:hAnsi="Arial" w:cs="Arial"/>
                <w:sz w:val="20"/>
                <w:szCs w:val="20"/>
              </w:rPr>
              <w:t>GoG</w:t>
            </w:r>
            <w:proofErr w:type="spellEnd"/>
            <w:r w:rsidRPr="00812932">
              <w:rPr>
                <w:rFonts w:ascii="Arial" w:hAnsi="Arial" w:cs="Arial"/>
                <w:sz w:val="20"/>
                <w:szCs w:val="20"/>
              </w:rPr>
              <w:t xml:space="preserve"> in the implementation of the EU-Georgia Association Agreement in the field of maritime transport. Technical assistance aimed at supporting the MTA in developing a Maritime Strategy considering</w:t>
            </w:r>
            <w:r w:rsidRPr="00812932">
              <w:rPr>
                <w:rFonts w:ascii="Arial" w:hAnsi="Arial" w:cs="Arial"/>
                <w:sz w:val="20"/>
                <w:szCs w:val="20"/>
                <w:lang w:val="ka-GE"/>
              </w:rPr>
              <w:t xml:space="preserve"> relevant </w:t>
            </w:r>
            <w:r w:rsidRPr="00812932">
              <w:rPr>
                <w:rFonts w:ascii="Arial" w:hAnsi="Arial" w:cs="Arial"/>
                <w:sz w:val="20"/>
                <w:szCs w:val="20"/>
              </w:rPr>
              <w:t xml:space="preserve">provisions of the AA and the country’s priority objectives and sector policies. Even though the draft Strategy document has been prepared to reflect both the framework of the </w:t>
            </w:r>
            <w:r w:rsidRPr="00812932">
              <w:rPr>
                <w:rFonts w:ascii="Arial" w:hAnsi="Arial" w:cs="Arial"/>
                <w:sz w:val="20"/>
                <w:szCs w:val="20"/>
              </w:rPr>
              <w:lastRenderedPageBreak/>
              <w:t xml:space="preserve">EU-Georgia AA and the </w:t>
            </w:r>
            <w:proofErr w:type="spellStart"/>
            <w:r w:rsidRPr="00812932">
              <w:rPr>
                <w:rFonts w:ascii="Arial" w:hAnsi="Arial" w:cs="Arial"/>
                <w:sz w:val="20"/>
                <w:szCs w:val="20"/>
              </w:rPr>
              <w:t>GoG</w:t>
            </w:r>
            <w:proofErr w:type="spellEnd"/>
            <w:r w:rsidRPr="00812932">
              <w:rPr>
                <w:rFonts w:ascii="Arial" w:hAnsi="Arial" w:cs="Arial"/>
                <w:sz w:val="20"/>
                <w:szCs w:val="20"/>
              </w:rPr>
              <w:t xml:space="preserve"> policy guidelines, additional support was provided by the project to ensure full alignment of the Strategy with the new Policy Planning, Monitoring and Evaluation standards. The document is already being screened by </w:t>
            </w:r>
            <w:proofErr w:type="spellStart"/>
            <w:r w:rsidRPr="00812932">
              <w:rPr>
                <w:rFonts w:ascii="Arial" w:hAnsi="Arial" w:cs="Arial"/>
                <w:sz w:val="20"/>
                <w:szCs w:val="20"/>
              </w:rPr>
              <w:t>AoG</w:t>
            </w:r>
            <w:proofErr w:type="spellEnd"/>
            <w:r w:rsidRPr="00812932">
              <w:rPr>
                <w:rFonts w:ascii="Arial" w:hAnsi="Arial" w:cs="Arial"/>
                <w:sz w:val="20"/>
                <w:szCs w:val="20"/>
              </w:rPr>
              <w:t xml:space="preserve"> and is pending for </w:t>
            </w:r>
            <w:proofErr w:type="spellStart"/>
            <w:r w:rsidRPr="00812932">
              <w:rPr>
                <w:rFonts w:ascii="Arial" w:hAnsi="Arial" w:cs="Arial"/>
                <w:sz w:val="20"/>
                <w:szCs w:val="20"/>
              </w:rPr>
              <w:t>GoG</w:t>
            </w:r>
            <w:proofErr w:type="spellEnd"/>
            <w:r w:rsidRPr="00812932">
              <w:rPr>
                <w:rFonts w:ascii="Arial" w:hAnsi="Arial" w:cs="Arial"/>
                <w:sz w:val="20"/>
                <w:szCs w:val="20"/>
              </w:rPr>
              <w:t xml:space="preserve"> approval in 1</w:t>
            </w:r>
            <w:r w:rsidRPr="00812932">
              <w:rPr>
                <w:rFonts w:ascii="Arial" w:hAnsi="Arial" w:cs="Arial"/>
                <w:sz w:val="20"/>
                <w:szCs w:val="20"/>
                <w:vertAlign w:val="superscript"/>
              </w:rPr>
              <w:t>st</w:t>
            </w:r>
            <w:r w:rsidRPr="00812932">
              <w:rPr>
                <w:rFonts w:ascii="Arial" w:hAnsi="Arial" w:cs="Arial"/>
                <w:sz w:val="20"/>
                <w:szCs w:val="20"/>
              </w:rPr>
              <w:t xml:space="preserve"> Q of 2021. </w:t>
            </w:r>
          </w:p>
          <w:p w14:paraId="454B241B" w14:textId="77777777" w:rsidR="00F82EEB" w:rsidRPr="00812932" w:rsidRDefault="00F82EEB" w:rsidP="00812932">
            <w:pPr>
              <w:autoSpaceDE w:val="0"/>
              <w:autoSpaceDN w:val="0"/>
              <w:adjustRightInd w:val="0"/>
              <w:jc w:val="both"/>
              <w:rPr>
                <w:rFonts w:ascii="Arial" w:hAnsi="Arial" w:cs="Arial"/>
                <w:sz w:val="20"/>
                <w:szCs w:val="20"/>
              </w:rPr>
            </w:pPr>
          </w:p>
          <w:p w14:paraId="6EB4EDBB" w14:textId="77777777" w:rsidR="00F82EEB" w:rsidRPr="00812932" w:rsidRDefault="00F82EEB" w:rsidP="00812932">
            <w:pPr>
              <w:autoSpaceDE w:val="0"/>
              <w:autoSpaceDN w:val="0"/>
              <w:adjustRightInd w:val="0"/>
              <w:jc w:val="both"/>
              <w:rPr>
                <w:rFonts w:ascii="Arial" w:hAnsi="Arial" w:cs="Arial"/>
                <w:sz w:val="20"/>
                <w:szCs w:val="20"/>
              </w:rPr>
            </w:pPr>
          </w:p>
        </w:tc>
      </w:tr>
      <w:tr w:rsidR="00F82EEB" w:rsidRPr="00812932" w14:paraId="4E3A655F" w14:textId="77777777" w:rsidTr="00F82EEB">
        <w:tc>
          <w:tcPr>
            <w:tcW w:w="155" w:type="pct"/>
            <w:shd w:val="clear" w:color="auto" w:fill="F3F7FB"/>
          </w:tcPr>
          <w:p w14:paraId="615A59AB" w14:textId="77777777" w:rsidR="00F82EEB" w:rsidRPr="00812932" w:rsidRDefault="00F82EEB" w:rsidP="00812932">
            <w:pPr>
              <w:autoSpaceDE w:val="0"/>
              <w:autoSpaceDN w:val="0"/>
              <w:adjustRightInd w:val="0"/>
              <w:jc w:val="both"/>
              <w:rPr>
                <w:rFonts w:ascii="Arial" w:hAnsi="Arial" w:cs="Arial"/>
                <w:sz w:val="20"/>
                <w:szCs w:val="20"/>
                <w:lang w:val="ka-GE"/>
              </w:rPr>
            </w:pPr>
            <w:r w:rsidRPr="00812932">
              <w:rPr>
                <w:rFonts w:ascii="Arial" w:hAnsi="Arial" w:cs="Arial"/>
                <w:sz w:val="20"/>
                <w:szCs w:val="20"/>
                <w:lang w:val="ka-GE"/>
              </w:rPr>
              <w:lastRenderedPageBreak/>
              <w:t>4</w:t>
            </w:r>
          </w:p>
        </w:tc>
        <w:tc>
          <w:tcPr>
            <w:tcW w:w="896" w:type="pct"/>
            <w:shd w:val="clear" w:color="auto" w:fill="F3F7FB"/>
          </w:tcPr>
          <w:p w14:paraId="622EDB79"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sz w:val="20"/>
                <w:szCs w:val="20"/>
              </w:rPr>
              <w:t>Development of a National Risk Communication</w:t>
            </w:r>
          </w:p>
          <w:p w14:paraId="3AA68F71"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sz w:val="20"/>
                <w:szCs w:val="20"/>
              </w:rPr>
              <w:t>Strategy for Public Health Emergencies in Georgia</w:t>
            </w:r>
          </w:p>
        </w:tc>
        <w:tc>
          <w:tcPr>
            <w:tcW w:w="1158" w:type="pct"/>
            <w:shd w:val="clear" w:color="auto" w:fill="F3F7FB"/>
          </w:tcPr>
          <w:p w14:paraId="22D9BDC4"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sz w:val="20"/>
                <w:szCs w:val="20"/>
              </w:rPr>
              <w:t>At the request of the National Center for Disease Control and Public Health (NCDC), the development of a national risk communication</w:t>
            </w:r>
          </w:p>
          <w:p w14:paraId="1651C845" w14:textId="77777777" w:rsidR="00F82EEB" w:rsidRPr="00812932" w:rsidRDefault="00F82EEB" w:rsidP="00812932">
            <w:pPr>
              <w:autoSpaceDE w:val="0"/>
              <w:autoSpaceDN w:val="0"/>
              <w:adjustRightInd w:val="0"/>
              <w:jc w:val="both"/>
              <w:rPr>
                <w:rFonts w:ascii="Arial" w:hAnsi="Arial" w:cs="Arial"/>
                <w:sz w:val="20"/>
                <w:szCs w:val="20"/>
              </w:rPr>
            </w:pPr>
            <w:r w:rsidRPr="00812932">
              <w:rPr>
                <w:rFonts w:ascii="Arial" w:hAnsi="Arial" w:cs="Arial"/>
                <w:sz w:val="20"/>
                <w:szCs w:val="20"/>
              </w:rPr>
              <w:t>strategy for public health emergencies in Georgia has been supported.</w:t>
            </w:r>
          </w:p>
        </w:tc>
        <w:tc>
          <w:tcPr>
            <w:tcW w:w="511" w:type="pct"/>
            <w:shd w:val="clear" w:color="auto" w:fill="F3F7FB"/>
          </w:tcPr>
          <w:p w14:paraId="5A7CBE28"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NCDC</w:t>
            </w:r>
          </w:p>
        </w:tc>
        <w:tc>
          <w:tcPr>
            <w:tcW w:w="422" w:type="pct"/>
            <w:shd w:val="clear" w:color="auto" w:fill="F3F7FB"/>
          </w:tcPr>
          <w:p w14:paraId="7E97DC1E"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May – December, 2020</w:t>
            </w:r>
          </w:p>
        </w:tc>
        <w:tc>
          <w:tcPr>
            <w:tcW w:w="434" w:type="pct"/>
            <w:shd w:val="clear" w:color="auto" w:fill="F3F7FB"/>
          </w:tcPr>
          <w:p w14:paraId="22E47811"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 xml:space="preserve">Pending for approval </w:t>
            </w:r>
          </w:p>
        </w:tc>
        <w:tc>
          <w:tcPr>
            <w:tcW w:w="1424" w:type="pct"/>
            <w:shd w:val="clear" w:color="auto" w:fill="F3F7FB"/>
          </w:tcPr>
          <w:p w14:paraId="31DEDFBF" w14:textId="77777777" w:rsidR="00F82EEB" w:rsidRPr="00812932" w:rsidRDefault="00F82EEB" w:rsidP="00812932">
            <w:pPr>
              <w:autoSpaceDE w:val="0"/>
              <w:autoSpaceDN w:val="0"/>
              <w:adjustRightInd w:val="0"/>
              <w:jc w:val="both"/>
              <w:rPr>
                <w:rFonts w:ascii="Arial" w:hAnsi="Arial" w:cs="Arial"/>
                <w:b/>
                <w:bCs/>
                <w:sz w:val="20"/>
                <w:szCs w:val="20"/>
              </w:rPr>
            </w:pPr>
            <w:r w:rsidRPr="00812932">
              <w:rPr>
                <w:rFonts w:ascii="Arial" w:hAnsi="Arial" w:cs="Arial"/>
                <w:sz w:val="20"/>
                <w:szCs w:val="20"/>
              </w:rPr>
              <w:t xml:space="preserve">Risk Communication Strategic Guideline for public health emergencies was drafted and is currently pending for the </w:t>
            </w:r>
            <w:proofErr w:type="spellStart"/>
            <w:r w:rsidRPr="00812932">
              <w:rPr>
                <w:rFonts w:ascii="Arial" w:hAnsi="Arial" w:cs="Arial"/>
                <w:sz w:val="20"/>
                <w:szCs w:val="20"/>
              </w:rPr>
              <w:t>GoG</w:t>
            </w:r>
            <w:proofErr w:type="spellEnd"/>
            <w:r w:rsidRPr="00812932">
              <w:rPr>
                <w:rFonts w:ascii="Arial" w:hAnsi="Arial" w:cs="Arial"/>
                <w:sz w:val="20"/>
                <w:szCs w:val="20"/>
              </w:rPr>
              <w:t xml:space="preserve"> Approval.  As a part of National Risk Communication Strategy deployment activities, United Nations Association of Georgia (UNAG), jointly with the National Centre for Disease Control and Public Health (NCDC), facilitated a series of online trainings on key guidelines of the Strategy for up to 200 local government and public health </w:t>
            </w:r>
            <w:proofErr w:type="spellStart"/>
            <w:r w:rsidRPr="00812932">
              <w:rPr>
                <w:rFonts w:ascii="Arial" w:hAnsi="Arial" w:cs="Arial"/>
                <w:sz w:val="20"/>
                <w:szCs w:val="20"/>
              </w:rPr>
              <w:t>centre</w:t>
            </w:r>
            <w:proofErr w:type="spellEnd"/>
            <w:r w:rsidRPr="00812932">
              <w:rPr>
                <w:rFonts w:ascii="Arial" w:hAnsi="Arial" w:cs="Arial"/>
                <w:sz w:val="20"/>
                <w:szCs w:val="20"/>
              </w:rPr>
              <w:t xml:space="preserve"> representatives across 52 municipalities and 9 regions, including Tbilisi. In addition, UNAG developed multiple videos with healthcare workers’ participation to promote the key guiding principles of the Strategy among the broader public to be disseminated via NCDC </w:t>
            </w:r>
            <w:hyperlink r:id="rId25" w:history="1">
              <w:r w:rsidRPr="00812932">
                <w:rPr>
                  <w:rStyle w:val="Hyperlink"/>
                  <w:rFonts w:ascii="Arial" w:hAnsi="Arial" w:cs="Arial"/>
                  <w:sz w:val="20"/>
                  <w:szCs w:val="20"/>
                </w:rPr>
                <w:t>channels</w:t>
              </w:r>
            </w:hyperlink>
            <w:r w:rsidRPr="00812932">
              <w:rPr>
                <w:rFonts w:ascii="Arial" w:hAnsi="Arial" w:cs="Arial"/>
                <w:sz w:val="20"/>
                <w:szCs w:val="20"/>
              </w:rPr>
              <w:t>. Upon finalization of the Strategy, NCDC made a decision to create dedicated in-house unit to focus on implementation of action plans in line with the guidance stipulated in the Strategy.</w:t>
            </w:r>
          </w:p>
        </w:tc>
      </w:tr>
      <w:tr w:rsidR="00F82EEB" w:rsidRPr="00812932" w14:paraId="5ED8BFC2" w14:textId="77777777" w:rsidTr="00F82EEB">
        <w:tc>
          <w:tcPr>
            <w:tcW w:w="5000" w:type="pct"/>
            <w:gridSpan w:val="7"/>
            <w:shd w:val="clear" w:color="auto" w:fill="B8CCE4" w:themeFill="accent1" w:themeFillTint="66"/>
          </w:tcPr>
          <w:p w14:paraId="314FD630" w14:textId="77777777" w:rsidR="00F82EEB" w:rsidRPr="00812932" w:rsidRDefault="00F82EEB" w:rsidP="00812932">
            <w:pPr>
              <w:jc w:val="center"/>
              <w:rPr>
                <w:rFonts w:ascii="Arial" w:hAnsi="Arial" w:cs="Arial"/>
                <w:sz w:val="20"/>
                <w:szCs w:val="20"/>
              </w:rPr>
            </w:pPr>
            <w:r w:rsidRPr="00812932">
              <w:rPr>
                <w:rFonts w:ascii="Arial" w:hAnsi="Arial" w:cs="Arial"/>
                <w:b/>
                <w:bCs/>
                <w:sz w:val="20"/>
                <w:szCs w:val="20"/>
              </w:rPr>
              <w:t>Human Resources Management and Civil Service Reform</w:t>
            </w:r>
          </w:p>
        </w:tc>
      </w:tr>
      <w:tr w:rsidR="00F82EEB" w:rsidRPr="00812932" w14:paraId="6914ABA4" w14:textId="77777777" w:rsidTr="00F82EEB">
        <w:tc>
          <w:tcPr>
            <w:tcW w:w="155" w:type="pct"/>
          </w:tcPr>
          <w:p w14:paraId="3C416AE4" w14:textId="77777777" w:rsidR="00F82EEB" w:rsidRPr="00812932" w:rsidRDefault="00F82EEB" w:rsidP="00812932">
            <w:pPr>
              <w:jc w:val="both"/>
              <w:rPr>
                <w:rFonts w:ascii="Arial" w:hAnsi="Arial" w:cs="Arial"/>
                <w:sz w:val="20"/>
                <w:szCs w:val="20"/>
                <w:lang w:val="ka-GE"/>
              </w:rPr>
            </w:pPr>
            <w:r w:rsidRPr="00812932">
              <w:rPr>
                <w:rFonts w:ascii="Arial" w:hAnsi="Arial" w:cs="Arial"/>
                <w:sz w:val="20"/>
                <w:szCs w:val="20"/>
                <w:lang w:val="ka-GE"/>
              </w:rPr>
              <w:t>1</w:t>
            </w:r>
          </w:p>
        </w:tc>
        <w:tc>
          <w:tcPr>
            <w:tcW w:w="896" w:type="pct"/>
          </w:tcPr>
          <w:p w14:paraId="34AE7882"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Government Decree on Staff Performance Appraisal</w:t>
            </w:r>
          </w:p>
        </w:tc>
        <w:tc>
          <w:tcPr>
            <w:tcW w:w="1158" w:type="pct"/>
          </w:tcPr>
          <w:p w14:paraId="2451D83D" w14:textId="77777777" w:rsidR="00F82EEB" w:rsidRPr="00812932" w:rsidRDefault="00F82EEB" w:rsidP="00812932">
            <w:pPr>
              <w:pStyle w:val="Default"/>
              <w:jc w:val="both"/>
              <w:rPr>
                <w:rFonts w:ascii="Arial" w:hAnsi="Arial" w:cs="Arial"/>
                <w:sz w:val="20"/>
                <w:szCs w:val="20"/>
              </w:rPr>
            </w:pPr>
            <w:r w:rsidRPr="00812932">
              <w:rPr>
                <w:rFonts w:ascii="Arial" w:hAnsi="Arial" w:cs="Arial"/>
                <w:sz w:val="20"/>
                <w:szCs w:val="20"/>
              </w:rPr>
              <w:t>Government Decree on Staff Performance Appraisal adopted</w:t>
            </w:r>
          </w:p>
        </w:tc>
        <w:tc>
          <w:tcPr>
            <w:tcW w:w="511" w:type="pct"/>
          </w:tcPr>
          <w:p w14:paraId="72E15ACC"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CSB</w:t>
            </w:r>
          </w:p>
        </w:tc>
        <w:tc>
          <w:tcPr>
            <w:tcW w:w="422" w:type="pct"/>
          </w:tcPr>
          <w:p w14:paraId="4A653E9E" w14:textId="77777777" w:rsidR="00F82EEB" w:rsidRPr="00812932" w:rsidRDefault="00F82EEB" w:rsidP="00812932">
            <w:pPr>
              <w:jc w:val="center"/>
              <w:rPr>
                <w:rFonts w:ascii="Arial" w:hAnsi="Arial" w:cs="Arial"/>
                <w:color w:val="000000"/>
                <w:sz w:val="20"/>
                <w:szCs w:val="20"/>
              </w:rPr>
            </w:pPr>
            <w:r w:rsidRPr="00812932">
              <w:rPr>
                <w:rFonts w:ascii="Arial" w:hAnsi="Arial" w:cs="Arial"/>
                <w:sz w:val="20"/>
                <w:szCs w:val="20"/>
              </w:rPr>
              <w:t>2016</w:t>
            </w:r>
          </w:p>
        </w:tc>
        <w:tc>
          <w:tcPr>
            <w:tcW w:w="434" w:type="pct"/>
          </w:tcPr>
          <w:p w14:paraId="29200CA4" w14:textId="77777777" w:rsidR="00F82EEB" w:rsidRPr="00812932" w:rsidRDefault="00F82EEB" w:rsidP="00812932">
            <w:pPr>
              <w:jc w:val="center"/>
              <w:rPr>
                <w:rFonts w:ascii="Arial" w:hAnsi="Arial" w:cs="Arial"/>
                <w:color w:val="000000"/>
                <w:sz w:val="20"/>
                <w:szCs w:val="20"/>
              </w:rPr>
            </w:pPr>
            <w:r w:rsidRPr="00812932">
              <w:rPr>
                <w:rFonts w:ascii="Arial" w:hAnsi="Arial" w:cs="Arial"/>
                <w:sz w:val="20"/>
                <w:szCs w:val="20"/>
              </w:rPr>
              <w:t>2017</w:t>
            </w:r>
          </w:p>
        </w:tc>
        <w:tc>
          <w:tcPr>
            <w:tcW w:w="1424" w:type="pct"/>
          </w:tcPr>
          <w:p w14:paraId="4D91AFDE"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Government Decree on Staff performance appraisal laid down the basic principles of performance appraisal in the civil service of Georgia as well as rights and obligations of parties involved. Based on the Decree, ministries have developed their own internal </w:t>
            </w:r>
            <w:r w:rsidRPr="00812932">
              <w:rPr>
                <w:rFonts w:ascii="Arial" w:hAnsi="Arial" w:cs="Arial"/>
                <w:sz w:val="20"/>
                <w:szCs w:val="20"/>
              </w:rPr>
              <w:lastRenderedPageBreak/>
              <w:t>performance appraisal procedures.</w:t>
            </w:r>
          </w:p>
        </w:tc>
      </w:tr>
      <w:tr w:rsidR="00F82EEB" w:rsidRPr="00812932" w14:paraId="662C9FA0" w14:textId="77777777" w:rsidTr="00F82EEB">
        <w:tc>
          <w:tcPr>
            <w:tcW w:w="155" w:type="pct"/>
            <w:shd w:val="clear" w:color="auto" w:fill="F3F7FB"/>
          </w:tcPr>
          <w:p w14:paraId="5909A42B" w14:textId="77777777" w:rsidR="00F82EEB" w:rsidRPr="00812932" w:rsidRDefault="00F82EEB" w:rsidP="00812932">
            <w:pPr>
              <w:jc w:val="both"/>
              <w:rPr>
                <w:rFonts w:ascii="Arial" w:hAnsi="Arial" w:cs="Arial"/>
                <w:sz w:val="20"/>
                <w:szCs w:val="20"/>
                <w:lang w:val="ka-GE"/>
              </w:rPr>
            </w:pPr>
            <w:r w:rsidRPr="00812932">
              <w:rPr>
                <w:rFonts w:ascii="Arial" w:hAnsi="Arial" w:cs="Arial"/>
                <w:sz w:val="20"/>
                <w:szCs w:val="20"/>
                <w:lang w:val="ka-GE"/>
              </w:rPr>
              <w:lastRenderedPageBreak/>
              <w:t>2</w:t>
            </w:r>
          </w:p>
        </w:tc>
        <w:tc>
          <w:tcPr>
            <w:tcW w:w="896" w:type="pct"/>
            <w:shd w:val="clear" w:color="auto" w:fill="F3F7FB"/>
          </w:tcPr>
          <w:p w14:paraId="61EBED8B"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Package of policy documents to set the training accreditation Council, Experts’ Corps and the organizational unit within the Center for Educational Quality Enhancement (NCEQE)</w:t>
            </w:r>
          </w:p>
        </w:tc>
        <w:tc>
          <w:tcPr>
            <w:tcW w:w="1158" w:type="pct"/>
            <w:shd w:val="clear" w:color="auto" w:fill="F3F7FB"/>
          </w:tcPr>
          <w:p w14:paraId="3304EB3A" w14:textId="77777777" w:rsidR="00F82EEB" w:rsidRPr="00812932" w:rsidRDefault="00F82EEB" w:rsidP="00812932">
            <w:pPr>
              <w:pStyle w:val="Default"/>
              <w:jc w:val="both"/>
              <w:rPr>
                <w:rFonts w:ascii="Arial" w:hAnsi="Arial" w:cs="Arial"/>
                <w:sz w:val="20"/>
                <w:szCs w:val="20"/>
              </w:rPr>
            </w:pPr>
            <w:r w:rsidRPr="00812932">
              <w:rPr>
                <w:rFonts w:ascii="Arial" w:hAnsi="Arial" w:cs="Arial"/>
                <w:sz w:val="20"/>
                <w:szCs w:val="20"/>
              </w:rPr>
              <w:t xml:space="preserve">Expert has been hired to assist the National Center for Educational Quality Enhancement to elaborate and prepare for adoption the package of policy documents, for creating the legal frame for formation and operation of the institutional mechanisms to ensure the smooth and effective training program accreditation process and ensure the quality enhancement of Civil Servants’ professional development training programs. The package includes the following regulations and rules: </w:t>
            </w:r>
          </w:p>
          <w:p w14:paraId="5EC0E1F7" w14:textId="77777777" w:rsidR="00F82EEB" w:rsidRPr="00812932" w:rsidRDefault="00F82EEB" w:rsidP="00EB743C">
            <w:pPr>
              <w:pStyle w:val="ListParagraph"/>
              <w:numPr>
                <w:ilvl w:val="0"/>
                <w:numId w:val="51"/>
              </w:numPr>
              <w:autoSpaceDE w:val="0"/>
              <w:autoSpaceDN w:val="0"/>
              <w:adjustRightInd w:val="0"/>
              <w:jc w:val="both"/>
              <w:rPr>
                <w:rFonts w:ascii="Arial" w:hAnsi="Arial" w:cs="Arial"/>
                <w:color w:val="000000"/>
                <w:sz w:val="20"/>
                <w:szCs w:val="20"/>
              </w:rPr>
            </w:pPr>
            <w:r w:rsidRPr="00812932">
              <w:rPr>
                <w:rFonts w:ascii="Arial" w:hAnsi="Arial" w:cs="Arial"/>
                <w:color w:val="000000"/>
                <w:sz w:val="20"/>
                <w:szCs w:val="20"/>
              </w:rPr>
              <w:t>Decree on Civil Servants’ Training Program Accreditation (standards, procedures and costs) (</w:t>
            </w:r>
            <w:r w:rsidRPr="00812932">
              <w:rPr>
                <w:rStyle w:val="A10"/>
                <w:rFonts w:ascii="Arial" w:hAnsi="Arial" w:cs="Arial"/>
                <w:sz w:val="20"/>
                <w:szCs w:val="20"/>
              </w:rPr>
              <w:t>Ministerial Decree, and Accreditation Statute adopted, methodological guidelines developed);</w:t>
            </w:r>
            <w:r w:rsidRPr="00812932">
              <w:rPr>
                <w:rFonts w:ascii="Arial" w:hAnsi="Arial" w:cs="Arial"/>
                <w:color w:val="000000"/>
                <w:sz w:val="20"/>
                <w:szCs w:val="20"/>
              </w:rPr>
              <w:t xml:space="preserve"> </w:t>
            </w:r>
          </w:p>
          <w:p w14:paraId="28A9AF07" w14:textId="77777777" w:rsidR="00F82EEB" w:rsidRPr="00812932" w:rsidRDefault="00F82EEB" w:rsidP="00EB743C">
            <w:pPr>
              <w:pStyle w:val="ListParagraph"/>
              <w:numPr>
                <w:ilvl w:val="0"/>
                <w:numId w:val="51"/>
              </w:numPr>
              <w:autoSpaceDE w:val="0"/>
              <w:autoSpaceDN w:val="0"/>
              <w:adjustRightInd w:val="0"/>
              <w:jc w:val="both"/>
              <w:rPr>
                <w:rFonts w:ascii="Arial" w:hAnsi="Arial" w:cs="Arial"/>
                <w:color w:val="000000"/>
                <w:sz w:val="20"/>
                <w:szCs w:val="20"/>
              </w:rPr>
            </w:pPr>
            <w:r w:rsidRPr="00812932">
              <w:rPr>
                <w:rFonts w:ascii="Arial" w:hAnsi="Arial" w:cs="Arial"/>
                <w:color w:val="000000"/>
                <w:sz w:val="20"/>
                <w:szCs w:val="20"/>
              </w:rPr>
              <w:t xml:space="preserve">Policy and rules to hire the training accreditation Experts’ Corps (qualification requirements, hiring and firing procedures, scope and compensation) (adopted by the Director of the National Center for Educational Quality Enhancement). </w:t>
            </w:r>
          </w:p>
        </w:tc>
        <w:tc>
          <w:tcPr>
            <w:tcW w:w="511" w:type="pct"/>
            <w:shd w:val="clear" w:color="auto" w:fill="F3F7FB"/>
          </w:tcPr>
          <w:p w14:paraId="10AC6168"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CSB, NCEQE</w:t>
            </w:r>
          </w:p>
        </w:tc>
        <w:tc>
          <w:tcPr>
            <w:tcW w:w="422" w:type="pct"/>
            <w:shd w:val="clear" w:color="auto" w:fill="F3F7FB"/>
          </w:tcPr>
          <w:p w14:paraId="40219FA8" w14:textId="77777777" w:rsidR="00F82EEB" w:rsidRPr="00812932" w:rsidRDefault="00F82EEB" w:rsidP="00812932">
            <w:pPr>
              <w:jc w:val="center"/>
              <w:rPr>
                <w:rFonts w:ascii="Arial" w:hAnsi="Arial" w:cs="Arial"/>
                <w:sz w:val="20"/>
                <w:szCs w:val="20"/>
              </w:rPr>
            </w:pPr>
            <w:r w:rsidRPr="00812932">
              <w:rPr>
                <w:rFonts w:ascii="Arial" w:hAnsi="Arial" w:cs="Arial"/>
                <w:color w:val="000000"/>
                <w:sz w:val="20"/>
                <w:szCs w:val="20"/>
              </w:rPr>
              <w:t>August 2018</w:t>
            </w:r>
          </w:p>
        </w:tc>
        <w:tc>
          <w:tcPr>
            <w:tcW w:w="434" w:type="pct"/>
            <w:shd w:val="clear" w:color="auto" w:fill="F3F7FB"/>
          </w:tcPr>
          <w:p w14:paraId="64F6D7CE" w14:textId="77777777" w:rsidR="00F82EEB" w:rsidRPr="00812932" w:rsidRDefault="00F82EEB" w:rsidP="00812932">
            <w:pPr>
              <w:jc w:val="center"/>
              <w:rPr>
                <w:rFonts w:ascii="Arial" w:hAnsi="Arial" w:cs="Arial"/>
                <w:sz w:val="20"/>
                <w:szCs w:val="20"/>
              </w:rPr>
            </w:pPr>
            <w:r w:rsidRPr="00812932">
              <w:rPr>
                <w:rFonts w:ascii="Arial" w:hAnsi="Arial" w:cs="Arial"/>
                <w:color w:val="000000"/>
                <w:sz w:val="20"/>
                <w:szCs w:val="20"/>
              </w:rPr>
              <w:t>December 2018</w:t>
            </w:r>
          </w:p>
        </w:tc>
        <w:tc>
          <w:tcPr>
            <w:tcW w:w="1424" w:type="pct"/>
            <w:shd w:val="clear" w:color="auto" w:fill="F3F7FB"/>
          </w:tcPr>
          <w:p w14:paraId="6CC1E9A0"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Training Accreditation system for civil servants’ professional development has been set up and became operational. The accreditation-related framework led to the development of 11 training mandatory programs for civil servants by five training providers, their accreditation by the Accreditation Council and delivery of training sessions to 1510 civil servants only in 2020-2021.</w:t>
            </w:r>
          </w:p>
        </w:tc>
      </w:tr>
      <w:tr w:rsidR="00F82EEB" w:rsidRPr="00812932" w14:paraId="6ECBDA0F" w14:textId="77777777" w:rsidTr="00F82EEB">
        <w:tc>
          <w:tcPr>
            <w:tcW w:w="155" w:type="pct"/>
          </w:tcPr>
          <w:p w14:paraId="58F4AABE" w14:textId="77777777" w:rsidR="00F82EEB" w:rsidRPr="00812932" w:rsidRDefault="00F82EEB" w:rsidP="00812932">
            <w:pPr>
              <w:tabs>
                <w:tab w:val="left" w:pos="720"/>
              </w:tabs>
              <w:jc w:val="both"/>
              <w:rPr>
                <w:rFonts w:ascii="Arial" w:hAnsi="Arial" w:cs="Arial"/>
                <w:sz w:val="20"/>
                <w:szCs w:val="20"/>
                <w:lang w:val="ka-GE"/>
              </w:rPr>
            </w:pPr>
            <w:r w:rsidRPr="00812932">
              <w:rPr>
                <w:rFonts w:ascii="Arial" w:hAnsi="Arial" w:cs="Arial"/>
                <w:sz w:val="20"/>
                <w:szCs w:val="20"/>
                <w:lang w:val="ka-GE"/>
              </w:rPr>
              <w:t>3</w:t>
            </w:r>
          </w:p>
        </w:tc>
        <w:tc>
          <w:tcPr>
            <w:tcW w:w="896" w:type="pct"/>
          </w:tcPr>
          <w:p w14:paraId="3D473143" w14:textId="77777777" w:rsidR="00F82EEB" w:rsidRPr="00812932" w:rsidRDefault="00F82EEB" w:rsidP="00812932">
            <w:pPr>
              <w:tabs>
                <w:tab w:val="left" w:pos="720"/>
              </w:tabs>
              <w:jc w:val="both"/>
              <w:rPr>
                <w:rFonts w:ascii="Arial" w:eastAsia="Calibri" w:hAnsi="Arial" w:cs="Arial"/>
                <w:sz w:val="20"/>
                <w:szCs w:val="20"/>
              </w:rPr>
            </w:pPr>
            <w:r w:rsidRPr="00812932">
              <w:rPr>
                <w:rFonts w:ascii="Arial" w:hAnsi="Arial" w:cs="Arial"/>
                <w:sz w:val="20"/>
                <w:szCs w:val="20"/>
              </w:rPr>
              <w:t>The Change Management Plan (CMP)</w:t>
            </w:r>
            <w:r w:rsidRPr="00812932">
              <w:rPr>
                <w:rFonts w:ascii="Arial" w:eastAsia="Calibri" w:hAnsi="Arial" w:cs="Arial"/>
                <w:sz w:val="20"/>
                <w:szCs w:val="20"/>
              </w:rPr>
              <w:t xml:space="preserve"> and respective Civil Service Reform (CSR) communication strategy developed and implemented</w:t>
            </w:r>
          </w:p>
          <w:p w14:paraId="6F39A2F1" w14:textId="77777777" w:rsidR="00F82EEB" w:rsidRPr="00812932" w:rsidRDefault="00F82EEB" w:rsidP="00812932">
            <w:pPr>
              <w:jc w:val="both"/>
              <w:rPr>
                <w:rFonts w:ascii="Arial" w:hAnsi="Arial" w:cs="Arial"/>
                <w:sz w:val="20"/>
                <w:szCs w:val="20"/>
                <w:lang w:val="ka-GE"/>
              </w:rPr>
            </w:pPr>
          </w:p>
        </w:tc>
        <w:tc>
          <w:tcPr>
            <w:tcW w:w="1158" w:type="pct"/>
          </w:tcPr>
          <w:p w14:paraId="112CDBF5" w14:textId="77777777" w:rsidR="00F82EEB" w:rsidRPr="00812932" w:rsidRDefault="00F82EEB" w:rsidP="00812932">
            <w:pPr>
              <w:tabs>
                <w:tab w:val="left" w:pos="720"/>
                <w:tab w:val="left" w:pos="810"/>
              </w:tabs>
              <w:jc w:val="both"/>
              <w:rPr>
                <w:rFonts w:ascii="Arial" w:hAnsi="Arial" w:cs="Arial"/>
                <w:sz w:val="20"/>
                <w:szCs w:val="20"/>
              </w:rPr>
            </w:pPr>
            <w:r w:rsidRPr="00812932">
              <w:rPr>
                <w:rFonts w:ascii="Arial" w:hAnsi="Arial" w:cs="Arial"/>
                <w:sz w:val="20"/>
                <w:szCs w:val="20"/>
              </w:rPr>
              <w:t xml:space="preserve">The consulting company (Public Administration International (PAI) in cooperation with Grow Expand Compete (GEC) was contracted by the project to facilitate change management associated with the civil service reform. The effort was </w:t>
            </w:r>
            <w:r w:rsidRPr="00812932">
              <w:rPr>
                <w:rFonts w:ascii="Arial" w:hAnsi="Arial" w:cs="Arial"/>
                <w:sz w:val="20"/>
                <w:szCs w:val="20"/>
              </w:rPr>
              <w:lastRenderedPageBreak/>
              <w:t xml:space="preserve">conducted in close partnership with the </w:t>
            </w:r>
            <w:proofErr w:type="spellStart"/>
            <w:r w:rsidRPr="00812932">
              <w:rPr>
                <w:rFonts w:ascii="Arial" w:hAnsi="Arial" w:cs="Arial"/>
                <w:sz w:val="20"/>
                <w:szCs w:val="20"/>
              </w:rPr>
              <w:t>AoG</w:t>
            </w:r>
            <w:proofErr w:type="spellEnd"/>
            <w:r w:rsidRPr="00812932">
              <w:rPr>
                <w:rFonts w:ascii="Arial" w:hAnsi="Arial" w:cs="Arial"/>
                <w:sz w:val="20"/>
                <w:szCs w:val="20"/>
              </w:rPr>
              <w:t>, the CSB and several ministries and</w:t>
            </w:r>
            <w:r w:rsidRPr="00812932">
              <w:rPr>
                <w:rFonts w:ascii="Arial" w:hAnsi="Arial" w:cs="Arial"/>
                <w:sz w:val="20"/>
                <w:szCs w:val="20"/>
                <w:lang w:val="ka-GE"/>
              </w:rPr>
              <w:t xml:space="preserve"> </w:t>
            </w:r>
            <w:r w:rsidRPr="00812932">
              <w:rPr>
                <w:rFonts w:ascii="Arial" w:hAnsi="Arial" w:cs="Arial"/>
                <w:sz w:val="20"/>
                <w:szCs w:val="20"/>
              </w:rPr>
              <w:t>produced two substantial outputs: the central CMP and its declination into Individual CMPs for nine ministries, as well as the associated Communication Strategy and Action Plan. These strategic documents constitute the first outcome of the engagement of civil servants who have been identified as potential agents of change.</w:t>
            </w:r>
          </w:p>
          <w:p w14:paraId="00FF08C5"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The Communication Strategy and Action Plan developed by the project implementers in cooperation with the Change Management Team (CMT) ensure provision of targeted, consistent and comprehensive information about the changes brought about by the implementation of new Civil Service Law (CSL) and CSR for both internal and external audiences. The Communication Strategy supports the main changes foreseen by the CMT and responds to identified risks in terms of resistance to change and possible misrepresentations.</w:t>
            </w:r>
          </w:p>
        </w:tc>
        <w:tc>
          <w:tcPr>
            <w:tcW w:w="511" w:type="pct"/>
          </w:tcPr>
          <w:p w14:paraId="53001AF9"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lastRenderedPageBreak/>
              <w:t xml:space="preserve">CSB, </w:t>
            </w:r>
            <w:proofErr w:type="spellStart"/>
            <w:r w:rsidRPr="00812932">
              <w:rPr>
                <w:rFonts w:ascii="Arial" w:hAnsi="Arial" w:cs="Arial"/>
                <w:sz w:val="20"/>
                <w:szCs w:val="20"/>
              </w:rPr>
              <w:t>AoG</w:t>
            </w:r>
            <w:proofErr w:type="spellEnd"/>
          </w:p>
        </w:tc>
        <w:tc>
          <w:tcPr>
            <w:tcW w:w="422" w:type="pct"/>
          </w:tcPr>
          <w:p w14:paraId="46179F25"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2017</w:t>
            </w:r>
          </w:p>
        </w:tc>
        <w:tc>
          <w:tcPr>
            <w:tcW w:w="434" w:type="pct"/>
          </w:tcPr>
          <w:p w14:paraId="134127D5"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2018</w:t>
            </w:r>
          </w:p>
        </w:tc>
        <w:tc>
          <w:tcPr>
            <w:tcW w:w="1424" w:type="pct"/>
          </w:tcPr>
          <w:p w14:paraId="45A1E49B"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Given the adoption of subsidiary legislation that foresees a much more de-centralized system than originally foreseen, the Human Resources Managers Forum, supported by the PAR project has become, in effect, the change management instrument for CSB, through which detailed and substantive </w:t>
            </w:r>
            <w:r w:rsidRPr="00812932">
              <w:rPr>
                <w:rFonts w:ascii="Arial" w:hAnsi="Arial" w:cs="Arial"/>
                <w:sz w:val="20"/>
                <w:szCs w:val="20"/>
              </w:rPr>
              <w:lastRenderedPageBreak/>
              <w:t>discussion has been facilitated on emerging problems and needs with the implementation of the new Law on Civil Service and its by-laws, while CSB has been providing either immediate and hands on assistance, or – if the issue where of a generalized nature - developed guidebooks and instructions for the human resources professionals most of them with PAR project support, such as guide on performance appraisal of civil servants, manual of professional development of civil servants, etc.</w:t>
            </w:r>
            <w:r w:rsidRPr="00812932">
              <w:rPr>
                <w:rFonts w:ascii="Arial" w:hAnsi="Arial" w:cs="Arial"/>
                <w:sz w:val="20"/>
                <w:szCs w:val="20"/>
              </w:rPr>
              <w:cr/>
              <w:t>As part of the follow up initiatives, the project team has been working closely with the CSB to respond to the needs identified in the National Change Management Plan and its respective Communication Plan, through another sub-project with the CSB.</w:t>
            </w:r>
          </w:p>
        </w:tc>
      </w:tr>
      <w:tr w:rsidR="00F82EEB" w:rsidRPr="00812932" w14:paraId="1EF85EE0" w14:textId="77777777" w:rsidTr="00F82EEB">
        <w:trPr>
          <w:trHeight w:val="368"/>
        </w:trPr>
        <w:tc>
          <w:tcPr>
            <w:tcW w:w="155" w:type="pct"/>
            <w:shd w:val="clear" w:color="auto" w:fill="F3F7FB"/>
          </w:tcPr>
          <w:p w14:paraId="1D7963CB" w14:textId="77777777" w:rsidR="00F82EEB" w:rsidRPr="00812932" w:rsidRDefault="00F82EEB" w:rsidP="00812932">
            <w:pPr>
              <w:jc w:val="both"/>
              <w:rPr>
                <w:rFonts w:ascii="Arial" w:hAnsi="Arial" w:cs="Arial"/>
                <w:sz w:val="20"/>
                <w:szCs w:val="20"/>
                <w:lang w:val="ka-GE"/>
              </w:rPr>
            </w:pPr>
            <w:r w:rsidRPr="00812932">
              <w:rPr>
                <w:rFonts w:ascii="Arial" w:hAnsi="Arial" w:cs="Arial"/>
                <w:sz w:val="20"/>
                <w:szCs w:val="20"/>
                <w:lang w:val="ka-GE"/>
              </w:rPr>
              <w:lastRenderedPageBreak/>
              <w:t>4</w:t>
            </w:r>
          </w:p>
        </w:tc>
        <w:tc>
          <w:tcPr>
            <w:tcW w:w="896" w:type="pct"/>
            <w:shd w:val="clear" w:color="auto" w:fill="F3F7FB"/>
          </w:tcPr>
          <w:p w14:paraId="54F61D6A"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Decree on Professional Development of Civil Servants</w:t>
            </w:r>
          </w:p>
        </w:tc>
        <w:tc>
          <w:tcPr>
            <w:tcW w:w="1158" w:type="pct"/>
            <w:shd w:val="clear" w:color="auto" w:fill="F3F7FB"/>
          </w:tcPr>
          <w:p w14:paraId="00D34DF8" w14:textId="63243A24"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The Decree on Professional Development of Civil Servants was adopted by the </w:t>
            </w:r>
            <w:proofErr w:type="spellStart"/>
            <w:r w:rsidRPr="00812932">
              <w:rPr>
                <w:rFonts w:ascii="Arial" w:hAnsi="Arial" w:cs="Arial"/>
                <w:sz w:val="20"/>
                <w:szCs w:val="20"/>
              </w:rPr>
              <w:t>GoG</w:t>
            </w:r>
            <w:proofErr w:type="spellEnd"/>
            <w:r w:rsidRPr="00812932">
              <w:rPr>
                <w:rFonts w:ascii="Arial" w:hAnsi="Arial" w:cs="Arial"/>
                <w:sz w:val="20"/>
                <w:szCs w:val="20"/>
              </w:rPr>
              <w:t xml:space="preserve"> on 22 May 2018. However, contrary to the original intention, the Government has opted for decentralizing the delive</w:t>
            </w:r>
            <w:r w:rsidR="00451944">
              <w:rPr>
                <w:rFonts w:ascii="Arial" w:hAnsi="Arial" w:cs="Arial"/>
                <w:sz w:val="20"/>
                <w:szCs w:val="20"/>
              </w:rPr>
              <w:t>ry of basic, mandatory program</w:t>
            </w:r>
            <w:r w:rsidRPr="00812932">
              <w:rPr>
                <w:rFonts w:ascii="Arial" w:hAnsi="Arial" w:cs="Arial"/>
                <w:sz w:val="20"/>
                <w:szCs w:val="20"/>
              </w:rPr>
              <w:t xml:space="preserve">s. Initially, the project team aimed at facilitating the </w:t>
            </w:r>
            <w:r w:rsidRPr="00812932">
              <w:rPr>
                <w:rFonts w:ascii="Arial" w:hAnsi="Arial" w:cs="Arial"/>
                <w:sz w:val="20"/>
                <w:szCs w:val="20"/>
              </w:rPr>
              <w:lastRenderedPageBreak/>
              <w:t xml:space="preserve">establishment of a unified training delivery process. According to the adopted Decree, each basic course will be developed by a training provider and will have to then undergo accreditation, managed by a group of experts under the National Centre for Educational Quality Enhancement. </w:t>
            </w:r>
          </w:p>
        </w:tc>
        <w:tc>
          <w:tcPr>
            <w:tcW w:w="511" w:type="pct"/>
            <w:shd w:val="clear" w:color="auto" w:fill="F3F7FB"/>
          </w:tcPr>
          <w:p w14:paraId="4562CA22"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lastRenderedPageBreak/>
              <w:t>CSB</w:t>
            </w:r>
          </w:p>
        </w:tc>
        <w:tc>
          <w:tcPr>
            <w:tcW w:w="422" w:type="pct"/>
            <w:shd w:val="clear" w:color="auto" w:fill="F3F7FB"/>
          </w:tcPr>
          <w:p w14:paraId="79F1462D"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2017</w:t>
            </w:r>
          </w:p>
        </w:tc>
        <w:tc>
          <w:tcPr>
            <w:tcW w:w="434" w:type="pct"/>
            <w:shd w:val="clear" w:color="auto" w:fill="F3F7FB"/>
          </w:tcPr>
          <w:p w14:paraId="381E311F"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May 2018</w:t>
            </w:r>
          </w:p>
        </w:tc>
        <w:tc>
          <w:tcPr>
            <w:tcW w:w="1424" w:type="pct"/>
            <w:shd w:val="clear" w:color="auto" w:fill="F3F7FB"/>
          </w:tcPr>
          <w:p w14:paraId="794F4701" w14:textId="77777777" w:rsidR="00F82EEB" w:rsidRPr="00812932" w:rsidRDefault="00F82EEB" w:rsidP="00812932">
            <w:pPr>
              <w:jc w:val="both"/>
              <w:rPr>
                <w:rFonts w:ascii="Arial" w:hAnsi="Arial" w:cs="Arial"/>
                <w:sz w:val="20"/>
                <w:szCs w:val="20"/>
                <w:lang w:val="ka-GE"/>
              </w:rPr>
            </w:pPr>
            <w:r w:rsidRPr="00812932">
              <w:rPr>
                <w:rFonts w:ascii="Arial" w:hAnsi="Arial" w:cs="Arial"/>
                <w:sz w:val="20"/>
                <w:szCs w:val="20"/>
              </w:rPr>
              <w:t>Decree on Professional Development of Civil Servants and relevant standards forms represent the backbone of the daily implementation of the new continuous training system. Decree reflects the recommendations provided by the project: the document respects the standards of professional</w:t>
            </w:r>
            <w:r w:rsidRPr="00812932">
              <w:rPr>
                <w:rFonts w:ascii="Arial" w:hAnsi="Arial" w:cs="Arial"/>
                <w:sz w:val="20"/>
                <w:szCs w:val="20"/>
                <w:lang w:val="ka-GE"/>
              </w:rPr>
              <w:t xml:space="preserve"> </w:t>
            </w:r>
            <w:r w:rsidRPr="00812932">
              <w:rPr>
                <w:rFonts w:ascii="Arial" w:hAnsi="Arial" w:cs="Arial"/>
                <w:sz w:val="20"/>
                <w:szCs w:val="20"/>
              </w:rPr>
              <w:t xml:space="preserve">development and corresponding implementation rules, enshrines the </w:t>
            </w:r>
            <w:r w:rsidRPr="00812932">
              <w:rPr>
                <w:rFonts w:ascii="Arial" w:hAnsi="Arial" w:cs="Arial"/>
                <w:sz w:val="20"/>
                <w:szCs w:val="20"/>
              </w:rPr>
              <w:lastRenderedPageBreak/>
              <w:t xml:space="preserve">principles of training needs assessment </w:t>
            </w:r>
            <w:proofErr w:type="gramStart"/>
            <w:r w:rsidRPr="00812932">
              <w:rPr>
                <w:rFonts w:ascii="Arial" w:hAnsi="Arial" w:cs="Arial"/>
                <w:sz w:val="20"/>
                <w:szCs w:val="20"/>
              </w:rPr>
              <w:t>process  and</w:t>
            </w:r>
            <w:proofErr w:type="gramEnd"/>
            <w:r w:rsidRPr="00812932">
              <w:rPr>
                <w:rFonts w:ascii="Arial" w:hAnsi="Arial" w:cs="Arial"/>
                <w:sz w:val="20"/>
                <w:szCs w:val="20"/>
              </w:rPr>
              <w:t xml:space="preserve"> defines two types of obligatory trainings reflecting international good practices – mandatory basic program and additional professional development programs. The Decree on Professional Development of Civil Servants establishes an accreditation requirement for mandatory training programs of civil servants. </w:t>
            </w:r>
          </w:p>
          <w:p w14:paraId="7163DBE9" w14:textId="77777777" w:rsidR="00F82EEB" w:rsidRPr="00812932" w:rsidRDefault="00F82EEB" w:rsidP="00812932">
            <w:pPr>
              <w:rPr>
                <w:rFonts w:ascii="Arial" w:hAnsi="Arial" w:cs="Arial"/>
                <w:sz w:val="20"/>
                <w:szCs w:val="20"/>
                <w:lang w:val="ka-GE"/>
              </w:rPr>
            </w:pPr>
          </w:p>
        </w:tc>
      </w:tr>
      <w:tr w:rsidR="00F82EEB" w:rsidRPr="00812932" w14:paraId="5FC3F603" w14:textId="77777777" w:rsidTr="00F82EEB">
        <w:trPr>
          <w:trHeight w:val="1718"/>
        </w:trPr>
        <w:tc>
          <w:tcPr>
            <w:tcW w:w="155" w:type="pct"/>
          </w:tcPr>
          <w:p w14:paraId="395C7A23" w14:textId="77777777" w:rsidR="00F82EEB" w:rsidRPr="00812932" w:rsidRDefault="00F82EEB" w:rsidP="00812932">
            <w:pPr>
              <w:jc w:val="both"/>
              <w:rPr>
                <w:rFonts w:ascii="Arial" w:hAnsi="Arial" w:cs="Arial"/>
                <w:sz w:val="20"/>
                <w:szCs w:val="20"/>
                <w:lang w:val="ka-GE"/>
              </w:rPr>
            </w:pPr>
            <w:bookmarkStart w:id="49" w:name="_Hlk64637459"/>
            <w:r w:rsidRPr="00812932">
              <w:rPr>
                <w:rFonts w:ascii="Arial" w:hAnsi="Arial" w:cs="Arial"/>
                <w:sz w:val="20"/>
                <w:szCs w:val="20"/>
                <w:lang w:val="ka-GE"/>
              </w:rPr>
              <w:lastRenderedPageBreak/>
              <w:t>5</w:t>
            </w:r>
          </w:p>
        </w:tc>
        <w:tc>
          <w:tcPr>
            <w:tcW w:w="896" w:type="pct"/>
          </w:tcPr>
          <w:p w14:paraId="2BC6647C"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Internal procedural acts on performance appraisal</w:t>
            </w:r>
          </w:p>
        </w:tc>
        <w:tc>
          <w:tcPr>
            <w:tcW w:w="1158" w:type="pct"/>
          </w:tcPr>
          <w:p w14:paraId="7509C5BB" w14:textId="3AAE8573"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Throughout the initial stage of performance appraisal introduction, the project supported public agencies in elaboration of their internal acts on performance appraisal adopted by respective ministers of head of their agencies) (Ministry of Agriculture and Environmental Protection, Ministry of Health, Ministry of Economic Development, Administration of the Government, Ministry of </w:t>
            </w:r>
            <w:proofErr w:type="gramStart"/>
            <w:r w:rsidRPr="00812932">
              <w:rPr>
                <w:rFonts w:ascii="Arial" w:hAnsi="Arial" w:cs="Arial"/>
                <w:sz w:val="20"/>
                <w:szCs w:val="20"/>
              </w:rPr>
              <w:t>Education,  three</w:t>
            </w:r>
            <w:proofErr w:type="gramEnd"/>
            <w:r w:rsidRPr="00812932">
              <w:rPr>
                <w:rFonts w:ascii="Arial" w:hAnsi="Arial" w:cs="Arial"/>
                <w:sz w:val="20"/>
                <w:szCs w:val="20"/>
              </w:rPr>
              <w:t xml:space="preserve"> ministries of A</w:t>
            </w:r>
            <w:r w:rsidR="00B03A89">
              <w:rPr>
                <w:rFonts w:ascii="Arial" w:hAnsi="Arial" w:cs="Arial"/>
                <w:sz w:val="20"/>
                <w:szCs w:val="20"/>
              </w:rPr>
              <w:t>d</w:t>
            </w:r>
            <w:r w:rsidRPr="00812932">
              <w:rPr>
                <w:rFonts w:ascii="Arial" w:hAnsi="Arial" w:cs="Arial"/>
                <w:sz w:val="20"/>
                <w:szCs w:val="20"/>
              </w:rPr>
              <w:t>jara Autonomous Republic).</w:t>
            </w:r>
          </w:p>
        </w:tc>
        <w:tc>
          <w:tcPr>
            <w:tcW w:w="511" w:type="pct"/>
          </w:tcPr>
          <w:p w14:paraId="12F38B3A" w14:textId="544257EE" w:rsidR="00F82EEB" w:rsidRPr="00812932" w:rsidRDefault="00F82EEB" w:rsidP="00812932">
            <w:pPr>
              <w:jc w:val="center"/>
              <w:rPr>
                <w:rFonts w:ascii="Arial" w:hAnsi="Arial" w:cs="Arial"/>
                <w:sz w:val="20"/>
                <w:szCs w:val="20"/>
              </w:rPr>
            </w:pPr>
            <w:r w:rsidRPr="00812932">
              <w:rPr>
                <w:rFonts w:ascii="Arial" w:hAnsi="Arial" w:cs="Arial"/>
                <w:sz w:val="20"/>
                <w:szCs w:val="20"/>
              </w:rPr>
              <w:t xml:space="preserve">MEPA, </w:t>
            </w:r>
            <w:proofErr w:type="spellStart"/>
            <w:r w:rsidRPr="00812932">
              <w:rPr>
                <w:rFonts w:ascii="Arial" w:hAnsi="Arial" w:cs="Arial"/>
                <w:sz w:val="20"/>
                <w:szCs w:val="20"/>
              </w:rPr>
              <w:t>MoH</w:t>
            </w:r>
            <w:proofErr w:type="spellEnd"/>
            <w:r w:rsidRPr="00812932">
              <w:rPr>
                <w:rFonts w:ascii="Arial" w:hAnsi="Arial" w:cs="Arial"/>
                <w:sz w:val="20"/>
                <w:szCs w:val="20"/>
              </w:rPr>
              <w:t xml:space="preserve">, </w:t>
            </w:r>
            <w:proofErr w:type="spellStart"/>
            <w:r w:rsidRPr="00812932">
              <w:rPr>
                <w:rFonts w:ascii="Arial" w:hAnsi="Arial" w:cs="Arial"/>
                <w:sz w:val="20"/>
                <w:szCs w:val="20"/>
              </w:rPr>
              <w:t>MoESD</w:t>
            </w:r>
            <w:proofErr w:type="spellEnd"/>
            <w:r w:rsidRPr="00812932">
              <w:rPr>
                <w:rFonts w:ascii="Arial" w:hAnsi="Arial" w:cs="Arial"/>
                <w:sz w:val="20"/>
                <w:szCs w:val="20"/>
              </w:rPr>
              <w:t xml:space="preserve">, </w:t>
            </w:r>
            <w:proofErr w:type="spellStart"/>
            <w:r w:rsidRPr="00812932">
              <w:rPr>
                <w:rFonts w:ascii="Arial" w:hAnsi="Arial" w:cs="Arial"/>
                <w:sz w:val="20"/>
                <w:szCs w:val="20"/>
              </w:rPr>
              <w:t>AoG</w:t>
            </w:r>
            <w:proofErr w:type="spellEnd"/>
            <w:r w:rsidRPr="00812932">
              <w:rPr>
                <w:rFonts w:ascii="Arial" w:hAnsi="Arial" w:cs="Arial"/>
                <w:sz w:val="20"/>
                <w:szCs w:val="20"/>
              </w:rPr>
              <w:t xml:space="preserve">, </w:t>
            </w:r>
            <w:proofErr w:type="spellStart"/>
            <w:r w:rsidRPr="00812932">
              <w:rPr>
                <w:rFonts w:ascii="Arial" w:hAnsi="Arial" w:cs="Arial"/>
                <w:sz w:val="20"/>
                <w:szCs w:val="20"/>
              </w:rPr>
              <w:t>MoE</w:t>
            </w:r>
            <w:proofErr w:type="spellEnd"/>
            <w:r w:rsidRPr="00812932">
              <w:rPr>
                <w:rFonts w:ascii="Arial" w:hAnsi="Arial" w:cs="Arial"/>
                <w:sz w:val="20"/>
                <w:szCs w:val="20"/>
              </w:rPr>
              <w:t>, Four ministries of A</w:t>
            </w:r>
            <w:r w:rsidR="00B03A89">
              <w:rPr>
                <w:rFonts w:ascii="Arial" w:hAnsi="Arial" w:cs="Arial"/>
                <w:sz w:val="20"/>
                <w:szCs w:val="20"/>
              </w:rPr>
              <w:t>d</w:t>
            </w:r>
            <w:r w:rsidRPr="00812932">
              <w:rPr>
                <w:rFonts w:ascii="Arial" w:hAnsi="Arial" w:cs="Arial"/>
                <w:sz w:val="20"/>
                <w:szCs w:val="20"/>
              </w:rPr>
              <w:t xml:space="preserve">jara Autonomous Republic </w:t>
            </w:r>
          </w:p>
        </w:tc>
        <w:tc>
          <w:tcPr>
            <w:tcW w:w="422" w:type="pct"/>
          </w:tcPr>
          <w:p w14:paraId="2430DFF4"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2018-2020</w:t>
            </w:r>
          </w:p>
        </w:tc>
        <w:tc>
          <w:tcPr>
            <w:tcW w:w="434" w:type="pct"/>
          </w:tcPr>
          <w:p w14:paraId="020C49BE"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2018-2020</w:t>
            </w:r>
          </w:p>
        </w:tc>
        <w:tc>
          <w:tcPr>
            <w:tcW w:w="1424" w:type="pct"/>
          </w:tcPr>
          <w:p w14:paraId="2C75B70C"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Internal performance appraisal procedures are based on the Decree of the Government on Performance Appraisal. Ministries conduct evaluation of their staff based on these internal procedures which include relevant forms, a detailed description of a performance process, key obligations of parties involved. The project facilitates the development of a professional development system through the support of the National Centre for Educational Quality Enhancement. In particular, assistance is provided for organizational set-up of the Group of Experts responsible for accreditation of mandatory programs (development of a Statute, related legal documents, etc.).</w:t>
            </w:r>
          </w:p>
          <w:p w14:paraId="3AFC039B" w14:textId="77777777" w:rsidR="00F82EEB" w:rsidRPr="00812932" w:rsidRDefault="00F82EEB" w:rsidP="00812932">
            <w:pPr>
              <w:jc w:val="both"/>
              <w:rPr>
                <w:rFonts w:ascii="Arial" w:hAnsi="Arial" w:cs="Arial"/>
                <w:sz w:val="20"/>
                <w:szCs w:val="20"/>
              </w:rPr>
            </w:pPr>
          </w:p>
          <w:p w14:paraId="71231D49" w14:textId="77777777" w:rsidR="00F82EEB" w:rsidRPr="00812932" w:rsidRDefault="00F82EEB" w:rsidP="00812932">
            <w:pPr>
              <w:jc w:val="both"/>
              <w:rPr>
                <w:rFonts w:ascii="Arial" w:hAnsi="Arial" w:cs="Arial"/>
                <w:sz w:val="20"/>
                <w:szCs w:val="20"/>
              </w:rPr>
            </w:pPr>
          </w:p>
          <w:p w14:paraId="6B275A66" w14:textId="77777777" w:rsidR="00F82EEB" w:rsidRPr="00812932" w:rsidRDefault="00F82EEB" w:rsidP="00812932">
            <w:pPr>
              <w:jc w:val="both"/>
              <w:rPr>
                <w:rFonts w:ascii="Arial" w:hAnsi="Arial" w:cs="Arial"/>
                <w:sz w:val="20"/>
                <w:szCs w:val="20"/>
              </w:rPr>
            </w:pPr>
          </w:p>
        </w:tc>
      </w:tr>
      <w:bookmarkEnd w:id="49"/>
      <w:tr w:rsidR="00F82EEB" w:rsidRPr="00812932" w14:paraId="7DE65001" w14:textId="77777777" w:rsidTr="00F82EEB">
        <w:tc>
          <w:tcPr>
            <w:tcW w:w="155" w:type="pct"/>
            <w:shd w:val="clear" w:color="auto" w:fill="F3F7FB"/>
          </w:tcPr>
          <w:p w14:paraId="7BC1ADC6" w14:textId="77777777" w:rsidR="00F82EEB" w:rsidRPr="00812932" w:rsidRDefault="00F82EEB" w:rsidP="00812932">
            <w:pPr>
              <w:pStyle w:val="NormalWeb"/>
              <w:spacing w:before="0" w:beforeAutospacing="0" w:after="0" w:afterAutospacing="0"/>
              <w:jc w:val="both"/>
              <w:rPr>
                <w:rFonts w:ascii="Arial" w:hAnsi="Arial" w:cs="Arial"/>
                <w:color w:val="0E101A"/>
                <w:sz w:val="20"/>
                <w:szCs w:val="20"/>
              </w:rPr>
            </w:pPr>
            <w:r w:rsidRPr="00812932">
              <w:rPr>
                <w:rFonts w:ascii="Arial" w:hAnsi="Arial" w:cs="Arial"/>
                <w:color w:val="0E101A"/>
                <w:sz w:val="20"/>
                <w:szCs w:val="20"/>
              </w:rPr>
              <w:t>6</w:t>
            </w:r>
          </w:p>
        </w:tc>
        <w:tc>
          <w:tcPr>
            <w:tcW w:w="896" w:type="pct"/>
            <w:shd w:val="clear" w:color="auto" w:fill="F3F7FB"/>
          </w:tcPr>
          <w:p w14:paraId="50347938" w14:textId="77777777" w:rsidR="00F82EEB" w:rsidRPr="00812932" w:rsidRDefault="00F82EEB" w:rsidP="00812932">
            <w:pPr>
              <w:pStyle w:val="NormalWeb"/>
              <w:spacing w:before="0" w:beforeAutospacing="0" w:after="0" w:afterAutospacing="0"/>
              <w:jc w:val="both"/>
              <w:rPr>
                <w:rStyle w:val="A10"/>
                <w:rFonts w:ascii="Arial" w:hAnsi="Arial" w:cs="Arial"/>
                <w:color w:val="0E101A"/>
                <w:sz w:val="20"/>
                <w:szCs w:val="20"/>
              </w:rPr>
            </w:pPr>
            <w:r w:rsidRPr="00812932">
              <w:rPr>
                <w:rFonts w:ascii="Arial" w:hAnsi="Arial" w:cs="Arial"/>
                <w:color w:val="0E101A"/>
                <w:sz w:val="20"/>
                <w:szCs w:val="20"/>
              </w:rPr>
              <w:t>Draft legal amendments to the accreditation-related framework</w:t>
            </w:r>
          </w:p>
        </w:tc>
        <w:tc>
          <w:tcPr>
            <w:tcW w:w="1158" w:type="pct"/>
            <w:shd w:val="clear" w:color="auto" w:fill="F3F7FB"/>
          </w:tcPr>
          <w:p w14:paraId="081B2F97" w14:textId="77777777" w:rsidR="00F82EEB" w:rsidRPr="00812932" w:rsidRDefault="00F82EEB" w:rsidP="00812932">
            <w:pPr>
              <w:jc w:val="both"/>
              <w:rPr>
                <w:rStyle w:val="A10"/>
                <w:rFonts w:ascii="Arial" w:hAnsi="Arial" w:cs="Arial"/>
                <w:sz w:val="20"/>
                <w:szCs w:val="20"/>
              </w:rPr>
            </w:pPr>
            <w:r w:rsidRPr="00812932">
              <w:rPr>
                <w:rFonts w:ascii="Arial" w:hAnsi="Arial" w:cs="Arial"/>
                <w:color w:val="0E101A"/>
                <w:sz w:val="20"/>
                <w:szCs w:val="20"/>
              </w:rPr>
              <w:t>Legal amendments to the accreditation-related framework</w:t>
            </w:r>
            <w:r w:rsidRPr="00812932">
              <w:rPr>
                <w:rStyle w:val="A10"/>
                <w:rFonts w:ascii="Arial" w:hAnsi="Arial" w:cs="Arial"/>
                <w:sz w:val="20"/>
                <w:szCs w:val="20"/>
              </w:rPr>
              <w:t xml:space="preserve"> in being drafted, in order to improve Accreditation Standards and Procedures for Professional Development Programs of Civil Servants.</w:t>
            </w:r>
          </w:p>
        </w:tc>
        <w:tc>
          <w:tcPr>
            <w:tcW w:w="511" w:type="pct"/>
            <w:shd w:val="clear" w:color="auto" w:fill="F3F7FB"/>
          </w:tcPr>
          <w:p w14:paraId="15FD69F5" w14:textId="77777777" w:rsidR="00F82EEB" w:rsidRPr="00812932" w:rsidRDefault="00F82EEB" w:rsidP="00812932">
            <w:pPr>
              <w:rPr>
                <w:rFonts w:ascii="Arial" w:hAnsi="Arial" w:cs="Arial"/>
                <w:sz w:val="20"/>
                <w:szCs w:val="20"/>
              </w:rPr>
            </w:pPr>
            <w:r w:rsidRPr="00812932">
              <w:rPr>
                <w:rFonts w:ascii="Arial" w:hAnsi="Arial" w:cs="Arial"/>
                <w:sz w:val="20"/>
                <w:szCs w:val="20"/>
              </w:rPr>
              <w:t>CSB, QEC</w:t>
            </w:r>
          </w:p>
        </w:tc>
        <w:tc>
          <w:tcPr>
            <w:tcW w:w="422" w:type="pct"/>
            <w:shd w:val="clear" w:color="auto" w:fill="F3F7FB"/>
          </w:tcPr>
          <w:p w14:paraId="35D69506" w14:textId="77777777" w:rsidR="00F82EEB" w:rsidRPr="00812932" w:rsidRDefault="00F82EEB" w:rsidP="00812932">
            <w:pPr>
              <w:jc w:val="center"/>
              <w:rPr>
                <w:rFonts w:ascii="Arial" w:hAnsi="Arial" w:cs="Arial"/>
                <w:sz w:val="20"/>
                <w:szCs w:val="20"/>
              </w:rPr>
            </w:pPr>
            <w:r w:rsidRPr="00812932">
              <w:rPr>
                <w:rFonts w:ascii="Arial" w:hAnsi="Arial" w:cs="Arial"/>
                <w:color w:val="0E101A"/>
                <w:sz w:val="20"/>
                <w:szCs w:val="20"/>
              </w:rPr>
              <w:t>February 2021</w:t>
            </w:r>
          </w:p>
        </w:tc>
        <w:tc>
          <w:tcPr>
            <w:tcW w:w="434" w:type="pct"/>
            <w:shd w:val="clear" w:color="auto" w:fill="F3F7FB"/>
          </w:tcPr>
          <w:p w14:paraId="041FE9CA" w14:textId="77777777" w:rsidR="00F82EEB" w:rsidRPr="00812932" w:rsidRDefault="00F82EEB" w:rsidP="00812932">
            <w:pPr>
              <w:jc w:val="center"/>
              <w:rPr>
                <w:rFonts w:ascii="Arial" w:hAnsi="Arial" w:cs="Arial"/>
                <w:sz w:val="20"/>
                <w:szCs w:val="20"/>
              </w:rPr>
            </w:pPr>
            <w:r w:rsidRPr="00812932">
              <w:rPr>
                <w:rFonts w:ascii="Arial" w:hAnsi="Arial" w:cs="Arial"/>
                <w:color w:val="0E101A"/>
                <w:sz w:val="20"/>
                <w:szCs w:val="20"/>
              </w:rPr>
              <w:t>March 2021</w:t>
            </w:r>
          </w:p>
        </w:tc>
        <w:tc>
          <w:tcPr>
            <w:tcW w:w="1424" w:type="pct"/>
            <w:shd w:val="clear" w:color="auto" w:fill="F3F7FB"/>
          </w:tcPr>
          <w:p w14:paraId="57589F5B"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The legal amendments to the accreditation-related framework will lead to the enhancement of the accreditation procedures. The process will be finalized by March 2021. </w:t>
            </w:r>
          </w:p>
        </w:tc>
      </w:tr>
      <w:tr w:rsidR="00F82EEB" w:rsidRPr="00812932" w14:paraId="74867506" w14:textId="77777777" w:rsidTr="00F82EEB">
        <w:tc>
          <w:tcPr>
            <w:tcW w:w="5000" w:type="pct"/>
            <w:gridSpan w:val="7"/>
            <w:shd w:val="clear" w:color="auto" w:fill="B8CCE4" w:themeFill="accent1" w:themeFillTint="66"/>
          </w:tcPr>
          <w:p w14:paraId="0798306D" w14:textId="77777777" w:rsidR="00F82EEB" w:rsidRPr="00812932" w:rsidRDefault="00F82EEB" w:rsidP="00812932">
            <w:pPr>
              <w:jc w:val="center"/>
              <w:rPr>
                <w:rFonts w:ascii="Arial" w:hAnsi="Arial" w:cs="Arial"/>
                <w:sz w:val="20"/>
                <w:szCs w:val="20"/>
              </w:rPr>
            </w:pPr>
            <w:r w:rsidRPr="00812932">
              <w:rPr>
                <w:rFonts w:ascii="Arial" w:hAnsi="Arial" w:cs="Arial"/>
                <w:b/>
                <w:bCs/>
                <w:sz w:val="20"/>
                <w:szCs w:val="20"/>
              </w:rPr>
              <w:t>Public Service Delivery</w:t>
            </w:r>
          </w:p>
        </w:tc>
      </w:tr>
      <w:tr w:rsidR="00F82EEB" w:rsidRPr="00812932" w14:paraId="6DC7784A" w14:textId="77777777" w:rsidTr="00F82EEB">
        <w:tc>
          <w:tcPr>
            <w:tcW w:w="155" w:type="pct"/>
          </w:tcPr>
          <w:p w14:paraId="6544668E"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7</w:t>
            </w:r>
          </w:p>
        </w:tc>
        <w:tc>
          <w:tcPr>
            <w:tcW w:w="896" w:type="pct"/>
          </w:tcPr>
          <w:p w14:paraId="0C1F4DB3"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Policy concept document on Common Principles of </w:t>
            </w:r>
            <w:r w:rsidRPr="00812932">
              <w:rPr>
                <w:rFonts w:ascii="Arial" w:hAnsi="Arial" w:cs="Arial"/>
                <w:sz w:val="20"/>
                <w:szCs w:val="20"/>
              </w:rPr>
              <w:lastRenderedPageBreak/>
              <w:t>Service Design and Delivery</w:t>
            </w:r>
          </w:p>
        </w:tc>
        <w:tc>
          <w:tcPr>
            <w:tcW w:w="1158" w:type="pct"/>
          </w:tcPr>
          <w:p w14:paraId="27F48606" w14:textId="77777777" w:rsidR="00F82EEB" w:rsidRPr="00812932" w:rsidRDefault="00F82EEB" w:rsidP="00812932">
            <w:pPr>
              <w:jc w:val="both"/>
              <w:rPr>
                <w:rFonts w:ascii="Arial" w:hAnsi="Arial" w:cs="Arial"/>
                <w:b/>
                <w:bCs/>
                <w:sz w:val="20"/>
                <w:szCs w:val="20"/>
                <w:lang w:val="ka-GE"/>
              </w:rPr>
            </w:pPr>
            <w:r w:rsidRPr="00812932">
              <w:rPr>
                <w:rFonts w:ascii="Arial" w:hAnsi="Arial" w:cs="Arial"/>
                <w:sz w:val="20"/>
                <w:szCs w:val="20"/>
              </w:rPr>
              <w:lastRenderedPageBreak/>
              <w:t xml:space="preserve">Policy concept document on Common Principles of Service </w:t>
            </w:r>
            <w:r w:rsidRPr="00812932">
              <w:rPr>
                <w:rFonts w:ascii="Arial" w:hAnsi="Arial" w:cs="Arial"/>
                <w:sz w:val="20"/>
                <w:szCs w:val="20"/>
              </w:rPr>
              <w:lastRenderedPageBreak/>
              <w:t>Design and Delivery developed.</w:t>
            </w:r>
            <w:r w:rsidRPr="00812932">
              <w:rPr>
                <w:rFonts w:ascii="Arial" w:hAnsi="Arial" w:cs="Arial"/>
                <w:sz w:val="20"/>
                <w:szCs w:val="20"/>
                <w:lang w:val="ka-GE"/>
              </w:rPr>
              <w:t xml:space="preserve"> </w:t>
            </w:r>
          </w:p>
        </w:tc>
        <w:tc>
          <w:tcPr>
            <w:tcW w:w="511" w:type="pct"/>
          </w:tcPr>
          <w:p w14:paraId="6AC65E48"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lastRenderedPageBreak/>
              <w:t>PSDA</w:t>
            </w:r>
          </w:p>
        </w:tc>
        <w:tc>
          <w:tcPr>
            <w:tcW w:w="422" w:type="pct"/>
          </w:tcPr>
          <w:p w14:paraId="571BE2A5" w14:textId="77777777" w:rsidR="00F82EEB" w:rsidRPr="00812932" w:rsidRDefault="00F82EEB" w:rsidP="00812932">
            <w:pPr>
              <w:jc w:val="center"/>
              <w:rPr>
                <w:rFonts w:ascii="Arial" w:hAnsi="Arial" w:cs="Arial"/>
                <w:sz w:val="20"/>
                <w:szCs w:val="20"/>
              </w:rPr>
            </w:pPr>
          </w:p>
        </w:tc>
        <w:tc>
          <w:tcPr>
            <w:tcW w:w="434" w:type="pct"/>
          </w:tcPr>
          <w:p w14:paraId="63D2C2C2"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2017</w:t>
            </w:r>
          </w:p>
        </w:tc>
        <w:tc>
          <w:tcPr>
            <w:tcW w:w="1424" w:type="pct"/>
          </w:tcPr>
          <w:p w14:paraId="27867F1E"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The Policy concept document on Common Principles of Service Design and Delivery </w:t>
            </w:r>
            <w:r w:rsidRPr="00812932">
              <w:rPr>
                <w:rFonts w:ascii="Arial" w:hAnsi="Arial" w:cs="Arial"/>
                <w:sz w:val="20"/>
                <w:szCs w:val="20"/>
              </w:rPr>
              <w:lastRenderedPageBreak/>
              <w:t>was the basis on which later the strategic Policy Document on Public Service Design and Delivery was built.</w:t>
            </w:r>
          </w:p>
        </w:tc>
      </w:tr>
      <w:tr w:rsidR="00F82EEB" w:rsidRPr="00812932" w14:paraId="542A9F26" w14:textId="77777777" w:rsidTr="00F82EEB">
        <w:tc>
          <w:tcPr>
            <w:tcW w:w="155" w:type="pct"/>
            <w:shd w:val="clear" w:color="auto" w:fill="F3F7FB"/>
          </w:tcPr>
          <w:p w14:paraId="185E9949"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lastRenderedPageBreak/>
              <w:t>8</w:t>
            </w:r>
          </w:p>
        </w:tc>
        <w:tc>
          <w:tcPr>
            <w:tcW w:w="896" w:type="pct"/>
            <w:shd w:val="clear" w:color="auto" w:fill="F3F7FB"/>
          </w:tcPr>
          <w:p w14:paraId="002B364D" w14:textId="77777777" w:rsidR="00F82EEB" w:rsidRPr="00812932" w:rsidRDefault="00F82EEB" w:rsidP="00812932">
            <w:pPr>
              <w:jc w:val="both"/>
              <w:rPr>
                <w:rFonts w:ascii="Arial" w:hAnsi="Arial" w:cs="Arial"/>
                <w:sz w:val="20"/>
                <w:szCs w:val="20"/>
                <w:lang w:val="ka-GE"/>
              </w:rPr>
            </w:pPr>
            <w:r w:rsidRPr="00812932">
              <w:rPr>
                <w:rFonts w:ascii="Arial" w:hAnsi="Arial" w:cs="Arial"/>
                <w:sz w:val="20"/>
                <w:szCs w:val="20"/>
              </w:rPr>
              <w:t>The Policy Document on Public Service Design and Delivery (PSDD)</w:t>
            </w:r>
            <w:r w:rsidRPr="00812932">
              <w:rPr>
                <w:rFonts w:ascii="Arial" w:hAnsi="Arial" w:cs="Arial"/>
                <w:sz w:val="20"/>
                <w:szCs w:val="20"/>
                <w:lang w:val="ka-GE"/>
              </w:rPr>
              <w:t xml:space="preserve"> </w:t>
            </w:r>
          </w:p>
        </w:tc>
        <w:tc>
          <w:tcPr>
            <w:tcW w:w="1158" w:type="pct"/>
            <w:shd w:val="clear" w:color="auto" w:fill="F3F7FB"/>
          </w:tcPr>
          <w:p w14:paraId="14CEE4F8"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The project has laid solid foundations for the creation of unified standards for public service delivery: it has supported the first comprehensive assessment of the state of service delivery in Georgia; and initiated the drafting of a policy document on common guiding principles and standards for public service delivery.</w:t>
            </w:r>
          </w:p>
          <w:p w14:paraId="6032AC06" w14:textId="77777777" w:rsidR="00F82EEB" w:rsidRPr="00812932" w:rsidRDefault="00F82EEB" w:rsidP="00812932">
            <w:pPr>
              <w:jc w:val="both"/>
              <w:rPr>
                <w:rFonts w:ascii="Arial" w:hAnsi="Arial" w:cs="Arial"/>
                <w:sz w:val="20"/>
                <w:szCs w:val="20"/>
              </w:rPr>
            </w:pPr>
            <w:proofErr w:type="gramStart"/>
            <w:r w:rsidRPr="00812932">
              <w:rPr>
                <w:rFonts w:ascii="Arial" w:hAnsi="Arial" w:cs="Arial"/>
                <w:sz w:val="20"/>
                <w:szCs w:val="20"/>
              </w:rPr>
              <w:t>The Policy Document on Public Service Design and Delivery (PSDD),</w:t>
            </w:r>
            <w:proofErr w:type="gramEnd"/>
            <w:r w:rsidRPr="00812932">
              <w:rPr>
                <w:rFonts w:ascii="Arial" w:hAnsi="Arial" w:cs="Arial"/>
                <w:sz w:val="20"/>
                <w:szCs w:val="20"/>
              </w:rPr>
              <w:t xml:space="preserve"> establishes </w:t>
            </w:r>
            <w:r w:rsidRPr="00812932">
              <w:rPr>
                <w:rFonts w:ascii="Arial" w:eastAsia="Calibri" w:hAnsi="Arial" w:cs="Arial"/>
                <w:sz w:val="20"/>
                <w:szCs w:val="20"/>
              </w:rPr>
              <w:t xml:space="preserve">common principles and standards on the design, delivery, pricing and quality assurance of public services in Georgia. </w:t>
            </w:r>
            <w:r w:rsidRPr="00812932">
              <w:rPr>
                <w:rFonts w:ascii="Arial" w:hAnsi="Arial" w:cs="Arial"/>
                <w:sz w:val="20"/>
                <w:szCs w:val="20"/>
              </w:rPr>
              <w:t xml:space="preserve">The creation of common standards targets the discrepancies in the quality of service delivery in various agencies, but also between the national and local levels.  The international and local experts hired by the project presented the policy document to the PAR Council on February 16, 2018. </w:t>
            </w:r>
          </w:p>
        </w:tc>
        <w:tc>
          <w:tcPr>
            <w:tcW w:w="511" w:type="pct"/>
            <w:shd w:val="clear" w:color="auto" w:fill="F3F7FB"/>
          </w:tcPr>
          <w:p w14:paraId="12FE57A7"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PSDA</w:t>
            </w:r>
          </w:p>
        </w:tc>
        <w:tc>
          <w:tcPr>
            <w:tcW w:w="422" w:type="pct"/>
            <w:shd w:val="clear" w:color="auto" w:fill="F3F7FB"/>
          </w:tcPr>
          <w:p w14:paraId="427555D1"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2018</w:t>
            </w:r>
          </w:p>
        </w:tc>
        <w:tc>
          <w:tcPr>
            <w:tcW w:w="434" w:type="pct"/>
            <w:shd w:val="clear" w:color="auto" w:fill="F3F7FB"/>
          </w:tcPr>
          <w:p w14:paraId="2A6A1CF3"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 xml:space="preserve">Pending for Approval </w:t>
            </w:r>
          </w:p>
        </w:tc>
        <w:tc>
          <w:tcPr>
            <w:tcW w:w="1424" w:type="pct"/>
            <w:shd w:val="clear" w:color="auto" w:fill="F3F7FB"/>
          </w:tcPr>
          <w:p w14:paraId="43E570F1" w14:textId="77777777" w:rsidR="00F82EEB" w:rsidRPr="00812932" w:rsidRDefault="00F82EEB" w:rsidP="00812932">
            <w:pPr>
              <w:jc w:val="both"/>
              <w:rPr>
                <w:rFonts w:ascii="Arial" w:hAnsi="Arial" w:cs="Arial"/>
                <w:sz w:val="20"/>
                <w:szCs w:val="20"/>
                <w:lang w:val="ka-GE"/>
              </w:rPr>
            </w:pPr>
            <w:r w:rsidRPr="00812932">
              <w:rPr>
                <w:rFonts w:ascii="Arial" w:hAnsi="Arial" w:cs="Arial"/>
                <w:sz w:val="20"/>
                <w:szCs w:val="20"/>
              </w:rPr>
              <w:t>Although the policy document has not been approved yet by the government, its main components became part of the PAR Roadmap Action Plan 2019-2020 and their implementation have started</w:t>
            </w:r>
            <w:r w:rsidRPr="00812932">
              <w:rPr>
                <w:rFonts w:ascii="Arial" w:hAnsi="Arial" w:cs="Arial"/>
                <w:sz w:val="20"/>
                <w:szCs w:val="20"/>
                <w:lang w:val="ka-GE"/>
              </w:rPr>
              <w:t xml:space="preserve">. </w:t>
            </w:r>
          </w:p>
        </w:tc>
      </w:tr>
      <w:tr w:rsidR="00F82EEB" w:rsidRPr="00812932" w14:paraId="22D5F2D6" w14:textId="77777777" w:rsidTr="00F82EEB">
        <w:tc>
          <w:tcPr>
            <w:tcW w:w="155" w:type="pct"/>
          </w:tcPr>
          <w:p w14:paraId="0228473B"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9</w:t>
            </w:r>
          </w:p>
        </w:tc>
        <w:tc>
          <w:tcPr>
            <w:tcW w:w="896" w:type="pct"/>
          </w:tcPr>
          <w:p w14:paraId="5E414E6A" w14:textId="77777777" w:rsidR="00F82EEB" w:rsidRPr="00812932" w:rsidRDefault="00F82EEB" w:rsidP="00812932">
            <w:pPr>
              <w:jc w:val="both"/>
              <w:rPr>
                <w:rFonts w:ascii="Arial" w:eastAsia="Calibri" w:hAnsi="Arial" w:cs="Arial"/>
                <w:sz w:val="20"/>
                <w:szCs w:val="20"/>
              </w:rPr>
            </w:pPr>
            <w:r w:rsidRPr="00812932">
              <w:rPr>
                <w:rFonts w:ascii="Arial" w:hAnsi="Arial" w:cs="Arial"/>
                <w:sz w:val="20"/>
                <w:szCs w:val="20"/>
              </w:rPr>
              <w:t>Legislative Amendments on e-services</w:t>
            </w:r>
          </w:p>
        </w:tc>
        <w:tc>
          <w:tcPr>
            <w:tcW w:w="1158" w:type="pct"/>
          </w:tcPr>
          <w:p w14:paraId="0A6A2A41" w14:textId="77777777" w:rsidR="00F82EEB" w:rsidRPr="00812932" w:rsidRDefault="00F82EEB" w:rsidP="00812932">
            <w:pPr>
              <w:jc w:val="both"/>
              <w:rPr>
                <w:rFonts w:ascii="Arial" w:eastAsia="Calibri" w:hAnsi="Arial" w:cs="Arial"/>
                <w:sz w:val="20"/>
                <w:szCs w:val="20"/>
              </w:rPr>
            </w:pPr>
            <w:r w:rsidRPr="00812932">
              <w:rPr>
                <w:rFonts w:ascii="Arial" w:hAnsi="Arial" w:cs="Arial"/>
                <w:sz w:val="20"/>
                <w:szCs w:val="20"/>
              </w:rPr>
              <w:t xml:space="preserve">DGA prepared a package of legislative amendments that will oblige all public agencies to offer all their services also in electronic format. </w:t>
            </w:r>
          </w:p>
        </w:tc>
        <w:tc>
          <w:tcPr>
            <w:tcW w:w="511" w:type="pct"/>
          </w:tcPr>
          <w:p w14:paraId="25E3BFC1"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DGA</w:t>
            </w:r>
          </w:p>
        </w:tc>
        <w:tc>
          <w:tcPr>
            <w:tcW w:w="422" w:type="pct"/>
          </w:tcPr>
          <w:p w14:paraId="2D40152C"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 xml:space="preserve">2018 </w:t>
            </w:r>
          </w:p>
        </w:tc>
        <w:tc>
          <w:tcPr>
            <w:tcW w:w="434" w:type="pct"/>
          </w:tcPr>
          <w:p w14:paraId="0E790C75"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Pending for Approval</w:t>
            </w:r>
          </w:p>
        </w:tc>
        <w:tc>
          <w:tcPr>
            <w:tcW w:w="1424" w:type="pct"/>
          </w:tcPr>
          <w:p w14:paraId="54DFA551"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The amendments have not been adopted yet.</w:t>
            </w:r>
          </w:p>
        </w:tc>
      </w:tr>
      <w:tr w:rsidR="00F82EEB" w:rsidRPr="00812932" w14:paraId="2F902C91" w14:textId="77777777" w:rsidTr="00F82EEB">
        <w:tc>
          <w:tcPr>
            <w:tcW w:w="155" w:type="pct"/>
            <w:shd w:val="clear" w:color="auto" w:fill="F3F7FB"/>
          </w:tcPr>
          <w:p w14:paraId="04D1D07D"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10</w:t>
            </w:r>
          </w:p>
        </w:tc>
        <w:tc>
          <w:tcPr>
            <w:tcW w:w="896" w:type="pct"/>
            <w:shd w:val="clear" w:color="auto" w:fill="F3F7FB"/>
          </w:tcPr>
          <w:p w14:paraId="00380F99"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Legal analysis of legislative framework related to design and delivery of public services</w:t>
            </w:r>
          </w:p>
        </w:tc>
        <w:tc>
          <w:tcPr>
            <w:tcW w:w="1158" w:type="pct"/>
            <w:shd w:val="clear" w:color="auto" w:fill="F3F7FB"/>
          </w:tcPr>
          <w:p w14:paraId="01BB1F4D"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Legal analysis of legislative framework related to design and delivery of public services has been carried out and finalized</w:t>
            </w:r>
          </w:p>
        </w:tc>
        <w:tc>
          <w:tcPr>
            <w:tcW w:w="511" w:type="pct"/>
            <w:shd w:val="clear" w:color="auto" w:fill="F3F7FB"/>
          </w:tcPr>
          <w:p w14:paraId="02AC81BA"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PSDA, DGA</w:t>
            </w:r>
          </w:p>
        </w:tc>
        <w:tc>
          <w:tcPr>
            <w:tcW w:w="422" w:type="pct"/>
            <w:shd w:val="clear" w:color="auto" w:fill="F3F7FB"/>
          </w:tcPr>
          <w:p w14:paraId="2EF979A0"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2019</w:t>
            </w:r>
          </w:p>
        </w:tc>
        <w:tc>
          <w:tcPr>
            <w:tcW w:w="434" w:type="pct"/>
            <w:shd w:val="clear" w:color="auto" w:fill="F3F7FB"/>
          </w:tcPr>
          <w:p w14:paraId="33BBCA80" w14:textId="77777777" w:rsidR="00F82EEB" w:rsidRPr="00812932" w:rsidRDefault="00F82EEB" w:rsidP="00812932">
            <w:pPr>
              <w:jc w:val="center"/>
              <w:rPr>
                <w:rFonts w:ascii="Arial" w:hAnsi="Arial" w:cs="Arial"/>
                <w:sz w:val="20"/>
                <w:szCs w:val="20"/>
              </w:rPr>
            </w:pPr>
            <w:r w:rsidRPr="00812932">
              <w:rPr>
                <w:rFonts w:ascii="Arial" w:hAnsi="Arial" w:cs="Arial"/>
                <w:sz w:val="20"/>
                <w:szCs w:val="20"/>
              </w:rPr>
              <w:t xml:space="preserve">Pending for Approval </w:t>
            </w:r>
          </w:p>
        </w:tc>
        <w:tc>
          <w:tcPr>
            <w:tcW w:w="1424" w:type="pct"/>
            <w:shd w:val="clear" w:color="auto" w:fill="F3F7FB"/>
          </w:tcPr>
          <w:p w14:paraId="46546AC0" w14:textId="77777777" w:rsidR="00F82EEB" w:rsidRPr="00812932" w:rsidRDefault="00F82EEB" w:rsidP="00812932">
            <w:pPr>
              <w:jc w:val="both"/>
              <w:rPr>
                <w:rFonts w:ascii="Arial" w:hAnsi="Arial" w:cs="Arial"/>
                <w:sz w:val="20"/>
                <w:szCs w:val="20"/>
              </w:rPr>
            </w:pPr>
            <w:r w:rsidRPr="00812932">
              <w:rPr>
                <w:rFonts w:ascii="Arial" w:hAnsi="Arial" w:cs="Arial"/>
                <w:sz w:val="20"/>
                <w:szCs w:val="20"/>
              </w:rPr>
              <w:t xml:space="preserve">Based on the legal analysis and the developed recommendations, amendments have been elaborated to the General Administrative Code and the Law on Electronic Documents and Electronic Trust Services in tandem by PSDA and DGA. The </w:t>
            </w:r>
            <w:r w:rsidRPr="00812932">
              <w:rPr>
                <w:rFonts w:ascii="Arial" w:hAnsi="Arial" w:cs="Arial"/>
                <w:sz w:val="20"/>
                <w:szCs w:val="20"/>
              </w:rPr>
              <w:lastRenderedPageBreak/>
              <w:t xml:space="preserve">package is expecting the Ministry of Justice’s approval before it is submitted to the Parliament. </w:t>
            </w:r>
          </w:p>
        </w:tc>
      </w:tr>
    </w:tbl>
    <w:p w14:paraId="490A8C8B" w14:textId="77777777" w:rsidR="00F82EEB" w:rsidRPr="00B72130" w:rsidRDefault="00F82EEB" w:rsidP="00F82EEB">
      <w:pPr>
        <w:jc w:val="center"/>
        <w:rPr>
          <w:rFonts w:ascii="Lora" w:hAnsi="Lora" w:cs="Arial"/>
          <w:sz w:val="22"/>
          <w:szCs w:val="22"/>
        </w:rPr>
      </w:pPr>
    </w:p>
    <w:p w14:paraId="4DD7F76E" w14:textId="77777777" w:rsidR="00812932" w:rsidRDefault="00812932">
      <w:pPr>
        <w:rPr>
          <w:rFonts w:ascii="Lora" w:eastAsiaTheme="majorEastAsia" w:hAnsi="Lora" w:cstheme="majorBidi"/>
          <w:b/>
          <w:bCs/>
          <w:color w:val="345A8A" w:themeColor="accent1" w:themeShade="B5"/>
          <w:sz w:val="32"/>
          <w:szCs w:val="32"/>
        </w:rPr>
      </w:pPr>
      <w:bookmarkStart w:id="50" w:name="_Toc64680909"/>
      <w:r>
        <w:rPr>
          <w:rFonts w:ascii="Lora" w:hAnsi="Lora"/>
        </w:rPr>
        <w:br w:type="page"/>
      </w:r>
    </w:p>
    <w:p w14:paraId="34BE907B" w14:textId="630B8C4D" w:rsidR="00F82EEB" w:rsidRDefault="00812932" w:rsidP="00F82EEB">
      <w:pPr>
        <w:pStyle w:val="Heading1"/>
        <w:rPr>
          <w:rFonts w:ascii="Lora" w:hAnsi="Lora"/>
        </w:rPr>
      </w:pPr>
      <w:bookmarkStart w:id="51" w:name="_Toc478138888"/>
      <w:r>
        <w:rPr>
          <w:rFonts w:ascii="Lora" w:hAnsi="Lora"/>
        </w:rPr>
        <w:lastRenderedPageBreak/>
        <w:t>Annex G:</w:t>
      </w:r>
      <w:r w:rsidR="001A58F1">
        <w:rPr>
          <w:rFonts w:ascii="Lora" w:hAnsi="Lora"/>
        </w:rPr>
        <w:tab/>
      </w:r>
      <w:r w:rsidR="00F82EEB" w:rsidRPr="00B72130">
        <w:rPr>
          <w:rFonts w:ascii="Lora" w:hAnsi="Lora"/>
        </w:rPr>
        <w:t>Accredited Training</w:t>
      </w:r>
      <w:bookmarkEnd w:id="50"/>
      <w:r w:rsidR="00F82EEB" w:rsidRPr="00B72130">
        <w:rPr>
          <w:rFonts w:ascii="Lora" w:hAnsi="Lora"/>
        </w:rPr>
        <w:t xml:space="preserve"> </w:t>
      </w:r>
      <w:r w:rsidR="008A2DBD">
        <w:rPr>
          <w:rFonts w:ascii="Lora" w:hAnsi="Lora"/>
        </w:rPr>
        <w:t>Programs</w:t>
      </w:r>
      <w:bookmarkEnd w:id="51"/>
      <w:r w:rsidR="008A2DBD">
        <w:rPr>
          <w:rFonts w:ascii="Lora" w:hAnsi="Lora"/>
        </w:rPr>
        <w:t xml:space="preserve"> </w:t>
      </w:r>
    </w:p>
    <w:p w14:paraId="2B8235EF" w14:textId="77777777" w:rsidR="00812932" w:rsidRPr="00812932" w:rsidRDefault="00812932" w:rsidP="00812932"/>
    <w:p w14:paraId="0DB98C50" w14:textId="77777777" w:rsidR="00F82EEB" w:rsidRPr="00B72130" w:rsidRDefault="00F82EEB" w:rsidP="00F82EEB">
      <w:pPr>
        <w:jc w:val="center"/>
        <w:rPr>
          <w:rFonts w:ascii="Lora" w:hAnsi="Lora" w:cs="Arial"/>
          <w:sz w:val="22"/>
          <w:szCs w:val="22"/>
        </w:rPr>
      </w:pPr>
      <w:r w:rsidRPr="00B72130">
        <w:rPr>
          <w:rFonts w:ascii="Lora" w:hAnsi="Lora" w:cs="Arial"/>
          <w:sz w:val="22"/>
          <w:szCs w:val="22"/>
        </w:rPr>
        <w:t xml:space="preserve"> </w:t>
      </w:r>
    </w:p>
    <w:tbl>
      <w:tblPr>
        <w:tblW w:w="5000" w:type="pct"/>
        <w:tblLook w:val="04A0" w:firstRow="1" w:lastRow="0" w:firstColumn="1" w:lastColumn="0" w:noHBand="0" w:noVBand="1"/>
      </w:tblPr>
      <w:tblGrid>
        <w:gridCol w:w="688"/>
        <w:gridCol w:w="4740"/>
        <w:gridCol w:w="6796"/>
        <w:gridCol w:w="1159"/>
        <w:gridCol w:w="1513"/>
      </w:tblGrid>
      <w:tr w:rsidR="00F82EEB" w:rsidRPr="00B72130" w14:paraId="76477427" w14:textId="77777777" w:rsidTr="00F82EEB">
        <w:tc>
          <w:tcPr>
            <w:tcW w:w="231" w:type="pct"/>
            <w:shd w:val="clear" w:color="auto" w:fill="95B3D7" w:themeFill="accent1" w:themeFillTint="99"/>
          </w:tcPr>
          <w:p w14:paraId="2248936F" w14:textId="77777777" w:rsidR="00F82EEB" w:rsidRPr="00B72130" w:rsidRDefault="00F82EEB" w:rsidP="00F82EEB">
            <w:pPr>
              <w:jc w:val="center"/>
              <w:rPr>
                <w:rFonts w:ascii="Lora" w:hAnsi="Lora" w:cs="Arial"/>
                <w:b/>
                <w:bCs/>
                <w:lang w:val="ka-GE"/>
              </w:rPr>
            </w:pPr>
            <w:r w:rsidRPr="00B72130">
              <w:rPr>
                <w:rFonts w:ascii="Lora" w:hAnsi="Lora" w:cs="Arial"/>
                <w:b/>
                <w:bCs/>
                <w:lang w:val="ka-GE"/>
              </w:rPr>
              <w:t>#</w:t>
            </w:r>
          </w:p>
        </w:tc>
        <w:tc>
          <w:tcPr>
            <w:tcW w:w="1591" w:type="pct"/>
            <w:shd w:val="clear" w:color="auto" w:fill="95B3D7" w:themeFill="accent1" w:themeFillTint="99"/>
          </w:tcPr>
          <w:p w14:paraId="554CCFE8" w14:textId="77777777" w:rsidR="00F82EEB" w:rsidRPr="00B72130" w:rsidRDefault="00F82EEB" w:rsidP="00F82EEB">
            <w:pPr>
              <w:jc w:val="center"/>
              <w:rPr>
                <w:rFonts w:ascii="Lora" w:hAnsi="Lora" w:cs="Arial"/>
                <w:b/>
                <w:bCs/>
              </w:rPr>
            </w:pPr>
            <w:r w:rsidRPr="00B72130">
              <w:rPr>
                <w:rFonts w:ascii="Lora" w:hAnsi="Lora" w:cs="Arial"/>
                <w:b/>
                <w:bCs/>
              </w:rPr>
              <w:t>Subject</w:t>
            </w:r>
          </w:p>
        </w:tc>
        <w:tc>
          <w:tcPr>
            <w:tcW w:w="2281" w:type="pct"/>
            <w:shd w:val="clear" w:color="auto" w:fill="95B3D7" w:themeFill="accent1" w:themeFillTint="99"/>
          </w:tcPr>
          <w:p w14:paraId="7ED0D52A" w14:textId="77777777" w:rsidR="00F82EEB" w:rsidRPr="00B72130" w:rsidRDefault="00F82EEB" w:rsidP="00F82EEB">
            <w:pPr>
              <w:jc w:val="center"/>
              <w:rPr>
                <w:rFonts w:ascii="Lora" w:hAnsi="Lora" w:cs="Arial"/>
                <w:b/>
                <w:bCs/>
              </w:rPr>
            </w:pPr>
            <w:r w:rsidRPr="00B72130">
              <w:rPr>
                <w:rFonts w:ascii="Lora" w:hAnsi="Lora" w:cs="Arial"/>
                <w:b/>
                <w:bCs/>
              </w:rPr>
              <w:t>Synopsis</w:t>
            </w:r>
          </w:p>
        </w:tc>
        <w:tc>
          <w:tcPr>
            <w:tcW w:w="389" w:type="pct"/>
            <w:shd w:val="clear" w:color="auto" w:fill="95B3D7" w:themeFill="accent1" w:themeFillTint="99"/>
          </w:tcPr>
          <w:p w14:paraId="2C8E9CF4" w14:textId="77777777" w:rsidR="00F82EEB" w:rsidRPr="00B72130" w:rsidRDefault="00F82EEB" w:rsidP="00F82EEB">
            <w:pPr>
              <w:jc w:val="center"/>
              <w:rPr>
                <w:rFonts w:ascii="Lora" w:hAnsi="Lora" w:cs="Arial"/>
                <w:b/>
                <w:bCs/>
              </w:rPr>
            </w:pPr>
            <w:r w:rsidRPr="00B72130">
              <w:rPr>
                <w:rFonts w:ascii="Lora" w:hAnsi="Lora" w:cs="Arial"/>
                <w:b/>
                <w:bCs/>
              </w:rPr>
              <w:t>Date</w:t>
            </w:r>
          </w:p>
        </w:tc>
        <w:tc>
          <w:tcPr>
            <w:tcW w:w="508" w:type="pct"/>
            <w:shd w:val="clear" w:color="auto" w:fill="95B3D7" w:themeFill="accent1" w:themeFillTint="99"/>
          </w:tcPr>
          <w:p w14:paraId="7627F74E" w14:textId="77777777" w:rsidR="00F82EEB" w:rsidRPr="00B72130" w:rsidRDefault="00F82EEB" w:rsidP="00F82EEB">
            <w:pPr>
              <w:jc w:val="center"/>
              <w:rPr>
                <w:rFonts w:ascii="Lora" w:hAnsi="Lora" w:cs="Arial"/>
                <w:b/>
                <w:bCs/>
              </w:rPr>
            </w:pPr>
            <w:r w:rsidRPr="00B72130">
              <w:rPr>
                <w:rFonts w:ascii="Lora" w:hAnsi="Lora" w:cs="Arial"/>
                <w:b/>
                <w:bCs/>
              </w:rPr>
              <w:t># of Participants (M/F %)</w:t>
            </w:r>
          </w:p>
        </w:tc>
      </w:tr>
      <w:tr w:rsidR="00F82EEB" w:rsidRPr="00B72130" w14:paraId="789E57AA" w14:textId="77777777" w:rsidTr="00F82EEB">
        <w:tc>
          <w:tcPr>
            <w:tcW w:w="231" w:type="pct"/>
          </w:tcPr>
          <w:p w14:paraId="2E3FF015" w14:textId="77777777" w:rsidR="00F82EEB" w:rsidRPr="00B72130" w:rsidRDefault="00F82EEB" w:rsidP="00F82EEB">
            <w:pPr>
              <w:rPr>
                <w:rFonts w:ascii="Lora" w:hAnsi="Lora" w:cs="Arial"/>
              </w:rPr>
            </w:pPr>
            <w:r w:rsidRPr="00B72130">
              <w:rPr>
                <w:rFonts w:ascii="Lora" w:hAnsi="Lora" w:cs="Arial"/>
              </w:rPr>
              <w:t>1</w:t>
            </w:r>
          </w:p>
        </w:tc>
        <w:tc>
          <w:tcPr>
            <w:tcW w:w="1591" w:type="pct"/>
          </w:tcPr>
          <w:p w14:paraId="65EA2F77" w14:textId="77777777" w:rsidR="00F82EEB" w:rsidRPr="00B72130" w:rsidRDefault="00F82EEB" w:rsidP="00F82EEB">
            <w:pPr>
              <w:rPr>
                <w:rFonts w:ascii="Lora" w:hAnsi="Lora" w:cs="Arial"/>
              </w:rPr>
            </w:pPr>
            <w:r w:rsidRPr="00B72130">
              <w:rPr>
                <w:rFonts w:ascii="Lora" w:hAnsi="Lora" w:cs="Arial"/>
              </w:rPr>
              <w:t>Course for the development of personal and professional competencies of civil servants</w:t>
            </w:r>
          </w:p>
        </w:tc>
        <w:tc>
          <w:tcPr>
            <w:tcW w:w="2281" w:type="pct"/>
          </w:tcPr>
          <w:p w14:paraId="642BE044" w14:textId="77777777" w:rsidR="00F82EEB" w:rsidRPr="00B72130" w:rsidRDefault="00F82EEB" w:rsidP="00F82EEB">
            <w:pPr>
              <w:autoSpaceDE w:val="0"/>
              <w:autoSpaceDN w:val="0"/>
              <w:adjustRightInd w:val="0"/>
              <w:rPr>
                <w:rFonts w:ascii="Lora" w:hAnsi="Lora" w:cs="Arial"/>
                <w:b/>
                <w:bCs/>
              </w:rPr>
            </w:pPr>
            <w:r w:rsidRPr="00B72130">
              <w:rPr>
                <w:rFonts w:ascii="Lora" w:hAnsi="Lora" w:cs="Arial"/>
              </w:rPr>
              <w:t>Course for the development of personal and professional competencies of civil servants</w:t>
            </w:r>
          </w:p>
        </w:tc>
        <w:tc>
          <w:tcPr>
            <w:tcW w:w="389" w:type="pct"/>
            <w:vAlign w:val="center"/>
          </w:tcPr>
          <w:p w14:paraId="02476A19" w14:textId="77777777" w:rsidR="00F82EEB" w:rsidRPr="00B72130" w:rsidRDefault="00F82EEB" w:rsidP="00F82EEB">
            <w:pPr>
              <w:jc w:val="center"/>
              <w:rPr>
                <w:rFonts w:ascii="Lora" w:hAnsi="Lora" w:cs="Arial"/>
              </w:rPr>
            </w:pPr>
            <w:r w:rsidRPr="00B72130">
              <w:rPr>
                <w:rFonts w:ascii="Lora" w:hAnsi="Lora" w:cs="Arial"/>
              </w:rPr>
              <w:t>2020</w:t>
            </w:r>
          </w:p>
        </w:tc>
        <w:tc>
          <w:tcPr>
            <w:tcW w:w="508" w:type="pct"/>
            <w:shd w:val="clear" w:color="auto" w:fill="auto"/>
            <w:vAlign w:val="center"/>
          </w:tcPr>
          <w:p w14:paraId="08BDE8F3" w14:textId="77777777" w:rsidR="00F82EEB" w:rsidRPr="00B72130" w:rsidRDefault="00F82EEB" w:rsidP="00F82EEB">
            <w:pPr>
              <w:jc w:val="center"/>
              <w:rPr>
                <w:rFonts w:ascii="Lora" w:hAnsi="Lora" w:cs="Arial"/>
              </w:rPr>
            </w:pPr>
            <w:r w:rsidRPr="00B72130">
              <w:rPr>
                <w:rFonts w:ascii="Lora" w:hAnsi="Lora" w:cs="Arial"/>
              </w:rPr>
              <w:t>565</w:t>
            </w:r>
          </w:p>
        </w:tc>
      </w:tr>
      <w:tr w:rsidR="00F82EEB" w:rsidRPr="00B72130" w14:paraId="7D05F5C6" w14:textId="77777777" w:rsidTr="00F82EEB">
        <w:tc>
          <w:tcPr>
            <w:tcW w:w="231" w:type="pct"/>
          </w:tcPr>
          <w:p w14:paraId="6D961E17" w14:textId="77777777" w:rsidR="00F82EEB" w:rsidRPr="00B72130" w:rsidRDefault="00F82EEB" w:rsidP="00F82EEB">
            <w:pPr>
              <w:rPr>
                <w:rFonts w:ascii="Lora" w:hAnsi="Lora" w:cs="Arial"/>
              </w:rPr>
            </w:pPr>
            <w:r w:rsidRPr="00B72130">
              <w:rPr>
                <w:rFonts w:ascii="Lora" w:hAnsi="Lora" w:cs="Arial"/>
              </w:rPr>
              <w:t>2</w:t>
            </w:r>
          </w:p>
        </w:tc>
        <w:tc>
          <w:tcPr>
            <w:tcW w:w="1591" w:type="pct"/>
          </w:tcPr>
          <w:p w14:paraId="330D4753" w14:textId="77777777" w:rsidR="00F82EEB" w:rsidRPr="00B72130" w:rsidRDefault="00F82EEB" w:rsidP="00F82EEB">
            <w:pPr>
              <w:rPr>
                <w:rFonts w:ascii="Lora" w:hAnsi="Lora" w:cs="Arial"/>
              </w:rPr>
            </w:pPr>
            <w:r w:rsidRPr="00B72130">
              <w:rPr>
                <w:rFonts w:ascii="Lora" w:hAnsi="Lora" w:cs="Arial"/>
              </w:rPr>
              <w:t>Remote course on personal and professional development of civil servants</w:t>
            </w:r>
          </w:p>
        </w:tc>
        <w:tc>
          <w:tcPr>
            <w:tcW w:w="2281" w:type="pct"/>
          </w:tcPr>
          <w:p w14:paraId="1F761571" w14:textId="77777777" w:rsidR="00F82EEB" w:rsidRPr="00B72130" w:rsidRDefault="00F82EEB" w:rsidP="00F82EEB">
            <w:pPr>
              <w:autoSpaceDE w:val="0"/>
              <w:autoSpaceDN w:val="0"/>
              <w:adjustRightInd w:val="0"/>
              <w:rPr>
                <w:rFonts w:ascii="Lora" w:hAnsi="Lora" w:cs="Arial"/>
                <w:b/>
                <w:bCs/>
              </w:rPr>
            </w:pPr>
            <w:r w:rsidRPr="00B72130">
              <w:rPr>
                <w:rFonts w:ascii="Lora" w:hAnsi="Lora" w:cs="Arial"/>
              </w:rPr>
              <w:t>Remote course on personal and professional development of civil servants</w:t>
            </w:r>
          </w:p>
        </w:tc>
        <w:tc>
          <w:tcPr>
            <w:tcW w:w="389" w:type="pct"/>
            <w:vAlign w:val="center"/>
          </w:tcPr>
          <w:p w14:paraId="1021652C" w14:textId="77777777" w:rsidR="00F82EEB" w:rsidRPr="00B72130" w:rsidRDefault="00F82EEB" w:rsidP="00F82EEB">
            <w:pPr>
              <w:jc w:val="center"/>
              <w:rPr>
                <w:rFonts w:ascii="Lora" w:hAnsi="Lora" w:cs="Arial"/>
              </w:rPr>
            </w:pPr>
            <w:r w:rsidRPr="00B72130">
              <w:rPr>
                <w:rFonts w:ascii="Lora" w:hAnsi="Lora" w:cs="Arial"/>
              </w:rPr>
              <w:t>2020</w:t>
            </w:r>
          </w:p>
        </w:tc>
        <w:tc>
          <w:tcPr>
            <w:tcW w:w="508" w:type="pct"/>
            <w:shd w:val="clear" w:color="auto" w:fill="auto"/>
            <w:vAlign w:val="center"/>
          </w:tcPr>
          <w:p w14:paraId="6C3309A5" w14:textId="77777777" w:rsidR="00F82EEB" w:rsidRPr="00B72130" w:rsidRDefault="00F82EEB" w:rsidP="00F82EEB">
            <w:pPr>
              <w:jc w:val="center"/>
              <w:rPr>
                <w:rFonts w:ascii="Lora" w:hAnsi="Lora" w:cs="Arial"/>
              </w:rPr>
            </w:pPr>
            <w:r w:rsidRPr="00B72130">
              <w:rPr>
                <w:rFonts w:ascii="Lora" w:hAnsi="Lora" w:cs="Arial"/>
              </w:rPr>
              <w:t>529</w:t>
            </w:r>
          </w:p>
        </w:tc>
      </w:tr>
      <w:tr w:rsidR="00F82EEB" w:rsidRPr="00B72130" w14:paraId="493B8CBC" w14:textId="77777777" w:rsidTr="00F82EEB">
        <w:tc>
          <w:tcPr>
            <w:tcW w:w="231" w:type="pct"/>
          </w:tcPr>
          <w:p w14:paraId="68B2B06D" w14:textId="77777777" w:rsidR="00F82EEB" w:rsidRPr="00B72130" w:rsidRDefault="00F82EEB" w:rsidP="00F82EEB">
            <w:pPr>
              <w:rPr>
                <w:rFonts w:ascii="Lora" w:hAnsi="Lora" w:cs="Arial"/>
              </w:rPr>
            </w:pPr>
            <w:r w:rsidRPr="00B72130">
              <w:rPr>
                <w:rFonts w:ascii="Lora" w:hAnsi="Lora" w:cs="Arial"/>
              </w:rPr>
              <w:t>3</w:t>
            </w:r>
          </w:p>
        </w:tc>
        <w:tc>
          <w:tcPr>
            <w:tcW w:w="1591" w:type="pct"/>
          </w:tcPr>
          <w:p w14:paraId="2A273D69" w14:textId="77777777" w:rsidR="00F82EEB" w:rsidRPr="00B72130" w:rsidRDefault="00F82EEB" w:rsidP="00F82EEB">
            <w:pPr>
              <w:rPr>
                <w:rFonts w:ascii="Lora" w:hAnsi="Lora" w:cs="Arial"/>
              </w:rPr>
            </w:pPr>
            <w:r w:rsidRPr="00B72130">
              <w:rPr>
                <w:rFonts w:ascii="Lora" w:hAnsi="Lora" w:cs="Arial"/>
              </w:rPr>
              <w:t>Civil Servant Managerial Skills Course</w:t>
            </w:r>
          </w:p>
        </w:tc>
        <w:tc>
          <w:tcPr>
            <w:tcW w:w="2281" w:type="pct"/>
          </w:tcPr>
          <w:p w14:paraId="3E6BA9A1" w14:textId="77777777" w:rsidR="00F82EEB" w:rsidRPr="00B72130" w:rsidRDefault="00F82EEB" w:rsidP="00F82EEB">
            <w:pPr>
              <w:autoSpaceDE w:val="0"/>
              <w:autoSpaceDN w:val="0"/>
              <w:adjustRightInd w:val="0"/>
              <w:rPr>
                <w:rFonts w:ascii="Lora" w:hAnsi="Lora" w:cs="Arial"/>
                <w:b/>
                <w:bCs/>
              </w:rPr>
            </w:pPr>
            <w:r w:rsidRPr="00B72130">
              <w:rPr>
                <w:rFonts w:ascii="Lora" w:hAnsi="Lora" w:cs="Arial"/>
              </w:rPr>
              <w:t>Civil Servant Managerial Skills Course</w:t>
            </w:r>
          </w:p>
        </w:tc>
        <w:tc>
          <w:tcPr>
            <w:tcW w:w="389" w:type="pct"/>
            <w:vAlign w:val="center"/>
          </w:tcPr>
          <w:p w14:paraId="43576014" w14:textId="77777777" w:rsidR="00F82EEB" w:rsidRPr="00B72130" w:rsidRDefault="00F82EEB" w:rsidP="00F82EEB">
            <w:pPr>
              <w:jc w:val="center"/>
              <w:rPr>
                <w:rFonts w:ascii="Lora" w:hAnsi="Lora" w:cs="Arial"/>
              </w:rPr>
            </w:pPr>
            <w:r w:rsidRPr="00B72130">
              <w:rPr>
                <w:rFonts w:ascii="Lora" w:hAnsi="Lora" w:cs="Arial"/>
              </w:rPr>
              <w:t>2020</w:t>
            </w:r>
          </w:p>
        </w:tc>
        <w:tc>
          <w:tcPr>
            <w:tcW w:w="508" w:type="pct"/>
            <w:shd w:val="clear" w:color="auto" w:fill="auto"/>
            <w:vAlign w:val="center"/>
          </w:tcPr>
          <w:p w14:paraId="0A0DA9E6" w14:textId="77777777" w:rsidR="00F82EEB" w:rsidRPr="00B72130" w:rsidRDefault="00F82EEB" w:rsidP="00F82EEB">
            <w:pPr>
              <w:jc w:val="center"/>
              <w:rPr>
                <w:rFonts w:ascii="Lora" w:hAnsi="Lora" w:cs="Arial"/>
              </w:rPr>
            </w:pPr>
            <w:r w:rsidRPr="00B72130">
              <w:rPr>
                <w:rFonts w:ascii="Lora" w:hAnsi="Lora" w:cs="Arial"/>
              </w:rPr>
              <w:t>224</w:t>
            </w:r>
          </w:p>
        </w:tc>
      </w:tr>
      <w:tr w:rsidR="00F82EEB" w:rsidRPr="00B72130" w14:paraId="4441923C" w14:textId="77777777" w:rsidTr="00F82EEB">
        <w:tc>
          <w:tcPr>
            <w:tcW w:w="231" w:type="pct"/>
          </w:tcPr>
          <w:p w14:paraId="0C92DA46" w14:textId="77777777" w:rsidR="00F82EEB" w:rsidRPr="00B72130" w:rsidRDefault="00F82EEB" w:rsidP="00F82EEB">
            <w:pPr>
              <w:rPr>
                <w:rFonts w:ascii="Lora" w:hAnsi="Lora" w:cs="Arial"/>
              </w:rPr>
            </w:pPr>
            <w:r w:rsidRPr="00B72130">
              <w:rPr>
                <w:rFonts w:ascii="Lora" w:hAnsi="Lora" w:cs="Arial"/>
              </w:rPr>
              <w:t>4</w:t>
            </w:r>
          </w:p>
        </w:tc>
        <w:tc>
          <w:tcPr>
            <w:tcW w:w="1591" w:type="pct"/>
          </w:tcPr>
          <w:p w14:paraId="78CC57F6" w14:textId="77777777" w:rsidR="00F82EEB" w:rsidRPr="00B72130" w:rsidRDefault="00F82EEB" w:rsidP="00F82EEB">
            <w:pPr>
              <w:rPr>
                <w:rFonts w:ascii="Lora" w:hAnsi="Lora" w:cs="Arial"/>
              </w:rPr>
            </w:pPr>
            <w:r w:rsidRPr="00B72130">
              <w:rPr>
                <w:rFonts w:ascii="Lora" w:hAnsi="Lora" w:cs="Arial"/>
              </w:rPr>
              <w:t xml:space="preserve">Civil Servant Managerial Skills Remote Course </w:t>
            </w:r>
          </w:p>
        </w:tc>
        <w:tc>
          <w:tcPr>
            <w:tcW w:w="2281" w:type="pct"/>
          </w:tcPr>
          <w:p w14:paraId="525782D5" w14:textId="77777777" w:rsidR="00F82EEB" w:rsidRPr="00B72130" w:rsidRDefault="00F82EEB" w:rsidP="00F82EEB">
            <w:pPr>
              <w:autoSpaceDE w:val="0"/>
              <w:autoSpaceDN w:val="0"/>
              <w:adjustRightInd w:val="0"/>
              <w:rPr>
                <w:rFonts w:ascii="Lora" w:hAnsi="Lora" w:cs="Arial"/>
                <w:b/>
                <w:bCs/>
              </w:rPr>
            </w:pPr>
            <w:r w:rsidRPr="00B72130">
              <w:rPr>
                <w:rFonts w:ascii="Lora" w:hAnsi="Lora" w:cs="Arial"/>
              </w:rPr>
              <w:t xml:space="preserve">Civil Servant Managerial Skills Remote Course </w:t>
            </w:r>
          </w:p>
        </w:tc>
        <w:tc>
          <w:tcPr>
            <w:tcW w:w="389" w:type="pct"/>
            <w:vAlign w:val="center"/>
          </w:tcPr>
          <w:p w14:paraId="024318FF" w14:textId="77777777" w:rsidR="00F82EEB" w:rsidRPr="00B72130" w:rsidRDefault="00F82EEB" w:rsidP="00F82EEB">
            <w:pPr>
              <w:jc w:val="center"/>
              <w:rPr>
                <w:rFonts w:ascii="Lora" w:hAnsi="Lora" w:cs="Arial"/>
              </w:rPr>
            </w:pPr>
            <w:r w:rsidRPr="00B72130">
              <w:rPr>
                <w:rFonts w:ascii="Lora" w:hAnsi="Lora" w:cs="Arial"/>
              </w:rPr>
              <w:t>2020</w:t>
            </w:r>
          </w:p>
        </w:tc>
        <w:tc>
          <w:tcPr>
            <w:tcW w:w="508" w:type="pct"/>
            <w:shd w:val="clear" w:color="auto" w:fill="auto"/>
            <w:vAlign w:val="center"/>
          </w:tcPr>
          <w:p w14:paraId="6322AC87" w14:textId="77777777" w:rsidR="00F82EEB" w:rsidRPr="00B72130" w:rsidRDefault="00F82EEB" w:rsidP="00F82EEB">
            <w:pPr>
              <w:jc w:val="center"/>
              <w:rPr>
                <w:rFonts w:ascii="Lora" w:hAnsi="Lora" w:cs="Arial"/>
              </w:rPr>
            </w:pPr>
            <w:r w:rsidRPr="00B72130">
              <w:rPr>
                <w:rFonts w:ascii="Lora" w:hAnsi="Lora" w:cs="Arial"/>
              </w:rPr>
              <w:t>192</w:t>
            </w:r>
          </w:p>
        </w:tc>
      </w:tr>
    </w:tbl>
    <w:p w14:paraId="2293D473" w14:textId="77777777" w:rsidR="00F82EEB" w:rsidRPr="00B72130" w:rsidRDefault="00F82EEB" w:rsidP="00F82EEB">
      <w:pPr>
        <w:jc w:val="center"/>
        <w:rPr>
          <w:rFonts w:ascii="Lora" w:hAnsi="Lora" w:cs="Arial"/>
          <w:sz w:val="22"/>
          <w:szCs w:val="22"/>
        </w:rPr>
      </w:pPr>
    </w:p>
    <w:p w14:paraId="0498535E" w14:textId="77777777" w:rsidR="00812932" w:rsidRDefault="00812932">
      <w:pPr>
        <w:rPr>
          <w:rFonts w:ascii="Lora" w:eastAsiaTheme="majorEastAsia" w:hAnsi="Lora" w:cstheme="majorBidi"/>
          <w:b/>
          <w:bCs/>
          <w:color w:val="345A8A" w:themeColor="accent1" w:themeShade="B5"/>
          <w:sz w:val="32"/>
          <w:szCs w:val="32"/>
        </w:rPr>
      </w:pPr>
      <w:bookmarkStart w:id="52" w:name="_Toc64680910"/>
      <w:r>
        <w:rPr>
          <w:rFonts w:ascii="Lora" w:hAnsi="Lora"/>
        </w:rPr>
        <w:br w:type="page"/>
      </w:r>
    </w:p>
    <w:p w14:paraId="1C4A12A7" w14:textId="1785F78D" w:rsidR="00F82EEB" w:rsidRPr="00B72130" w:rsidRDefault="001A58F1" w:rsidP="00F82EEB">
      <w:pPr>
        <w:pStyle w:val="Heading1"/>
        <w:rPr>
          <w:rFonts w:ascii="Lora" w:hAnsi="Lora"/>
        </w:rPr>
      </w:pPr>
      <w:bookmarkStart w:id="53" w:name="_Toc478138889"/>
      <w:r>
        <w:rPr>
          <w:rFonts w:ascii="Lora" w:hAnsi="Lora"/>
        </w:rPr>
        <w:lastRenderedPageBreak/>
        <w:t>Annex H:</w:t>
      </w:r>
      <w:r>
        <w:rPr>
          <w:rFonts w:ascii="Lora" w:hAnsi="Lora"/>
        </w:rPr>
        <w:tab/>
      </w:r>
      <w:r w:rsidR="00802807">
        <w:rPr>
          <w:rFonts w:ascii="Lora" w:hAnsi="Lora"/>
        </w:rPr>
        <w:t>Key</w:t>
      </w:r>
      <w:r w:rsidR="00F82EEB" w:rsidRPr="00B72130">
        <w:rPr>
          <w:rFonts w:ascii="Lora" w:hAnsi="Lora"/>
        </w:rPr>
        <w:t xml:space="preserve"> Training</w:t>
      </w:r>
      <w:bookmarkEnd w:id="52"/>
      <w:r w:rsidR="00802807">
        <w:rPr>
          <w:rFonts w:ascii="Lora" w:hAnsi="Lora"/>
        </w:rPr>
        <w:t xml:space="preserve"> Events</w:t>
      </w:r>
      <w:bookmarkEnd w:id="53"/>
    </w:p>
    <w:p w14:paraId="60BA4019" w14:textId="77777777" w:rsidR="00F82EEB" w:rsidRPr="00B72130" w:rsidRDefault="00F82EEB" w:rsidP="00F82EEB">
      <w:pPr>
        <w:jc w:val="center"/>
        <w:rPr>
          <w:rFonts w:ascii="Lora" w:hAnsi="Lora" w:cs="Arial"/>
          <w:sz w:val="22"/>
          <w:szCs w:val="22"/>
        </w:rPr>
      </w:pPr>
    </w:p>
    <w:tbl>
      <w:tblPr>
        <w:tblW w:w="5000" w:type="pct"/>
        <w:tblLook w:val="04A0" w:firstRow="1" w:lastRow="0" w:firstColumn="1" w:lastColumn="0" w:noHBand="0" w:noVBand="1"/>
      </w:tblPr>
      <w:tblGrid>
        <w:gridCol w:w="739"/>
        <w:gridCol w:w="2172"/>
        <w:gridCol w:w="9962"/>
        <w:gridCol w:w="2023"/>
      </w:tblGrid>
      <w:tr w:rsidR="00F82EEB" w:rsidRPr="00812932" w14:paraId="246C1A63" w14:textId="77777777" w:rsidTr="00F82EEB">
        <w:trPr>
          <w:tblHeader/>
        </w:trPr>
        <w:tc>
          <w:tcPr>
            <w:tcW w:w="248" w:type="pct"/>
            <w:shd w:val="clear" w:color="auto" w:fill="95B3D7" w:themeFill="accent1" w:themeFillTint="99"/>
          </w:tcPr>
          <w:p w14:paraId="6439D818" w14:textId="77777777" w:rsidR="00F82EEB" w:rsidRPr="00812932" w:rsidRDefault="00F82EEB" w:rsidP="00F82EEB">
            <w:pPr>
              <w:jc w:val="center"/>
              <w:rPr>
                <w:rFonts w:ascii="Arial" w:hAnsi="Arial" w:cs="Arial"/>
                <w:b/>
                <w:bCs/>
                <w:sz w:val="22"/>
                <w:szCs w:val="22"/>
              </w:rPr>
            </w:pPr>
            <w:r w:rsidRPr="00812932">
              <w:rPr>
                <w:rFonts w:ascii="Arial" w:hAnsi="Arial" w:cs="Arial"/>
                <w:b/>
                <w:bCs/>
                <w:sz w:val="22"/>
                <w:szCs w:val="22"/>
              </w:rPr>
              <w:t>#</w:t>
            </w:r>
          </w:p>
        </w:tc>
        <w:tc>
          <w:tcPr>
            <w:tcW w:w="729" w:type="pct"/>
            <w:shd w:val="clear" w:color="auto" w:fill="95B3D7" w:themeFill="accent1" w:themeFillTint="99"/>
          </w:tcPr>
          <w:p w14:paraId="1A2408D5" w14:textId="77777777" w:rsidR="00F82EEB" w:rsidRPr="00812932" w:rsidRDefault="00F82EEB" w:rsidP="00F82EEB">
            <w:pPr>
              <w:jc w:val="center"/>
              <w:rPr>
                <w:rFonts w:ascii="Arial" w:hAnsi="Arial" w:cs="Arial"/>
                <w:b/>
                <w:bCs/>
                <w:sz w:val="22"/>
                <w:szCs w:val="22"/>
              </w:rPr>
            </w:pPr>
            <w:r w:rsidRPr="00812932">
              <w:rPr>
                <w:rFonts w:ascii="Arial" w:hAnsi="Arial" w:cs="Arial"/>
                <w:b/>
                <w:bCs/>
                <w:sz w:val="22"/>
                <w:szCs w:val="22"/>
              </w:rPr>
              <w:t>Subject</w:t>
            </w:r>
          </w:p>
        </w:tc>
        <w:tc>
          <w:tcPr>
            <w:tcW w:w="3343" w:type="pct"/>
            <w:shd w:val="clear" w:color="auto" w:fill="95B3D7" w:themeFill="accent1" w:themeFillTint="99"/>
          </w:tcPr>
          <w:p w14:paraId="73738D5F" w14:textId="77777777" w:rsidR="00F82EEB" w:rsidRPr="00812932" w:rsidRDefault="00F82EEB" w:rsidP="00F82EEB">
            <w:pPr>
              <w:jc w:val="center"/>
              <w:rPr>
                <w:rFonts w:ascii="Arial" w:hAnsi="Arial" w:cs="Arial"/>
                <w:b/>
                <w:bCs/>
                <w:sz w:val="22"/>
                <w:szCs w:val="22"/>
              </w:rPr>
            </w:pPr>
            <w:r w:rsidRPr="00812932">
              <w:rPr>
                <w:rFonts w:ascii="Arial" w:hAnsi="Arial" w:cs="Arial"/>
                <w:b/>
                <w:bCs/>
                <w:sz w:val="22"/>
                <w:szCs w:val="22"/>
              </w:rPr>
              <w:t>Ministries, Agencies, LEPLs Involved</w:t>
            </w:r>
          </w:p>
        </w:tc>
        <w:tc>
          <w:tcPr>
            <w:tcW w:w="679" w:type="pct"/>
            <w:shd w:val="clear" w:color="auto" w:fill="95B3D7" w:themeFill="accent1" w:themeFillTint="99"/>
          </w:tcPr>
          <w:p w14:paraId="330365FB" w14:textId="77777777" w:rsidR="00F82EEB" w:rsidRPr="00812932" w:rsidRDefault="00F82EEB" w:rsidP="00F82EEB">
            <w:pPr>
              <w:jc w:val="center"/>
              <w:rPr>
                <w:rFonts w:ascii="Arial" w:hAnsi="Arial" w:cs="Arial"/>
                <w:b/>
                <w:bCs/>
                <w:sz w:val="22"/>
                <w:szCs w:val="22"/>
              </w:rPr>
            </w:pPr>
            <w:r w:rsidRPr="00812932">
              <w:rPr>
                <w:rFonts w:ascii="Arial" w:hAnsi="Arial" w:cs="Arial"/>
                <w:b/>
                <w:bCs/>
                <w:sz w:val="22"/>
                <w:szCs w:val="22"/>
              </w:rPr>
              <w:t># of Participants (M/F %)</w:t>
            </w:r>
          </w:p>
        </w:tc>
      </w:tr>
      <w:tr w:rsidR="00F82EEB" w:rsidRPr="00812932" w14:paraId="2ABC4FCC" w14:textId="77777777" w:rsidTr="00F82EEB">
        <w:tc>
          <w:tcPr>
            <w:tcW w:w="248" w:type="pct"/>
          </w:tcPr>
          <w:p w14:paraId="623D1763"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w:t>
            </w:r>
          </w:p>
        </w:tc>
        <w:tc>
          <w:tcPr>
            <w:tcW w:w="729" w:type="pct"/>
            <w:shd w:val="clear" w:color="auto" w:fill="auto"/>
          </w:tcPr>
          <w:p w14:paraId="5CB71F7C" w14:textId="77777777" w:rsidR="00F82EEB" w:rsidRPr="00812932" w:rsidRDefault="00F82EEB" w:rsidP="00FB3FDC">
            <w:pPr>
              <w:rPr>
                <w:rFonts w:ascii="Arial" w:hAnsi="Arial" w:cs="Arial"/>
                <w:sz w:val="20"/>
                <w:szCs w:val="20"/>
              </w:rPr>
            </w:pPr>
            <w:r w:rsidRPr="00812932">
              <w:rPr>
                <w:rFonts w:ascii="Arial" w:hAnsi="Arial" w:cs="Arial"/>
                <w:sz w:val="20"/>
                <w:szCs w:val="20"/>
              </w:rPr>
              <w:t>Policy Analysis, Planning, Monitoring and Evaluation Training</w:t>
            </w:r>
          </w:p>
        </w:tc>
        <w:tc>
          <w:tcPr>
            <w:tcW w:w="3343" w:type="pct"/>
            <w:shd w:val="clear" w:color="auto" w:fill="auto"/>
          </w:tcPr>
          <w:p w14:paraId="783FAED0"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Administration of the Government of Georgia (</w:t>
            </w:r>
            <w:proofErr w:type="spellStart"/>
            <w:r w:rsidRPr="00812932">
              <w:rPr>
                <w:rFonts w:ascii="Arial" w:hAnsi="Arial" w:cs="Arial"/>
                <w:sz w:val="20"/>
                <w:szCs w:val="20"/>
              </w:rPr>
              <w:t>AoG</w:t>
            </w:r>
            <w:proofErr w:type="spellEnd"/>
            <w:r w:rsidRPr="00812932">
              <w:rPr>
                <w:rFonts w:ascii="Arial" w:hAnsi="Arial" w:cs="Arial"/>
                <w:sz w:val="20"/>
                <w:szCs w:val="20"/>
              </w:rPr>
              <w:t>);</w:t>
            </w:r>
          </w:p>
          <w:p w14:paraId="3E224871"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Civil Service Bureau (CSB);</w:t>
            </w:r>
          </w:p>
          <w:p w14:paraId="4441D9A9"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Public Service Development Agency (PSDA);</w:t>
            </w:r>
          </w:p>
          <w:p w14:paraId="2D481498"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Internally Displaced Persons from the Occupied Territories, Labor, Health and Social Affairs of Georgia (MOH);</w:t>
            </w:r>
          </w:p>
          <w:p w14:paraId="414AC9C9"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Internal Affairs of Georgia (MIA);</w:t>
            </w:r>
          </w:p>
          <w:p w14:paraId="6D2BF131"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Economy and Sustainable Development of Georgia (MOESD);</w:t>
            </w:r>
          </w:p>
          <w:p w14:paraId="49D0E873"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Environmental Protection and Agriculture of Georgia (MEPA);</w:t>
            </w:r>
          </w:p>
          <w:p w14:paraId="6E726329"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Foreign Affairs of Georgia (MFA);</w:t>
            </w:r>
          </w:p>
          <w:p w14:paraId="3552FE80"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Regional Development and Infrastructure of Georgia (MRDI);</w:t>
            </w:r>
          </w:p>
          <w:p w14:paraId="4BFA4FD6"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National Statistics Office of Georgia (GEOSTAT);</w:t>
            </w:r>
          </w:p>
          <w:p w14:paraId="5CD5AEB0"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Justice of Georgia (MOJ);</w:t>
            </w:r>
          </w:p>
          <w:p w14:paraId="0C9B9000"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Defense of Georgia (MoD);</w:t>
            </w:r>
          </w:p>
          <w:p w14:paraId="46EFFF5B"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Ministry of Education, Science, Culture And Sport of Georgia (MES);</w:t>
            </w:r>
          </w:p>
          <w:p w14:paraId="0024181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State Ministry for Reconciliation and Civic Equality of Georgia (SMR);</w:t>
            </w:r>
          </w:p>
          <w:p w14:paraId="03BD99AE"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National Center for Disease Control and Public Health (NCDC);</w:t>
            </w:r>
          </w:p>
          <w:p w14:paraId="1BBD61D6"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Prosecutor's Office of Georgia (</w:t>
            </w:r>
            <w:proofErr w:type="spellStart"/>
            <w:r w:rsidRPr="00812932">
              <w:rPr>
                <w:rFonts w:ascii="Arial" w:hAnsi="Arial" w:cs="Arial"/>
                <w:sz w:val="20"/>
                <w:szCs w:val="20"/>
              </w:rPr>
              <w:t>PoG</w:t>
            </w:r>
            <w:proofErr w:type="spellEnd"/>
            <w:r w:rsidRPr="00812932">
              <w:rPr>
                <w:rFonts w:ascii="Arial" w:hAnsi="Arial" w:cs="Arial"/>
                <w:sz w:val="20"/>
                <w:szCs w:val="20"/>
              </w:rPr>
              <w:t>);</w:t>
            </w:r>
          </w:p>
          <w:p w14:paraId="4B5F0460"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LEPL Technical and Construction Supervision Agency (MOESD);</w:t>
            </w:r>
          </w:p>
          <w:p w14:paraId="1737C24A"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LEPL National Agency of State Property; </w:t>
            </w:r>
          </w:p>
          <w:p w14:paraId="51253FCA"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LEPL Legislative Herald of Georgia (MOJ);</w:t>
            </w:r>
          </w:p>
          <w:p w14:paraId="1D0CF6F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Agricultural Cooperatives Development Agency (ACDA);</w:t>
            </w:r>
          </w:p>
          <w:p w14:paraId="156BE9C8"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National Probation Agency;</w:t>
            </w:r>
          </w:p>
          <w:p w14:paraId="67F45507"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State Security Service of Georgia;</w:t>
            </w:r>
          </w:p>
          <w:p w14:paraId="236ED04D"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Training Center Of Justice Of Georgia;</w:t>
            </w:r>
          </w:p>
          <w:p w14:paraId="6D39DCE2"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LEPL Enterprise Georgia;</w:t>
            </w:r>
          </w:p>
          <w:p w14:paraId="5FDBABCE"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Georgia’s Innovation and Technology Agency;</w:t>
            </w:r>
          </w:p>
          <w:p w14:paraId="095AF8A6"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Georgian National Tourism Administration;</w:t>
            </w:r>
          </w:p>
          <w:p w14:paraId="0201A09F"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Notary Chamber of Georgia;</w:t>
            </w:r>
          </w:p>
          <w:p w14:paraId="137B9C9A"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National Agency of Public Registry of Ministry of Justice of Georgia (NAPR); </w:t>
            </w:r>
          </w:p>
          <w:p w14:paraId="08337334"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Public Service Hall (PSH);</w:t>
            </w:r>
          </w:p>
          <w:p w14:paraId="38D73F4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Agricultural Project Management Agency;</w:t>
            </w:r>
          </w:p>
          <w:p w14:paraId="34A4234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Notary Chamber of Georgia;</w:t>
            </w:r>
          </w:p>
          <w:p w14:paraId="17EAE88A"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The National Agency of Mines (NAM);</w:t>
            </w:r>
          </w:p>
          <w:p w14:paraId="29E7A603"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Training Center Of Justice Of Georgia;</w:t>
            </w:r>
          </w:p>
          <w:p w14:paraId="36D89D8D"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National Archives of Georgia;</w:t>
            </w:r>
          </w:p>
          <w:p w14:paraId="2F21099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Georgian Civil Aviation Agency;</w:t>
            </w:r>
          </w:p>
          <w:p w14:paraId="217A61EB"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lastRenderedPageBreak/>
              <w:t>Revenue Service;</w:t>
            </w:r>
          </w:p>
          <w:p w14:paraId="6F0B2958"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Service Agency of the Ministry of Internal Affairs of Georgia;</w:t>
            </w:r>
          </w:p>
          <w:p w14:paraId="1A3DFEE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Academy of the Ministry of Internal Affairs of Georgia;</w:t>
            </w:r>
          </w:p>
          <w:p w14:paraId="57695137"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Georgian National Agency For Standards And Metrology;</w:t>
            </w:r>
          </w:p>
          <w:p w14:paraId="7E5D8EA2"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LEPL 112 Georgia (112);</w:t>
            </w:r>
          </w:p>
          <w:p w14:paraId="6635CD04"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MIA Border Police of Georgia;</w:t>
            </w:r>
          </w:p>
          <w:p w14:paraId="39070F82"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State Agency of Oil and Gas;</w:t>
            </w:r>
          </w:p>
          <w:p w14:paraId="5EEACE22"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LEPL "National Center for Children and Youth"</w:t>
            </w:r>
          </w:p>
          <w:p w14:paraId="70F2DB5F" w14:textId="77777777" w:rsidR="00F82EEB" w:rsidRPr="00812932" w:rsidRDefault="00F82EEB" w:rsidP="00F82EEB">
            <w:pPr>
              <w:jc w:val="both"/>
              <w:rPr>
                <w:rFonts w:ascii="Arial" w:hAnsi="Arial" w:cs="Arial"/>
                <w:sz w:val="20"/>
                <w:szCs w:val="20"/>
              </w:rPr>
            </w:pPr>
          </w:p>
          <w:p w14:paraId="2FD6B05E" w14:textId="3BB2B25C" w:rsidR="00F82EEB" w:rsidRPr="00812932" w:rsidRDefault="00B03A89" w:rsidP="00F82EEB">
            <w:pPr>
              <w:jc w:val="both"/>
              <w:rPr>
                <w:rFonts w:ascii="Arial" w:hAnsi="Arial" w:cs="Arial"/>
                <w:sz w:val="20"/>
                <w:szCs w:val="20"/>
              </w:rPr>
            </w:pPr>
            <w:r>
              <w:rPr>
                <w:rFonts w:ascii="Arial" w:hAnsi="Arial" w:cs="Arial"/>
                <w:sz w:val="20"/>
                <w:szCs w:val="20"/>
              </w:rPr>
              <w:t>Adjara</w:t>
            </w:r>
            <w:r w:rsidR="00F82EEB" w:rsidRPr="00812932">
              <w:rPr>
                <w:rFonts w:ascii="Arial" w:hAnsi="Arial" w:cs="Arial"/>
                <w:sz w:val="20"/>
                <w:szCs w:val="20"/>
              </w:rPr>
              <w:t>:</w:t>
            </w:r>
          </w:p>
          <w:p w14:paraId="5A38CC81" w14:textId="016EC35F"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Ministry of Health &amp; Social Affairs of </w:t>
            </w:r>
            <w:r w:rsidR="00B03A89">
              <w:rPr>
                <w:rFonts w:ascii="Arial" w:hAnsi="Arial" w:cs="Arial"/>
                <w:sz w:val="20"/>
                <w:szCs w:val="20"/>
              </w:rPr>
              <w:t>Adjara</w:t>
            </w:r>
            <w:r w:rsidRPr="00812932">
              <w:rPr>
                <w:rFonts w:ascii="Arial" w:hAnsi="Arial" w:cs="Arial"/>
                <w:sz w:val="20"/>
                <w:szCs w:val="20"/>
              </w:rPr>
              <w:t xml:space="preserve"> (</w:t>
            </w:r>
            <w:proofErr w:type="spellStart"/>
            <w:r w:rsidRPr="00812932">
              <w:rPr>
                <w:rFonts w:ascii="Arial" w:hAnsi="Arial" w:cs="Arial"/>
                <w:sz w:val="20"/>
                <w:szCs w:val="20"/>
              </w:rPr>
              <w:t>MoHSAA</w:t>
            </w:r>
            <w:proofErr w:type="spellEnd"/>
            <w:r w:rsidRPr="00812932">
              <w:rPr>
                <w:rFonts w:ascii="Arial" w:hAnsi="Arial" w:cs="Arial"/>
                <w:sz w:val="20"/>
                <w:szCs w:val="20"/>
              </w:rPr>
              <w:t>);</w:t>
            </w:r>
          </w:p>
          <w:p w14:paraId="500A6035" w14:textId="55E24F67"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Ministry of Finance and Economy of </w:t>
            </w:r>
            <w:r w:rsidR="00B03A89">
              <w:rPr>
                <w:rFonts w:ascii="Arial" w:hAnsi="Arial" w:cs="Arial"/>
                <w:sz w:val="20"/>
                <w:szCs w:val="20"/>
              </w:rPr>
              <w:t>Adjara</w:t>
            </w:r>
            <w:r w:rsidRPr="00812932">
              <w:rPr>
                <w:rFonts w:ascii="Arial" w:hAnsi="Arial" w:cs="Arial"/>
                <w:sz w:val="20"/>
                <w:szCs w:val="20"/>
              </w:rPr>
              <w:t xml:space="preserve"> (</w:t>
            </w:r>
            <w:proofErr w:type="spellStart"/>
            <w:r w:rsidRPr="00812932">
              <w:rPr>
                <w:rFonts w:ascii="Arial" w:hAnsi="Arial" w:cs="Arial"/>
                <w:sz w:val="20"/>
                <w:szCs w:val="20"/>
              </w:rPr>
              <w:t>MoFEA</w:t>
            </w:r>
            <w:proofErr w:type="spellEnd"/>
            <w:r w:rsidRPr="00812932">
              <w:rPr>
                <w:rFonts w:ascii="Arial" w:hAnsi="Arial" w:cs="Arial"/>
                <w:sz w:val="20"/>
                <w:szCs w:val="20"/>
              </w:rPr>
              <w:t>);</w:t>
            </w:r>
          </w:p>
          <w:p w14:paraId="3919A7F2" w14:textId="1BE9E988"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Ministry of Agriculture </w:t>
            </w:r>
            <w:proofErr w:type="gramStart"/>
            <w:r w:rsidRPr="00812932">
              <w:rPr>
                <w:rFonts w:ascii="Arial" w:hAnsi="Arial" w:cs="Arial"/>
                <w:sz w:val="20"/>
                <w:szCs w:val="20"/>
              </w:rPr>
              <w:t xml:space="preserve">of  </w:t>
            </w:r>
            <w:r w:rsidR="00B03A89">
              <w:rPr>
                <w:rFonts w:ascii="Arial" w:hAnsi="Arial" w:cs="Arial"/>
                <w:sz w:val="20"/>
                <w:szCs w:val="20"/>
              </w:rPr>
              <w:t>Adjara</w:t>
            </w:r>
            <w:proofErr w:type="gramEnd"/>
            <w:r w:rsidRPr="00812932">
              <w:rPr>
                <w:rFonts w:ascii="Arial" w:hAnsi="Arial" w:cs="Arial"/>
                <w:sz w:val="20"/>
                <w:szCs w:val="20"/>
              </w:rPr>
              <w:t xml:space="preserve"> (</w:t>
            </w:r>
            <w:proofErr w:type="spellStart"/>
            <w:r w:rsidRPr="00812932">
              <w:rPr>
                <w:rFonts w:ascii="Arial" w:hAnsi="Arial" w:cs="Arial"/>
                <w:sz w:val="20"/>
                <w:szCs w:val="20"/>
              </w:rPr>
              <w:t>MoAA</w:t>
            </w:r>
            <w:proofErr w:type="spellEnd"/>
            <w:r w:rsidRPr="00812932">
              <w:rPr>
                <w:rFonts w:ascii="Arial" w:hAnsi="Arial" w:cs="Arial"/>
                <w:sz w:val="20"/>
                <w:szCs w:val="20"/>
              </w:rPr>
              <w:t>);</w:t>
            </w:r>
          </w:p>
          <w:p w14:paraId="284CCED3" w14:textId="52E6189E"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Ministry of Education, Culture and Sport of </w:t>
            </w:r>
            <w:r w:rsidR="00B03A89">
              <w:rPr>
                <w:rFonts w:ascii="Arial" w:hAnsi="Arial" w:cs="Arial"/>
                <w:sz w:val="20"/>
                <w:szCs w:val="20"/>
              </w:rPr>
              <w:t>Adjara</w:t>
            </w:r>
            <w:r w:rsidRPr="00812932">
              <w:rPr>
                <w:rFonts w:ascii="Arial" w:hAnsi="Arial" w:cs="Arial"/>
                <w:sz w:val="20"/>
                <w:szCs w:val="20"/>
              </w:rPr>
              <w:t xml:space="preserve"> (</w:t>
            </w:r>
            <w:proofErr w:type="spellStart"/>
            <w:r w:rsidRPr="00812932">
              <w:rPr>
                <w:rFonts w:ascii="Arial" w:hAnsi="Arial" w:cs="Arial"/>
                <w:sz w:val="20"/>
                <w:szCs w:val="20"/>
              </w:rPr>
              <w:t>MoECSA</w:t>
            </w:r>
            <w:proofErr w:type="spellEnd"/>
            <w:r w:rsidRPr="00812932">
              <w:rPr>
                <w:rFonts w:ascii="Arial" w:hAnsi="Arial" w:cs="Arial"/>
                <w:sz w:val="20"/>
                <w:szCs w:val="20"/>
              </w:rPr>
              <w:t>)</w:t>
            </w:r>
          </w:p>
          <w:p w14:paraId="25A73B50"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Administration </w:t>
            </w:r>
          </w:p>
        </w:tc>
        <w:tc>
          <w:tcPr>
            <w:tcW w:w="679" w:type="pct"/>
            <w:shd w:val="clear" w:color="auto" w:fill="auto"/>
          </w:tcPr>
          <w:p w14:paraId="1B9B2A8E"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lastRenderedPageBreak/>
              <w:t>291 (M – 93; F- 198)</w:t>
            </w:r>
          </w:p>
        </w:tc>
      </w:tr>
      <w:tr w:rsidR="00F82EEB" w:rsidRPr="00812932" w14:paraId="6F3B532B" w14:textId="77777777" w:rsidTr="00F82EEB">
        <w:tc>
          <w:tcPr>
            <w:tcW w:w="248" w:type="pct"/>
            <w:shd w:val="clear" w:color="auto" w:fill="F3F7FB"/>
          </w:tcPr>
          <w:p w14:paraId="154E0028" w14:textId="77777777" w:rsidR="00F82EEB" w:rsidRPr="00812932" w:rsidRDefault="00F82EEB" w:rsidP="00F82EEB">
            <w:pPr>
              <w:jc w:val="both"/>
              <w:rPr>
                <w:rStyle w:val="A1"/>
                <w:rFonts w:ascii="Arial" w:hAnsi="Arial" w:cs="Arial"/>
                <w:sz w:val="20"/>
                <w:szCs w:val="20"/>
              </w:rPr>
            </w:pPr>
            <w:r w:rsidRPr="00812932">
              <w:rPr>
                <w:rStyle w:val="A1"/>
                <w:rFonts w:ascii="Arial" w:hAnsi="Arial" w:cs="Arial"/>
                <w:sz w:val="20"/>
                <w:szCs w:val="20"/>
              </w:rPr>
              <w:t>2</w:t>
            </w:r>
          </w:p>
        </w:tc>
        <w:tc>
          <w:tcPr>
            <w:tcW w:w="729" w:type="pct"/>
            <w:shd w:val="clear" w:color="auto" w:fill="F3F7FB"/>
          </w:tcPr>
          <w:p w14:paraId="6C68B71A" w14:textId="77777777" w:rsidR="00F82EEB" w:rsidRPr="00812932" w:rsidRDefault="00F82EEB" w:rsidP="00FB3FDC">
            <w:pPr>
              <w:rPr>
                <w:rFonts w:ascii="Arial" w:hAnsi="Arial" w:cs="Arial"/>
                <w:sz w:val="20"/>
                <w:szCs w:val="20"/>
                <w:highlight w:val="yellow"/>
              </w:rPr>
            </w:pPr>
            <w:r w:rsidRPr="00812932">
              <w:rPr>
                <w:rStyle w:val="A1"/>
                <w:rFonts w:ascii="Arial" w:hAnsi="Arial" w:cs="Arial"/>
                <w:sz w:val="20"/>
                <w:szCs w:val="20"/>
              </w:rPr>
              <w:t xml:space="preserve">Public Policy Analysis, Planning, Monitoring and Evaluation </w:t>
            </w:r>
            <w:proofErr w:type="spellStart"/>
            <w:r w:rsidRPr="00812932">
              <w:rPr>
                <w:rStyle w:val="A1"/>
                <w:rFonts w:ascii="Arial" w:hAnsi="Arial" w:cs="Arial"/>
                <w:sz w:val="20"/>
                <w:szCs w:val="20"/>
              </w:rPr>
              <w:t>ToT</w:t>
            </w:r>
            <w:proofErr w:type="spellEnd"/>
          </w:p>
        </w:tc>
        <w:tc>
          <w:tcPr>
            <w:tcW w:w="3343" w:type="pct"/>
            <w:shd w:val="clear" w:color="auto" w:fill="F3F7FB"/>
          </w:tcPr>
          <w:p w14:paraId="08453F9C" w14:textId="77777777" w:rsidR="00F82EEB" w:rsidRPr="00812932" w:rsidRDefault="00F82EEB" w:rsidP="00F82EEB">
            <w:pPr>
              <w:jc w:val="both"/>
              <w:rPr>
                <w:rStyle w:val="A3"/>
                <w:rFonts w:ascii="Arial" w:hAnsi="Arial" w:cs="Arial"/>
                <w:sz w:val="20"/>
                <w:szCs w:val="20"/>
              </w:rPr>
            </w:pPr>
            <w:r w:rsidRPr="00812932">
              <w:rPr>
                <w:rStyle w:val="A6"/>
                <w:rFonts w:ascii="Arial" w:hAnsi="Arial" w:cs="Arial"/>
                <w:sz w:val="20"/>
                <w:szCs w:val="20"/>
              </w:rPr>
              <w:t>MOH, Training Center of Justice of Georgia, MEPA, MOESD, MOH, MOESD, MIA, LEPL Financial – Analytical Service</w:t>
            </w:r>
          </w:p>
        </w:tc>
        <w:tc>
          <w:tcPr>
            <w:tcW w:w="679" w:type="pct"/>
            <w:shd w:val="clear" w:color="auto" w:fill="F3F7FB"/>
          </w:tcPr>
          <w:p w14:paraId="63A5EB28"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10 (F=8; M=2)</w:t>
            </w:r>
          </w:p>
        </w:tc>
      </w:tr>
      <w:tr w:rsidR="00F82EEB" w:rsidRPr="00812932" w14:paraId="03A6F133" w14:textId="77777777" w:rsidTr="00F82EEB">
        <w:tc>
          <w:tcPr>
            <w:tcW w:w="248" w:type="pct"/>
          </w:tcPr>
          <w:p w14:paraId="51F27934"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3</w:t>
            </w:r>
          </w:p>
        </w:tc>
        <w:tc>
          <w:tcPr>
            <w:tcW w:w="729" w:type="pct"/>
            <w:shd w:val="clear" w:color="auto" w:fill="auto"/>
          </w:tcPr>
          <w:p w14:paraId="5E209EF9" w14:textId="77777777" w:rsidR="00F82EEB" w:rsidRPr="00812932" w:rsidRDefault="00F82EEB" w:rsidP="00FB3FDC">
            <w:pPr>
              <w:rPr>
                <w:rFonts w:ascii="Arial" w:hAnsi="Arial" w:cs="Arial"/>
                <w:sz w:val="20"/>
                <w:szCs w:val="20"/>
                <w:highlight w:val="yellow"/>
              </w:rPr>
            </w:pPr>
            <w:r w:rsidRPr="00812932">
              <w:rPr>
                <w:rFonts w:ascii="Arial" w:hAnsi="Arial" w:cs="Arial"/>
                <w:sz w:val="20"/>
                <w:szCs w:val="20"/>
              </w:rPr>
              <w:t>Training on Performance Appraisal System in the Public Service of Georgia (2018-2019)</w:t>
            </w:r>
          </w:p>
        </w:tc>
        <w:tc>
          <w:tcPr>
            <w:tcW w:w="3343" w:type="pct"/>
            <w:shd w:val="clear" w:color="auto" w:fill="auto"/>
          </w:tcPr>
          <w:p w14:paraId="247FA38E" w14:textId="70B25CB7" w:rsidR="00F82EEB" w:rsidRPr="00812932" w:rsidRDefault="00F82EEB" w:rsidP="00F82EEB">
            <w:pPr>
              <w:jc w:val="both"/>
              <w:rPr>
                <w:rFonts w:ascii="Arial" w:hAnsi="Arial" w:cs="Arial"/>
                <w:color w:val="000000"/>
                <w:sz w:val="20"/>
                <w:szCs w:val="20"/>
              </w:rPr>
            </w:pPr>
            <w:r w:rsidRPr="00812932">
              <w:rPr>
                <w:rStyle w:val="A3"/>
                <w:rFonts w:ascii="Arial" w:hAnsi="Arial" w:cs="Arial"/>
                <w:sz w:val="20"/>
                <w:szCs w:val="20"/>
              </w:rPr>
              <w:t xml:space="preserve">Ministry of Justice of Georgia; Administration of the President of Georgia; Ministry of Environment Protection and Agriculture of Georgia; Ministry of IDPs, Health, Labor, and Social Affairs of Georgia; Ministry of Education, Science, Culture and Sport of Georgia; High Council of Justice of Georgia; Ministry of Health and Social Affairs of Autonomous Republic of </w:t>
            </w:r>
            <w:r w:rsidR="00B03A89">
              <w:rPr>
                <w:rStyle w:val="A3"/>
                <w:rFonts w:ascii="Arial" w:hAnsi="Arial" w:cs="Arial"/>
                <w:sz w:val="20"/>
                <w:szCs w:val="20"/>
              </w:rPr>
              <w:t>Adjara</w:t>
            </w:r>
            <w:r w:rsidRPr="00812932">
              <w:rPr>
                <w:rStyle w:val="A3"/>
                <w:rFonts w:ascii="Arial" w:hAnsi="Arial" w:cs="Arial"/>
                <w:sz w:val="20"/>
                <w:szCs w:val="20"/>
              </w:rPr>
              <w:t xml:space="preserve">; Ministry of Economy and Finance of the Autonomous Republic of </w:t>
            </w:r>
            <w:r w:rsidR="00B03A89">
              <w:rPr>
                <w:rStyle w:val="A3"/>
                <w:rFonts w:ascii="Arial" w:hAnsi="Arial" w:cs="Arial"/>
                <w:sz w:val="20"/>
                <w:szCs w:val="20"/>
              </w:rPr>
              <w:t>Adjara</w:t>
            </w:r>
            <w:r w:rsidRPr="00812932">
              <w:rPr>
                <w:rStyle w:val="A3"/>
                <w:rFonts w:ascii="Arial" w:hAnsi="Arial" w:cs="Arial"/>
                <w:sz w:val="20"/>
                <w:szCs w:val="20"/>
              </w:rPr>
              <w:t xml:space="preserve">; Ministry of Education and Science of Autonomous Republic of </w:t>
            </w:r>
            <w:r w:rsidR="00B03A89">
              <w:rPr>
                <w:rStyle w:val="A3"/>
                <w:rFonts w:ascii="Arial" w:hAnsi="Arial" w:cs="Arial"/>
                <w:sz w:val="20"/>
                <w:szCs w:val="20"/>
              </w:rPr>
              <w:t>Adjara</w:t>
            </w:r>
            <w:r w:rsidRPr="00812932">
              <w:rPr>
                <w:rStyle w:val="A3"/>
                <w:rFonts w:ascii="Arial" w:hAnsi="Arial" w:cs="Arial"/>
                <w:sz w:val="20"/>
                <w:szCs w:val="20"/>
              </w:rPr>
              <w:t xml:space="preserve">;  Ministry of Agriculture of Autonomous Republic of </w:t>
            </w:r>
            <w:r w:rsidR="00B03A89">
              <w:rPr>
                <w:rStyle w:val="A3"/>
                <w:rFonts w:ascii="Arial" w:hAnsi="Arial" w:cs="Arial"/>
                <w:sz w:val="20"/>
                <w:szCs w:val="20"/>
              </w:rPr>
              <w:t>Adjara</w:t>
            </w:r>
            <w:r w:rsidRPr="00812932">
              <w:rPr>
                <w:rStyle w:val="A3"/>
                <w:rFonts w:ascii="Arial" w:hAnsi="Arial" w:cs="Arial"/>
                <w:sz w:val="20"/>
                <w:szCs w:val="20"/>
              </w:rPr>
              <w:t xml:space="preserve">. </w:t>
            </w:r>
          </w:p>
        </w:tc>
        <w:tc>
          <w:tcPr>
            <w:tcW w:w="679" w:type="pct"/>
            <w:shd w:val="clear" w:color="auto" w:fill="auto"/>
          </w:tcPr>
          <w:p w14:paraId="4FB2440B"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460 managers</w:t>
            </w:r>
          </w:p>
          <w:p w14:paraId="04E94273" w14:textId="77777777" w:rsidR="00F82EEB" w:rsidRPr="00812932" w:rsidRDefault="00F82EEB" w:rsidP="00F82EEB">
            <w:pPr>
              <w:jc w:val="center"/>
              <w:rPr>
                <w:rFonts w:ascii="Arial" w:hAnsi="Arial" w:cs="Arial"/>
                <w:sz w:val="20"/>
                <w:szCs w:val="20"/>
              </w:rPr>
            </w:pPr>
          </w:p>
        </w:tc>
      </w:tr>
      <w:tr w:rsidR="00F82EEB" w:rsidRPr="00812932" w14:paraId="57B35656" w14:textId="77777777" w:rsidTr="00F82EEB">
        <w:tc>
          <w:tcPr>
            <w:tcW w:w="248" w:type="pct"/>
            <w:shd w:val="clear" w:color="auto" w:fill="F3F7FB"/>
          </w:tcPr>
          <w:p w14:paraId="367FE694"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4</w:t>
            </w:r>
          </w:p>
        </w:tc>
        <w:tc>
          <w:tcPr>
            <w:tcW w:w="729" w:type="pct"/>
            <w:shd w:val="clear" w:color="auto" w:fill="F3F7FB"/>
          </w:tcPr>
          <w:p w14:paraId="63BD8651" w14:textId="77777777" w:rsidR="00F82EEB" w:rsidRPr="00812932" w:rsidRDefault="00F82EEB" w:rsidP="00FB3FDC">
            <w:pPr>
              <w:rPr>
                <w:rFonts w:ascii="Arial" w:hAnsi="Arial" w:cs="Arial"/>
                <w:sz w:val="20"/>
                <w:szCs w:val="20"/>
                <w:highlight w:val="yellow"/>
              </w:rPr>
            </w:pPr>
            <w:r w:rsidRPr="00812932">
              <w:rPr>
                <w:rFonts w:ascii="Arial" w:hAnsi="Arial" w:cs="Arial"/>
                <w:sz w:val="20"/>
                <w:szCs w:val="20"/>
              </w:rPr>
              <w:t>Training in Performance Appraisal Techniques (2020)</w:t>
            </w:r>
          </w:p>
        </w:tc>
        <w:tc>
          <w:tcPr>
            <w:tcW w:w="3343" w:type="pct"/>
            <w:shd w:val="clear" w:color="auto" w:fill="F3F7FB"/>
          </w:tcPr>
          <w:p w14:paraId="78D6C75C" w14:textId="77777777" w:rsidR="00F82EEB" w:rsidRPr="00812932" w:rsidRDefault="00F82EEB" w:rsidP="00F82EEB">
            <w:pPr>
              <w:jc w:val="both"/>
              <w:rPr>
                <w:rStyle w:val="A3"/>
                <w:rFonts w:ascii="Arial" w:hAnsi="Arial" w:cs="Arial"/>
                <w:sz w:val="20"/>
                <w:szCs w:val="20"/>
              </w:rPr>
            </w:pPr>
            <w:r w:rsidRPr="00812932">
              <w:rPr>
                <w:rFonts w:ascii="Arial" w:hAnsi="Arial" w:cs="Arial"/>
                <w:sz w:val="20"/>
                <w:szCs w:val="20"/>
              </w:rPr>
              <w:t>Line managers of the MEPA</w:t>
            </w:r>
          </w:p>
        </w:tc>
        <w:tc>
          <w:tcPr>
            <w:tcW w:w="679" w:type="pct"/>
            <w:tcBorders>
              <w:bottom w:val="single" w:sz="4" w:space="0" w:color="auto"/>
            </w:tcBorders>
            <w:shd w:val="clear" w:color="auto" w:fill="F3F7FB"/>
          </w:tcPr>
          <w:p w14:paraId="62AB10E0"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65</w:t>
            </w:r>
          </w:p>
        </w:tc>
      </w:tr>
      <w:tr w:rsidR="00F82EEB" w:rsidRPr="00812932" w14:paraId="44C2C70E" w14:textId="77777777" w:rsidTr="00F82EEB">
        <w:tc>
          <w:tcPr>
            <w:tcW w:w="248" w:type="pct"/>
          </w:tcPr>
          <w:p w14:paraId="16040FD7"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5</w:t>
            </w:r>
          </w:p>
        </w:tc>
        <w:tc>
          <w:tcPr>
            <w:tcW w:w="729" w:type="pct"/>
            <w:shd w:val="clear" w:color="auto" w:fill="auto"/>
          </w:tcPr>
          <w:p w14:paraId="34E0627A" w14:textId="77777777" w:rsidR="00F82EEB" w:rsidRPr="00812932" w:rsidRDefault="00F82EEB" w:rsidP="00FB3FDC">
            <w:pPr>
              <w:rPr>
                <w:rFonts w:ascii="Arial" w:hAnsi="Arial" w:cs="Arial"/>
                <w:sz w:val="20"/>
                <w:szCs w:val="20"/>
              </w:rPr>
            </w:pPr>
            <w:r w:rsidRPr="00812932">
              <w:rPr>
                <w:rFonts w:ascii="Arial" w:hAnsi="Arial" w:cs="Arial"/>
                <w:sz w:val="20"/>
                <w:szCs w:val="20"/>
              </w:rPr>
              <w:t>Training in Performance Appraisal-Related Topics (2020)</w:t>
            </w:r>
          </w:p>
        </w:tc>
        <w:tc>
          <w:tcPr>
            <w:tcW w:w="3343" w:type="pct"/>
            <w:shd w:val="clear" w:color="auto" w:fill="auto"/>
          </w:tcPr>
          <w:p w14:paraId="1F2EC514"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 xml:space="preserve">Managers of the </w:t>
            </w:r>
            <w:proofErr w:type="spellStart"/>
            <w:r w:rsidRPr="00812932">
              <w:rPr>
                <w:rFonts w:ascii="Arial" w:hAnsi="Arial" w:cs="Arial"/>
                <w:sz w:val="20"/>
                <w:szCs w:val="20"/>
              </w:rPr>
              <w:t>MoESC</w:t>
            </w:r>
            <w:proofErr w:type="spellEnd"/>
            <w:r w:rsidRPr="00812932">
              <w:rPr>
                <w:rFonts w:ascii="Arial" w:hAnsi="Arial" w:cs="Arial"/>
                <w:sz w:val="20"/>
                <w:szCs w:val="20"/>
              </w:rPr>
              <w:t xml:space="preserve"> </w:t>
            </w:r>
          </w:p>
        </w:tc>
        <w:tc>
          <w:tcPr>
            <w:tcW w:w="679" w:type="pct"/>
            <w:tcBorders>
              <w:bottom w:val="single" w:sz="4" w:space="0" w:color="auto"/>
            </w:tcBorders>
            <w:shd w:val="clear" w:color="auto" w:fill="auto"/>
          </w:tcPr>
          <w:p w14:paraId="604B532D"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50</w:t>
            </w:r>
          </w:p>
        </w:tc>
      </w:tr>
      <w:tr w:rsidR="00F82EEB" w:rsidRPr="00812932" w14:paraId="3B2C7967" w14:textId="77777777" w:rsidTr="00F82EEB">
        <w:tc>
          <w:tcPr>
            <w:tcW w:w="248" w:type="pct"/>
            <w:shd w:val="clear" w:color="auto" w:fill="F3F7FB"/>
          </w:tcPr>
          <w:p w14:paraId="7F5B3887"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6</w:t>
            </w:r>
          </w:p>
        </w:tc>
        <w:tc>
          <w:tcPr>
            <w:tcW w:w="729" w:type="pct"/>
            <w:shd w:val="clear" w:color="auto" w:fill="F3F7FB"/>
          </w:tcPr>
          <w:p w14:paraId="69948814" w14:textId="77777777" w:rsidR="00F82EEB" w:rsidRPr="00812932" w:rsidRDefault="00F82EEB" w:rsidP="00FB3FDC">
            <w:pPr>
              <w:rPr>
                <w:rFonts w:ascii="Arial" w:hAnsi="Arial" w:cs="Arial"/>
                <w:sz w:val="20"/>
                <w:szCs w:val="20"/>
                <w:highlight w:val="yellow"/>
              </w:rPr>
            </w:pPr>
            <w:r w:rsidRPr="00812932">
              <w:rPr>
                <w:rFonts w:ascii="Arial" w:hAnsi="Arial" w:cs="Arial"/>
                <w:sz w:val="20"/>
                <w:szCs w:val="20"/>
              </w:rPr>
              <w:t xml:space="preserve">Training of </w:t>
            </w:r>
            <w:proofErr w:type="spellStart"/>
            <w:r w:rsidRPr="00812932">
              <w:rPr>
                <w:rFonts w:ascii="Arial" w:hAnsi="Arial" w:cs="Arial"/>
                <w:sz w:val="20"/>
                <w:szCs w:val="20"/>
              </w:rPr>
              <w:t>AoG</w:t>
            </w:r>
            <w:proofErr w:type="spellEnd"/>
            <w:r w:rsidRPr="00812932">
              <w:rPr>
                <w:rFonts w:ascii="Arial" w:hAnsi="Arial" w:cs="Arial"/>
                <w:sz w:val="20"/>
                <w:szCs w:val="20"/>
              </w:rPr>
              <w:t xml:space="preserve"> staff in performance appraisal process techniques (2021)</w:t>
            </w:r>
          </w:p>
        </w:tc>
        <w:tc>
          <w:tcPr>
            <w:tcW w:w="3343" w:type="pct"/>
            <w:shd w:val="clear" w:color="auto" w:fill="F3F7FB"/>
          </w:tcPr>
          <w:p w14:paraId="02355CFB" w14:textId="77777777" w:rsidR="00F82EEB" w:rsidRPr="00812932" w:rsidRDefault="00F82EEB" w:rsidP="00F82EEB">
            <w:pPr>
              <w:jc w:val="both"/>
              <w:rPr>
                <w:rStyle w:val="A3"/>
                <w:rFonts w:ascii="Arial" w:hAnsi="Arial" w:cs="Arial"/>
                <w:sz w:val="20"/>
                <w:szCs w:val="20"/>
              </w:rPr>
            </w:pPr>
            <w:proofErr w:type="spellStart"/>
            <w:r w:rsidRPr="00812932">
              <w:rPr>
                <w:rStyle w:val="A3"/>
                <w:rFonts w:ascii="Arial" w:hAnsi="Arial" w:cs="Arial"/>
                <w:sz w:val="20"/>
                <w:szCs w:val="20"/>
              </w:rPr>
              <w:t>AoG</w:t>
            </w:r>
            <w:proofErr w:type="spellEnd"/>
          </w:p>
        </w:tc>
        <w:tc>
          <w:tcPr>
            <w:tcW w:w="679" w:type="pct"/>
            <w:tcBorders>
              <w:bottom w:val="single" w:sz="4" w:space="0" w:color="auto"/>
            </w:tcBorders>
            <w:shd w:val="clear" w:color="auto" w:fill="F3F7FB"/>
          </w:tcPr>
          <w:p w14:paraId="543CCA5F"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50</w:t>
            </w:r>
          </w:p>
        </w:tc>
      </w:tr>
      <w:tr w:rsidR="00F82EEB" w:rsidRPr="00812932" w14:paraId="3977B722" w14:textId="77777777" w:rsidTr="00F82EEB">
        <w:tc>
          <w:tcPr>
            <w:tcW w:w="248" w:type="pct"/>
          </w:tcPr>
          <w:p w14:paraId="343A3B90"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7</w:t>
            </w:r>
          </w:p>
        </w:tc>
        <w:tc>
          <w:tcPr>
            <w:tcW w:w="729" w:type="pct"/>
            <w:shd w:val="clear" w:color="auto" w:fill="auto"/>
          </w:tcPr>
          <w:p w14:paraId="390BC04E" w14:textId="77777777" w:rsidR="00F82EEB" w:rsidRPr="00812932" w:rsidRDefault="00F82EEB" w:rsidP="00FB3FDC">
            <w:pPr>
              <w:rPr>
                <w:rFonts w:ascii="Arial" w:hAnsi="Arial" w:cs="Arial"/>
                <w:sz w:val="20"/>
                <w:szCs w:val="20"/>
                <w:highlight w:val="yellow"/>
                <w:lang w:val="ka-GE"/>
              </w:rPr>
            </w:pPr>
            <w:r w:rsidRPr="00812932">
              <w:rPr>
                <w:rFonts w:ascii="Arial" w:hAnsi="Arial" w:cs="Arial"/>
                <w:sz w:val="20"/>
                <w:szCs w:val="20"/>
              </w:rPr>
              <w:t xml:space="preserve">“Training of HRs in Managing Difficult </w:t>
            </w:r>
            <w:r w:rsidRPr="00812932">
              <w:rPr>
                <w:rFonts w:ascii="Arial" w:hAnsi="Arial" w:cs="Arial"/>
                <w:sz w:val="20"/>
                <w:szCs w:val="20"/>
              </w:rPr>
              <w:lastRenderedPageBreak/>
              <w:t>Conversations” (2019</w:t>
            </w:r>
            <w:r w:rsidRPr="00812932">
              <w:rPr>
                <w:rFonts w:ascii="Arial" w:hAnsi="Arial" w:cs="Arial"/>
                <w:sz w:val="20"/>
                <w:szCs w:val="20"/>
                <w:lang w:val="ka-GE"/>
              </w:rPr>
              <w:t xml:space="preserve">) </w:t>
            </w:r>
          </w:p>
        </w:tc>
        <w:tc>
          <w:tcPr>
            <w:tcW w:w="3343" w:type="pct"/>
            <w:shd w:val="clear" w:color="auto" w:fill="auto"/>
          </w:tcPr>
          <w:p w14:paraId="12DD44A2"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lastRenderedPageBreak/>
              <w:t>Training of trainers provided by the trainers of Centre for Effective Dispute Resolution (CEDR) in managing difficult conversations and prevention of workplace conflict.</w:t>
            </w:r>
          </w:p>
          <w:p w14:paraId="4D9EBB97" w14:textId="77777777" w:rsidR="00F82EEB" w:rsidRPr="00812932" w:rsidRDefault="00F82EEB" w:rsidP="00F82EEB">
            <w:pPr>
              <w:jc w:val="both"/>
              <w:rPr>
                <w:rFonts w:ascii="Arial" w:hAnsi="Arial" w:cs="Arial"/>
                <w:sz w:val="20"/>
                <w:szCs w:val="20"/>
              </w:rPr>
            </w:pPr>
          </w:p>
        </w:tc>
        <w:tc>
          <w:tcPr>
            <w:tcW w:w="679" w:type="pct"/>
            <w:shd w:val="clear" w:color="auto" w:fill="auto"/>
          </w:tcPr>
          <w:p w14:paraId="5D8F674C" w14:textId="77777777" w:rsidR="00F82EEB" w:rsidRPr="00812932" w:rsidRDefault="00F82EEB" w:rsidP="00F82EEB">
            <w:pPr>
              <w:jc w:val="center"/>
              <w:rPr>
                <w:rFonts w:ascii="Arial" w:hAnsi="Arial" w:cs="Arial"/>
                <w:sz w:val="20"/>
                <w:szCs w:val="20"/>
                <w:lang w:val="ka-GE"/>
              </w:rPr>
            </w:pPr>
            <w:r w:rsidRPr="00812932">
              <w:rPr>
                <w:rFonts w:ascii="Arial" w:hAnsi="Arial" w:cs="Arial"/>
                <w:sz w:val="20"/>
                <w:szCs w:val="20"/>
              </w:rPr>
              <w:lastRenderedPageBreak/>
              <w:t>15</w:t>
            </w:r>
            <w:r w:rsidRPr="00812932">
              <w:rPr>
                <w:rFonts w:ascii="Arial" w:hAnsi="Arial" w:cs="Arial"/>
                <w:sz w:val="20"/>
                <w:szCs w:val="20"/>
                <w:lang w:val="ka-GE"/>
              </w:rPr>
              <w:t xml:space="preserve"> (</w:t>
            </w:r>
            <w:proofErr w:type="spellStart"/>
            <w:r w:rsidRPr="00812932">
              <w:rPr>
                <w:rFonts w:ascii="Arial" w:hAnsi="Arial" w:cs="Arial"/>
                <w:sz w:val="20"/>
                <w:szCs w:val="20"/>
              </w:rPr>
              <w:t>ToT</w:t>
            </w:r>
            <w:proofErr w:type="spellEnd"/>
            <w:r w:rsidRPr="00812932">
              <w:rPr>
                <w:rFonts w:ascii="Arial" w:hAnsi="Arial" w:cs="Arial"/>
                <w:sz w:val="20"/>
                <w:szCs w:val="20"/>
              </w:rPr>
              <w:t>)</w:t>
            </w:r>
            <w:r w:rsidRPr="00812932">
              <w:rPr>
                <w:rFonts w:ascii="Arial" w:hAnsi="Arial" w:cs="Arial"/>
                <w:sz w:val="20"/>
                <w:szCs w:val="20"/>
                <w:lang w:val="ka-GE"/>
              </w:rPr>
              <w:t xml:space="preserve"> (</w:t>
            </w:r>
            <w:r w:rsidRPr="00812932">
              <w:rPr>
                <w:rFonts w:ascii="Arial" w:hAnsi="Arial" w:cs="Arial"/>
                <w:sz w:val="20"/>
                <w:szCs w:val="20"/>
              </w:rPr>
              <w:t>F</w:t>
            </w:r>
            <w:r w:rsidRPr="00812932">
              <w:rPr>
                <w:rFonts w:ascii="Arial" w:hAnsi="Arial" w:cs="Arial"/>
                <w:sz w:val="20"/>
                <w:szCs w:val="20"/>
                <w:lang w:val="ka-GE"/>
              </w:rPr>
              <w:t xml:space="preserve">=14, </w:t>
            </w:r>
            <w:r w:rsidRPr="00812932">
              <w:rPr>
                <w:rFonts w:ascii="Arial" w:hAnsi="Arial" w:cs="Arial"/>
                <w:sz w:val="20"/>
                <w:szCs w:val="20"/>
              </w:rPr>
              <w:t>M</w:t>
            </w:r>
            <w:r w:rsidRPr="00812932">
              <w:rPr>
                <w:rFonts w:ascii="Arial" w:hAnsi="Arial" w:cs="Arial"/>
                <w:sz w:val="20"/>
                <w:szCs w:val="20"/>
                <w:lang w:val="ka-GE"/>
              </w:rPr>
              <w:t>=1)</w:t>
            </w:r>
          </w:p>
          <w:p w14:paraId="617AA779" w14:textId="77777777" w:rsidR="00F82EEB" w:rsidRPr="00812932" w:rsidRDefault="00F82EEB" w:rsidP="00F82EEB">
            <w:pPr>
              <w:jc w:val="center"/>
              <w:rPr>
                <w:rFonts w:ascii="Arial" w:hAnsi="Arial" w:cs="Arial"/>
                <w:sz w:val="20"/>
                <w:szCs w:val="20"/>
                <w:lang w:val="ka-GE"/>
              </w:rPr>
            </w:pPr>
          </w:p>
        </w:tc>
      </w:tr>
      <w:tr w:rsidR="00F82EEB" w:rsidRPr="00812932" w14:paraId="415C2978" w14:textId="77777777" w:rsidTr="00F82EEB">
        <w:tc>
          <w:tcPr>
            <w:tcW w:w="248" w:type="pct"/>
            <w:shd w:val="clear" w:color="auto" w:fill="F3F7FB"/>
          </w:tcPr>
          <w:p w14:paraId="40B95597"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lastRenderedPageBreak/>
              <w:t>8</w:t>
            </w:r>
          </w:p>
        </w:tc>
        <w:tc>
          <w:tcPr>
            <w:tcW w:w="729" w:type="pct"/>
            <w:shd w:val="clear" w:color="auto" w:fill="F3F7FB"/>
          </w:tcPr>
          <w:p w14:paraId="21154B36" w14:textId="77777777" w:rsidR="00F82EEB" w:rsidRPr="00812932" w:rsidRDefault="00F82EEB" w:rsidP="00FB3FDC">
            <w:pPr>
              <w:rPr>
                <w:rFonts w:ascii="Arial" w:hAnsi="Arial" w:cs="Arial"/>
                <w:sz w:val="20"/>
                <w:szCs w:val="20"/>
              </w:rPr>
            </w:pPr>
            <w:r w:rsidRPr="00812932">
              <w:rPr>
                <w:rFonts w:ascii="Arial" w:hAnsi="Arial" w:cs="Arial"/>
                <w:sz w:val="20"/>
                <w:szCs w:val="20"/>
              </w:rPr>
              <w:t>Common Assessment Framework (CAF)</w:t>
            </w:r>
          </w:p>
        </w:tc>
        <w:tc>
          <w:tcPr>
            <w:tcW w:w="3343" w:type="pct"/>
            <w:shd w:val="clear" w:color="auto" w:fill="F3F7FB"/>
          </w:tcPr>
          <w:p w14:paraId="48F329CA" w14:textId="77777777" w:rsidR="00F82EEB" w:rsidRPr="00812932" w:rsidRDefault="00F82EEB" w:rsidP="00F82EEB">
            <w:pPr>
              <w:jc w:val="both"/>
              <w:rPr>
                <w:rFonts w:ascii="Arial" w:hAnsi="Arial" w:cs="Arial"/>
                <w:sz w:val="20"/>
                <w:szCs w:val="20"/>
                <w:shd w:val="clear" w:color="auto" w:fill="FFFFFF"/>
              </w:rPr>
            </w:pPr>
            <w:r w:rsidRPr="00812932">
              <w:rPr>
                <w:rFonts w:ascii="Arial" w:hAnsi="Arial" w:cs="Arial"/>
                <w:sz w:val="20"/>
                <w:szCs w:val="20"/>
              </w:rPr>
              <w:t xml:space="preserve">MRDI; </w:t>
            </w:r>
            <w:r w:rsidRPr="00812932">
              <w:rPr>
                <w:rFonts w:ascii="Arial" w:hAnsi="Arial" w:cs="Arial"/>
                <w:sz w:val="20"/>
                <w:szCs w:val="20"/>
                <w:shd w:val="clear" w:color="auto" w:fill="FFFFFF"/>
              </w:rPr>
              <w:t xml:space="preserve">Education management information system (EMIS); National Agency of State Property (NASP); Revenue Service (RS); The Unified Service Center Of The Patrol Police; Public Service Hall (PSH); National </w:t>
            </w:r>
            <w:proofErr w:type="gramStart"/>
            <w:r w:rsidRPr="00812932">
              <w:rPr>
                <w:rFonts w:ascii="Arial" w:hAnsi="Arial" w:cs="Arial"/>
                <w:sz w:val="20"/>
                <w:szCs w:val="20"/>
                <w:shd w:val="clear" w:color="auto" w:fill="FFFFFF"/>
              </w:rPr>
              <w:t>Archives  of</w:t>
            </w:r>
            <w:proofErr w:type="gramEnd"/>
            <w:r w:rsidRPr="00812932">
              <w:rPr>
                <w:rFonts w:ascii="Arial" w:hAnsi="Arial" w:cs="Arial"/>
                <w:sz w:val="20"/>
                <w:szCs w:val="20"/>
                <w:shd w:val="clear" w:color="auto" w:fill="FFFFFF"/>
              </w:rPr>
              <w:t xml:space="preserve"> Georgia; Civil Registry; Public Service Development Agency (PSDA); National Archival Fund; Administration of the Government of Georgia (</w:t>
            </w:r>
            <w:proofErr w:type="spellStart"/>
            <w:r w:rsidRPr="00812932">
              <w:rPr>
                <w:rFonts w:ascii="Arial" w:hAnsi="Arial" w:cs="Arial"/>
                <w:sz w:val="20"/>
                <w:szCs w:val="20"/>
                <w:shd w:val="clear" w:color="auto" w:fill="FFFFFF"/>
              </w:rPr>
              <w:t>AoG</w:t>
            </w:r>
            <w:proofErr w:type="spellEnd"/>
            <w:r w:rsidRPr="00812932">
              <w:rPr>
                <w:rFonts w:ascii="Arial" w:hAnsi="Arial" w:cs="Arial"/>
                <w:sz w:val="20"/>
                <w:szCs w:val="20"/>
                <w:shd w:val="clear" w:color="auto" w:fill="FFFFFF"/>
              </w:rPr>
              <w:t>);</w:t>
            </w:r>
            <w:r w:rsidRPr="00812932">
              <w:rPr>
                <w:rFonts w:ascii="Arial" w:hAnsi="Arial" w:cs="Arial"/>
                <w:sz w:val="20"/>
                <w:szCs w:val="20"/>
              </w:rPr>
              <w:t xml:space="preserve"> </w:t>
            </w:r>
            <w:r w:rsidRPr="00812932">
              <w:rPr>
                <w:rFonts w:ascii="Arial" w:hAnsi="Arial" w:cs="Arial"/>
                <w:sz w:val="20"/>
                <w:szCs w:val="20"/>
                <w:shd w:val="clear" w:color="auto" w:fill="FFFFFF"/>
              </w:rPr>
              <w:t>NAPR; MoD</w:t>
            </w:r>
          </w:p>
        </w:tc>
        <w:tc>
          <w:tcPr>
            <w:tcW w:w="679" w:type="pct"/>
            <w:shd w:val="clear" w:color="auto" w:fill="F3F7FB"/>
          </w:tcPr>
          <w:p w14:paraId="3396F5B0"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53 (F-41; M-12)</w:t>
            </w:r>
          </w:p>
        </w:tc>
      </w:tr>
      <w:tr w:rsidR="00F82EEB" w:rsidRPr="00812932" w14:paraId="40E703CB" w14:textId="77777777" w:rsidTr="00F82EEB">
        <w:tc>
          <w:tcPr>
            <w:tcW w:w="248" w:type="pct"/>
          </w:tcPr>
          <w:p w14:paraId="07AFB3D8"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9</w:t>
            </w:r>
          </w:p>
        </w:tc>
        <w:tc>
          <w:tcPr>
            <w:tcW w:w="729" w:type="pct"/>
            <w:shd w:val="clear" w:color="auto" w:fill="auto"/>
          </w:tcPr>
          <w:p w14:paraId="7A931160" w14:textId="77777777" w:rsidR="00F82EEB" w:rsidRPr="00812932" w:rsidRDefault="00F82EEB" w:rsidP="00FB3FDC">
            <w:pPr>
              <w:rPr>
                <w:rFonts w:ascii="Arial" w:hAnsi="Arial" w:cs="Arial"/>
                <w:sz w:val="20"/>
                <w:szCs w:val="20"/>
              </w:rPr>
            </w:pPr>
            <w:r w:rsidRPr="00812932">
              <w:rPr>
                <w:rFonts w:ascii="Arial" w:hAnsi="Arial" w:cs="Arial"/>
                <w:sz w:val="20"/>
                <w:szCs w:val="20"/>
              </w:rPr>
              <w:t>CAF TOT</w:t>
            </w:r>
          </w:p>
        </w:tc>
        <w:tc>
          <w:tcPr>
            <w:tcW w:w="3343" w:type="pct"/>
            <w:shd w:val="clear" w:color="auto" w:fill="auto"/>
          </w:tcPr>
          <w:p w14:paraId="770E7AA5" w14:textId="77777777" w:rsidR="00F82EEB" w:rsidRPr="00812932" w:rsidRDefault="00F82EEB" w:rsidP="00F82EEB">
            <w:pPr>
              <w:jc w:val="both"/>
              <w:rPr>
                <w:rFonts w:ascii="Arial" w:hAnsi="Arial" w:cs="Arial"/>
                <w:sz w:val="20"/>
                <w:szCs w:val="20"/>
              </w:rPr>
            </w:pPr>
            <w:r w:rsidRPr="00812932">
              <w:rPr>
                <w:rFonts w:ascii="Arial" w:hAnsi="Arial" w:cs="Arial"/>
                <w:sz w:val="20"/>
                <w:szCs w:val="20"/>
                <w:shd w:val="clear" w:color="auto" w:fill="FFFFFF"/>
              </w:rPr>
              <w:t xml:space="preserve">Training Center of Justice of Georgia; PSH; PSDA; The Unified Service Center of The Patrol Police </w:t>
            </w:r>
          </w:p>
        </w:tc>
        <w:tc>
          <w:tcPr>
            <w:tcW w:w="679" w:type="pct"/>
            <w:shd w:val="clear" w:color="auto" w:fill="auto"/>
          </w:tcPr>
          <w:p w14:paraId="01840601"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10 (F-10; M-0;)</w:t>
            </w:r>
          </w:p>
        </w:tc>
      </w:tr>
      <w:tr w:rsidR="00F82EEB" w:rsidRPr="00812932" w14:paraId="3B2BED46" w14:textId="77777777" w:rsidTr="00F82EEB">
        <w:tc>
          <w:tcPr>
            <w:tcW w:w="248" w:type="pct"/>
            <w:shd w:val="clear" w:color="auto" w:fill="F3F7FB"/>
          </w:tcPr>
          <w:p w14:paraId="79895BC2"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10</w:t>
            </w:r>
          </w:p>
        </w:tc>
        <w:tc>
          <w:tcPr>
            <w:tcW w:w="729" w:type="pct"/>
            <w:shd w:val="clear" w:color="auto" w:fill="F3F7FB"/>
          </w:tcPr>
          <w:p w14:paraId="2592250D" w14:textId="77777777" w:rsidR="00F82EEB" w:rsidRPr="00812932" w:rsidRDefault="00F82EEB" w:rsidP="00FB3FDC">
            <w:pPr>
              <w:rPr>
                <w:rFonts w:ascii="Arial" w:hAnsi="Arial" w:cs="Arial"/>
                <w:sz w:val="20"/>
                <w:szCs w:val="20"/>
              </w:rPr>
            </w:pPr>
            <w:r w:rsidRPr="00812932">
              <w:rPr>
                <w:rFonts w:ascii="Arial" w:hAnsi="Arial" w:cs="Arial"/>
                <w:sz w:val="20"/>
                <w:szCs w:val="20"/>
              </w:rPr>
              <w:t>Training on Customer Satisfaction Survey</w:t>
            </w:r>
          </w:p>
        </w:tc>
        <w:tc>
          <w:tcPr>
            <w:tcW w:w="3343" w:type="pct"/>
            <w:shd w:val="clear" w:color="auto" w:fill="F3F7FB"/>
          </w:tcPr>
          <w:p w14:paraId="72A43C0F" w14:textId="77777777" w:rsidR="00F82EEB" w:rsidRPr="00812932" w:rsidRDefault="00F82EEB" w:rsidP="00F82EEB">
            <w:pPr>
              <w:jc w:val="both"/>
              <w:rPr>
                <w:rFonts w:ascii="Arial" w:hAnsi="Arial" w:cs="Arial"/>
                <w:sz w:val="20"/>
                <w:szCs w:val="20"/>
              </w:rPr>
            </w:pPr>
            <w:r w:rsidRPr="00812932">
              <w:rPr>
                <w:rFonts w:ascii="Arial" w:hAnsi="Arial" w:cs="Arial"/>
                <w:sz w:val="20"/>
                <w:szCs w:val="20"/>
                <w:shd w:val="clear" w:color="auto" w:fill="FFFFFF"/>
              </w:rPr>
              <w:t xml:space="preserve">Training Center of Justice of Georgia, </w:t>
            </w:r>
            <w:proofErr w:type="gramStart"/>
            <w:r w:rsidRPr="00812932">
              <w:rPr>
                <w:rFonts w:ascii="Arial" w:hAnsi="Arial" w:cs="Arial"/>
                <w:sz w:val="20"/>
                <w:szCs w:val="20"/>
                <w:shd w:val="clear" w:color="auto" w:fill="FFFFFF"/>
              </w:rPr>
              <w:t>PSDA,  NASP</w:t>
            </w:r>
            <w:proofErr w:type="gramEnd"/>
            <w:r w:rsidRPr="00812932">
              <w:rPr>
                <w:rFonts w:ascii="Arial" w:hAnsi="Arial" w:cs="Arial"/>
                <w:sz w:val="20"/>
                <w:szCs w:val="20"/>
                <w:shd w:val="clear" w:color="auto" w:fill="FFFFFF"/>
              </w:rPr>
              <w:t xml:space="preserve">, MIA Academy, EMIS, RS, Patrol Police Department, Maritime Transport Agency of Georgia, National Archives  of Georgia, the National Bureau of Enforcement, PSH, LEPL Agency of State Care and Assistance for the (statutory) Victims of Human Trafficking, Service Agency (MIA), MIA, </w:t>
            </w:r>
          </w:p>
        </w:tc>
        <w:tc>
          <w:tcPr>
            <w:tcW w:w="679" w:type="pct"/>
            <w:shd w:val="clear" w:color="auto" w:fill="F3F7FB"/>
          </w:tcPr>
          <w:p w14:paraId="21A11193"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34 (F= 29; M=5)</w:t>
            </w:r>
          </w:p>
        </w:tc>
      </w:tr>
      <w:tr w:rsidR="00F82EEB" w:rsidRPr="00812932" w14:paraId="7BFBAD91" w14:textId="77777777" w:rsidTr="00F82EEB">
        <w:tc>
          <w:tcPr>
            <w:tcW w:w="248" w:type="pct"/>
          </w:tcPr>
          <w:p w14:paraId="1F3A6B1A"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11</w:t>
            </w:r>
          </w:p>
        </w:tc>
        <w:tc>
          <w:tcPr>
            <w:tcW w:w="729" w:type="pct"/>
            <w:shd w:val="clear" w:color="auto" w:fill="auto"/>
          </w:tcPr>
          <w:p w14:paraId="1F2B81AA" w14:textId="77777777" w:rsidR="00F82EEB" w:rsidRPr="00812932" w:rsidRDefault="00F82EEB" w:rsidP="00FB3FDC">
            <w:pPr>
              <w:rPr>
                <w:rFonts w:ascii="Arial" w:hAnsi="Arial" w:cs="Arial"/>
                <w:sz w:val="20"/>
                <w:szCs w:val="20"/>
              </w:rPr>
            </w:pPr>
            <w:r w:rsidRPr="00812932">
              <w:rPr>
                <w:rFonts w:ascii="Arial" w:hAnsi="Arial" w:cs="Arial"/>
                <w:sz w:val="20"/>
                <w:szCs w:val="20"/>
              </w:rPr>
              <w:t>Customer Satisfaction Survey TOT</w:t>
            </w:r>
          </w:p>
        </w:tc>
        <w:tc>
          <w:tcPr>
            <w:tcW w:w="3343" w:type="pct"/>
            <w:shd w:val="clear" w:color="auto" w:fill="auto"/>
          </w:tcPr>
          <w:p w14:paraId="631A1998" w14:textId="77777777" w:rsidR="00F82EEB" w:rsidRPr="00812932" w:rsidRDefault="00F82EEB" w:rsidP="00F82EEB">
            <w:pPr>
              <w:jc w:val="both"/>
              <w:rPr>
                <w:rFonts w:ascii="Arial" w:hAnsi="Arial" w:cs="Arial"/>
                <w:sz w:val="20"/>
                <w:szCs w:val="20"/>
              </w:rPr>
            </w:pPr>
            <w:r w:rsidRPr="00812932">
              <w:rPr>
                <w:rFonts w:ascii="Arial" w:hAnsi="Arial" w:cs="Arial"/>
                <w:sz w:val="20"/>
                <w:szCs w:val="20"/>
                <w:shd w:val="clear" w:color="auto" w:fill="FFFFFF"/>
              </w:rPr>
              <w:t>Training Center of Justice of Georgia, PSDA, MIA Academy, NASP, Tbilisi City Hall</w:t>
            </w:r>
          </w:p>
        </w:tc>
        <w:tc>
          <w:tcPr>
            <w:tcW w:w="679" w:type="pct"/>
            <w:shd w:val="clear" w:color="auto" w:fill="auto"/>
          </w:tcPr>
          <w:p w14:paraId="7B54B6F4"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11 (F-10; M-1)</w:t>
            </w:r>
          </w:p>
        </w:tc>
      </w:tr>
      <w:tr w:rsidR="00F82EEB" w:rsidRPr="00812932" w14:paraId="6C0ECCB7" w14:textId="77777777" w:rsidTr="00F82EEB">
        <w:tc>
          <w:tcPr>
            <w:tcW w:w="248" w:type="pct"/>
            <w:shd w:val="clear" w:color="auto" w:fill="F3F7FB"/>
          </w:tcPr>
          <w:p w14:paraId="013E887E"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12</w:t>
            </w:r>
          </w:p>
        </w:tc>
        <w:tc>
          <w:tcPr>
            <w:tcW w:w="729" w:type="pct"/>
            <w:shd w:val="clear" w:color="auto" w:fill="F3F7FB"/>
          </w:tcPr>
          <w:p w14:paraId="57070424" w14:textId="77777777" w:rsidR="00F82EEB" w:rsidRPr="00812932" w:rsidRDefault="00F82EEB" w:rsidP="00FB3FDC">
            <w:pPr>
              <w:rPr>
                <w:rFonts w:ascii="Arial" w:hAnsi="Arial" w:cs="Arial"/>
                <w:sz w:val="20"/>
                <w:szCs w:val="20"/>
              </w:rPr>
            </w:pPr>
            <w:r w:rsidRPr="00812932">
              <w:rPr>
                <w:rFonts w:ascii="Arial" w:hAnsi="Arial" w:cs="Arial"/>
                <w:sz w:val="20"/>
                <w:szCs w:val="20"/>
              </w:rPr>
              <w:t>Training on Public Service Design</w:t>
            </w:r>
          </w:p>
        </w:tc>
        <w:tc>
          <w:tcPr>
            <w:tcW w:w="3343" w:type="pct"/>
            <w:shd w:val="clear" w:color="auto" w:fill="F3F7FB"/>
          </w:tcPr>
          <w:p w14:paraId="4336C606" w14:textId="77777777" w:rsidR="00F82EEB" w:rsidRPr="00812932" w:rsidRDefault="00F82EEB" w:rsidP="00F82EEB">
            <w:pPr>
              <w:jc w:val="both"/>
              <w:rPr>
                <w:rFonts w:ascii="Arial" w:hAnsi="Arial" w:cs="Arial"/>
                <w:sz w:val="20"/>
                <w:szCs w:val="20"/>
              </w:rPr>
            </w:pPr>
            <w:r w:rsidRPr="00812932">
              <w:rPr>
                <w:rFonts w:ascii="Arial" w:hAnsi="Arial" w:cs="Arial"/>
                <w:sz w:val="20"/>
                <w:szCs w:val="20"/>
                <w:shd w:val="clear" w:color="auto" w:fill="FFFFFF"/>
              </w:rPr>
              <w:t>Training Center of Justice of Georgia; E-Governance Georgia; PSDA; UNDP</w:t>
            </w:r>
          </w:p>
        </w:tc>
        <w:tc>
          <w:tcPr>
            <w:tcW w:w="679" w:type="pct"/>
            <w:shd w:val="clear" w:color="auto" w:fill="F3F7FB"/>
          </w:tcPr>
          <w:p w14:paraId="2757BD88"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8 (F-8; M-0)</w:t>
            </w:r>
          </w:p>
        </w:tc>
      </w:tr>
      <w:tr w:rsidR="00F82EEB" w:rsidRPr="00812932" w14:paraId="2B2D3673" w14:textId="77777777" w:rsidTr="00F82EEB">
        <w:tc>
          <w:tcPr>
            <w:tcW w:w="248" w:type="pct"/>
          </w:tcPr>
          <w:p w14:paraId="0ED07F2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13</w:t>
            </w:r>
          </w:p>
        </w:tc>
        <w:tc>
          <w:tcPr>
            <w:tcW w:w="729" w:type="pct"/>
            <w:shd w:val="clear" w:color="auto" w:fill="auto"/>
          </w:tcPr>
          <w:p w14:paraId="6FAB63AB" w14:textId="77777777" w:rsidR="00F82EEB" w:rsidRPr="00812932" w:rsidRDefault="00F82EEB" w:rsidP="00FB3FDC">
            <w:pPr>
              <w:rPr>
                <w:rFonts w:ascii="Arial" w:hAnsi="Arial" w:cs="Arial"/>
                <w:sz w:val="20"/>
                <w:szCs w:val="20"/>
              </w:rPr>
            </w:pPr>
            <w:r w:rsidRPr="00812932">
              <w:rPr>
                <w:rFonts w:ascii="Arial" w:hAnsi="Arial" w:cs="Arial"/>
                <w:sz w:val="20"/>
                <w:szCs w:val="20"/>
              </w:rPr>
              <w:t>Training in Public Service Delivery</w:t>
            </w:r>
          </w:p>
        </w:tc>
        <w:tc>
          <w:tcPr>
            <w:tcW w:w="3343" w:type="pct"/>
            <w:shd w:val="clear" w:color="auto" w:fill="auto"/>
          </w:tcPr>
          <w:p w14:paraId="1D1B892A" w14:textId="77777777" w:rsidR="00F82EEB" w:rsidRPr="00812932" w:rsidRDefault="00F82EEB" w:rsidP="00F82EEB">
            <w:pPr>
              <w:jc w:val="both"/>
              <w:rPr>
                <w:rFonts w:ascii="Arial" w:hAnsi="Arial" w:cs="Arial"/>
                <w:sz w:val="20"/>
                <w:szCs w:val="20"/>
              </w:rPr>
            </w:pPr>
            <w:r w:rsidRPr="00812932">
              <w:rPr>
                <w:rFonts w:ascii="Arial" w:hAnsi="Arial" w:cs="Arial"/>
                <w:sz w:val="20"/>
                <w:szCs w:val="20"/>
                <w:shd w:val="clear" w:color="auto" w:fill="FFFFFF"/>
              </w:rPr>
              <w:t xml:space="preserve">RS; NAPR; </w:t>
            </w:r>
            <w:r w:rsidRPr="00812932">
              <w:rPr>
                <w:rFonts w:ascii="Arial" w:hAnsi="Arial" w:cs="Arial"/>
                <w:sz w:val="20"/>
                <w:szCs w:val="20"/>
              </w:rPr>
              <w:t xml:space="preserve">DGA; EMIS; Service Agency of MIA (SA); </w:t>
            </w:r>
            <w:r w:rsidRPr="00812932">
              <w:rPr>
                <w:rFonts w:ascii="Arial" w:hAnsi="Arial" w:cs="Arial"/>
                <w:sz w:val="20"/>
                <w:szCs w:val="20"/>
                <w:shd w:val="clear" w:color="auto" w:fill="FFFFFF"/>
              </w:rPr>
              <w:t>Special Penitentiary Service; National Archives of Georgia; The Legislative Herald of Georgia; National Bureau of Enforcement</w:t>
            </w:r>
          </w:p>
        </w:tc>
        <w:tc>
          <w:tcPr>
            <w:tcW w:w="679" w:type="pct"/>
            <w:shd w:val="clear" w:color="auto" w:fill="auto"/>
          </w:tcPr>
          <w:p w14:paraId="4469D56B"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26 (F-17; M-9)</w:t>
            </w:r>
          </w:p>
        </w:tc>
      </w:tr>
      <w:tr w:rsidR="00F82EEB" w:rsidRPr="00812932" w14:paraId="42BA9603" w14:textId="77777777" w:rsidTr="00F82EEB">
        <w:tc>
          <w:tcPr>
            <w:tcW w:w="248" w:type="pct"/>
            <w:shd w:val="clear" w:color="auto" w:fill="F3F7FB"/>
          </w:tcPr>
          <w:p w14:paraId="008EA5AF"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14</w:t>
            </w:r>
          </w:p>
        </w:tc>
        <w:tc>
          <w:tcPr>
            <w:tcW w:w="729" w:type="pct"/>
            <w:shd w:val="clear" w:color="auto" w:fill="F3F7FB"/>
          </w:tcPr>
          <w:p w14:paraId="7B76DE1F" w14:textId="77777777" w:rsidR="00F82EEB" w:rsidRPr="00812932" w:rsidRDefault="00F82EEB" w:rsidP="00FB3FDC">
            <w:pPr>
              <w:rPr>
                <w:rFonts w:ascii="Arial" w:hAnsi="Arial" w:cs="Arial"/>
                <w:sz w:val="20"/>
                <w:szCs w:val="20"/>
              </w:rPr>
            </w:pPr>
            <w:r w:rsidRPr="00812932">
              <w:rPr>
                <w:rFonts w:ascii="Arial" w:hAnsi="Arial" w:cs="Arial"/>
                <w:sz w:val="20"/>
                <w:szCs w:val="20"/>
              </w:rPr>
              <w:t>Public Service Delivery TOT</w:t>
            </w:r>
          </w:p>
        </w:tc>
        <w:tc>
          <w:tcPr>
            <w:tcW w:w="3343" w:type="pct"/>
            <w:shd w:val="clear" w:color="auto" w:fill="F3F7FB"/>
          </w:tcPr>
          <w:p w14:paraId="1A344A45" w14:textId="77777777" w:rsidR="00F82EEB" w:rsidRPr="00812932" w:rsidRDefault="00F82EEB" w:rsidP="00F82EEB">
            <w:pPr>
              <w:jc w:val="both"/>
              <w:rPr>
                <w:rFonts w:ascii="Arial" w:hAnsi="Arial" w:cs="Arial"/>
                <w:sz w:val="20"/>
                <w:szCs w:val="20"/>
                <w:shd w:val="clear" w:color="auto" w:fill="FFFFFF"/>
              </w:rPr>
            </w:pPr>
            <w:r w:rsidRPr="00812932">
              <w:rPr>
                <w:rFonts w:ascii="Arial" w:hAnsi="Arial" w:cs="Arial"/>
                <w:sz w:val="20"/>
                <w:szCs w:val="20"/>
                <w:shd w:val="clear" w:color="auto" w:fill="FFFFFF"/>
              </w:rPr>
              <w:t>Training Center of Justice of Georgia, PSDA, NASP</w:t>
            </w:r>
          </w:p>
        </w:tc>
        <w:tc>
          <w:tcPr>
            <w:tcW w:w="679" w:type="pct"/>
            <w:shd w:val="clear" w:color="auto" w:fill="F3F7FB"/>
          </w:tcPr>
          <w:p w14:paraId="6311F395"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11 (F-10; M-1)</w:t>
            </w:r>
          </w:p>
        </w:tc>
      </w:tr>
      <w:tr w:rsidR="00F82EEB" w:rsidRPr="00812932" w14:paraId="429C8036" w14:textId="77777777" w:rsidTr="00F82EEB">
        <w:tc>
          <w:tcPr>
            <w:tcW w:w="248" w:type="pct"/>
          </w:tcPr>
          <w:p w14:paraId="0B19C6BD"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15</w:t>
            </w:r>
          </w:p>
        </w:tc>
        <w:tc>
          <w:tcPr>
            <w:tcW w:w="729" w:type="pct"/>
            <w:shd w:val="clear" w:color="auto" w:fill="auto"/>
          </w:tcPr>
          <w:p w14:paraId="76E9E55F" w14:textId="77777777" w:rsidR="00F82EEB" w:rsidRPr="00812932" w:rsidRDefault="00F82EEB" w:rsidP="00FB3FDC">
            <w:pPr>
              <w:rPr>
                <w:rFonts w:ascii="Arial" w:hAnsi="Arial" w:cs="Arial"/>
                <w:sz w:val="20"/>
                <w:szCs w:val="20"/>
              </w:rPr>
            </w:pPr>
            <w:proofErr w:type="spellStart"/>
            <w:r w:rsidRPr="00812932">
              <w:rPr>
                <w:rFonts w:ascii="Arial" w:hAnsi="Arial" w:cs="Arial"/>
                <w:sz w:val="20"/>
                <w:szCs w:val="20"/>
              </w:rPr>
              <w:t>ToT</w:t>
            </w:r>
            <w:proofErr w:type="spellEnd"/>
            <w:r w:rsidRPr="00812932">
              <w:rPr>
                <w:rFonts w:ascii="Arial" w:hAnsi="Arial" w:cs="Arial"/>
                <w:sz w:val="20"/>
                <w:szCs w:val="20"/>
              </w:rPr>
              <w:t xml:space="preserve"> in Costing of Public Services</w:t>
            </w:r>
          </w:p>
        </w:tc>
        <w:tc>
          <w:tcPr>
            <w:tcW w:w="3343" w:type="pct"/>
            <w:shd w:val="clear" w:color="auto" w:fill="auto"/>
          </w:tcPr>
          <w:p w14:paraId="06116DDE" w14:textId="77777777" w:rsidR="00F82EEB" w:rsidRPr="00812932" w:rsidRDefault="00F82EEB" w:rsidP="00F82EEB">
            <w:pPr>
              <w:jc w:val="both"/>
              <w:rPr>
                <w:rFonts w:ascii="Arial" w:hAnsi="Arial" w:cs="Arial"/>
                <w:sz w:val="20"/>
                <w:szCs w:val="20"/>
                <w:shd w:val="clear" w:color="auto" w:fill="FFFFFF"/>
              </w:rPr>
            </w:pPr>
            <w:r w:rsidRPr="00812932">
              <w:rPr>
                <w:rFonts w:ascii="Arial" w:hAnsi="Arial" w:cs="Arial"/>
                <w:sz w:val="20"/>
                <w:szCs w:val="20"/>
                <w:shd w:val="clear" w:color="auto" w:fill="FFFFFF"/>
              </w:rPr>
              <w:t>Academy of the Ministry of Finance, PSDA, Consulting company GEC, National Property Agency, Training Center of Justice of Georgia</w:t>
            </w:r>
          </w:p>
        </w:tc>
        <w:tc>
          <w:tcPr>
            <w:tcW w:w="679" w:type="pct"/>
            <w:shd w:val="clear" w:color="auto" w:fill="auto"/>
          </w:tcPr>
          <w:p w14:paraId="65B096F7"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6 (F – 3; M – 3)</w:t>
            </w:r>
          </w:p>
        </w:tc>
      </w:tr>
      <w:tr w:rsidR="00F82EEB" w:rsidRPr="00812932" w14:paraId="75EDC06A" w14:textId="77777777" w:rsidTr="00F82EEB">
        <w:tc>
          <w:tcPr>
            <w:tcW w:w="248" w:type="pct"/>
            <w:shd w:val="clear" w:color="auto" w:fill="F3F7FB"/>
          </w:tcPr>
          <w:p w14:paraId="08EF6279"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16</w:t>
            </w:r>
          </w:p>
        </w:tc>
        <w:tc>
          <w:tcPr>
            <w:tcW w:w="729" w:type="pct"/>
            <w:shd w:val="clear" w:color="auto" w:fill="F3F7FB"/>
          </w:tcPr>
          <w:p w14:paraId="62A1810A" w14:textId="77777777" w:rsidR="00F82EEB" w:rsidRPr="00812932" w:rsidRDefault="00F82EEB" w:rsidP="00FB3FDC">
            <w:pPr>
              <w:rPr>
                <w:rFonts w:ascii="Arial" w:hAnsi="Arial" w:cs="Arial"/>
                <w:sz w:val="20"/>
                <w:szCs w:val="20"/>
              </w:rPr>
            </w:pPr>
            <w:r w:rsidRPr="00812932">
              <w:rPr>
                <w:rFonts w:ascii="Arial" w:hAnsi="Arial" w:cs="Arial"/>
                <w:sz w:val="20"/>
                <w:szCs w:val="20"/>
              </w:rPr>
              <w:t>Training in Costing of Public Services</w:t>
            </w:r>
          </w:p>
        </w:tc>
        <w:tc>
          <w:tcPr>
            <w:tcW w:w="3343" w:type="pct"/>
            <w:shd w:val="clear" w:color="auto" w:fill="F3F7FB"/>
          </w:tcPr>
          <w:p w14:paraId="68E0489A" w14:textId="77777777" w:rsidR="00F82EEB" w:rsidRPr="00812932" w:rsidRDefault="00F82EEB" w:rsidP="00F82EEB">
            <w:pPr>
              <w:jc w:val="both"/>
              <w:rPr>
                <w:rFonts w:ascii="Arial" w:hAnsi="Arial" w:cs="Arial"/>
                <w:sz w:val="20"/>
                <w:szCs w:val="20"/>
                <w:shd w:val="clear" w:color="auto" w:fill="FFFFFF"/>
              </w:rPr>
            </w:pPr>
            <w:r w:rsidRPr="00812932">
              <w:rPr>
                <w:rFonts w:ascii="Arial" w:hAnsi="Arial" w:cs="Arial"/>
                <w:sz w:val="20"/>
                <w:szCs w:val="20"/>
                <w:shd w:val="clear" w:color="auto" w:fill="FFFFFF"/>
              </w:rPr>
              <w:t>Ministry of Finance, Ministry of Finance Service Agency, Academy of the Ministry of Finance, PSDA, National Property Agency, Public Service Hall, Ministry of Finance Revenue Agency</w:t>
            </w:r>
          </w:p>
        </w:tc>
        <w:tc>
          <w:tcPr>
            <w:tcW w:w="679" w:type="pct"/>
            <w:shd w:val="clear" w:color="auto" w:fill="F3F7FB"/>
          </w:tcPr>
          <w:p w14:paraId="7F4E3254"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31 (F – 21; M – 11)</w:t>
            </w:r>
          </w:p>
        </w:tc>
      </w:tr>
      <w:tr w:rsidR="00F82EEB" w:rsidRPr="00812932" w14:paraId="41629B4B" w14:textId="77777777" w:rsidTr="00F82EEB">
        <w:tc>
          <w:tcPr>
            <w:tcW w:w="248" w:type="pct"/>
          </w:tcPr>
          <w:p w14:paraId="3CFBA51C"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17</w:t>
            </w:r>
          </w:p>
        </w:tc>
        <w:tc>
          <w:tcPr>
            <w:tcW w:w="729" w:type="pct"/>
            <w:shd w:val="clear" w:color="auto" w:fill="auto"/>
          </w:tcPr>
          <w:p w14:paraId="1CF9EDBA" w14:textId="77777777" w:rsidR="00F82EEB" w:rsidRPr="00812932" w:rsidRDefault="00F82EEB" w:rsidP="00FB3FDC">
            <w:pPr>
              <w:rPr>
                <w:rFonts w:ascii="Arial" w:hAnsi="Arial" w:cs="Arial"/>
                <w:sz w:val="20"/>
                <w:szCs w:val="20"/>
              </w:rPr>
            </w:pPr>
            <w:r w:rsidRPr="00812932">
              <w:rPr>
                <w:rFonts w:ascii="Arial" w:hAnsi="Arial" w:cs="Arial"/>
                <w:sz w:val="20"/>
                <w:szCs w:val="20"/>
              </w:rPr>
              <w:t>Provision of Services for Persons with Disabilities in Public Institutions</w:t>
            </w:r>
          </w:p>
        </w:tc>
        <w:tc>
          <w:tcPr>
            <w:tcW w:w="3343" w:type="pct"/>
            <w:shd w:val="clear" w:color="auto" w:fill="auto"/>
          </w:tcPr>
          <w:p w14:paraId="3B21C825"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PSH</w:t>
            </w:r>
          </w:p>
        </w:tc>
        <w:tc>
          <w:tcPr>
            <w:tcW w:w="679" w:type="pct"/>
            <w:shd w:val="clear" w:color="auto" w:fill="auto"/>
          </w:tcPr>
          <w:p w14:paraId="1A080989"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10 (M-1; F-9)</w:t>
            </w:r>
          </w:p>
        </w:tc>
      </w:tr>
      <w:tr w:rsidR="00F82EEB" w:rsidRPr="00812932" w14:paraId="023B5691" w14:textId="77777777" w:rsidTr="00F82EEB">
        <w:tc>
          <w:tcPr>
            <w:tcW w:w="248" w:type="pct"/>
            <w:shd w:val="clear" w:color="auto" w:fill="F3F7FB"/>
          </w:tcPr>
          <w:p w14:paraId="7EEC73DE"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18</w:t>
            </w:r>
          </w:p>
        </w:tc>
        <w:tc>
          <w:tcPr>
            <w:tcW w:w="729" w:type="pct"/>
            <w:shd w:val="clear" w:color="auto" w:fill="F3F7FB"/>
          </w:tcPr>
          <w:p w14:paraId="502613DE" w14:textId="77777777" w:rsidR="00F82EEB" w:rsidRPr="00812932" w:rsidRDefault="00F82EEB" w:rsidP="00FB3FDC">
            <w:pPr>
              <w:rPr>
                <w:rFonts w:ascii="Arial" w:hAnsi="Arial" w:cs="Arial"/>
                <w:sz w:val="20"/>
                <w:szCs w:val="20"/>
              </w:rPr>
            </w:pPr>
            <w:r w:rsidRPr="00812932">
              <w:rPr>
                <w:rFonts w:ascii="Arial" w:hAnsi="Arial" w:cs="Arial"/>
                <w:sz w:val="20"/>
                <w:szCs w:val="20"/>
              </w:rPr>
              <w:t>Trainings in Design and Development of e-services, Information Systems Packages and Cyber Security</w:t>
            </w:r>
          </w:p>
        </w:tc>
        <w:tc>
          <w:tcPr>
            <w:tcW w:w="3343" w:type="pct"/>
            <w:shd w:val="clear" w:color="auto" w:fill="F3F7FB"/>
          </w:tcPr>
          <w:p w14:paraId="5FD50E2D" w14:textId="77777777" w:rsidR="00F82EEB" w:rsidRPr="00812932" w:rsidRDefault="00F82EEB" w:rsidP="00F82EEB">
            <w:pPr>
              <w:spacing w:line="276" w:lineRule="auto"/>
              <w:jc w:val="both"/>
              <w:rPr>
                <w:rFonts w:ascii="Arial" w:hAnsi="Arial" w:cs="Arial"/>
                <w:sz w:val="20"/>
                <w:szCs w:val="20"/>
              </w:rPr>
            </w:pPr>
            <w:r w:rsidRPr="00812932">
              <w:rPr>
                <w:rFonts w:ascii="Arial" w:hAnsi="Arial" w:cs="Arial"/>
                <w:sz w:val="20"/>
                <w:szCs w:val="20"/>
              </w:rPr>
              <w:t xml:space="preserve">Employees of the former Data Exchange Agency, as well as designated representatives from relevant public entities. </w:t>
            </w:r>
          </w:p>
          <w:p w14:paraId="0B8DCF15" w14:textId="77777777" w:rsidR="00F82EEB" w:rsidRPr="00812932" w:rsidRDefault="00F82EEB" w:rsidP="00F82EEB">
            <w:pPr>
              <w:spacing w:line="276" w:lineRule="auto"/>
              <w:jc w:val="both"/>
              <w:rPr>
                <w:rFonts w:ascii="Arial" w:hAnsi="Arial" w:cs="Arial"/>
                <w:sz w:val="20"/>
                <w:szCs w:val="20"/>
              </w:rPr>
            </w:pPr>
          </w:p>
        </w:tc>
        <w:tc>
          <w:tcPr>
            <w:tcW w:w="679" w:type="pct"/>
            <w:shd w:val="clear" w:color="auto" w:fill="F3F7FB"/>
          </w:tcPr>
          <w:p w14:paraId="5A4E2056"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71</w:t>
            </w:r>
          </w:p>
        </w:tc>
      </w:tr>
      <w:tr w:rsidR="00F82EEB" w:rsidRPr="00812932" w14:paraId="5E472A7F" w14:textId="77777777" w:rsidTr="00F82EEB">
        <w:tc>
          <w:tcPr>
            <w:tcW w:w="248" w:type="pct"/>
          </w:tcPr>
          <w:p w14:paraId="3974AB8E" w14:textId="77777777" w:rsidR="00F82EEB" w:rsidRPr="00812932" w:rsidRDefault="00F82EEB" w:rsidP="00F82EEB">
            <w:pPr>
              <w:autoSpaceDE w:val="0"/>
              <w:autoSpaceDN w:val="0"/>
              <w:adjustRightInd w:val="0"/>
              <w:jc w:val="both"/>
              <w:rPr>
                <w:rFonts w:ascii="Arial" w:hAnsi="Arial" w:cs="Arial"/>
                <w:sz w:val="20"/>
                <w:szCs w:val="20"/>
              </w:rPr>
            </w:pPr>
            <w:r w:rsidRPr="00812932">
              <w:rPr>
                <w:rFonts w:ascii="Arial" w:hAnsi="Arial" w:cs="Arial"/>
                <w:sz w:val="20"/>
                <w:szCs w:val="20"/>
              </w:rPr>
              <w:t>19</w:t>
            </w:r>
          </w:p>
        </w:tc>
        <w:tc>
          <w:tcPr>
            <w:tcW w:w="729" w:type="pct"/>
            <w:shd w:val="clear" w:color="auto" w:fill="auto"/>
          </w:tcPr>
          <w:p w14:paraId="4BE626E0" w14:textId="77777777" w:rsidR="00F82EEB" w:rsidRPr="00812932" w:rsidRDefault="00F82EEB" w:rsidP="00FB3FDC">
            <w:pPr>
              <w:autoSpaceDE w:val="0"/>
              <w:autoSpaceDN w:val="0"/>
              <w:adjustRightInd w:val="0"/>
              <w:rPr>
                <w:rFonts w:ascii="Arial" w:hAnsi="Arial" w:cs="Arial"/>
                <w:sz w:val="20"/>
                <w:szCs w:val="20"/>
              </w:rPr>
            </w:pPr>
            <w:r w:rsidRPr="00812932">
              <w:rPr>
                <w:rFonts w:ascii="Arial" w:hAnsi="Arial" w:cs="Arial"/>
                <w:sz w:val="20"/>
                <w:szCs w:val="20"/>
              </w:rPr>
              <w:t>Training on the Novelties</w:t>
            </w:r>
          </w:p>
          <w:p w14:paraId="576E4A5F" w14:textId="77777777" w:rsidR="00F82EEB" w:rsidRPr="00812932" w:rsidRDefault="00F82EEB" w:rsidP="00FB3FDC">
            <w:pPr>
              <w:autoSpaceDE w:val="0"/>
              <w:autoSpaceDN w:val="0"/>
              <w:adjustRightInd w:val="0"/>
              <w:rPr>
                <w:rFonts w:ascii="Arial" w:hAnsi="Arial" w:cs="Arial"/>
                <w:sz w:val="20"/>
                <w:szCs w:val="20"/>
              </w:rPr>
            </w:pPr>
            <w:r w:rsidRPr="00812932">
              <w:rPr>
                <w:rFonts w:ascii="Arial" w:hAnsi="Arial" w:cs="Arial"/>
                <w:sz w:val="20"/>
                <w:szCs w:val="20"/>
              </w:rPr>
              <w:t xml:space="preserve">Foreseen by the New Law of Civil Service and Related </w:t>
            </w:r>
            <w:r w:rsidRPr="00812932">
              <w:rPr>
                <w:rFonts w:ascii="Arial" w:hAnsi="Arial" w:cs="Arial"/>
                <w:sz w:val="20"/>
                <w:szCs w:val="20"/>
              </w:rPr>
              <w:lastRenderedPageBreak/>
              <w:t>Regulations</w:t>
            </w:r>
          </w:p>
        </w:tc>
        <w:tc>
          <w:tcPr>
            <w:tcW w:w="3343" w:type="pct"/>
            <w:shd w:val="clear" w:color="auto" w:fill="auto"/>
          </w:tcPr>
          <w:p w14:paraId="3D28070A"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lastRenderedPageBreak/>
              <w:t>Civil servants from ministries and LEPLs</w:t>
            </w:r>
          </w:p>
        </w:tc>
        <w:tc>
          <w:tcPr>
            <w:tcW w:w="679" w:type="pct"/>
            <w:shd w:val="clear" w:color="auto" w:fill="auto"/>
          </w:tcPr>
          <w:p w14:paraId="43A2CD05"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1,123 (F=649; M=474)</w:t>
            </w:r>
          </w:p>
          <w:p w14:paraId="57A0101B" w14:textId="77777777" w:rsidR="00F82EEB" w:rsidRPr="00812932" w:rsidRDefault="00F82EEB" w:rsidP="00F82EEB">
            <w:pPr>
              <w:jc w:val="center"/>
              <w:rPr>
                <w:rFonts w:ascii="Arial" w:hAnsi="Arial" w:cs="Arial"/>
                <w:sz w:val="20"/>
                <w:szCs w:val="20"/>
              </w:rPr>
            </w:pPr>
          </w:p>
          <w:p w14:paraId="3296CD1A" w14:textId="77777777" w:rsidR="00F82EEB" w:rsidRPr="00812932" w:rsidRDefault="00F82EEB" w:rsidP="00F82EEB">
            <w:pPr>
              <w:jc w:val="center"/>
              <w:rPr>
                <w:rFonts w:ascii="Arial" w:hAnsi="Arial" w:cs="Arial"/>
                <w:sz w:val="20"/>
                <w:szCs w:val="20"/>
                <w:lang w:val="ka-GE"/>
              </w:rPr>
            </w:pPr>
          </w:p>
        </w:tc>
      </w:tr>
      <w:tr w:rsidR="00F82EEB" w:rsidRPr="00812932" w14:paraId="2204FFB2" w14:textId="77777777" w:rsidTr="00F82EEB">
        <w:tc>
          <w:tcPr>
            <w:tcW w:w="248" w:type="pct"/>
            <w:shd w:val="clear" w:color="auto" w:fill="F3F7FB"/>
          </w:tcPr>
          <w:p w14:paraId="6B3631FC" w14:textId="77777777" w:rsidR="00F82EEB" w:rsidRPr="00812932" w:rsidRDefault="00F82EEB" w:rsidP="00F82EEB">
            <w:pPr>
              <w:autoSpaceDE w:val="0"/>
              <w:autoSpaceDN w:val="0"/>
              <w:adjustRightInd w:val="0"/>
              <w:jc w:val="both"/>
              <w:rPr>
                <w:rFonts w:ascii="Arial" w:hAnsi="Arial" w:cs="Arial"/>
                <w:sz w:val="20"/>
                <w:szCs w:val="20"/>
              </w:rPr>
            </w:pPr>
            <w:r w:rsidRPr="00812932">
              <w:rPr>
                <w:rFonts w:ascii="Arial" w:hAnsi="Arial" w:cs="Arial"/>
                <w:sz w:val="20"/>
                <w:szCs w:val="20"/>
              </w:rPr>
              <w:t>20</w:t>
            </w:r>
          </w:p>
        </w:tc>
        <w:tc>
          <w:tcPr>
            <w:tcW w:w="729" w:type="pct"/>
            <w:shd w:val="clear" w:color="auto" w:fill="F3F7FB"/>
          </w:tcPr>
          <w:p w14:paraId="19288750" w14:textId="77777777" w:rsidR="00F82EEB" w:rsidRPr="00812932" w:rsidRDefault="00F82EEB" w:rsidP="00FB3FDC">
            <w:pPr>
              <w:autoSpaceDE w:val="0"/>
              <w:autoSpaceDN w:val="0"/>
              <w:adjustRightInd w:val="0"/>
              <w:rPr>
                <w:rFonts w:ascii="Arial" w:hAnsi="Arial" w:cs="Arial"/>
                <w:sz w:val="20"/>
                <w:szCs w:val="20"/>
              </w:rPr>
            </w:pPr>
            <w:r w:rsidRPr="00812932">
              <w:rPr>
                <w:rFonts w:ascii="Arial" w:hAnsi="Arial" w:cs="Arial"/>
                <w:sz w:val="20"/>
                <w:szCs w:val="20"/>
              </w:rPr>
              <w:t>Training for the Parliament to Improve its Policymaking and Oversight Functions with the New Policy Methodological Framework</w:t>
            </w:r>
          </w:p>
        </w:tc>
        <w:tc>
          <w:tcPr>
            <w:tcW w:w="3343" w:type="pct"/>
            <w:shd w:val="clear" w:color="auto" w:fill="F3F7FB"/>
          </w:tcPr>
          <w:p w14:paraId="42DBB7CB" w14:textId="77777777" w:rsidR="00F82EEB" w:rsidRPr="00812932" w:rsidRDefault="00F82EEB" w:rsidP="00F82EEB">
            <w:pPr>
              <w:autoSpaceDE w:val="0"/>
              <w:autoSpaceDN w:val="0"/>
              <w:adjustRightInd w:val="0"/>
              <w:jc w:val="both"/>
              <w:rPr>
                <w:rFonts w:ascii="Arial" w:hAnsi="Arial" w:cs="Arial"/>
                <w:sz w:val="20"/>
                <w:szCs w:val="20"/>
              </w:rPr>
            </w:pPr>
            <w:r w:rsidRPr="00812932">
              <w:rPr>
                <w:rFonts w:ascii="Arial" w:hAnsi="Arial" w:cs="Arial"/>
                <w:sz w:val="20"/>
                <w:szCs w:val="20"/>
              </w:rPr>
              <w:t>Parliament</w:t>
            </w:r>
          </w:p>
        </w:tc>
        <w:tc>
          <w:tcPr>
            <w:tcW w:w="679" w:type="pct"/>
            <w:shd w:val="clear" w:color="auto" w:fill="F3F7FB"/>
          </w:tcPr>
          <w:p w14:paraId="0226B546"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29 (F= 17; M=12)</w:t>
            </w:r>
          </w:p>
        </w:tc>
      </w:tr>
      <w:tr w:rsidR="00F82EEB" w:rsidRPr="00812932" w14:paraId="13A3EC11" w14:textId="77777777" w:rsidTr="00F82EEB">
        <w:tc>
          <w:tcPr>
            <w:tcW w:w="248" w:type="pct"/>
          </w:tcPr>
          <w:p w14:paraId="34D20B29"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21</w:t>
            </w:r>
          </w:p>
        </w:tc>
        <w:tc>
          <w:tcPr>
            <w:tcW w:w="729" w:type="pct"/>
            <w:shd w:val="clear" w:color="auto" w:fill="auto"/>
          </w:tcPr>
          <w:p w14:paraId="7902F6E9" w14:textId="77777777" w:rsidR="00F82EEB" w:rsidRPr="00812932" w:rsidRDefault="00F82EEB" w:rsidP="00FB3FDC">
            <w:pPr>
              <w:rPr>
                <w:rFonts w:ascii="Arial" w:hAnsi="Arial" w:cs="Arial"/>
                <w:sz w:val="20"/>
                <w:szCs w:val="20"/>
              </w:rPr>
            </w:pPr>
            <w:r w:rsidRPr="00812932">
              <w:rPr>
                <w:rFonts w:ascii="Arial" w:hAnsi="Arial" w:cs="Arial"/>
                <w:sz w:val="20"/>
                <w:szCs w:val="20"/>
              </w:rPr>
              <w:t>A series of training courses for building the capacity of the front-line staff in efficient service</w:t>
            </w:r>
          </w:p>
          <w:p w14:paraId="01C752BE" w14:textId="77777777" w:rsidR="00F82EEB" w:rsidRPr="00812932" w:rsidRDefault="00F82EEB" w:rsidP="00FB3FDC">
            <w:pPr>
              <w:autoSpaceDE w:val="0"/>
              <w:autoSpaceDN w:val="0"/>
              <w:adjustRightInd w:val="0"/>
              <w:rPr>
                <w:rFonts w:ascii="Arial" w:hAnsi="Arial" w:cs="Arial"/>
                <w:sz w:val="20"/>
                <w:szCs w:val="20"/>
              </w:rPr>
            </w:pPr>
            <w:r w:rsidRPr="00812932">
              <w:rPr>
                <w:rFonts w:ascii="Arial" w:hAnsi="Arial" w:cs="Arial"/>
                <w:sz w:val="20"/>
                <w:szCs w:val="20"/>
              </w:rPr>
              <w:t>provision, especially for PWDs and psycho-social needs. (trainings included COVID-19 related psychological resilience during public service delivery)</w:t>
            </w:r>
          </w:p>
        </w:tc>
        <w:tc>
          <w:tcPr>
            <w:tcW w:w="3343" w:type="pct"/>
            <w:shd w:val="clear" w:color="auto" w:fill="auto"/>
          </w:tcPr>
          <w:p w14:paraId="56BDED82" w14:textId="77777777" w:rsidR="00F82EEB" w:rsidRPr="00812932" w:rsidRDefault="00F82EEB" w:rsidP="00F82EEB">
            <w:pPr>
              <w:autoSpaceDE w:val="0"/>
              <w:autoSpaceDN w:val="0"/>
              <w:adjustRightInd w:val="0"/>
              <w:jc w:val="both"/>
              <w:rPr>
                <w:rFonts w:ascii="Arial" w:hAnsi="Arial" w:cs="Arial"/>
                <w:sz w:val="20"/>
                <w:szCs w:val="20"/>
              </w:rPr>
            </w:pPr>
            <w:r w:rsidRPr="00812932">
              <w:rPr>
                <w:rFonts w:ascii="Arial" w:hAnsi="Arial" w:cs="Arial"/>
                <w:sz w:val="20"/>
                <w:szCs w:val="20"/>
              </w:rPr>
              <w:t>Front-line officers from Public Service Halls across Georgia</w:t>
            </w:r>
          </w:p>
          <w:p w14:paraId="4F4D6DB1" w14:textId="77777777" w:rsidR="00F82EEB" w:rsidRPr="00812932" w:rsidRDefault="00F82EEB" w:rsidP="00F82EEB">
            <w:pPr>
              <w:autoSpaceDE w:val="0"/>
              <w:autoSpaceDN w:val="0"/>
              <w:adjustRightInd w:val="0"/>
              <w:jc w:val="both"/>
              <w:rPr>
                <w:rFonts w:ascii="Arial" w:hAnsi="Arial" w:cs="Arial"/>
                <w:sz w:val="20"/>
                <w:szCs w:val="20"/>
              </w:rPr>
            </w:pPr>
          </w:p>
        </w:tc>
        <w:tc>
          <w:tcPr>
            <w:tcW w:w="679" w:type="pct"/>
            <w:shd w:val="clear" w:color="auto" w:fill="auto"/>
          </w:tcPr>
          <w:p w14:paraId="68760B7F"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732 (F</w:t>
            </w:r>
            <w:r w:rsidRPr="00812932">
              <w:rPr>
                <w:rFonts w:ascii="Arial" w:hAnsi="Arial" w:cs="Arial"/>
                <w:sz w:val="20"/>
                <w:szCs w:val="20"/>
                <w:lang w:val="ka-GE"/>
              </w:rPr>
              <w:t xml:space="preserve"> =</w:t>
            </w:r>
            <w:r w:rsidRPr="00812932">
              <w:rPr>
                <w:rFonts w:ascii="Arial" w:hAnsi="Arial" w:cs="Arial"/>
                <w:sz w:val="20"/>
                <w:szCs w:val="20"/>
              </w:rPr>
              <w:t xml:space="preserve"> 667</w:t>
            </w:r>
            <w:r w:rsidRPr="00812932">
              <w:rPr>
                <w:rFonts w:ascii="Arial" w:hAnsi="Arial" w:cs="Arial"/>
                <w:sz w:val="20"/>
                <w:szCs w:val="20"/>
                <w:lang w:val="ka-GE"/>
              </w:rPr>
              <w:t xml:space="preserve">; </w:t>
            </w:r>
            <w:r w:rsidRPr="00812932">
              <w:rPr>
                <w:rFonts w:ascii="Arial" w:hAnsi="Arial" w:cs="Arial"/>
                <w:sz w:val="20"/>
                <w:szCs w:val="20"/>
              </w:rPr>
              <w:t>M</w:t>
            </w:r>
            <w:r w:rsidRPr="00812932">
              <w:rPr>
                <w:rFonts w:ascii="Arial" w:hAnsi="Arial" w:cs="Arial"/>
                <w:sz w:val="20"/>
                <w:szCs w:val="20"/>
                <w:lang w:val="ka-GE"/>
              </w:rPr>
              <w:t xml:space="preserve"> =</w:t>
            </w:r>
            <w:r w:rsidRPr="00812932">
              <w:rPr>
                <w:rFonts w:ascii="Arial" w:hAnsi="Arial" w:cs="Arial"/>
                <w:sz w:val="20"/>
                <w:szCs w:val="20"/>
              </w:rPr>
              <w:t>65)</w:t>
            </w:r>
          </w:p>
        </w:tc>
      </w:tr>
      <w:tr w:rsidR="00F82EEB" w:rsidRPr="00812932" w14:paraId="2455829B" w14:textId="77777777" w:rsidTr="00F82EEB">
        <w:tc>
          <w:tcPr>
            <w:tcW w:w="248" w:type="pct"/>
            <w:shd w:val="clear" w:color="auto" w:fill="F3F7FB"/>
          </w:tcPr>
          <w:p w14:paraId="12A4155B" w14:textId="77777777" w:rsidR="00F82EEB" w:rsidRPr="00812932" w:rsidRDefault="00F82EEB" w:rsidP="00F82EEB">
            <w:pPr>
              <w:autoSpaceDE w:val="0"/>
              <w:autoSpaceDN w:val="0"/>
              <w:adjustRightInd w:val="0"/>
              <w:jc w:val="both"/>
              <w:rPr>
                <w:rFonts w:ascii="Arial" w:hAnsi="Arial" w:cs="Arial"/>
                <w:bCs/>
                <w:sz w:val="20"/>
                <w:szCs w:val="20"/>
              </w:rPr>
            </w:pPr>
            <w:r w:rsidRPr="00812932">
              <w:rPr>
                <w:rFonts w:ascii="Arial" w:hAnsi="Arial" w:cs="Arial"/>
                <w:bCs/>
                <w:sz w:val="20"/>
                <w:szCs w:val="20"/>
              </w:rPr>
              <w:t>22</w:t>
            </w:r>
          </w:p>
        </w:tc>
        <w:tc>
          <w:tcPr>
            <w:tcW w:w="729" w:type="pct"/>
            <w:shd w:val="clear" w:color="auto" w:fill="F3F7FB"/>
          </w:tcPr>
          <w:p w14:paraId="3BD3FAFB" w14:textId="77777777" w:rsidR="00F82EEB" w:rsidRPr="00812932" w:rsidRDefault="00F82EEB" w:rsidP="00FB3FDC">
            <w:pPr>
              <w:autoSpaceDE w:val="0"/>
              <w:autoSpaceDN w:val="0"/>
              <w:adjustRightInd w:val="0"/>
              <w:rPr>
                <w:rFonts w:ascii="Arial" w:hAnsi="Arial" w:cs="Arial"/>
                <w:sz w:val="20"/>
                <w:szCs w:val="20"/>
              </w:rPr>
            </w:pPr>
            <w:r w:rsidRPr="00812932">
              <w:rPr>
                <w:rFonts w:ascii="Arial" w:hAnsi="Arial" w:cs="Arial"/>
                <w:bCs/>
                <w:sz w:val="20"/>
                <w:szCs w:val="20"/>
              </w:rPr>
              <w:t>Training sessions on Professional Development (2021)</w:t>
            </w:r>
          </w:p>
        </w:tc>
        <w:tc>
          <w:tcPr>
            <w:tcW w:w="3343" w:type="pct"/>
            <w:shd w:val="clear" w:color="auto" w:fill="F3F7FB"/>
          </w:tcPr>
          <w:p w14:paraId="4E504E7E" w14:textId="77777777" w:rsidR="00F82EEB" w:rsidRPr="00812932" w:rsidRDefault="00F82EEB" w:rsidP="00F82EEB">
            <w:pPr>
              <w:autoSpaceDE w:val="0"/>
              <w:autoSpaceDN w:val="0"/>
              <w:adjustRightInd w:val="0"/>
              <w:jc w:val="both"/>
              <w:rPr>
                <w:rFonts w:ascii="Arial" w:hAnsi="Arial" w:cs="Arial"/>
                <w:sz w:val="20"/>
                <w:szCs w:val="20"/>
              </w:rPr>
            </w:pPr>
            <w:r w:rsidRPr="00812932">
              <w:rPr>
                <w:rFonts w:ascii="Arial" w:hAnsi="Arial" w:cs="Arial"/>
                <w:sz w:val="20"/>
                <w:szCs w:val="20"/>
              </w:rPr>
              <w:t xml:space="preserve">Ministry of Economy and Sustainable Development, Ministry of IDPs, Health, </w:t>
            </w:r>
            <w:proofErr w:type="spellStart"/>
            <w:r w:rsidRPr="00812932">
              <w:rPr>
                <w:rFonts w:ascii="Arial" w:hAnsi="Arial" w:cs="Arial"/>
                <w:sz w:val="20"/>
                <w:szCs w:val="20"/>
              </w:rPr>
              <w:t>Labour</w:t>
            </w:r>
            <w:proofErr w:type="spellEnd"/>
            <w:r w:rsidRPr="00812932">
              <w:rPr>
                <w:rFonts w:ascii="Arial" w:hAnsi="Arial" w:cs="Arial"/>
                <w:sz w:val="20"/>
                <w:szCs w:val="20"/>
              </w:rPr>
              <w:t xml:space="preserve"> and Social Affairs, Ministry of Environmental Protection and Agriculture</w:t>
            </w:r>
          </w:p>
        </w:tc>
        <w:tc>
          <w:tcPr>
            <w:tcW w:w="679" w:type="pct"/>
            <w:shd w:val="clear" w:color="auto" w:fill="F3F7FB"/>
          </w:tcPr>
          <w:p w14:paraId="79E01368"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Ongoing</w:t>
            </w:r>
          </w:p>
        </w:tc>
      </w:tr>
      <w:tr w:rsidR="00F82EEB" w:rsidRPr="00812932" w14:paraId="5758B6C0" w14:textId="77777777" w:rsidTr="00F82EEB">
        <w:tc>
          <w:tcPr>
            <w:tcW w:w="248" w:type="pct"/>
          </w:tcPr>
          <w:p w14:paraId="7F8037AA" w14:textId="77777777" w:rsidR="00F82EEB" w:rsidRPr="00812932" w:rsidRDefault="00F82EEB" w:rsidP="00F82EEB">
            <w:pPr>
              <w:autoSpaceDE w:val="0"/>
              <w:autoSpaceDN w:val="0"/>
              <w:adjustRightInd w:val="0"/>
              <w:jc w:val="both"/>
              <w:rPr>
                <w:rFonts w:ascii="Arial" w:hAnsi="Arial" w:cs="Arial"/>
                <w:bCs/>
                <w:sz w:val="20"/>
                <w:szCs w:val="20"/>
              </w:rPr>
            </w:pPr>
            <w:r w:rsidRPr="00812932">
              <w:rPr>
                <w:rFonts w:ascii="Arial" w:hAnsi="Arial" w:cs="Arial"/>
                <w:bCs/>
                <w:sz w:val="20"/>
                <w:szCs w:val="20"/>
              </w:rPr>
              <w:t>23</w:t>
            </w:r>
          </w:p>
        </w:tc>
        <w:tc>
          <w:tcPr>
            <w:tcW w:w="729" w:type="pct"/>
            <w:shd w:val="clear" w:color="auto" w:fill="auto"/>
          </w:tcPr>
          <w:p w14:paraId="74E48045" w14:textId="77777777" w:rsidR="00F82EEB" w:rsidRPr="00812932" w:rsidRDefault="00F82EEB" w:rsidP="00FB3FDC">
            <w:pPr>
              <w:autoSpaceDE w:val="0"/>
              <w:autoSpaceDN w:val="0"/>
              <w:adjustRightInd w:val="0"/>
              <w:rPr>
                <w:rFonts w:ascii="Arial" w:hAnsi="Arial" w:cs="Arial"/>
                <w:bCs/>
                <w:sz w:val="20"/>
                <w:szCs w:val="20"/>
              </w:rPr>
            </w:pPr>
            <w:r w:rsidRPr="00812932">
              <w:rPr>
                <w:rFonts w:ascii="Arial" w:hAnsi="Arial" w:cs="Arial"/>
                <w:bCs/>
                <w:sz w:val="20"/>
                <w:szCs w:val="20"/>
              </w:rPr>
              <w:t xml:space="preserve">Training on Management and Leadership </w:t>
            </w:r>
          </w:p>
        </w:tc>
        <w:tc>
          <w:tcPr>
            <w:tcW w:w="3343" w:type="pct"/>
            <w:shd w:val="clear" w:color="auto" w:fill="auto"/>
          </w:tcPr>
          <w:p w14:paraId="7D19DFA8" w14:textId="77777777" w:rsidR="00F82EEB" w:rsidRPr="00812932" w:rsidRDefault="00F82EEB" w:rsidP="00F82EEB">
            <w:pPr>
              <w:autoSpaceDE w:val="0"/>
              <w:autoSpaceDN w:val="0"/>
              <w:adjustRightInd w:val="0"/>
              <w:jc w:val="both"/>
              <w:rPr>
                <w:rFonts w:ascii="Arial" w:hAnsi="Arial" w:cs="Arial"/>
                <w:sz w:val="20"/>
                <w:szCs w:val="20"/>
                <w:lang w:val="ka-GE"/>
              </w:rPr>
            </w:pPr>
            <w:r w:rsidRPr="00812932">
              <w:rPr>
                <w:rFonts w:ascii="Arial" w:hAnsi="Arial" w:cs="Arial"/>
                <w:sz w:val="20"/>
                <w:szCs w:val="20"/>
              </w:rPr>
              <w:t xml:space="preserve">Civil Service Bureau </w:t>
            </w:r>
          </w:p>
        </w:tc>
        <w:tc>
          <w:tcPr>
            <w:tcW w:w="679" w:type="pct"/>
            <w:shd w:val="clear" w:color="auto" w:fill="auto"/>
          </w:tcPr>
          <w:p w14:paraId="64A63554" w14:textId="77777777" w:rsidR="00F82EEB" w:rsidRPr="00812932" w:rsidRDefault="00F82EEB" w:rsidP="00F82EEB">
            <w:pPr>
              <w:jc w:val="center"/>
              <w:rPr>
                <w:rFonts w:ascii="Arial" w:hAnsi="Arial" w:cs="Arial"/>
                <w:sz w:val="20"/>
                <w:szCs w:val="20"/>
                <w:lang w:val="ka-GE"/>
              </w:rPr>
            </w:pPr>
            <w:r w:rsidRPr="00812932">
              <w:rPr>
                <w:rFonts w:ascii="Arial" w:hAnsi="Arial" w:cs="Arial"/>
                <w:sz w:val="20"/>
                <w:szCs w:val="20"/>
              </w:rPr>
              <w:t>330 (F=189; M= 141)</w:t>
            </w:r>
          </w:p>
        </w:tc>
      </w:tr>
      <w:tr w:rsidR="00F82EEB" w:rsidRPr="00812932" w14:paraId="620CF0A9" w14:textId="77777777" w:rsidTr="00F82EEB">
        <w:tc>
          <w:tcPr>
            <w:tcW w:w="248" w:type="pct"/>
            <w:shd w:val="clear" w:color="auto" w:fill="F3F7FB"/>
          </w:tcPr>
          <w:p w14:paraId="0167B86C" w14:textId="77777777" w:rsidR="00F82EEB" w:rsidRPr="00812932" w:rsidRDefault="00F82EEB" w:rsidP="00F82EEB">
            <w:pPr>
              <w:autoSpaceDE w:val="0"/>
              <w:autoSpaceDN w:val="0"/>
              <w:adjustRightInd w:val="0"/>
              <w:jc w:val="both"/>
              <w:rPr>
                <w:rFonts w:ascii="Arial" w:hAnsi="Arial" w:cs="Arial"/>
                <w:bCs/>
                <w:sz w:val="20"/>
                <w:szCs w:val="20"/>
              </w:rPr>
            </w:pPr>
            <w:r w:rsidRPr="00812932">
              <w:rPr>
                <w:rFonts w:ascii="Arial" w:hAnsi="Arial" w:cs="Arial"/>
                <w:bCs/>
                <w:sz w:val="20"/>
                <w:szCs w:val="20"/>
              </w:rPr>
              <w:t>24</w:t>
            </w:r>
          </w:p>
        </w:tc>
        <w:tc>
          <w:tcPr>
            <w:tcW w:w="729" w:type="pct"/>
            <w:shd w:val="clear" w:color="auto" w:fill="F3F7FB"/>
          </w:tcPr>
          <w:p w14:paraId="031AC474" w14:textId="77777777" w:rsidR="00F82EEB" w:rsidRPr="00812932" w:rsidRDefault="00F82EEB" w:rsidP="00FB3FDC">
            <w:pPr>
              <w:autoSpaceDE w:val="0"/>
              <w:autoSpaceDN w:val="0"/>
              <w:adjustRightInd w:val="0"/>
              <w:rPr>
                <w:rFonts w:ascii="Arial" w:hAnsi="Arial" w:cs="Arial"/>
                <w:bCs/>
                <w:sz w:val="20"/>
                <w:szCs w:val="20"/>
              </w:rPr>
            </w:pPr>
            <w:r w:rsidRPr="00812932">
              <w:rPr>
                <w:rFonts w:ascii="Arial" w:hAnsi="Arial" w:cs="Arial"/>
                <w:bCs/>
                <w:sz w:val="20"/>
                <w:szCs w:val="20"/>
              </w:rPr>
              <w:t>One session for two-days training conducted in cooperation with the Local Consultant on Communication Techniques and Dispute Prevention for three groups of managers (2020)</w:t>
            </w:r>
          </w:p>
        </w:tc>
        <w:tc>
          <w:tcPr>
            <w:tcW w:w="3343" w:type="pct"/>
            <w:shd w:val="clear" w:color="auto" w:fill="F3F7FB"/>
          </w:tcPr>
          <w:p w14:paraId="34EF58FB" w14:textId="77777777" w:rsidR="00F82EEB" w:rsidRPr="00812932" w:rsidRDefault="00F82EEB" w:rsidP="00F82EEB">
            <w:pPr>
              <w:autoSpaceDE w:val="0"/>
              <w:autoSpaceDN w:val="0"/>
              <w:adjustRightInd w:val="0"/>
              <w:jc w:val="both"/>
              <w:rPr>
                <w:rFonts w:ascii="Arial" w:hAnsi="Arial" w:cs="Arial"/>
                <w:sz w:val="20"/>
                <w:szCs w:val="20"/>
              </w:rPr>
            </w:pPr>
            <w:r w:rsidRPr="00812932">
              <w:rPr>
                <w:rFonts w:ascii="Arial" w:hAnsi="Arial" w:cs="Arial"/>
                <w:sz w:val="20"/>
                <w:szCs w:val="20"/>
              </w:rPr>
              <w:t>Ministry of Economy and Sustainable Development</w:t>
            </w:r>
          </w:p>
        </w:tc>
        <w:tc>
          <w:tcPr>
            <w:tcW w:w="679" w:type="pct"/>
            <w:shd w:val="clear" w:color="auto" w:fill="F3F7FB"/>
          </w:tcPr>
          <w:p w14:paraId="5D35550E"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71 (F=47; M=24)</w:t>
            </w:r>
          </w:p>
        </w:tc>
      </w:tr>
      <w:tr w:rsidR="00F82EEB" w:rsidRPr="00812932" w14:paraId="3F75D9CB" w14:textId="77777777" w:rsidTr="00F82EEB">
        <w:tc>
          <w:tcPr>
            <w:tcW w:w="248" w:type="pct"/>
          </w:tcPr>
          <w:p w14:paraId="25795B36" w14:textId="77777777" w:rsidR="00F82EEB" w:rsidRPr="00812932" w:rsidRDefault="00F82EEB" w:rsidP="00F82EEB">
            <w:pPr>
              <w:autoSpaceDE w:val="0"/>
              <w:autoSpaceDN w:val="0"/>
              <w:adjustRightInd w:val="0"/>
              <w:jc w:val="both"/>
              <w:rPr>
                <w:rFonts w:ascii="Arial" w:hAnsi="Arial" w:cs="Arial"/>
                <w:bCs/>
                <w:sz w:val="20"/>
                <w:szCs w:val="20"/>
              </w:rPr>
            </w:pPr>
            <w:r w:rsidRPr="00812932">
              <w:rPr>
                <w:rFonts w:ascii="Arial" w:hAnsi="Arial" w:cs="Arial"/>
                <w:bCs/>
                <w:sz w:val="20"/>
                <w:szCs w:val="20"/>
              </w:rPr>
              <w:lastRenderedPageBreak/>
              <w:t>25</w:t>
            </w:r>
          </w:p>
        </w:tc>
        <w:tc>
          <w:tcPr>
            <w:tcW w:w="729" w:type="pct"/>
            <w:shd w:val="clear" w:color="auto" w:fill="auto"/>
          </w:tcPr>
          <w:p w14:paraId="3BACFBF6" w14:textId="77777777" w:rsidR="00F82EEB" w:rsidRPr="00812932" w:rsidRDefault="00F82EEB" w:rsidP="00FB3FDC">
            <w:pPr>
              <w:autoSpaceDE w:val="0"/>
              <w:autoSpaceDN w:val="0"/>
              <w:adjustRightInd w:val="0"/>
              <w:rPr>
                <w:rFonts w:ascii="Arial" w:hAnsi="Arial" w:cs="Arial"/>
                <w:bCs/>
                <w:sz w:val="20"/>
                <w:szCs w:val="20"/>
              </w:rPr>
            </w:pPr>
            <w:r w:rsidRPr="00812932">
              <w:rPr>
                <w:rFonts w:ascii="Arial" w:hAnsi="Arial" w:cs="Arial"/>
                <w:bCs/>
                <w:sz w:val="20"/>
                <w:szCs w:val="20"/>
              </w:rPr>
              <w:t>Three training sessions aimed at linking individual appraisal plans with department/strategic goals (2021)</w:t>
            </w:r>
          </w:p>
        </w:tc>
        <w:tc>
          <w:tcPr>
            <w:tcW w:w="3343" w:type="pct"/>
            <w:shd w:val="clear" w:color="auto" w:fill="auto"/>
          </w:tcPr>
          <w:p w14:paraId="764AE1EF" w14:textId="77777777" w:rsidR="00F82EEB" w:rsidRPr="00812932" w:rsidRDefault="00F82EEB" w:rsidP="00F82EEB">
            <w:pPr>
              <w:autoSpaceDE w:val="0"/>
              <w:autoSpaceDN w:val="0"/>
              <w:adjustRightInd w:val="0"/>
              <w:jc w:val="both"/>
              <w:rPr>
                <w:rFonts w:ascii="Arial" w:hAnsi="Arial" w:cs="Arial"/>
                <w:sz w:val="20"/>
                <w:szCs w:val="20"/>
              </w:rPr>
            </w:pPr>
            <w:r w:rsidRPr="00812932">
              <w:rPr>
                <w:rFonts w:ascii="Arial" w:hAnsi="Arial" w:cs="Arial"/>
                <w:sz w:val="20"/>
                <w:szCs w:val="20"/>
              </w:rPr>
              <w:t xml:space="preserve">Ministry of IDPs, Health, </w:t>
            </w:r>
            <w:proofErr w:type="spellStart"/>
            <w:r w:rsidRPr="00812932">
              <w:rPr>
                <w:rFonts w:ascii="Arial" w:hAnsi="Arial" w:cs="Arial"/>
                <w:sz w:val="20"/>
                <w:szCs w:val="20"/>
              </w:rPr>
              <w:t>Labour</w:t>
            </w:r>
            <w:proofErr w:type="spellEnd"/>
            <w:r w:rsidRPr="00812932">
              <w:rPr>
                <w:rFonts w:ascii="Arial" w:hAnsi="Arial" w:cs="Arial"/>
                <w:sz w:val="20"/>
                <w:szCs w:val="20"/>
              </w:rPr>
              <w:t xml:space="preserve"> and Social Affairs</w:t>
            </w:r>
          </w:p>
        </w:tc>
        <w:tc>
          <w:tcPr>
            <w:tcW w:w="679" w:type="pct"/>
            <w:shd w:val="clear" w:color="auto" w:fill="auto"/>
          </w:tcPr>
          <w:p w14:paraId="31CA784C" w14:textId="77777777" w:rsidR="00F82EEB" w:rsidRPr="00812932" w:rsidRDefault="00F82EEB" w:rsidP="00F82EEB">
            <w:pPr>
              <w:jc w:val="center"/>
              <w:rPr>
                <w:rFonts w:ascii="Arial" w:hAnsi="Arial" w:cs="Arial"/>
                <w:sz w:val="20"/>
                <w:szCs w:val="20"/>
              </w:rPr>
            </w:pPr>
            <w:r w:rsidRPr="00812932">
              <w:rPr>
                <w:rFonts w:ascii="Arial" w:hAnsi="Arial" w:cs="Arial"/>
                <w:sz w:val="20"/>
                <w:szCs w:val="20"/>
              </w:rPr>
              <w:t>Ongoing</w:t>
            </w:r>
          </w:p>
        </w:tc>
      </w:tr>
    </w:tbl>
    <w:p w14:paraId="273126F3" w14:textId="77777777" w:rsidR="00F82EEB" w:rsidRPr="00B72130" w:rsidRDefault="00F82EEB" w:rsidP="00F82EEB">
      <w:pPr>
        <w:rPr>
          <w:rFonts w:ascii="Lora" w:hAnsi="Lora"/>
        </w:rPr>
      </w:pPr>
    </w:p>
    <w:p w14:paraId="23B008D4" w14:textId="77777777" w:rsidR="00F82EEB" w:rsidRPr="00B72130" w:rsidRDefault="00F82EEB" w:rsidP="00F82EEB">
      <w:pPr>
        <w:rPr>
          <w:rFonts w:ascii="Lora" w:hAnsi="Lora"/>
        </w:rPr>
      </w:pPr>
    </w:p>
    <w:p w14:paraId="152F9813" w14:textId="77777777" w:rsidR="00812932" w:rsidRDefault="00812932">
      <w:pPr>
        <w:rPr>
          <w:rFonts w:ascii="Lora" w:eastAsiaTheme="majorEastAsia" w:hAnsi="Lora" w:cstheme="majorBidi"/>
          <w:b/>
          <w:bCs/>
          <w:color w:val="345A8A" w:themeColor="accent1" w:themeShade="B5"/>
          <w:sz w:val="32"/>
          <w:szCs w:val="32"/>
        </w:rPr>
      </w:pPr>
      <w:bookmarkStart w:id="54" w:name="_Toc64680911"/>
      <w:r>
        <w:rPr>
          <w:rFonts w:ascii="Lora" w:hAnsi="Lora"/>
        </w:rPr>
        <w:br w:type="page"/>
      </w:r>
    </w:p>
    <w:p w14:paraId="334F6A9C" w14:textId="26BB1D73" w:rsidR="00F82EEB" w:rsidRPr="00B72130" w:rsidRDefault="001A58F1" w:rsidP="00F82EEB">
      <w:pPr>
        <w:pStyle w:val="Heading1"/>
        <w:rPr>
          <w:rFonts w:ascii="Lora" w:hAnsi="Lora"/>
        </w:rPr>
      </w:pPr>
      <w:bookmarkStart w:id="55" w:name="_Toc478138890"/>
      <w:r>
        <w:rPr>
          <w:rFonts w:ascii="Lora" w:hAnsi="Lora"/>
        </w:rPr>
        <w:lastRenderedPageBreak/>
        <w:t>Annex I:</w:t>
      </w:r>
      <w:r>
        <w:rPr>
          <w:rFonts w:ascii="Lora" w:hAnsi="Lora"/>
        </w:rPr>
        <w:tab/>
      </w:r>
      <w:r w:rsidR="00802807">
        <w:rPr>
          <w:rFonts w:ascii="Lora" w:hAnsi="Lora"/>
        </w:rPr>
        <w:t xml:space="preserve">Emerging Needs - </w:t>
      </w:r>
      <w:r w:rsidR="00F82EEB" w:rsidRPr="00B72130">
        <w:rPr>
          <w:rFonts w:ascii="Lora" w:hAnsi="Lora"/>
        </w:rPr>
        <w:t xml:space="preserve">PAR-sponsored </w:t>
      </w:r>
      <w:r w:rsidR="00812932">
        <w:rPr>
          <w:rFonts w:ascii="Lora" w:hAnsi="Lora"/>
        </w:rPr>
        <w:t xml:space="preserve">Sub </w:t>
      </w:r>
      <w:r w:rsidR="00F82EEB" w:rsidRPr="00B72130">
        <w:rPr>
          <w:rFonts w:ascii="Lora" w:hAnsi="Lora"/>
        </w:rPr>
        <w:t>Projects</w:t>
      </w:r>
      <w:bookmarkEnd w:id="54"/>
      <w:bookmarkEnd w:id="55"/>
    </w:p>
    <w:p w14:paraId="08B9A1FD" w14:textId="77777777" w:rsidR="00F82EEB" w:rsidRPr="00B72130" w:rsidRDefault="00F82EEB" w:rsidP="00F82EEB">
      <w:pPr>
        <w:jc w:val="center"/>
        <w:rPr>
          <w:rFonts w:ascii="Lora" w:hAnsi="Lora" w:cs="Arial"/>
          <w:sz w:val="22"/>
          <w:szCs w:val="22"/>
        </w:rPr>
      </w:pPr>
    </w:p>
    <w:tbl>
      <w:tblPr>
        <w:tblW w:w="5000" w:type="pct"/>
        <w:tblLook w:val="04A0" w:firstRow="1" w:lastRow="0" w:firstColumn="1" w:lastColumn="0" w:noHBand="0" w:noVBand="1"/>
      </w:tblPr>
      <w:tblGrid>
        <w:gridCol w:w="497"/>
        <w:gridCol w:w="2011"/>
        <w:gridCol w:w="3724"/>
        <w:gridCol w:w="1767"/>
        <w:gridCol w:w="1397"/>
        <w:gridCol w:w="5500"/>
      </w:tblGrid>
      <w:tr w:rsidR="00F82EEB" w:rsidRPr="00812932" w14:paraId="532BF25F" w14:textId="77777777" w:rsidTr="00F82EEB">
        <w:trPr>
          <w:tblHeader/>
        </w:trPr>
        <w:tc>
          <w:tcPr>
            <w:tcW w:w="167" w:type="pct"/>
            <w:shd w:val="clear" w:color="auto" w:fill="95B3D7" w:themeFill="accent1" w:themeFillTint="99"/>
          </w:tcPr>
          <w:p w14:paraId="54882D0B" w14:textId="77777777" w:rsidR="00F82EEB" w:rsidRPr="00812932" w:rsidRDefault="00F82EEB" w:rsidP="00F82EEB">
            <w:pPr>
              <w:rPr>
                <w:rFonts w:ascii="Arial" w:hAnsi="Arial" w:cs="Arial"/>
                <w:b/>
                <w:bCs/>
                <w:sz w:val="20"/>
                <w:szCs w:val="20"/>
              </w:rPr>
            </w:pPr>
          </w:p>
        </w:tc>
        <w:tc>
          <w:tcPr>
            <w:tcW w:w="675" w:type="pct"/>
            <w:shd w:val="clear" w:color="auto" w:fill="95B3D7" w:themeFill="accent1" w:themeFillTint="99"/>
            <w:vAlign w:val="center"/>
          </w:tcPr>
          <w:p w14:paraId="0734D970" w14:textId="77777777" w:rsidR="00F82EEB" w:rsidRPr="00812932" w:rsidRDefault="00F82EEB" w:rsidP="00F82EEB">
            <w:pPr>
              <w:jc w:val="center"/>
              <w:rPr>
                <w:rFonts w:ascii="Arial" w:hAnsi="Arial" w:cs="Arial"/>
                <w:b/>
                <w:bCs/>
                <w:sz w:val="22"/>
                <w:szCs w:val="22"/>
              </w:rPr>
            </w:pPr>
            <w:r w:rsidRPr="00812932">
              <w:rPr>
                <w:rFonts w:ascii="Arial" w:hAnsi="Arial" w:cs="Arial"/>
                <w:b/>
                <w:bCs/>
                <w:sz w:val="22"/>
                <w:szCs w:val="22"/>
              </w:rPr>
              <w:t>Subject</w:t>
            </w:r>
          </w:p>
        </w:tc>
        <w:tc>
          <w:tcPr>
            <w:tcW w:w="1250" w:type="pct"/>
            <w:shd w:val="clear" w:color="auto" w:fill="95B3D7" w:themeFill="accent1" w:themeFillTint="99"/>
            <w:vAlign w:val="center"/>
          </w:tcPr>
          <w:p w14:paraId="11865A62" w14:textId="77777777" w:rsidR="00F82EEB" w:rsidRPr="00812932" w:rsidRDefault="00F82EEB" w:rsidP="00F82EEB">
            <w:pPr>
              <w:jc w:val="center"/>
              <w:rPr>
                <w:rFonts w:ascii="Arial" w:hAnsi="Arial" w:cs="Arial"/>
                <w:b/>
                <w:bCs/>
                <w:sz w:val="22"/>
                <w:szCs w:val="22"/>
              </w:rPr>
            </w:pPr>
            <w:r w:rsidRPr="00812932">
              <w:rPr>
                <w:rFonts w:ascii="Arial" w:hAnsi="Arial" w:cs="Arial"/>
                <w:b/>
                <w:bCs/>
                <w:sz w:val="22"/>
                <w:szCs w:val="22"/>
              </w:rPr>
              <w:t>Brief Description</w:t>
            </w:r>
          </w:p>
        </w:tc>
        <w:tc>
          <w:tcPr>
            <w:tcW w:w="593" w:type="pct"/>
            <w:shd w:val="clear" w:color="auto" w:fill="95B3D7" w:themeFill="accent1" w:themeFillTint="99"/>
            <w:vAlign w:val="center"/>
          </w:tcPr>
          <w:p w14:paraId="6A461A05" w14:textId="77777777" w:rsidR="00F82EEB" w:rsidRPr="00812932" w:rsidRDefault="00F82EEB" w:rsidP="00F82EEB">
            <w:pPr>
              <w:jc w:val="center"/>
              <w:rPr>
                <w:rFonts w:ascii="Arial" w:hAnsi="Arial" w:cs="Arial"/>
                <w:b/>
                <w:bCs/>
                <w:sz w:val="22"/>
                <w:szCs w:val="22"/>
                <w:highlight w:val="yellow"/>
              </w:rPr>
            </w:pPr>
            <w:r w:rsidRPr="00812932">
              <w:rPr>
                <w:rFonts w:ascii="Arial" w:hAnsi="Arial" w:cs="Arial"/>
                <w:b/>
                <w:bCs/>
                <w:sz w:val="22"/>
                <w:szCs w:val="22"/>
              </w:rPr>
              <w:t>Partner</w:t>
            </w:r>
          </w:p>
        </w:tc>
        <w:tc>
          <w:tcPr>
            <w:tcW w:w="469" w:type="pct"/>
            <w:shd w:val="clear" w:color="auto" w:fill="95B3D7" w:themeFill="accent1" w:themeFillTint="99"/>
            <w:vAlign w:val="center"/>
          </w:tcPr>
          <w:p w14:paraId="1E612968" w14:textId="77777777" w:rsidR="00F82EEB" w:rsidRPr="00812932" w:rsidRDefault="00F82EEB" w:rsidP="00F82EEB">
            <w:pPr>
              <w:jc w:val="center"/>
              <w:rPr>
                <w:rFonts w:ascii="Arial" w:hAnsi="Arial" w:cs="Arial"/>
                <w:b/>
                <w:bCs/>
                <w:sz w:val="22"/>
                <w:szCs w:val="22"/>
                <w:highlight w:val="yellow"/>
              </w:rPr>
            </w:pPr>
            <w:r w:rsidRPr="00812932">
              <w:rPr>
                <w:rFonts w:ascii="Arial" w:hAnsi="Arial" w:cs="Arial"/>
                <w:b/>
                <w:bCs/>
                <w:sz w:val="22"/>
                <w:szCs w:val="22"/>
              </w:rPr>
              <w:t>Start/End Dates</w:t>
            </w:r>
          </w:p>
        </w:tc>
        <w:tc>
          <w:tcPr>
            <w:tcW w:w="1845" w:type="pct"/>
            <w:shd w:val="clear" w:color="auto" w:fill="95B3D7" w:themeFill="accent1" w:themeFillTint="99"/>
            <w:vAlign w:val="center"/>
          </w:tcPr>
          <w:p w14:paraId="107E2A5D" w14:textId="77777777" w:rsidR="00F82EEB" w:rsidRPr="00812932" w:rsidRDefault="00F82EEB" w:rsidP="00F82EEB">
            <w:pPr>
              <w:ind w:left="-108"/>
              <w:jc w:val="center"/>
              <w:rPr>
                <w:rFonts w:ascii="Arial" w:hAnsi="Arial" w:cs="Arial"/>
                <w:b/>
                <w:bCs/>
                <w:sz w:val="22"/>
                <w:szCs w:val="22"/>
                <w:highlight w:val="yellow"/>
              </w:rPr>
            </w:pPr>
            <w:r w:rsidRPr="00812932">
              <w:rPr>
                <w:rFonts w:ascii="Arial" w:hAnsi="Arial" w:cs="Arial"/>
                <w:b/>
                <w:bCs/>
                <w:sz w:val="22"/>
                <w:szCs w:val="22"/>
              </w:rPr>
              <w:t>Result and/or Next Step</w:t>
            </w:r>
          </w:p>
        </w:tc>
      </w:tr>
      <w:tr w:rsidR="00F82EEB" w:rsidRPr="00812932" w14:paraId="1C88E165" w14:textId="77777777" w:rsidTr="00F82EEB">
        <w:tc>
          <w:tcPr>
            <w:tcW w:w="167" w:type="pct"/>
            <w:shd w:val="clear" w:color="auto" w:fill="B8CCE4" w:themeFill="accent1" w:themeFillTint="66"/>
          </w:tcPr>
          <w:p w14:paraId="57FE1661" w14:textId="77777777" w:rsidR="00F82EEB" w:rsidRPr="00812932" w:rsidRDefault="00F82EEB" w:rsidP="00F82EEB">
            <w:pPr>
              <w:rPr>
                <w:rFonts w:ascii="Arial" w:hAnsi="Arial" w:cs="Arial"/>
                <w:b/>
                <w:bCs/>
                <w:sz w:val="20"/>
                <w:szCs w:val="20"/>
              </w:rPr>
            </w:pPr>
          </w:p>
        </w:tc>
        <w:tc>
          <w:tcPr>
            <w:tcW w:w="4833" w:type="pct"/>
            <w:gridSpan w:val="5"/>
            <w:shd w:val="clear" w:color="auto" w:fill="B8CCE4" w:themeFill="accent1" w:themeFillTint="66"/>
          </w:tcPr>
          <w:p w14:paraId="49AD6858" w14:textId="77777777" w:rsidR="00F82EEB" w:rsidRPr="00812932" w:rsidRDefault="00F82EEB" w:rsidP="00EB743C">
            <w:pPr>
              <w:pStyle w:val="ListParagraph"/>
              <w:numPr>
                <w:ilvl w:val="0"/>
                <w:numId w:val="52"/>
              </w:numPr>
              <w:jc w:val="center"/>
              <w:rPr>
                <w:rFonts w:ascii="Arial" w:hAnsi="Arial" w:cs="Arial"/>
                <w:sz w:val="22"/>
                <w:szCs w:val="22"/>
              </w:rPr>
            </w:pPr>
            <w:r w:rsidRPr="00812932">
              <w:rPr>
                <w:rFonts w:ascii="Arial" w:hAnsi="Arial" w:cs="Arial"/>
                <w:b/>
                <w:bCs/>
                <w:sz w:val="22"/>
                <w:szCs w:val="22"/>
              </w:rPr>
              <w:t>Policy Development and Coordination</w:t>
            </w:r>
          </w:p>
        </w:tc>
      </w:tr>
      <w:tr w:rsidR="00F82EEB" w:rsidRPr="00812932" w14:paraId="186136D2" w14:textId="77777777" w:rsidTr="00F82EEB">
        <w:tc>
          <w:tcPr>
            <w:tcW w:w="167" w:type="pct"/>
            <w:shd w:val="clear" w:color="auto" w:fill="F3F7FB"/>
          </w:tcPr>
          <w:p w14:paraId="4A3BA8F9" w14:textId="77777777" w:rsidR="00F82EEB" w:rsidRPr="00812932" w:rsidRDefault="00F82EEB" w:rsidP="00F82EEB">
            <w:pPr>
              <w:ind w:left="-108"/>
              <w:jc w:val="both"/>
              <w:rPr>
                <w:rFonts w:ascii="Arial" w:hAnsi="Arial" w:cs="Arial"/>
                <w:b/>
                <w:bCs/>
                <w:sz w:val="20"/>
                <w:szCs w:val="20"/>
              </w:rPr>
            </w:pPr>
          </w:p>
        </w:tc>
        <w:tc>
          <w:tcPr>
            <w:tcW w:w="4833" w:type="pct"/>
            <w:gridSpan w:val="5"/>
            <w:shd w:val="clear" w:color="auto" w:fill="F3F7FB"/>
          </w:tcPr>
          <w:p w14:paraId="6DCE24A8" w14:textId="77777777" w:rsidR="00F82EEB" w:rsidRPr="00812932" w:rsidRDefault="00F82EEB" w:rsidP="00F82EEB">
            <w:pPr>
              <w:ind w:left="-108"/>
              <w:jc w:val="both"/>
              <w:rPr>
                <w:rFonts w:ascii="Arial" w:hAnsi="Arial" w:cs="Arial"/>
                <w:b/>
                <w:bCs/>
                <w:sz w:val="20"/>
                <w:szCs w:val="20"/>
              </w:rPr>
            </w:pPr>
            <w:r w:rsidRPr="00812932">
              <w:rPr>
                <w:rFonts w:ascii="Arial" w:hAnsi="Arial" w:cs="Arial"/>
                <w:b/>
                <w:bCs/>
                <w:sz w:val="20"/>
                <w:szCs w:val="20"/>
              </w:rPr>
              <w:t>N/A</w:t>
            </w:r>
          </w:p>
        </w:tc>
      </w:tr>
      <w:tr w:rsidR="00F82EEB" w:rsidRPr="00812932" w14:paraId="150ED597" w14:textId="77777777" w:rsidTr="00F82EEB">
        <w:tc>
          <w:tcPr>
            <w:tcW w:w="167" w:type="pct"/>
            <w:shd w:val="clear" w:color="auto" w:fill="B8CCE4" w:themeFill="accent1" w:themeFillTint="66"/>
          </w:tcPr>
          <w:p w14:paraId="6480DE71" w14:textId="77777777" w:rsidR="00F82EEB" w:rsidRPr="00812932" w:rsidRDefault="00F82EEB" w:rsidP="00F82EEB">
            <w:pPr>
              <w:rPr>
                <w:rFonts w:ascii="Arial" w:hAnsi="Arial" w:cs="Arial"/>
                <w:b/>
                <w:bCs/>
                <w:sz w:val="20"/>
                <w:szCs w:val="20"/>
              </w:rPr>
            </w:pPr>
          </w:p>
        </w:tc>
        <w:tc>
          <w:tcPr>
            <w:tcW w:w="4833" w:type="pct"/>
            <w:gridSpan w:val="5"/>
            <w:shd w:val="clear" w:color="auto" w:fill="B8CCE4" w:themeFill="accent1" w:themeFillTint="66"/>
          </w:tcPr>
          <w:p w14:paraId="3EE2922E" w14:textId="77777777" w:rsidR="00F82EEB" w:rsidRPr="00812932" w:rsidRDefault="00F82EEB" w:rsidP="00EB743C">
            <w:pPr>
              <w:pStyle w:val="ListParagraph"/>
              <w:numPr>
                <w:ilvl w:val="0"/>
                <w:numId w:val="52"/>
              </w:numPr>
              <w:jc w:val="center"/>
              <w:rPr>
                <w:rFonts w:ascii="Arial" w:hAnsi="Arial" w:cs="Arial"/>
                <w:sz w:val="22"/>
                <w:szCs w:val="22"/>
              </w:rPr>
            </w:pPr>
            <w:r w:rsidRPr="00812932">
              <w:rPr>
                <w:rFonts w:ascii="Arial" w:hAnsi="Arial" w:cs="Arial"/>
                <w:b/>
                <w:bCs/>
                <w:sz w:val="22"/>
                <w:szCs w:val="22"/>
              </w:rPr>
              <w:t>Human Resources Management and Civil Service Reform</w:t>
            </w:r>
          </w:p>
        </w:tc>
      </w:tr>
      <w:tr w:rsidR="00F82EEB" w:rsidRPr="00812932" w14:paraId="675F57E4" w14:textId="77777777" w:rsidTr="00F82EEB">
        <w:tc>
          <w:tcPr>
            <w:tcW w:w="167" w:type="pct"/>
          </w:tcPr>
          <w:p w14:paraId="7524C464" w14:textId="77777777" w:rsidR="00F82EEB" w:rsidRPr="00812932" w:rsidRDefault="00F82EEB" w:rsidP="00F82EEB">
            <w:pPr>
              <w:jc w:val="both"/>
              <w:rPr>
                <w:rFonts w:ascii="Arial" w:eastAsia="Times New Roman" w:hAnsi="Arial" w:cs="Arial"/>
                <w:sz w:val="20"/>
                <w:szCs w:val="20"/>
              </w:rPr>
            </w:pPr>
            <w:r w:rsidRPr="00812932">
              <w:rPr>
                <w:rFonts w:ascii="Arial" w:eastAsia="Times New Roman" w:hAnsi="Arial" w:cs="Arial"/>
                <w:sz w:val="20"/>
                <w:szCs w:val="20"/>
              </w:rPr>
              <w:t>1</w:t>
            </w:r>
          </w:p>
        </w:tc>
        <w:tc>
          <w:tcPr>
            <w:tcW w:w="675" w:type="pct"/>
            <w:shd w:val="clear" w:color="auto" w:fill="auto"/>
          </w:tcPr>
          <w:p w14:paraId="1E8F158F" w14:textId="26B94E3B" w:rsidR="00F82EEB" w:rsidRPr="00812932" w:rsidRDefault="00F82EEB" w:rsidP="00FB3FDC">
            <w:pPr>
              <w:autoSpaceDE w:val="0"/>
              <w:autoSpaceDN w:val="0"/>
              <w:adjustRightInd w:val="0"/>
              <w:rPr>
                <w:rFonts w:ascii="Arial" w:hAnsi="Arial" w:cs="Arial"/>
                <w:bCs/>
                <w:sz w:val="20"/>
                <w:szCs w:val="20"/>
              </w:rPr>
            </w:pPr>
            <w:r w:rsidRPr="00812932">
              <w:rPr>
                <w:rFonts w:ascii="Arial" w:hAnsi="Arial" w:cs="Arial"/>
                <w:bCs/>
                <w:sz w:val="20"/>
                <w:szCs w:val="20"/>
              </w:rPr>
              <w:t>Capacity Building in Civil Service and Anti-Corruption Area</w:t>
            </w:r>
            <w:r w:rsidR="000D55D3">
              <w:rPr>
                <w:rFonts w:ascii="Arial" w:hAnsi="Arial" w:cs="Arial"/>
                <w:bCs/>
                <w:sz w:val="20"/>
                <w:szCs w:val="20"/>
              </w:rPr>
              <w:t xml:space="preserve"> </w:t>
            </w:r>
            <w:r w:rsidR="000D55D3" w:rsidRPr="00366F5F">
              <w:rPr>
                <w:rFonts w:ascii="Arial" w:hAnsi="Arial" w:cs="Arial"/>
                <w:bCs/>
                <w:sz w:val="20"/>
                <w:szCs w:val="20"/>
              </w:rPr>
              <w:t>(Emerging Needs)</w:t>
            </w:r>
          </w:p>
        </w:tc>
        <w:tc>
          <w:tcPr>
            <w:tcW w:w="1250" w:type="pct"/>
            <w:shd w:val="clear" w:color="auto" w:fill="auto"/>
          </w:tcPr>
          <w:p w14:paraId="723AD1B5" w14:textId="77777777" w:rsidR="00F82EEB" w:rsidRPr="00812932" w:rsidRDefault="00F82EEB" w:rsidP="00FB3FDC">
            <w:pPr>
              <w:autoSpaceDE w:val="0"/>
              <w:autoSpaceDN w:val="0"/>
              <w:adjustRightInd w:val="0"/>
              <w:rPr>
                <w:rFonts w:ascii="Arial" w:hAnsi="Arial" w:cs="Arial"/>
                <w:bCs/>
                <w:sz w:val="20"/>
                <w:szCs w:val="20"/>
              </w:rPr>
            </w:pPr>
            <w:r w:rsidRPr="00812932">
              <w:rPr>
                <w:rFonts w:ascii="Arial" w:hAnsi="Arial" w:cs="Arial"/>
                <w:bCs/>
                <w:sz w:val="20"/>
                <w:szCs w:val="20"/>
              </w:rPr>
              <w:t>To enhance awareness concerning the implications of the Law on Civil Service and its relevant by-laws, the project provided support to the CSB for the activities targeting a) civil servants on central and local levels; b) NGOs, media and administration of Courts, as well as c) young researchers and students.</w:t>
            </w:r>
          </w:p>
        </w:tc>
        <w:tc>
          <w:tcPr>
            <w:tcW w:w="593" w:type="pct"/>
            <w:shd w:val="clear" w:color="auto" w:fill="auto"/>
          </w:tcPr>
          <w:p w14:paraId="558C06E3" w14:textId="77777777" w:rsidR="00F82EEB" w:rsidRPr="00812932" w:rsidRDefault="00F82EEB" w:rsidP="00FB3FDC">
            <w:pPr>
              <w:autoSpaceDE w:val="0"/>
              <w:autoSpaceDN w:val="0"/>
              <w:adjustRightInd w:val="0"/>
              <w:rPr>
                <w:rFonts w:ascii="Arial" w:hAnsi="Arial" w:cs="Arial"/>
                <w:bCs/>
                <w:sz w:val="20"/>
                <w:szCs w:val="20"/>
              </w:rPr>
            </w:pPr>
            <w:r w:rsidRPr="00812932">
              <w:rPr>
                <w:rFonts w:ascii="Arial" w:hAnsi="Arial" w:cs="Arial"/>
                <w:bCs/>
                <w:sz w:val="20"/>
                <w:szCs w:val="20"/>
              </w:rPr>
              <w:t>CSB</w:t>
            </w:r>
          </w:p>
        </w:tc>
        <w:tc>
          <w:tcPr>
            <w:tcW w:w="469" w:type="pct"/>
            <w:shd w:val="clear" w:color="auto" w:fill="auto"/>
          </w:tcPr>
          <w:p w14:paraId="77F10F4C" w14:textId="77777777" w:rsidR="00F82EEB" w:rsidRPr="00812932" w:rsidRDefault="00F82EEB" w:rsidP="00FB3FDC">
            <w:pPr>
              <w:autoSpaceDE w:val="0"/>
              <w:autoSpaceDN w:val="0"/>
              <w:adjustRightInd w:val="0"/>
              <w:rPr>
                <w:rFonts w:ascii="Arial" w:hAnsi="Arial" w:cs="Arial"/>
                <w:bCs/>
                <w:sz w:val="20"/>
                <w:szCs w:val="20"/>
              </w:rPr>
            </w:pPr>
            <w:r w:rsidRPr="00812932">
              <w:rPr>
                <w:rFonts w:ascii="Arial" w:hAnsi="Arial" w:cs="Arial"/>
                <w:bCs/>
                <w:sz w:val="20"/>
                <w:szCs w:val="20"/>
              </w:rPr>
              <w:t>2017-2018</w:t>
            </w:r>
          </w:p>
        </w:tc>
        <w:tc>
          <w:tcPr>
            <w:tcW w:w="1845" w:type="pct"/>
            <w:shd w:val="clear" w:color="auto" w:fill="auto"/>
          </w:tcPr>
          <w:p w14:paraId="75E4D8D5" w14:textId="77777777" w:rsidR="00F82EEB" w:rsidRPr="00812932" w:rsidRDefault="00F82EEB" w:rsidP="00FB3FDC">
            <w:pPr>
              <w:rPr>
                <w:rFonts w:ascii="Arial" w:hAnsi="Arial" w:cs="Arial"/>
                <w:bCs/>
                <w:sz w:val="20"/>
                <w:szCs w:val="20"/>
              </w:rPr>
            </w:pPr>
            <w:r w:rsidRPr="00812932">
              <w:rPr>
                <w:rStyle w:val="A13"/>
                <w:rFonts w:ascii="Arial" w:hAnsi="Arial" w:cs="Arial"/>
                <w:color w:val="auto"/>
                <w:sz w:val="20"/>
                <w:szCs w:val="20"/>
              </w:rPr>
              <w:t>CSB elaborated five detailed guidelines for civil servants on:  reorganization, disciplinary proceedings, gifts, institutional arrangements and the conflict of interest in public organizations. In November 2018, the CSB announced an open call for receiving new ideas and insights on the further development of civil service from students and civil servants. The winners were awarded at the “Civil Servant’s Day” on December 19, 2018, with the project’s support.</w:t>
            </w:r>
            <w:r w:rsidRPr="00812932">
              <w:rPr>
                <w:rFonts w:ascii="Arial" w:hAnsi="Arial" w:cs="Arial"/>
                <w:bCs/>
                <w:sz w:val="20"/>
                <w:szCs w:val="20"/>
              </w:rPr>
              <w:t xml:space="preserve"> </w:t>
            </w:r>
          </w:p>
        </w:tc>
      </w:tr>
      <w:tr w:rsidR="00F82EEB" w:rsidRPr="00812932" w14:paraId="0FEF991E" w14:textId="77777777" w:rsidTr="00F82EEB">
        <w:tc>
          <w:tcPr>
            <w:tcW w:w="167" w:type="pct"/>
            <w:shd w:val="clear" w:color="auto" w:fill="F3F7FB"/>
          </w:tcPr>
          <w:p w14:paraId="4FBBB10D" w14:textId="77777777" w:rsidR="00F82EEB" w:rsidRPr="00812932" w:rsidRDefault="00F82EEB" w:rsidP="00F82EEB">
            <w:pPr>
              <w:jc w:val="both"/>
              <w:rPr>
                <w:rFonts w:ascii="Arial" w:eastAsia="Times New Roman" w:hAnsi="Arial" w:cs="Arial"/>
                <w:sz w:val="20"/>
                <w:szCs w:val="20"/>
              </w:rPr>
            </w:pPr>
            <w:r w:rsidRPr="00812932">
              <w:rPr>
                <w:rFonts w:ascii="Arial" w:eastAsia="Times New Roman" w:hAnsi="Arial" w:cs="Arial"/>
                <w:sz w:val="20"/>
                <w:szCs w:val="20"/>
              </w:rPr>
              <w:t>2</w:t>
            </w:r>
          </w:p>
        </w:tc>
        <w:tc>
          <w:tcPr>
            <w:tcW w:w="675" w:type="pct"/>
            <w:shd w:val="clear" w:color="auto" w:fill="F3F7FB"/>
          </w:tcPr>
          <w:p w14:paraId="6E8416C9" w14:textId="616B3071" w:rsidR="00F82EEB" w:rsidRPr="00812932" w:rsidRDefault="00F82EEB" w:rsidP="00FB3FDC">
            <w:pPr>
              <w:autoSpaceDE w:val="0"/>
              <w:autoSpaceDN w:val="0"/>
              <w:adjustRightInd w:val="0"/>
              <w:ind w:left="-108"/>
              <w:rPr>
                <w:rFonts w:ascii="Arial" w:hAnsi="Arial" w:cs="Arial"/>
                <w:bCs/>
                <w:sz w:val="20"/>
                <w:szCs w:val="20"/>
              </w:rPr>
            </w:pPr>
            <w:r w:rsidRPr="00812932">
              <w:rPr>
                <w:rFonts w:ascii="Arial" w:hAnsi="Arial" w:cs="Arial"/>
                <w:bCs/>
                <w:sz w:val="20"/>
                <w:szCs w:val="20"/>
              </w:rPr>
              <w:t xml:space="preserve">Supporting the Ministry of Finance and Economy of </w:t>
            </w:r>
            <w:r w:rsidR="00B03A89">
              <w:rPr>
                <w:rFonts w:ascii="Arial" w:hAnsi="Arial" w:cs="Arial"/>
                <w:bCs/>
                <w:sz w:val="20"/>
                <w:szCs w:val="20"/>
              </w:rPr>
              <w:t>Adjara</w:t>
            </w:r>
            <w:r w:rsidRPr="00812932">
              <w:rPr>
                <w:rFonts w:ascii="Arial" w:hAnsi="Arial" w:cs="Arial"/>
                <w:bCs/>
                <w:sz w:val="20"/>
                <w:szCs w:val="20"/>
              </w:rPr>
              <w:t xml:space="preserve"> to Improve Organizational Structure, Policy Planning and HR Practices</w:t>
            </w:r>
            <w:r w:rsidR="000D55D3">
              <w:rPr>
                <w:rFonts w:ascii="Arial" w:hAnsi="Arial" w:cs="Arial"/>
                <w:bCs/>
                <w:sz w:val="20"/>
                <w:szCs w:val="20"/>
              </w:rPr>
              <w:t xml:space="preserve"> </w:t>
            </w:r>
            <w:r w:rsidR="000D55D3" w:rsidRPr="00366F5F">
              <w:rPr>
                <w:rFonts w:ascii="Arial" w:hAnsi="Arial" w:cs="Arial"/>
                <w:bCs/>
                <w:sz w:val="20"/>
                <w:szCs w:val="20"/>
              </w:rPr>
              <w:t>(Emerging Needs)</w:t>
            </w:r>
          </w:p>
        </w:tc>
        <w:tc>
          <w:tcPr>
            <w:tcW w:w="1250" w:type="pct"/>
            <w:shd w:val="clear" w:color="auto" w:fill="F3F7FB"/>
          </w:tcPr>
          <w:p w14:paraId="5C6B1FC5" w14:textId="30514E4B" w:rsidR="00F82EEB" w:rsidRPr="00812932" w:rsidRDefault="00F82EEB" w:rsidP="00FB3FDC">
            <w:pPr>
              <w:autoSpaceDE w:val="0"/>
              <w:autoSpaceDN w:val="0"/>
              <w:adjustRightInd w:val="0"/>
              <w:ind w:left="-108"/>
              <w:rPr>
                <w:rFonts w:ascii="Arial" w:hAnsi="Arial" w:cs="Arial"/>
                <w:bCs/>
                <w:sz w:val="20"/>
                <w:szCs w:val="20"/>
              </w:rPr>
            </w:pPr>
            <w:r w:rsidRPr="00812932">
              <w:rPr>
                <w:rFonts w:ascii="Arial" w:hAnsi="Arial" w:cs="Arial"/>
                <w:bCs/>
                <w:sz w:val="20"/>
                <w:szCs w:val="20"/>
              </w:rPr>
              <w:t xml:space="preserve">The sub-project “Supporting the Ministry of Finance and Economy of </w:t>
            </w:r>
            <w:r w:rsidR="00B03A89">
              <w:rPr>
                <w:rFonts w:ascii="Arial" w:hAnsi="Arial" w:cs="Arial"/>
                <w:bCs/>
                <w:sz w:val="20"/>
                <w:szCs w:val="20"/>
              </w:rPr>
              <w:t>Adjara</w:t>
            </w:r>
            <w:r w:rsidRPr="00812932">
              <w:rPr>
                <w:rFonts w:ascii="Arial" w:hAnsi="Arial" w:cs="Arial"/>
                <w:bCs/>
                <w:sz w:val="20"/>
                <w:szCs w:val="20"/>
              </w:rPr>
              <w:t xml:space="preserve"> to Improve Organizational Structure, Policy Planning and HR Practices” aimed at updating of the organizational structure and functional and job descriptions of </w:t>
            </w:r>
            <w:proofErr w:type="spellStart"/>
            <w:r w:rsidRPr="00812932">
              <w:rPr>
                <w:rFonts w:ascii="Arial" w:hAnsi="Arial" w:cs="Arial"/>
                <w:bCs/>
                <w:sz w:val="20"/>
                <w:szCs w:val="20"/>
              </w:rPr>
              <w:t>MoFEA</w:t>
            </w:r>
            <w:proofErr w:type="spellEnd"/>
            <w:r w:rsidRPr="00812932">
              <w:rPr>
                <w:rFonts w:ascii="Arial" w:hAnsi="Arial" w:cs="Arial"/>
                <w:bCs/>
                <w:sz w:val="20"/>
                <w:szCs w:val="20"/>
              </w:rPr>
              <w:t>, improvement of business processes, elaboration of one-year action plan and the department-level action plans, assessment of staff training needs, and creation of professional devel</w:t>
            </w:r>
            <w:r w:rsidRPr="00812932">
              <w:rPr>
                <w:rFonts w:ascii="Arial" w:hAnsi="Arial" w:cs="Arial"/>
                <w:bCs/>
                <w:sz w:val="20"/>
                <w:szCs w:val="20"/>
              </w:rPr>
              <w:softHyphen/>
              <w:t xml:space="preserve">opment planning system. </w:t>
            </w:r>
          </w:p>
        </w:tc>
        <w:tc>
          <w:tcPr>
            <w:tcW w:w="593" w:type="pct"/>
            <w:shd w:val="clear" w:color="auto" w:fill="F3F7FB"/>
          </w:tcPr>
          <w:p w14:paraId="14AEA10F" w14:textId="2B56BCD1" w:rsidR="00F82EEB" w:rsidRPr="00812932" w:rsidRDefault="00F82EEB" w:rsidP="00FB3FDC">
            <w:pPr>
              <w:autoSpaceDE w:val="0"/>
              <w:autoSpaceDN w:val="0"/>
              <w:adjustRightInd w:val="0"/>
              <w:ind w:left="-108"/>
              <w:rPr>
                <w:rFonts w:ascii="Arial" w:hAnsi="Arial" w:cs="Arial"/>
                <w:bCs/>
                <w:sz w:val="20"/>
                <w:szCs w:val="20"/>
              </w:rPr>
            </w:pPr>
            <w:r w:rsidRPr="00812932">
              <w:rPr>
                <w:rFonts w:ascii="Arial" w:hAnsi="Arial" w:cs="Arial"/>
                <w:bCs/>
                <w:sz w:val="20"/>
                <w:szCs w:val="20"/>
              </w:rPr>
              <w:t xml:space="preserve">Ministry of Finance and Economy of </w:t>
            </w:r>
            <w:r w:rsidR="00B03A89">
              <w:rPr>
                <w:rFonts w:ascii="Arial" w:hAnsi="Arial" w:cs="Arial"/>
                <w:bCs/>
                <w:sz w:val="20"/>
                <w:szCs w:val="20"/>
              </w:rPr>
              <w:t>Adjara</w:t>
            </w:r>
          </w:p>
        </w:tc>
        <w:tc>
          <w:tcPr>
            <w:tcW w:w="469" w:type="pct"/>
            <w:shd w:val="clear" w:color="auto" w:fill="F3F7FB"/>
          </w:tcPr>
          <w:p w14:paraId="0A6583C9" w14:textId="77777777" w:rsidR="00F82EEB" w:rsidRPr="00812932" w:rsidRDefault="00F82EEB" w:rsidP="00FB3FDC">
            <w:pPr>
              <w:autoSpaceDE w:val="0"/>
              <w:autoSpaceDN w:val="0"/>
              <w:adjustRightInd w:val="0"/>
              <w:ind w:left="-108"/>
              <w:rPr>
                <w:rFonts w:ascii="Arial" w:hAnsi="Arial" w:cs="Arial"/>
                <w:bCs/>
                <w:sz w:val="20"/>
                <w:szCs w:val="20"/>
              </w:rPr>
            </w:pPr>
            <w:r w:rsidRPr="00812932">
              <w:rPr>
                <w:rFonts w:ascii="Arial" w:hAnsi="Arial" w:cs="Arial"/>
                <w:bCs/>
                <w:sz w:val="20"/>
                <w:szCs w:val="20"/>
              </w:rPr>
              <w:t>2018-2019</w:t>
            </w:r>
          </w:p>
        </w:tc>
        <w:tc>
          <w:tcPr>
            <w:tcW w:w="1845" w:type="pct"/>
            <w:shd w:val="clear" w:color="auto" w:fill="F3F7FB"/>
          </w:tcPr>
          <w:p w14:paraId="737D667F"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As a result of the sub-project: The mandate of the ministry has been re-defined and amendments to bylaws have been implemented according to recommendations. The strategy document of the Ministry has been developed and approved by the Ministry; The organizational structure of the Ministry has been developed and changes in organizational structure have been approved by the Ministry according to the recommendations; Training has enhanced </w:t>
            </w:r>
            <w:proofErr w:type="spellStart"/>
            <w:r w:rsidRPr="00812932">
              <w:rPr>
                <w:rStyle w:val="A13"/>
                <w:rFonts w:ascii="Arial" w:hAnsi="Arial" w:cs="Arial"/>
                <w:color w:val="auto"/>
                <w:sz w:val="20"/>
                <w:szCs w:val="20"/>
              </w:rPr>
              <w:t>MoFEA</w:t>
            </w:r>
            <w:proofErr w:type="spellEnd"/>
            <w:r w:rsidRPr="00812932">
              <w:rPr>
                <w:rStyle w:val="A13"/>
                <w:rFonts w:ascii="Arial" w:hAnsi="Arial" w:cs="Arial"/>
                <w:color w:val="auto"/>
                <w:sz w:val="20"/>
                <w:szCs w:val="20"/>
              </w:rPr>
              <w:t xml:space="preserve"> staff ability to engage in planning: trained staff contributed productively to the development of the departmental action plans.</w:t>
            </w:r>
          </w:p>
          <w:p w14:paraId="2CD203FC" w14:textId="77777777" w:rsidR="00F82EEB" w:rsidRPr="00812932" w:rsidRDefault="00F82EEB" w:rsidP="00FB3FDC">
            <w:pPr>
              <w:autoSpaceDE w:val="0"/>
              <w:autoSpaceDN w:val="0"/>
              <w:adjustRightInd w:val="0"/>
              <w:ind w:left="-108"/>
              <w:rPr>
                <w:rFonts w:ascii="Arial" w:hAnsi="Arial" w:cs="Arial"/>
                <w:bCs/>
                <w:sz w:val="20"/>
                <w:szCs w:val="20"/>
              </w:rPr>
            </w:pPr>
          </w:p>
        </w:tc>
      </w:tr>
      <w:tr w:rsidR="00F82EEB" w:rsidRPr="00812932" w14:paraId="0BB94330" w14:textId="77777777" w:rsidTr="00F82EEB">
        <w:tc>
          <w:tcPr>
            <w:tcW w:w="167" w:type="pct"/>
          </w:tcPr>
          <w:p w14:paraId="75D1BAB5"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3</w:t>
            </w:r>
          </w:p>
        </w:tc>
        <w:tc>
          <w:tcPr>
            <w:tcW w:w="675" w:type="pct"/>
            <w:shd w:val="clear" w:color="auto" w:fill="auto"/>
          </w:tcPr>
          <w:p w14:paraId="09F4B568"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Ensuring widespread communication on the new Law on Civil Service and Anti-Corruption Mechanisms</w:t>
            </w:r>
          </w:p>
        </w:tc>
        <w:tc>
          <w:tcPr>
            <w:tcW w:w="1250" w:type="pct"/>
            <w:shd w:val="clear" w:color="auto" w:fill="auto"/>
          </w:tcPr>
          <w:p w14:paraId="0BE00FCE"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The sub-project aimed at supporting implementation of the new LCS and new Anti-Corruption mechanisms by increasing awareness levels among a) civil servants on central and local levels, </w:t>
            </w:r>
            <w:proofErr w:type="gramStart"/>
            <w:r w:rsidRPr="00812932">
              <w:rPr>
                <w:rStyle w:val="A13"/>
                <w:rFonts w:ascii="Arial" w:hAnsi="Arial" w:cs="Arial"/>
                <w:color w:val="auto"/>
                <w:sz w:val="20"/>
                <w:szCs w:val="20"/>
              </w:rPr>
              <w:t>b)NGOs</w:t>
            </w:r>
            <w:proofErr w:type="gramEnd"/>
            <w:r w:rsidRPr="00812932">
              <w:rPr>
                <w:rStyle w:val="A13"/>
                <w:rFonts w:ascii="Arial" w:hAnsi="Arial" w:cs="Arial"/>
                <w:color w:val="auto"/>
                <w:sz w:val="20"/>
                <w:szCs w:val="20"/>
              </w:rPr>
              <w:t>, media and administration of Courts, and c) young researchers  and students.</w:t>
            </w:r>
          </w:p>
        </w:tc>
        <w:tc>
          <w:tcPr>
            <w:tcW w:w="593" w:type="pct"/>
            <w:shd w:val="clear" w:color="auto" w:fill="auto"/>
          </w:tcPr>
          <w:p w14:paraId="2DCB0E14"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CSB</w:t>
            </w:r>
          </w:p>
        </w:tc>
        <w:tc>
          <w:tcPr>
            <w:tcW w:w="469" w:type="pct"/>
            <w:shd w:val="clear" w:color="auto" w:fill="auto"/>
          </w:tcPr>
          <w:p w14:paraId="61E7F09A"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2018</w:t>
            </w:r>
          </w:p>
        </w:tc>
        <w:tc>
          <w:tcPr>
            <w:tcW w:w="1845" w:type="pct"/>
            <w:shd w:val="clear" w:color="auto" w:fill="auto"/>
          </w:tcPr>
          <w:p w14:paraId="1A062DE6"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Awareness on Civil Service has been raised and communication with stakeholders has been enhanced (PR departments, NGOs, Media);</w:t>
            </w:r>
          </w:p>
          <w:p w14:paraId="7A1B7DE2"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Level of integrity among different categories of civil servants has been increased, all over the country; Guidelines have been elaborated on: a) reorganization, </w:t>
            </w:r>
            <w:proofErr w:type="gramStart"/>
            <w:r w:rsidRPr="00812932">
              <w:rPr>
                <w:rStyle w:val="A13"/>
                <w:rFonts w:ascii="Arial" w:hAnsi="Arial" w:cs="Arial"/>
                <w:color w:val="auto"/>
                <w:sz w:val="20"/>
                <w:szCs w:val="20"/>
              </w:rPr>
              <w:t>b)disciplinary</w:t>
            </w:r>
            <w:proofErr w:type="gramEnd"/>
            <w:r w:rsidRPr="00812932">
              <w:rPr>
                <w:rStyle w:val="A13"/>
                <w:rFonts w:ascii="Arial" w:hAnsi="Arial" w:cs="Arial"/>
                <w:color w:val="auto"/>
                <w:sz w:val="20"/>
                <w:szCs w:val="20"/>
              </w:rPr>
              <w:t xml:space="preserve"> procedures, c) conflict of interest and gift regulations, d) institutional arrangements, and e) religion neutrality; Communication on Civil Service Reform has been enhanced; The level of public confidence in legitimacy of decisions made by more informed and accountable public officials has been increased.</w:t>
            </w:r>
          </w:p>
        </w:tc>
      </w:tr>
      <w:tr w:rsidR="00F82EEB" w:rsidRPr="00812932" w14:paraId="01C5F230" w14:textId="77777777" w:rsidTr="00F82EEB">
        <w:tc>
          <w:tcPr>
            <w:tcW w:w="167" w:type="pct"/>
            <w:shd w:val="clear" w:color="auto" w:fill="F3F7FB"/>
          </w:tcPr>
          <w:p w14:paraId="5D53341F"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lastRenderedPageBreak/>
              <w:t>4</w:t>
            </w:r>
          </w:p>
        </w:tc>
        <w:tc>
          <w:tcPr>
            <w:tcW w:w="675" w:type="pct"/>
            <w:shd w:val="clear" w:color="auto" w:fill="F3F7FB"/>
          </w:tcPr>
          <w:p w14:paraId="5C035F21" w14:textId="68260AB2" w:rsidR="00F82EEB" w:rsidRPr="00812932" w:rsidRDefault="00F82EEB" w:rsidP="00FB3FDC">
            <w:pPr>
              <w:rPr>
                <w:rFonts w:ascii="Arial" w:hAnsi="Arial" w:cs="Arial"/>
                <w:sz w:val="20"/>
                <w:szCs w:val="20"/>
              </w:rPr>
            </w:pPr>
            <w:r w:rsidRPr="00812932">
              <w:rPr>
                <w:rFonts w:ascii="Arial" w:hAnsi="Arial" w:cs="Arial"/>
                <w:sz w:val="20"/>
                <w:szCs w:val="20"/>
              </w:rPr>
              <w:t xml:space="preserve">The project with the Ministry of Education, Culture and Sport of </w:t>
            </w:r>
            <w:r w:rsidR="00B03A89">
              <w:rPr>
                <w:rFonts w:ascii="Arial" w:hAnsi="Arial" w:cs="Arial"/>
                <w:sz w:val="20"/>
                <w:szCs w:val="20"/>
              </w:rPr>
              <w:t>Adjara</w:t>
            </w:r>
            <w:r w:rsidRPr="00812932">
              <w:rPr>
                <w:rFonts w:ascii="Arial" w:hAnsi="Arial" w:cs="Arial"/>
                <w:sz w:val="20"/>
                <w:szCs w:val="20"/>
              </w:rPr>
              <w:t xml:space="preserve">  (</w:t>
            </w:r>
            <w:proofErr w:type="spellStart"/>
            <w:r w:rsidRPr="00812932">
              <w:rPr>
                <w:rFonts w:ascii="Arial" w:hAnsi="Arial" w:cs="Arial"/>
                <w:sz w:val="20"/>
                <w:szCs w:val="20"/>
              </w:rPr>
              <w:t>MoECS</w:t>
            </w:r>
            <w:proofErr w:type="spellEnd"/>
            <w:r w:rsidRPr="00812932">
              <w:rPr>
                <w:rFonts w:ascii="Arial" w:hAnsi="Arial" w:cs="Arial"/>
                <w:sz w:val="20"/>
                <w:szCs w:val="20"/>
              </w:rPr>
              <w:t>)</w:t>
            </w:r>
            <w:r w:rsidR="000D55D3">
              <w:rPr>
                <w:rFonts w:ascii="Arial" w:hAnsi="Arial" w:cs="Arial"/>
                <w:sz w:val="20"/>
                <w:szCs w:val="20"/>
              </w:rPr>
              <w:t xml:space="preserve"> </w:t>
            </w:r>
            <w:r w:rsidR="000D55D3" w:rsidRPr="00366F5F">
              <w:rPr>
                <w:rFonts w:ascii="Arial" w:hAnsi="Arial" w:cs="Arial"/>
                <w:bCs/>
                <w:sz w:val="20"/>
                <w:szCs w:val="20"/>
              </w:rPr>
              <w:t>(Emerging Needs)</w:t>
            </w:r>
          </w:p>
        </w:tc>
        <w:tc>
          <w:tcPr>
            <w:tcW w:w="1250" w:type="pct"/>
            <w:shd w:val="clear" w:color="auto" w:fill="F3F7FB"/>
          </w:tcPr>
          <w:p w14:paraId="086554FA" w14:textId="77777777" w:rsidR="00F82EEB" w:rsidRPr="00812932" w:rsidRDefault="00F82EEB" w:rsidP="00FB3FDC">
            <w:pPr>
              <w:rPr>
                <w:rFonts w:ascii="Arial" w:hAnsi="Arial" w:cs="Arial"/>
                <w:sz w:val="20"/>
                <w:szCs w:val="20"/>
              </w:rPr>
            </w:pPr>
            <w:r w:rsidRPr="00812932">
              <w:rPr>
                <w:rFonts w:ascii="Arial" w:hAnsi="Arial" w:cs="Arial"/>
                <w:sz w:val="20"/>
                <w:szCs w:val="20"/>
              </w:rPr>
              <w:t>The sub-project aimed at supporting revision of organizational structure and functional</w:t>
            </w:r>
            <w:r w:rsidRPr="00812932">
              <w:rPr>
                <w:rFonts w:ascii="Arial" w:hAnsi="Arial" w:cs="Arial"/>
                <w:b/>
                <w:bCs/>
                <w:sz w:val="20"/>
                <w:szCs w:val="20"/>
              </w:rPr>
              <w:t xml:space="preserve"> </w:t>
            </w:r>
            <w:r w:rsidRPr="00812932">
              <w:rPr>
                <w:rFonts w:ascii="Arial" w:hAnsi="Arial" w:cs="Arial"/>
                <w:sz w:val="20"/>
                <w:szCs w:val="20"/>
              </w:rPr>
              <w:t>and job descriptions of the ministry</w:t>
            </w:r>
            <w:r w:rsidRPr="00812932">
              <w:rPr>
                <w:rFonts w:ascii="Arial" w:hAnsi="Arial" w:cs="Arial"/>
                <w:b/>
                <w:bCs/>
                <w:sz w:val="20"/>
                <w:szCs w:val="20"/>
              </w:rPr>
              <w:t xml:space="preserve"> </w:t>
            </w:r>
            <w:r w:rsidRPr="00812932">
              <w:rPr>
                <w:rFonts w:ascii="Arial" w:hAnsi="Arial" w:cs="Arial"/>
                <w:sz w:val="20"/>
                <w:szCs w:val="20"/>
              </w:rPr>
              <w:t>staff, improvement of business processes,</w:t>
            </w:r>
            <w:r w:rsidRPr="00812932">
              <w:rPr>
                <w:rFonts w:ascii="Arial" w:hAnsi="Arial" w:cs="Arial"/>
                <w:b/>
                <w:bCs/>
                <w:sz w:val="20"/>
                <w:szCs w:val="20"/>
              </w:rPr>
              <w:t xml:space="preserve"> </w:t>
            </w:r>
            <w:r w:rsidRPr="00812932">
              <w:rPr>
                <w:rFonts w:ascii="Arial" w:hAnsi="Arial" w:cs="Arial"/>
                <w:sz w:val="20"/>
                <w:szCs w:val="20"/>
              </w:rPr>
              <w:t>assessment</w:t>
            </w:r>
            <w:r w:rsidRPr="00812932">
              <w:rPr>
                <w:rFonts w:ascii="Arial" w:hAnsi="Arial" w:cs="Arial"/>
                <w:b/>
                <w:bCs/>
                <w:sz w:val="20"/>
                <w:szCs w:val="20"/>
              </w:rPr>
              <w:t xml:space="preserve"> </w:t>
            </w:r>
            <w:r w:rsidRPr="00812932">
              <w:rPr>
                <w:rFonts w:ascii="Arial" w:hAnsi="Arial" w:cs="Arial"/>
                <w:sz w:val="20"/>
                <w:szCs w:val="20"/>
              </w:rPr>
              <w:t>of staff training needs, and creation</w:t>
            </w:r>
            <w:r w:rsidRPr="00812932">
              <w:rPr>
                <w:rFonts w:ascii="Arial" w:hAnsi="Arial" w:cs="Arial"/>
                <w:b/>
                <w:bCs/>
                <w:sz w:val="20"/>
                <w:szCs w:val="20"/>
              </w:rPr>
              <w:t xml:space="preserve"> </w:t>
            </w:r>
            <w:r w:rsidRPr="00812932">
              <w:rPr>
                <w:rFonts w:ascii="Arial" w:hAnsi="Arial" w:cs="Arial"/>
                <w:sz w:val="20"/>
                <w:szCs w:val="20"/>
              </w:rPr>
              <w:t>of professional development planning</w:t>
            </w:r>
            <w:r w:rsidRPr="00812932">
              <w:rPr>
                <w:rFonts w:ascii="Arial" w:hAnsi="Arial" w:cs="Arial"/>
                <w:b/>
                <w:bCs/>
                <w:sz w:val="20"/>
                <w:szCs w:val="20"/>
              </w:rPr>
              <w:t xml:space="preserve"> </w:t>
            </w:r>
            <w:r w:rsidRPr="00812932">
              <w:rPr>
                <w:rFonts w:ascii="Arial" w:hAnsi="Arial" w:cs="Arial"/>
                <w:sz w:val="20"/>
                <w:szCs w:val="20"/>
              </w:rPr>
              <w:t>system.</w:t>
            </w:r>
          </w:p>
        </w:tc>
        <w:tc>
          <w:tcPr>
            <w:tcW w:w="593" w:type="pct"/>
            <w:shd w:val="clear" w:color="auto" w:fill="F3F7FB"/>
          </w:tcPr>
          <w:p w14:paraId="3279A215" w14:textId="4A0B00F9" w:rsidR="00F82EEB" w:rsidRPr="00812932" w:rsidRDefault="00F82EEB" w:rsidP="00FB3FDC">
            <w:pPr>
              <w:rPr>
                <w:rFonts w:ascii="Arial" w:hAnsi="Arial" w:cs="Arial"/>
                <w:sz w:val="20"/>
                <w:szCs w:val="20"/>
              </w:rPr>
            </w:pPr>
            <w:r w:rsidRPr="00812932">
              <w:rPr>
                <w:rFonts w:ascii="Arial" w:hAnsi="Arial" w:cs="Arial"/>
                <w:sz w:val="20"/>
                <w:szCs w:val="20"/>
              </w:rPr>
              <w:t xml:space="preserve">Ministry of Education, Culture and Sport of </w:t>
            </w:r>
            <w:r w:rsidR="00B03A89">
              <w:rPr>
                <w:rFonts w:ascii="Arial" w:hAnsi="Arial" w:cs="Arial"/>
                <w:sz w:val="20"/>
                <w:szCs w:val="20"/>
              </w:rPr>
              <w:t>Adjara</w:t>
            </w:r>
          </w:p>
        </w:tc>
        <w:tc>
          <w:tcPr>
            <w:tcW w:w="469" w:type="pct"/>
            <w:shd w:val="clear" w:color="auto" w:fill="F3F7FB"/>
          </w:tcPr>
          <w:p w14:paraId="7F4BE05C" w14:textId="77777777" w:rsidR="00F82EEB" w:rsidRPr="00812932" w:rsidRDefault="00F82EEB" w:rsidP="00FB3FDC">
            <w:pPr>
              <w:rPr>
                <w:rFonts w:ascii="Arial" w:hAnsi="Arial" w:cs="Arial"/>
                <w:sz w:val="20"/>
                <w:szCs w:val="20"/>
              </w:rPr>
            </w:pPr>
            <w:r w:rsidRPr="00812932">
              <w:rPr>
                <w:rFonts w:ascii="Arial" w:hAnsi="Arial" w:cs="Arial"/>
                <w:sz w:val="20"/>
                <w:szCs w:val="20"/>
              </w:rPr>
              <w:t>2019</w:t>
            </w:r>
          </w:p>
        </w:tc>
        <w:tc>
          <w:tcPr>
            <w:tcW w:w="1845" w:type="pct"/>
            <w:shd w:val="clear" w:color="auto" w:fill="F3F7FB"/>
          </w:tcPr>
          <w:p w14:paraId="1CEB165F"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The project resulted in update of the organizational structure and functional and job descriptions of </w:t>
            </w:r>
            <w:proofErr w:type="spellStart"/>
            <w:r w:rsidRPr="00812932">
              <w:rPr>
                <w:rStyle w:val="A13"/>
                <w:rFonts w:ascii="Arial" w:hAnsi="Arial" w:cs="Arial"/>
                <w:color w:val="auto"/>
                <w:sz w:val="20"/>
                <w:szCs w:val="20"/>
              </w:rPr>
              <w:t>MoFEA</w:t>
            </w:r>
            <w:proofErr w:type="spellEnd"/>
            <w:r w:rsidRPr="00812932">
              <w:rPr>
                <w:rStyle w:val="A13"/>
                <w:rFonts w:ascii="Arial" w:hAnsi="Arial" w:cs="Arial"/>
                <w:color w:val="auto"/>
                <w:sz w:val="20"/>
                <w:szCs w:val="20"/>
              </w:rPr>
              <w:t>, improvement of business processes, elaboration of one-year action plan and the department-level action plans, assessment of staff training needs, and creation of professional devel</w:t>
            </w:r>
            <w:r w:rsidRPr="00812932">
              <w:rPr>
                <w:rStyle w:val="A13"/>
                <w:rFonts w:ascii="Arial" w:hAnsi="Arial" w:cs="Arial"/>
                <w:color w:val="auto"/>
                <w:sz w:val="20"/>
                <w:szCs w:val="20"/>
              </w:rPr>
              <w:softHyphen/>
              <w:t>opment planning system.</w:t>
            </w:r>
          </w:p>
        </w:tc>
      </w:tr>
      <w:tr w:rsidR="00F82EEB" w:rsidRPr="00812932" w14:paraId="78BA3069" w14:textId="77777777" w:rsidTr="00F82EEB">
        <w:tc>
          <w:tcPr>
            <w:tcW w:w="167" w:type="pct"/>
          </w:tcPr>
          <w:p w14:paraId="21E8CD58"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5</w:t>
            </w:r>
          </w:p>
        </w:tc>
        <w:tc>
          <w:tcPr>
            <w:tcW w:w="675" w:type="pct"/>
            <w:shd w:val="clear" w:color="auto" w:fill="auto"/>
          </w:tcPr>
          <w:p w14:paraId="7B1A5B65" w14:textId="77777777" w:rsidR="00F82EEB" w:rsidRPr="00812932" w:rsidRDefault="00F82EEB" w:rsidP="00FB3FDC">
            <w:pPr>
              <w:rPr>
                <w:rFonts w:ascii="Arial" w:hAnsi="Arial" w:cs="Arial"/>
                <w:sz w:val="20"/>
                <w:szCs w:val="20"/>
              </w:rPr>
            </w:pPr>
            <w:r w:rsidRPr="00812932">
              <w:rPr>
                <w:rFonts w:ascii="Arial" w:hAnsi="Arial" w:cs="Arial"/>
                <w:sz w:val="20"/>
                <w:szCs w:val="20"/>
              </w:rPr>
              <w:t>Supporting the enhancement of the electronic Human Recourse Management System (</w:t>
            </w:r>
            <w:proofErr w:type="spellStart"/>
            <w:r w:rsidRPr="00812932">
              <w:rPr>
                <w:rFonts w:ascii="Arial" w:hAnsi="Arial" w:cs="Arial"/>
                <w:sz w:val="20"/>
                <w:szCs w:val="20"/>
              </w:rPr>
              <w:t>eHRMS</w:t>
            </w:r>
            <w:proofErr w:type="spellEnd"/>
            <w:r w:rsidRPr="00812932">
              <w:rPr>
                <w:rFonts w:ascii="Arial" w:hAnsi="Arial" w:cs="Arial"/>
                <w:sz w:val="20"/>
                <w:szCs w:val="20"/>
              </w:rPr>
              <w:t>) administered by the Civil Service Bureau of Georgia</w:t>
            </w:r>
          </w:p>
        </w:tc>
        <w:tc>
          <w:tcPr>
            <w:tcW w:w="1250" w:type="pct"/>
            <w:shd w:val="clear" w:color="auto" w:fill="auto"/>
          </w:tcPr>
          <w:p w14:paraId="3D312BE6" w14:textId="77777777" w:rsidR="00F82EEB" w:rsidRPr="00812932" w:rsidRDefault="00F82EEB" w:rsidP="00FB3FDC">
            <w:pPr>
              <w:rPr>
                <w:rFonts w:ascii="Arial" w:hAnsi="Arial" w:cs="Arial"/>
                <w:sz w:val="20"/>
                <w:szCs w:val="20"/>
              </w:rPr>
            </w:pPr>
            <w:r w:rsidRPr="00812932">
              <w:rPr>
                <w:rFonts w:ascii="Arial" w:hAnsi="Arial" w:cs="Arial"/>
                <w:sz w:val="20"/>
                <w:szCs w:val="20"/>
              </w:rPr>
              <w:t xml:space="preserve">The </w:t>
            </w:r>
            <w:proofErr w:type="spellStart"/>
            <w:r w:rsidRPr="00812932">
              <w:rPr>
                <w:rFonts w:ascii="Arial" w:hAnsi="Arial" w:cs="Arial"/>
                <w:sz w:val="20"/>
                <w:szCs w:val="20"/>
              </w:rPr>
              <w:t>eHRMS</w:t>
            </w:r>
            <w:proofErr w:type="spellEnd"/>
            <w:r w:rsidRPr="00812932">
              <w:rPr>
                <w:rFonts w:ascii="Arial" w:hAnsi="Arial" w:cs="Arial"/>
                <w:sz w:val="20"/>
                <w:szCs w:val="20"/>
              </w:rPr>
              <w:t xml:space="preserve"> was created by the Financial Analytical Service (FAS) in collaboration with the Civil Service Bureau. With the adoption of the new Law on Civil Service and its by-laws, the need to enhance and improve the existing e-tool emerged. The sub-project aimed at enhancement of the </w:t>
            </w:r>
            <w:proofErr w:type="spellStart"/>
            <w:r w:rsidRPr="00812932">
              <w:rPr>
                <w:rFonts w:ascii="Arial" w:hAnsi="Arial" w:cs="Arial"/>
                <w:sz w:val="20"/>
                <w:szCs w:val="20"/>
              </w:rPr>
              <w:t>eHRMS</w:t>
            </w:r>
            <w:proofErr w:type="spellEnd"/>
            <w:r w:rsidRPr="00812932">
              <w:rPr>
                <w:rFonts w:ascii="Arial" w:hAnsi="Arial" w:cs="Arial"/>
                <w:sz w:val="20"/>
                <w:szCs w:val="20"/>
              </w:rPr>
              <w:t xml:space="preserve"> ensuring unified implementation of newly established standards and regulations, facilitating effective reporting by public agencies, and monitoring the implementation of the new Law on Civil Service by the Civil Service Bureau. </w:t>
            </w:r>
          </w:p>
        </w:tc>
        <w:tc>
          <w:tcPr>
            <w:tcW w:w="593" w:type="pct"/>
            <w:shd w:val="clear" w:color="auto" w:fill="auto"/>
          </w:tcPr>
          <w:p w14:paraId="226DFA49" w14:textId="77777777" w:rsidR="00F82EEB" w:rsidRPr="00812932" w:rsidRDefault="00F82EEB" w:rsidP="00FB3FDC">
            <w:pPr>
              <w:rPr>
                <w:rFonts w:ascii="Arial" w:hAnsi="Arial" w:cs="Arial"/>
                <w:sz w:val="22"/>
                <w:szCs w:val="22"/>
              </w:rPr>
            </w:pPr>
            <w:r w:rsidRPr="00812932">
              <w:rPr>
                <w:rFonts w:ascii="Arial" w:hAnsi="Arial" w:cs="Arial"/>
                <w:sz w:val="22"/>
                <w:szCs w:val="22"/>
              </w:rPr>
              <w:t>Financial Analytical Service (FAS)</w:t>
            </w:r>
          </w:p>
        </w:tc>
        <w:tc>
          <w:tcPr>
            <w:tcW w:w="469" w:type="pct"/>
            <w:shd w:val="clear" w:color="auto" w:fill="auto"/>
          </w:tcPr>
          <w:p w14:paraId="7027934A" w14:textId="77777777" w:rsidR="00F82EEB" w:rsidRPr="00812932" w:rsidRDefault="00F82EEB" w:rsidP="00FB3FDC">
            <w:pPr>
              <w:rPr>
                <w:rFonts w:ascii="Arial" w:hAnsi="Arial" w:cs="Arial"/>
                <w:sz w:val="22"/>
                <w:szCs w:val="22"/>
              </w:rPr>
            </w:pPr>
            <w:r w:rsidRPr="00812932">
              <w:rPr>
                <w:rFonts w:ascii="Arial" w:hAnsi="Arial" w:cs="Arial"/>
                <w:sz w:val="22"/>
                <w:szCs w:val="22"/>
              </w:rPr>
              <w:t>2020</w:t>
            </w:r>
          </w:p>
        </w:tc>
        <w:tc>
          <w:tcPr>
            <w:tcW w:w="1845" w:type="pct"/>
            <w:shd w:val="clear" w:color="auto" w:fill="auto"/>
          </w:tcPr>
          <w:p w14:paraId="394A76BE"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With the support of the project team, four new modules were integrated into the </w:t>
            </w:r>
            <w:proofErr w:type="spellStart"/>
            <w:r w:rsidRPr="00812932">
              <w:rPr>
                <w:rStyle w:val="A13"/>
                <w:rFonts w:ascii="Arial" w:hAnsi="Arial" w:cs="Arial"/>
                <w:color w:val="auto"/>
                <w:sz w:val="20"/>
                <w:szCs w:val="20"/>
              </w:rPr>
              <w:t>eHRMS</w:t>
            </w:r>
            <w:proofErr w:type="spellEnd"/>
            <w:r w:rsidRPr="00812932">
              <w:rPr>
                <w:rStyle w:val="A13"/>
                <w:rFonts w:ascii="Arial" w:hAnsi="Arial" w:cs="Arial"/>
                <w:color w:val="auto"/>
                <w:sz w:val="20"/>
                <w:szCs w:val="20"/>
              </w:rPr>
              <w:t xml:space="preserve">. The technical work was finalized by July and training held in August-September 2020. At this stage, platform is fully operational and allows to integrate new data via four new modules – </w:t>
            </w:r>
            <w:proofErr w:type="spellStart"/>
            <w:r w:rsidRPr="00812932">
              <w:rPr>
                <w:rStyle w:val="A13"/>
                <w:rFonts w:ascii="Arial" w:hAnsi="Arial" w:cs="Arial"/>
                <w:color w:val="auto"/>
                <w:sz w:val="20"/>
                <w:szCs w:val="20"/>
              </w:rPr>
              <w:t>i</w:t>
            </w:r>
            <w:proofErr w:type="spellEnd"/>
            <w:r w:rsidRPr="00812932">
              <w:rPr>
                <w:rStyle w:val="A13"/>
                <w:rFonts w:ascii="Arial" w:hAnsi="Arial" w:cs="Arial"/>
                <w:color w:val="auto"/>
                <w:sz w:val="20"/>
                <w:szCs w:val="20"/>
              </w:rPr>
              <w:t>) performance appraisal, ii) professional development; iii) self-service modules for civil servants; iv) smart analytical module.</w:t>
            </w:r>
          </w:p>
        </w:tc>
      </w:tr>
      <w:tr w:rsidR="00F82EEB" w:rsidRPr="00812932" w14:paraId="4654980D" w14:textId="77777777" w:rsidTr="00F82EEB">
        <w:tc>
          <w:tcPr>
            <w:tcW w:w="5000" w:type="pct"/>
            <w:gridSpan w:val="6"/>
            <w:shd w:val="clear" w:color="auto" w:fill="95B3D7" w:themeFill="accent1" w:themeFillTint="99"/>
          </w:tcPr>
          <w:p w14:paraId="19E020BC" w14:textId="77777777" w:rsidR="00F82EEB" w:rsidRPr="00812932" w:rsidRDefault="00F82EEB" w:rsidP="00FB3FDC">
            <w:pPr>
              <w:pStyle w:val="ListParagraph"/>
              <w:numPr>
                <w:ilvl w:val="0"/>
                <w:numId w:val="52"/>
              </w:numPr>
              <w:rPr>
                <w:rStyle w:val="A13"/>
                <w:rFonts w:ascii="Arial" w:hAnsi="Arial" w:cs="Arial"/>
                <w:b/>
                <w:bCs/>
                <w:color w:val="auto"/>
                <w:sz w:val="22"/>
                <w:szCs w:val="22"/>
              </w:rPr>
            </w:pPr>
            <w:r w:rsidRPr="00812932">
              <w:rPr>
                <w:rStyle w:val="A13"/>
                <w:rFonts w:ascii="Arial" w:hAnsi="Arial" w:cs="Arial"/>
                <w:b/>
                <w:bCs/>
                <w:color w:val="auto"/>
                <w:sz w:val="22"/>
                <w:szCs w:val="22"/>
              </w:rPr>
              <w:t>Public Service Delivery</w:t>
            </w:r>
          </w:p>
        </w:tc>
      </w:tr>
      <w:tr w:rsidR="00F82EEB" w:rsidRPr="00812932" w14:paraId="020FE9C3" w14:textId="77777777" w:rsidTr="00F82EEB">
        <w:tc>
          <w:tcPr>
            <w:tcW w:w="167" w:type="pct"/>
          </w:tcPr>
          <w:p w14:paraId="3659F6B3"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6</w:t>
            </w:r>
          </w:p>
        </w:tc>
        <w:tc>
          <w:tcPr>
            <w:tcW w:w="675" w:type="pct"/>
            <w:shd w:val="clear" w:color="auto" w:fill="auto"/>
          </w:tcPr>
          <w:p w14:paraId="345A11E9" w14:textId="2985B16D" w:rsidR="00F82EEB" w:rsidRPr="00812932" w:rsidRDefault="00F82EEB" w:rsidP="00FB3FDC">
            <w:pPr>
              <w:rPr>
                <w:rFonts w:ascii="Arial" w:hAnsi="Arial" w:cs="Arial"/>
                <w:sz w:val="20"/>
                <w:szCs w:val="20"/>
              </w:rPr>
            </w:pPr>
            <w:r w:rsidRPr="00812932">
              <w:rPr>
                <w:rFonts w:ascii="Arial" w:hAnsi="Arial" w:cs="Arial"/>
                <w:sz w:val="20"/>
                <w:szCs w:val="20"/>
              </w:rPr>
              <w:t>Increasing Accessibility of the Remote (Electronic) Services at the Registry of Commercial and Non-Commercial Legal Entities within the National Agency of Public Registry (NAPR)</w:t>
            </w:r>
            <w:r w:rsidR="000D55D3">
              <w:rPr>
                <w:rFonts w:ascii="Arial" w:hAnsi="Arial" w:cs="Arial"/>
                <w:sz w:val="20"/>
                <w:szCs w:val="20"/>
              </w:rPr>
              <w:t xml:space="preserve"> </w:t>
            </w:r>
            <w:r w:rsidR="000D55D3" w:rsidRPr="00366F5F">
              <w:rPr>
                <w:rFonts w:ascii="Arial" w:hAnsi="Arial" w:cs="Arial"/>
                <w:bCs/>
                <w:sz w:val="20"/>
                <w:szCs w:val="20"/>
              </w:rPr>
              <w:t>(Emerging Needs)</w:t>
            </w:r>
          </w:p>
        </w:tc>
        <w:tc>
          <w:tcPr>
            <w:tcW w:w="1250" w:type="pct"/>
            <w:shd w:val="clear" w:color="auto" w:fill="auto"/>
          </w:tcPr>
          <w:p w14:paraId="7E6DEC29" w14:textId="77777777" w:rsidR="00F82EEB" w:rsidRPr="00812932" w:rsidRDefault="00F82EEB" w:rsidP="00FB3FDC">
            <w:pPr>
              <w:rPr>
                <w:rFonts w:ascii="Arial" w:hAnsi="Arial" w:cs="Arial"/>
                <w:sz w:val="20"/>
                <w:szCs w:val="20"/>
              </w:rPr>
            </w:pPr>
            <w:r w:rsidRPr="00812932">
              <w:rPr>
                <w:rFonts w:ascii="Arial" w:hAnsi="Arial" w:cs="Arial"/>
                <w:sz w:val="20"/>
                <w:szCs w:val="20"/>
              </w:rPr>
              <w:t>The project aimed at development and digitalization of electronic services.</w:t>
            </w:r>
          </w:p>
          <w:p w14:paraId="5A09DCE6" w14:textId="77777777" w:rsidR="00F82EEB" w:rsidRPr="00812932" w:rsidRDefault="00F82EEB" w:rsidP="00FB3FDC">
            <w:pPr>
              <w:rPr>
                <w:rFonts w:ascii="Arial" w:hAnsi="Arial" w:cs="Arial"/>
                <w:sz w:val="20"/>
                <w:szCs w:val="20"/>
              </w:rPr>
            </w:pPr>
          </w:p>
        </w:tc>
        <w:tc>
          <w:tcPr>
            <w:tcW w:w="593" w:type="pct"/>
            <w:shd w:val="clear" w:color="auto" w:fill="auto"/>
          </w:tcPr>
          <w:p w14:paraId="476C5512" w14:textId="77777777" w:rsidR="00F82EEB" w:rsidRPr="00812932" w:rsidRDefault="00F82EEB" w:rsidP="00FB3FDC">
            <w:pPr>
              <w:rPr>
                <w:rFonts w:ascii="Arial" w:hAnsi="Arial" w:cs="Arial"/>
                <w:sz w:val="20"/>
                <w:szCs w:val="20"/>
              </w:rPr>
            </w:pPr>
            <w:r w:rsidRPr="00812932">
              <w:rPr>
                <w:rFonts w:ascii="Arial" w:hAnsi="Arial" w:cs="Arial"/>
                <w:sz w:val="20"/>
                <w:szCs w:val="20"/>
              </w:rPr>
              <w:t>NAPR</w:t>
            </w:r>
          </w:p>
        </w:tc>
        <w:tc>
          <w:tcPr>
            <w:tcW w:w="469" w:type="pct"/>
            <w:shd w:val="clear" w:color="auto" w:fill="auto"/>
          </w:tcPr>
          <w:p w14:paraId="22087480" w14:textId="77777777" w:rsidR="00F82EEB" w:rsidRPr="00812932" w:rsidRDefault="00F82EEB" w:rsidP="00FB3FDC">
            <w:pPr>
              <w:rPr>
                <w:rFonts w:ascii="Arial" w:hAnsi="Arial" w:cs="Arial"/>
                <w:sz w:val="20"/>
                <w:szCs w:val="20"/>
              </w:rPr>
            </w:pPr>
            <w:r w:rsidRPr="00812932">
              <w:rPr>
                <w:rFonts w:ascii="Arial" w:hAnsi="Arial" w:cs="Arial"/>
                <w:sz w:val="20"/>
                <w:szCs w:val="20"/>
              </w:rPr>
              <w:t>December 2017- 2018</w:t>
            </w:r>
          </w:p>
        </w:tc>
        <w:tc>
          <w:tcPr>
            <w:tcW w:w="1845" w:type="pct"/>
            <w:shd w:val="clear" w:color="auto" w:fill="auto"/>
          </w:tcPr>
          <w:p w14:paraId="396A07A0"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The project digitalized 20 services for commercial and non-commercial services and also created a new electronic service – Electronic Board Meeting, helping entities with non-resident board members manage their affairs more efficiently. </w:t>
            </w:r>
          </w:p>
          <w:p w14:paraId="33B356A6" w14:textId="77777777" w:rsidR="00F82EEB" w:rsidRPr="00812932" w:rsidRDefault="00F82EEB" w:rsidP="00FB3FDC">
            <w:pPr>
              <w:ind w:left="-108"/>
              <w:rPr>
                <w:rStyle w:val="A13"/>
                <w:rFonts w:ascii="Arial" w:hAnsi="Arial" w:cs="Arial"/>
                <w:color w:val="auto"/>
                <w:sz w:val="20"/>
                <w:szCs w:val="20"/>
              </w:rPr>
            </w:pPr>
          </w:p>
        </w:tc>
      </w:tr>
      <w:tr w:rsidR="00F82EEB" w:rsidRPr="00812932" w14:paraId="1973887E" w14:textId="77777777" w:rsidTr="00F82EEB">
        <w:trPr>
          <w:trHeight w:val="584"/>
        </w:trPr>
        <w:tc>
          <w:tcPr>
            <w:tcW w:w="167" w:type="pct"/>
            <w:shd w:val="clear" w:color="auto" w:fill="F3F7FB"/>
          </w:tcPr>
          <w:p w14:paraId="37878DF2" w14:textId="77777777" w:rsidR="00F82EEB" w:rsidRPr="00812932" w:rsidRDefault="00F82EEB" w:rsidP="00F82EEB">
            <w:pPr>
              <w:jc w:val="both"/>
              <w:rPr>
                <w:rFonts w:ascii="Arial" w:hAnsi="Arial" w:cs="Arial"/>
                <w:sz w:val="20"/>
                <w:szCs w:val="20"/>
              </w:rPr>
            </w:pPr>
            <w:r w:rsidRPr="00812932">
              <w:rPr>
                <w:rFonts w:ascii="Arial" w:hAnsi="Arial" w:cs="Arial"/>
                <w:sz w:val="20"/>
                <w:szCs w:val="20"/>
              </w:rPr>
              <w:t>7</w:t>
            </w:r>
          </w:p>
        </w:tc>
        <w:tc>
          <w:tcPr>
            <w:tcW w:w="675" w:type="pct"/>
            <w:shd w:val="clear" w:color="auto" w:fill="F3F7FB"/>
          </w:tcPr>
          <w:p w14:paraId="665D47EB" w14:textId="3FB2A4D3" w:rsidR="00F82EEB" w:rsidRPr="00812932" w:rsidRDefault="00F82EEB" w:rsidP="00FB3FDC">
            <w:pPr>
              <w:rPr>
                <w:rFonts w:ascii="Arial" w:hAnsi="Arial" w:cs="Arial"/>
                <w:sz w:val="20"/>
                <w:szCs w:val="20"/>
              </w:rPr>
            </w:pPr>
            <w:r w:rsidRPr="00812932">
              <w:rPr>
                <w:rFonts w:ascii="Arial" w:hAnsi="Arial" w:cs="Arial"/>
                <w:sz w:val="20"/>
                <w:szCs w:val="20"/>
              </w:rPr>
              <w:t xml:space="preserve">Support to Public Service Development Agency (PSDA) </w:t>
            </w:r>
            <w:r w:rsidRPr="00812932">
              <w:rPr>
                <w:rFonts w:ascii="Arial" w:hAnsi="Arial" w:cs="Arial"/>
                <w:sz w:val="20"/>
                <w:szCs w:val="20"/>
              </w:rPr>
              <w:lastRenderedPageBreak/>
              <w:t xml:space="preserve">towards the enhancement of Information Security and Trust Service Provision Capacities </w:t>
            </w:r>
            <w:r w:rsidR="000D55D3" w:rsidRPr="00366F5F">
              <w:rPr>
                <w:rFonts w:ascii="Arial" w:hAnsi="Arial" w:cs="Arial"/>
                <w:bCs/>
                <w:sz w:val="20"/>
                <w:szCs w:val="20"/>
              </w:rPr>
              <w:t>(Emerging Needs)</w:t>
            </w:r>
          </w:p>
        </w:tc>
        <w:tc>
          <w:tcPr>
            <w:tcW w:w="1250" w:type="pct"/>
            <w:shd w:val="clear" w:color="auto" w:fill="F3F7FB"/>
          </w:tcPr>
          <w:p w14:paraId="239CEC66" w14:textId="77777777" w:rsidR="00F82EEB" w:rsidRPr="00812932" w:rsidRDefault="00F82EEB" w:rsidP="00FB3FDC">
            <w:pPr>
              <w:rPr>
                <w:rFonts w:ascii="Arial" w:hAnsi="Arial" w:cs="Arial"/>
                <w:sz w:val="20"/>
                <w:szCs w:val="20"/>
              </w:rPr>
            </w:pPr>
            <w:r w:rsidRPr="00812932">
              <w:rPr>
                <w:rFonts w:ascii="Arial" w:hAnsi="Arial" w:cs="Arial"/>
                <w:sz w:val="20"/>
                <w:szCs w:val="20"/>
              </w:rPr>
              <w:lastRenderedPageBreak/>
              <w:t xml:space="preserve">The project aimed to strengthen the security of the internal systems of the PSDA by ensuring compliance with the Law of Georgia “On Information </w:t>
            </w:r>
            <w:r w:rsidRPr="00812932">
              <w:rPr>
                <w:rFonts w:ascii="Arial" w:hAnsi="Arial" w:cs="Arial"/>
                <w:sz w:val="20"/>
                <w:szCs w:val="20"/>
              </w:rPr>
              <w:lastRenderedPageBreak/>
              <w:t xml:space="preserve">Security” and the applicable international standards (ISO/ETSI). The project was launched in the beginning of December 2017 and all activities were finalized by October 2018. </w:t>
            </w:r>
          </w:p>
        </w:tc>
        <w:tc>
          <w:tcPr>
            <w:tcW w:w="593" w:type="pct"/>
            <w:shd w:val="clear" w:color="auto" w:fill="F3F7FB"/>
          </w:tcPr>
          <w:p w14:paraId="5625B95B" w14:textId="77777777" w:rsidR="00F82EEB" w:rsidRPr="00812932" w:rsidRDefault="00F82EEB" w:rsidP="00FB3FDC">
            <w:pPr>
              <w:rPr>
                <w:rFonts w:ascii="Arial" w:hAnsi="Arial" w:cs="Arial"/>
                <w:sz w:val="20"/>
                <w:szCs w:val="20"/>
              </w:rPr>
            </w:pPr>
            <w:r w:rsidRPr="00812932">
              <w:rPr>
                <w:rFonts w:ascii="Arial" w:hAnsi="Arial" w:cs="Arial"/>
                <w:sz w:val="20"/>
                <w:szCs w:val="20"/>
              </w:rPr>
              <w:lastRenderedPageBreak/>
              <w:t>PSDA</w:t>
            </w:r>
          </w:p>
        </w:tc>
        <w:tc>
          <w:tcPr>
            <w:tcW w:w="469" w:type="pct"/>
            <w:shd w:val="clear" w:color="auto" w:fill="F3F7FB"/>
          </w:tcPr>
          <w:p w14:paraId="0044A9A9" w14:textId="77777777" w:rsidR="00F82EEB" w:rsidRPr="00812932" w:rsidRDefault="00F82EEB" w:rsidP="00FB3FDC">
            <w:pPr>
              <w:rPr>
                <w:rFonts w:ascii="Arial" w:hAnsi="Arial" w:cs="Arial"/>
                <w:sz w:val="20"/>
                <w:szCs w:val="20"/>
              </w:rPr>
            </w:pPr>
            <w:r w:rsidRPr="00812932">
              <w:rPr>
                <w:rFonts w:ascii="Arial" w:hAnsi="Arial" w:cs="Arial"/>
                <w:sz w:val="20"/>
                <w:szCs w:val="20"/>
              </w:rPr>
              <w:t>December 2017 – October 2018</w:t>
            </w:r>
          </w:p>
        </w:tc>
        <w:tc>
          <w:tcPr>
            <w:tcW w:w="1845" w:type="pct"/>
            <w:shd w:val="clear" w:color="auto" w:fill="F3F7FB"/>
          </w:tcPr>
          <w:p w14:paraId="652D6473"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The project identified information security drawbacks in PSDA critical business processes and offered 74 corrective recommendations. The PSDA has gained a full picture of existing information security risks, sorted by severity level, </w:t>
            </w:r>
            <w:r w:rsidRPr="00812932">
              <w:rPr>
                <w:rStyle w:val="A13"/>
                <w:rFonts w:ascii="Arial" w:hAnsi="Arial" w:cs="Arial"/>
                <w:color w:val="auto"/>
                <w:sz w:val="20"/>
                <w:szCs w:val="20"/>
              </w:rPr>
              <w:lastRenderedPageBreak/>
              <w:t>along with risk treatment plans. This helped to improve efficiency by allocating limited human and financial resources to mitigating the most critical risks first. The Information Security Steering Committee</w:t>
            </w:r>
            <w:r w:rsidRPr="00812932" w:rsidDel="002D1E13">
              <w:rPr>
                <w:rStyle w:val="A13"/>
                <w:rFonts w:ascii="Arial" w:hAnsi="Arial" w:cs="Arial"/>
                <w:color w:val="auto"/>
                <w:sz w:val="20"/>
                <w:szCs w:val="20"/>
              </w:rPr>
              <w:t xml:space="preserve"> </w:t>
            </w:r>
            <w:r w:rsidRPr="00812932">
              <w:rPr>
                <w:rStyle w:val="A13"/>
                <w:rFonts w:ascii="Arial" w:hAnsi="Arial" w:cs="Arial"/>
                <w:color w:val="auto"/>
                <w:sz w:val="20"/>
                <w:szCs w:val="20"/>
              </w:rPr>
              <w:t>has developed 2-year plan for the implementation of the elaborated recommendations.</w:t>
            </w:r>
          </w:p>
        </w:tc>
      </w:tr>
      <w:tr w:rsidR="00F82EEB" w:rsidRPr="00812932" w14:paraId="0D310279" w14:textId="77777777" w:rsidTr="00F82EEB">
        <w:trPr>
          <w:trHeight w:val="3995"/>
        </w:trPr>
        <w:tc>
          <w:tcPr>
            <w:tcW w:w="167" w:type="pct"/>
          </w:tcPr>
          <w:p w14:paraId="0047FD2E" w14:textId="77777777" w:rsidR="00F82EEB" w:rsidRPr="00812932" w:rsidRDefault="00F82EEB" w:rsidP="00F82EEB">
            <w:pPr>
              <w:tabs>
                <w:tab w:val="left" w:pos="-90"/>
              </w:tabs>
              <w:jc w:val="both"/>
              <w:rPr>
                <w:rStyle w:val="A13"/>
                <w:rFonts w:ascii="Arial" w:hAnsi="Arial" w:cs="Arial"/>
                <w:color w:val="auto"/>
                <w:sz w:val="20"/>
                <w:szCs w:val="20"/>
              </w:rPr>
            </w:pPr>
            <w:r w:rsidRPr="00812932">
              <w:rPr>
                <w:rStyle w:val="A13"/>
                <w:rFonts w:ascii="Arial" w:hAnsi="Arial" w:cs="Arial"/>
                <w:color w:val="auto"/>
                <w:sz w:val="20"/>
                <w:szCs w:val="20"/>
              </w:rPr>
              <w:lastRenderedPageBreak/>
              <w:t>8</w:t>
            </w:r>
          </w:p>
        </w:tc>
        <w:tc>
          <w:tcPr>
            <w:tcW w:w="675" w:type="pct"/>
            <w:shd w:val="clear" w:color="auto" w:fill="auto"/>
          </w:tcPr>
          <w:p w14:paraId="64C8720D" w14:textId="77777777" w:rsidR="00F82EEB" w:rsidRPr="00812932" w:rsidRDefault="00F82EEB" w:rsidP="00FB3FDC">
            <w:pPr>
              <w:rPr>
                <w:rFonts w:ascii="Arial" w:hAnsi="Arial" w:cs="Arial"/>
                <w:sz w:val="20"/>
                <w:szCs w:val="20"/>
              </w:rPr>
            </w:pPr>
            <w:r w:rsidRPr="00812932">
              <w:rPr>
                <w:rStyle w:val="A13"/>
                <w:rFonts w:ascii="Arial" w:hAnsi="Arial" w:cs="Arial"/>
                <w:color w:val="auto"/>
                <w:sz w:val="20"/>
                <w:szCs w:val="20"/>
              </w:rPr>
              <w:t xml:space="preserve">Supporting the Data Exchange Agency (DEA) efforts towards more transparent and efficient e-Government </w:t>
            </w:r>
          </w:p>
        </w:tc>
        <w:tc>
          <w:tcPr>
            <w:tcW w:w="1250" w:type="pct"/>
            <w:shd w:val="clear" w:color="auto" w:fill="auto"/>
          </w:tcPr>
          <w:p w14:paraId="78CC3A3B"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In 2017 DGA/ DEA’s efforts were focused on ensuring the availability (i.e. supply) and use (i.e. demand and take-up) of online public services by government, businesses and citizens, and on gaining internationally competitive experience and Excellency in e-government sector as a whole.</w:t>
            </w:r>
          </w:p>
          <w:p w14:paraId="4DE2EC08" w14:textId="77777777" w:rsidR="00F82EEB" w:rsidRPr="00812932" w:rsidRDefault="00F82EEB" w:rsidP="00FB3FDC">
            <w:pPr>
              <w:rPr>
                <w:rStyle w:val="A13"/>
                <w:rFonts w:ascii="Arial" w:hAnsi="Arial" w:cs="Arial"/>
                <w:color w:val="auto"/>
                <w:sz w:val="20"/>
                <w:szCs w:val="20"/>
              </w:rPr>
            </w:pPr>
          </w:p>
          <w:p w14:paraId="1585DFD3" w14:textId="77777777" w:rsidR="00F82EEB" w:rsidRPr="00812932" w:rsidRDefault="00F82EEB" w:rsidP="00FB3FDC">
            <w:pPr>
              <w:rPr>
                <w:rStyle w:val="A13"/>
                <w:rFonts w:ascii="Arial" w:hAnsi="Arial" w:cs="Arial"/>
                <w:color w:val="auto"/>
                <w:sz w:val="20"/>
                <w:szCs w:val="20"/>
              </w:rPr>
            </w:pPr>
          </w:p>
          <w:p w14:paraId="4BE8713A" w14:textId="77777777" w:rsidR="00F82EEB" w:rsidRPr="00812932" w:rsidRDefault="00F82EEB" w:rsidP="00FB3FDC">
            <w:pPr>
              <w:rPr>
                <w:rFonts w:ascii="Arial" w:hAnsi="Arial" w:cs="Arial"/>
                <w:sz w:val="20"/>
                <w:szCs w:val="20"/>
              </w:rPr>
            </w:pPr>
            <w:r w:rsidRPr="00812932">
              <w:rPr>
                <w:rStyle w:val="A13"/>
                <w:rFonts w:ascii="Arial" w:hAnsi="Arial" w:cs="Arial"/>
                <w:color w:val="auto"/>
                <w:sz w:val="20"/>
                <w:szCs w:val="20"/>
              </w:rPr>
              <w:t xml:space="preserve">Throughout 2019-2021 DGA/ DEA aimed to ensure that e-Governance development process in Georgia is based on a strategic approach, rather than driven by fragmented, reactive interventions, while enhancing public service delivery and ensuring transparency of public administration and the efficient use of public resources. DGA aimed at increased access and awareness of e-governance services for all citizens ensuring that no one is left behind. </w:t>
            </w:r>
          </w:p>
        </w:tc>
        <w:tc>
          <w:tcPr>
            <w:tcW w:w="593" w:type="pct"/>
            <w:shd w:val="clear" w:color="auto" w:fill="auto"/>
          </w:tcPr>
          <w:p w14:paraId="2F4C942A" w14:textId="77777777" w:rsidR="00F82EEB" w:rsidRPr="00812932" w:rsidRDefault="00F82EEB" w:rsidP="00FB3FDC">
            <w:pPr>
              <w:rPr>
                <w:rFonts w:ascii="Arial" w:hAnsi="Arial" w:cs="Arial"/>
                <w:sz w:val="20"/>
                <w:szCs w:val="20"/>
              </w:rPr>
            </w:pPr>
            <w:r w:rsidRPr="00812932">
              <w:rPr>
                <w:rStyle w:val="A13"/>
                <w:rFonts w:ascii="Arial" w:hAnsi="Arial" w:cs="Arial"/>
                <w:color w:val="auto"/>
                <w:sz w:val="20"/>
                <w:szCs w:val="20"/>
              </w:rPr>
              <w:t>DGA / DEA</w:t>
            </w:r>
          </w:p>
        </w:tc>
        <w:tc>
          <w:tcPr>
            <w:tcW w:w="469" w:type="pct"/>
            <w:shd w:val="clear" w:color="auto" w:fill="auto"/>
          </w:tcPr>
          <w:p w14:paraId="27DCDDC9"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2017- </w:t>
            </w:r>
          </w:p>
          <w:p w14:paraId="5F352948"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2021</w:t>
            </w:r>
          </w:p>
        </w:tc>
        <w:tc>
          <w:tcPr>
            <w:tcW w:w="1845" w:type="pct"/>
            <w:shd w:val="clear" w:color="auto" w:fill="auto"/>
          </w:tcPr>
          <w:p w14:paraId="157D9104"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New e-Governance Strategy 2021-2025 and its Action Plan is being drafted with the project's support and is on the list of the documents to be approved in 2020/2021 by </w:t>
            </w:r>
            <w:proofErr w:type="spellStart"/>
            <w:r w:rsidRPr="00812932">
              <w:rPr>
                <w:rStyle w:val="A13"/>
                <w:rFonts w:ascii="Arial" w:hAnsi="Arial" w:cs="Arial"/>
                <w:color w:val="auto"/>
                <w:sz w:val="20"/>
                <w:szCs w:val="20"/>
              </w:rPr>
              <w:t>GoG</w:t>
            </w:r>
            <w:proofErr w:type="spellEnd"/>
            <w:r w:rsidRPr="00812932">
              <w:rPr>
                <w:rStyle w:val="A13"/>
                <w:rFonts w:ascii="Arial" w:hAnsi="Arial" w:cs="Arial"/>
                <w:color w:val="auto"/>
                <w:sz w:val="20"/>
                <w:szCs w:val="20"/>
              </w:rPr>
              <w:t xml:space="preserve">. This strategy will be drafted in line with the new policy standards and it is already going through the </w:t>
            </w:r>
            <w:proofErr w:type="spellStart"/>
            <w:r w:rsidRPr="00812932">
              <w:rPr>
                <w:rStyle w:val="A13"/>
                <w:rFonts w:ascii="Arial" w:hAnsi="Arial" w:cs="Arial"/>
                <w:color w:val="auto"/>
                <w:sz w:val="20"/>
                <w:szCs w:val="20"/>
              </w:rPr>
              <w:t>AoG</w:t>
            </w:r>
            <w:proofErr w:type="spellEnd"/>
            <w:r w:rsidRPr="00812932">
              <w:rPr>
                <w:rStyle w:val="A13"/>
                <w:rFonts w:ascii="Arial" w:hAnsi="Arial" w:cs="Arial"/>
                <w:color w:val="auto"/>
                <w:sz w:val="20"/>
                <w:szCs w:val="20"/>
              </w:rPr>
              <w:t xml:space="preserve"> screening with the project consultant support. The strategy draft will be available by end of March 2021. Only in 2020 37 new services were added to the Unified Service Portal My.gov.ge by DGA; in total 699 services are now available on the Portal, 133 with support of the PAR project. Usage rate of my.gov.ge portal equals to 423,555 as of December 2020, thus there was an 89 % increase in the usage rate as compared to the baseline data of 2016.  Additionally, DGA has been conducting informational meetings with various stakeholders. The promotional video has been disseminated via TV channels during various time periods of the day reaching an estimated 423,555 audience. </w:t>
            </w:r>
          </w:p>
        </w:tc>
      </w:tr>
      <w:tr w:rsidR="00F82EEB" w:rsidRPr="00812932" w14:paraId="1F216843" w14:textId="77777777" w:rsidTr="00FB3FDC">
        <w:trPr>
          <w:trHeight w:val="3123"/>
        </w:trPr>
        <w:tc>
          <w:tcPr>
            <w:tcW w:w="167" w:type="pct"/>
            <w:shd w:val="clear" w:color="auto" w:fill="F3F7FB"/>
          </w:tcPr>
          <w:p w14:paraId="2C38A264" w14:textId="77777777" w:rsidR="00F82EEB" w:rsidRPr="00812932" w:rsidRDefault="00F82EEB" w:rsidP="00F82EEB">
            <w:pPr>
              <w:tabs>
                <w:tab w:val="left" w:pos="-90"/>
              </w:tabs>
              <w:jc w:val="both"/>
              <w:rPr>
                <w:rStyle w:val="A13"/>
                <w:rFonts w:ascii="Arial" w:hAnsi="Arial" w:cs="Arial"/>
                <w:color w:val="auto"/>
                <w:sz w:val="20"/>
                <w:szCs w:val="20"/>
              </w:rPr>
            </w:pPr>
            <w:r w:rsidRPr="00812932">
              <w:rPr>
                <w:rStyle w:val="A13"/>
                <w:rFonts w:ascii="Arial" w:hAnsi="Arial" w:cs="Arial"/>
                <w:color w:val="auto"/>
                <w:sz w:val="20"/>
                <w:szCs w:val="20"/>
              </w:rPr>
              <w:lastRenderedPageBreak/>
              <w:t>9</w:t>
            </w:r>
          </w:p>
        </w:tc>
        <w:tc>
          <w:tcPr>
            <w:tcW w:w="675" w:type="pct"/>
            <w:shd w:val="clear" w:color="auto" w:fill="F3F7FB"/>
          </w:tcPr>
          <w:p w14:paraId="13BAA648" w14:textId="77777777" w:rsidR="00F82EEB" w:rsidRPr="00812932" w:rsidRDefault="00F82EEB" w:rsidP="00FB3FDC">
            <w:pPr>
              <w:tabs>
                <w:tab w:val="left" w:pos="-90"/>
              </w:tabs>
              <w:rPr>
                <w:rFonts w:ascii="Arial" w:hAnsi="Arial" w:cs="Arial"/>
                <w:color w:val="000000"/>
                <w:sz w:val="20"/>
                <w:szCs w:val="20"/>
              </w:rPr>
            </w:pPr>
            <w:r w:rsidRPr="00812932">
              <w:rPr>
                <w:rFonts w:ascii="Arial" w:hAnsi="Arial" w:cs="Arial"/>
                <w:color w:val="000000"/>
                <w:sz w:val="20"/>
                <w:szCs w:val="20"/>
              </w:rPr>
              <w:t>Supporting the DGA (former DEA) in the Development of the Electronic System for Planning, Monitoring and Evaluation</w:t>
            </w:r>
          </w:p>
          <w:p w14:paraId="7A89C45C" w14:textId="77777777" w:rsidR="00F82EEB" w:rsidRPr="00812932" w:rsidRDefault="00F82EEB" w:rsidP="00FB3FDC">
            <w:pPr>
              <w:rPr>
                <w:rFonts w:ascii="Arial" w:hAnsi="Arial" w:cs="Arial"/>
                <w:sz w:val="20"/>
                <w:szCs w:val="20"/>
              </w:rPr>
            </w:pPr>
            <w:r w:rsidRPr="00812932">
              <w:rPr>
                <w:rStyle w:val="A13"/>
                <w:rFonts w:ascii="Arial" w:hAnsi="Arial" w:cs="Arial"/>
                <w:color w:val="auto"/>
                <w:sz w:val="20"/>
                <w:szCs w:val="20"/>
              </w:rPr>
              <w:t xml:space="preserve"> </w:t>
            </w:r>
          </w:p>
        </w:tc>
        <w:tc>
          <w:tcPr>
            <w:tcW w:w="1250" w:type="pct"/>
            <w:shd w:val="clear" w:color="auto" w:fill="F3F7FB"/>
          </w:tcPr>
          <w:p w14:paraId="123F0412" w14:textId="77777777" w:rsidR="00F82EEB" w:rsidRPr="00812932" w:rsidRDefault="00F82EEB" w:rsidP="00FB3FDC">
            <w:pPr>
              <w:rPr>
                <w:rFonts w:ascii="Arial" w:hAnsi="Arial" w:cs="Arial"/>
                <w:sz w:val="20"/>
                <w:szCs w:val="20"/>
              </w:rPr>
            </w:pPr>
            <w:r w:rsidRPr="00812932">
              <w:rPr>
                <w:rFonts w:ascii="Arial" w:hAnsi="Arial" w:cs="Arial"/>
                <w:sz w:val="20"/>
                <w:szCs w:val="20"/>
              </w:rPr>
              <w:t xml:space="preserve">The overall objective of the project is the introduction of e-System of Policy Planning, Monitoring and Evaluation by the DEA. This involves a detailed process of business analysis including all the major stakeholders, to be followed by electronic program development phase, along with relevant program </w:t>
            </w:r>
            <w:proofErr w:type="spellStart"/>
            <w:r w:rsidRPr="00812932">
              <w:rPr>
                <w:rFonts w:ascii="Arial" w:hAnsi="Arial" w:cs="Arial"/>
                <w:sz w:val="20"/>
                <w:szCs w:val="20"/>
              </w:rPr>
              <w:t>testings</w:t>
            </w:r>
            <w:proofErr w:type="spellEnd"/>
            <w:r w:rsidRPr="00812932">
              <w:rPr>
                <w:rFonts w:ascii="Arial" w:hAnsi="Arial" w:cs="Arial"/>
                <w:sz w:val="20"/>
                <w:szCs w:val="20"/>
              </w:rPr>
              <w:t xml:space="preserve">, detailed manual development and post system development activities, as listed below.  </w:t>
            </w:r>
          </w:p>
        </w:tc>
        <w:tc>
          <w:tcPr>
            <w:tcW w:w="593" w:type="pct"/>
            <w:shd w:val="clear" w:color="auto" w:fill="F3F7FB"/>
          </w:tcPr>
          <w:p w14:paraId="168BE9C1" w14:textId="77777777" w:rsidR="00F82EEB" w:rsidRPr="00812932" w:rsidRDefault="00F82EEB" w:rsidP="00FB3FDC">
            <w:pPr>
              <w:rPr>
                <w:rFonts w:ascii="Arial" w:hAnsi="Arial" w:cs="Arial"/>
                <w:sz w:val="20"/>
                <w:szCs w:val="20"/>
              </w:rPr>
            </w:pPr>
            <w:r w:rsidRPr="00812932">
              <w:rPr>
                <w:rFonts w:ascii="Arial" w:hAnsi="Arial" w:cs="Arial"/>
                <w:sz w:val="20"/>
                <w:szCs w:val="20"/>
              </w:rPr>
              <w:t>DGA / DEA</w:t>
            </w:r>
          </w:p>
        </w:tc>
        <w:tc>
          <w:tcPr>
            <w:tcW w:w="469" w:type="pct"/>
            <w:shd w:val="clear" w:color="auto" w:fill="F3F7FB"/>
          </w:tcPr>
          <w:p w14:paraId="109341F8"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2</w:t>
            </w:r>
            <w:r w:rsidRPr="00812932">
              <w:rPr>
                <w:rStyle w:val="A13"/>
                <w:rFonts w:ascii="Arial" w:hAnsi="Arial" w:cs="Arial"/>
                <w:sz w:val="20"/>
                <w:szCs w:val="20"/>
              </w:rPr>
              <w:t>019-2021</w:t>
            </w:r>
          </w:p>
        </w:tc>
        <w:tc>
          <w:tcPr>
            <w:tcW w:w="1845" w:type="pct"/>
            <w:shd w:val="clear" w:color="auto" w:fill="F3F7FB"/>
          </w:tcPr>
          <w:p w14:paraId="7C568B0D"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A</w:t>
            </w:r>
            <w:r w:rsidRPr="00812932">
              <w:rPr>
                <w:rStyle w:val="A13"/>
                <w:rFonts w:ascii="Arial" w:hAnsi="Arial" w:cs="Arial"/>
                <w:sz w:val="20"/>
                <w:szCs w:val="20"/>
              </w:rPr>
              <w:t xml:space="preserve">s a result of the sub-project the concept of the M&amp;E e-system together with the Digital Governance Agency (DGA) and through active participation of the line ministries is finalized. The project has been facilitating the collaboration on M&amp;E system development between </w:t>
            </w:r>
            <w:proofErr w:type="spellStart"/>
            <w:r w:rsidRPr="00812932">
              <w:rPr>
                <w:rStyle w:val="A13"/>
                <w:rFonts w:ascii="Arial" w:hAnsi="Arial" w:cs="Arial"/>
                <w:sz w:val="20"/>
                <w:szCs w:val="20"/>
              </w:rPr>
              <w:t>AoG</w:t>
            </w:r>
            <w:proofErr w:type="spellEnd"/>
            <w:r w:rsidRPr="00812932">
              <w:rPr>
                <w:rStyle w:val="A13"/>
                <w:rFonts w:ascii="Arial" w:hAnsi="Arial" w:cs="Arial"/>
                <w:sz w:val="20"/>
                <w:szCs w:val="20"/>
              </w:rPr>
              <w:t xml:space="preserve"> and DGA from the initial phases; in order to ensure the collaboration continues with the same efforts from both parties once PAR project (phase I) is completed in March 2021, project initiated the process of signing an MoU between the </w:t>
            </w:r>
            <w:proofErr w:type="spellStart"/>
            <w:r w:rsidRPr="00812932">
              <w:rPr>
                <w:rStyle w:val="A13"/>
                <w:rFonts w:ascii="Arial" w:hAnsi="Arial" w:cs="Arial"/>
                <w:sz w:val="20"/>
                <w:szCs w:val="20"/>
              </w:rPr>
              <w:t>AoG</w:t>
            </w:r>
            <w:proofErr w:type="spellEnd"/>
            <w:r w:rsidRPr="00812932">
              <w:rPr>
                <w:rStyle w:val="A13"/>
                <w:rFonts w:ascii="Arial" w:hAnsi="Arial" w:cs="Arial"/>
                <w:sz w:val="20"/>
                <w:szCs w:val="20"/>
              </w:rPr>
              <w:t xml:space="preserve"> and DGA. The idea was welcomed from both stakeholders. The MoU will incorporate the responsibilities on the e-system development process after March 2021 once the first phase of the PAR project is completed.</w:t>
            </w:r>
          </w:p>
        </w:tc>
      </w:tr>
      <w:tr w:rsidR="00F82EEB" w:rsidRPr="00812932" w14:paraId="1BBE88A2" w14:textId="77777777" w:rsidTr="00FB3FDC">
        <w:trPr>
          <w:trHeight w:val="1593"/>
        </w:trPr>
        <w:tc>
          <w:tcPr>
            <w:tcW w:w="167" w:type="pct"/>
          </w:tcPr>
          <w:p w14:paraId="5FA9939A" w14:textId="77777777" w:rsidR="00F82EEB" w:rsidRPr="00812932" w:rsidRDefault="00F82EEB" w:rsidP="00F82EEB">
            <w:pPr>
              <w:tabs>
                <w:tab w:val="left" w:pos="-90"/>
              </w:tabs>
              <w:jc w:val="both"/>
              <w:rPr>
                <w:rStyle w:val="A13"/>
                <w:rFonts w:ascii="Arial" w:hAnsi="Arial" w:cs="Arial"/>
                <w:color w:val="auto"/>
                <w:sz w:val="20"/>
                <w:szCs w:val="20"/>
              </w:rPr>
            </w:pPr>
            <w:r w:rsidRPr="00812932">
              <w:rPr>
                <w:rStyle w:val="A13"/>
                <w:rFonts w:ascii="Arial" w:hAnsi="Arial" w:cs="Arial"/>
                <w:color w:val="auto"/>
                <w:sz w:val="20"/>
                <w:szCs w:val="20"/>
              </w:rPr>
              <w:t>10</w:t>
            </w:r>
          </w:p>
        </w:tc>
        <w:tc>
          <w:tcPr>
            <w:tcW w:w="675" w:type="pct"/>
            <w:shd w:val="clear" w:color="auto" w:fill="auto"/>
          </w:tcPr>
          <w:p w14:paraId="07905CCE" w14:textId="10280D96" w:rsidR="00F82EEB" w:rsidRPr="00812932" w:rsidRDefault="00F82EEB" w:rsidP="00FB3FDC">
            <w:pPr>
              <w:rPr>
                <w:rFonts w:ascii="Arial" w:hAnsi="Arial" w:cs="Arial"/>
                <w:sz w:val="20"/>
                <w:szCs w:val="20"/>
              </w:rPr>
            </w:pPr>
            <w:r w:rsidRPr="00812932">
              <w:rPr>
                <w:rFonts w:ascii="Arial" w:hAnsi="Arial" w:cs="Arial"/>
                <w:sz w:val="20"/>
                <w:szCs w:val="20"/>
              </w:rPr>
              <w:t>Introducing Electronic Apostille Ser</w:t>
            </w:r>
            <w:r w:rsidRPr="00812932">
              <w:rPr>
                <w:rFonts w:ascii="Arial" w:hAnsi="Arial" w:cs="Arial"/>
                <w:sz w:val="20"/>
                <w:szCs w:val="20"/>
              </w:rPr>
              <w:softHyphen/>
              <w:t>vice at Public Service Development Agency (PSDA)</w:t>
            </w:r>
            <w:r w:rsidR="000D55D3">
              <w:rPr>
                <w:rFonts w:ascii="Arial" w:hAnsi="Arial" w:cs="Arial"/>
                <w:sz w:val="20"/>
                <w:szCs w:val="20"/>
              </w:rPr>
              <w:t xml:space="preserve"> </w:t>
            </w:r>
            <w:r w:rsidR="000D55D3" w:rsidRPr="00366F5F">
              <w:rPr>
                <w:rFonts w:ascii="Arial" w:hAnsi="Arial" w:cs="Arial"/>
                <w:bCs/>
                <w:sz w:val="20"/>
                <w:szCs w:val="20"/>
              </w:rPr>
              <w:t>(Emerging Needs)</w:t>
            </w:r>
          </w:p>
          <w:p w14:paraId="484506DA" w14:textId="77777777" w:rsidR="00F82EEB" w:rsidRPr="00812932" w:rsidRDefault="00F82EEB" w:rsidP="00FB3FDC">
            <w:pPr>
              <w:rPr>
                <w:rFonts w:ascii="Arial" w:hAnsi="Arial" w:cs="Arial"/>
                <w:sz w:val="20"/>
                <w:szCs w:val="20"/>
              </w:rPr>
            </w:pPr>
          </w:p>
          <w:p w14:paraId="1B24C5FE" w14:textId="77777777" w:rsidR="00F82EEB" w:rsidRPr="00812932" w:rsidRDefault="00F82EEB" w:rsidP="00FB3FDC">
            <w:pPr>
              <w:pStyle w:val="ListParagraph"/>
              <w:spacing w:after="160"/>
              <w:ind w:left="360"/>
              <w:rPr>
                <w:rFonts w:ascii="Arial" w:hAnsi="Arial" w:cs="Arial"/>
                <w:sz w:val="20"/>
                <w:szCs w:val="20"/>
              </w:rPr>
            </w:pPr>
          </w:p>
        </w:tc>
        <w:tc>
          <w:tcPr>
            <w:tcW w:w="1250" w:type="pct"/>
            <w:shd w:val="clear" w:color="auto" w:fill="auto"/>
          </w:tcPr>
          <w:p w14:paraId="6CCC7138" w14:textId="77777777" w:rsidR="00F82EEB" w:rsidRPr="00812932" w:rsidRDefault="00F82EEB" w:rsidP="00FB3FDC">
            <w:pPr>
              <w:rPr>
                <w:rFonts w:ascii="Arial" w:hAnsi="Arial" w:cs="Arial"/>
                <w:sz w:val="20"/>
                <w:szCs w:val="20"/>
              </w:rPr>
            </w:pPr>
            <w:r w:rsidRPr="00812932">
              <w:rPr>
                <w:rFonts w:ascii="Arial" w:hAnsi="Arial" w:cs="Arial"/>
                <w:sz w:val="20"/>
                <w:szCs w:val="20"/>
              </w:rPr>
              <w:t>The project aiming to develop an Electronic Apos</w:t>
            </w:r>
            <w:r w:rsidRPr="00812932">
              <w:rPr>
                <w:rFonts w:ascii="Arial" w:hAnsi="Arial" w:cs="Arial"/>
                <w:sz w:val="20"/>
                <w:szCs w:val="20"/>
              </w:rPr>
              <w:softHyphen/>
              <w:t xml:space="preserve">tille Service at Public Service Development Agency was finalized on June 30, 2020.  Document authentication with Apostille is one of the services provided by PSDA. Apostille Division of the Public Service Development Agency certifies over 100 types of documents issued by the administrative agencies of Georgia. However, many state and private organizations issue documents in electronic format and with introduction of the “On Electronic Document and Electronic Trust Services”, which legally recognized electronic signature as the analogue of wet signature, the number of electronic documents will increase rapidly. As e-Apostille was not implemented in Georgia before this initiative, authentication of “original” electronic documents by paper Apostille required issuing authorities to reproduce these documents in paper form.  Consequently, improved </w:t>
            </w:r>
            <w:r w:rsidRPr="00812932">
              <w:rPr>
                <w:rFonts w:ascii="Arial" w:hAnsi="Arial" w:cs="Arial"/>
                <w:sz w:val="20"/>
                <w:szCs w:val="20"/>
              </w:rPr>
              <w:lastRenderedPageBreak/>
              <w:t xml:space="preserve">document security and </w:t>
            </w:r>
            <w:proofErr w:type="spellStart"/>
            <w:r w:rsidRPr="00812932">
              <w:rPr>
                <w:rFonts w:ascii="Arial" w:hAnsi="Arial" w:cs="Arial"/>
                <w:sz w:val="20"/>
                <w:szCs w:val="20"/>
              </w:rPr>
              <w:t>transmittability</w:t>
            </w:r>
            <w:proofErr w:type="spellEnd"/>
            <w:r w:rsidRPr="00812932">
              <w:rPr>
                <w:rFonts w:ascii="Arial" w:hAnsi="Arial" w:cs="Arial"/>
                <w:sz w:val="20"/>
                <w:szCs w:val="20"/>
              </w:rPr>
              <w:t xml:space="preserve"> - advantages of issuing document in electronic form – were lost, to say nothing about inconvenience it caused to customers and extra costs related to the service provision.</w:t>
            </w:r>
          </w:p>
        </w:tc>
        <w:tc>
          <w:tcPr>
            <w:tcW w:w="593" w:type="pct"/>
            <w:shd w:val="clear" w:color="auto" w:fill="auto"/>
          </w:tcPr>
          <w:p w14:paraId="7A206A46" w14:textId="77777777" w:rsidR="00F82EEB" w:rsidRPr="00812932" w:rsidRDefault="00F82EEB" w:rsidP="00FB3FDC">
            <w:pPr>
              <w:rPr>
                <w:rFonts w:ascii="Arial" w:hAnsi="Arial" w:cs="Arial"/>
                <w:sz w:val="20"/>
                <w:szCs w:val="20"/>
              </w:rPr>
            </w:pPr>
            <w:r w:rsidRPr="00812932">
              <w:rPr>
                <w:rFonts w:ascii="Arial" w:hAnsi="Arial" w:cs="Arial"/>
                <w:sz w:val="20"/>
                <w:szCs w:val="20"/>
              </w:rPr>
              <w:lastRenderedPageBreak/>
              <w:t>PSDA</w:t>
            </w:r>
          </w:p>
        </w:tc>
        <w:tc>
          <w:tcPr>
            <w:tcW w:w="469" w:type="pct"/>
            <w:shd w:val="clear" w:color="auto" w:fill="auto"/>
          </w:tcPr>
          <w:p w14:paraId="489A063A"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June 30, 2020</w:t>
            </w:r>
          </w:p>
          <w:p w14:paraId="57EDB037" w14:textId="77777777" w:rsidR="00F82EEB" w:rsidRPr="00812932" w:rsidRDefault="00F82EEB" w:rsidP="00FB3FDC">
            <w:pPr>
              <w:rPr>
                <w:rStyle w:val="A13"/>
                <w:rFonts w:ascii="Arial" w:hAnsi="Arial" w:cs="Arial"/>
                <w:color w:val="auto"/>
                <w:sz w:val="20"/>
                <w:szCs w:val="20"/>
              </w:rPr>
            </w:pPr>
          </w:p>
          <w:p w14:paraId="548E2351" w14:textId="77777777" w:rsidR="00F82EEB" w:rsidRPr="00812932" w:rsidRDefault="00F82EEB" w:rsidP="00FB3FDC">
            <w:pPr>
              <w:rPr>
                <w:rFonts w:ascii="Arial" w:hAnsi="Arial" w:cs="Arial"/>
                <w:sz w:val="20"/>
                <w:szCs w:val="20"/>
              </w:rPr>
            </w:pPr>
          </w:p>
        </w:tc>
        <w:tc>
          <w:tcPr>
            <w:tcW w:w="1845" w:type="pct"/>
            <w:shd w:val="clear" w:color="auto" w:fill="auto"/>
          </w:tcPr>
          <w:p w14:paraId="6BEDC57F"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The main achievement of the project w</w:t>
            </w:r>
            <w:r w:rsidRPr="00812932">
              <w:rPr>
                <w:rStyle w:val="A13"/>
                <w:rFonts w:ascii="Arial" w:hAnsi="Arial" w:cs="Arial"/>
                <w:sz w:val="20"/>
                <w:szCs w:val="20"/>
              </w:rPr>
              <w:t>as the</w:t>
            </w:r>
            <w:r w:rsidRPr="00812932">
              <w:rPr>
                <w:rStyle w:val="A13"/>
                <w:rFonts w:ascii="Arial" w:hAnsi="Arial" w:cs="Arial"/>
                <w:color w:val="auto"/>
                <w:sz w:val="20"/>
                <w:szCs w:val="20"/>
              </w:rPr>
              <w:t xml:space="preserve"> creation of an electronic apostille service that makes the process of issuing or obtaining a certified document easier and more secure for users. Interested parties will now have an opportunity to submit a document in electronic form for authentication and issuing organizations will no longer have to produce paper analogues of documents for Apostille. Increased security and reliability of documents bearing Apostille ensure that no changes are made after certification. Moreover, introduction of this new service serves to reduction of costs as substantial time, human and financial expenses related to scanning, printing, </w:t>
            </w:r>
            <w:proofErr w:type="gramStart"/>
            <w:r w:rsidRPr="00812932">
              <w:rPr>
                <w:rStyle w:val="A13"/>
                <w:rFonts w:ascii="Arial" w:hAnsi="Arial" w:cs="Arial"/>
                <w:color w:val="auto"/>
                <w:sz w:val="20"/>
                <w:szCs w:val="20"/>
              </w:rPr>
              <w:t>binding</w:t>
            </w:r>
            <w:proofErr w:type="gramEnd"/>
            <w:r w:rsidRPr="00812932">
              <w:rPr>
                <w:rStyle w:val="A13"/>
                <w:rFonts w:ascii="Arial" w:hAnsi="Arial" w:cs="Arial"/>
                <w:color w:val="auto"/>
                <w:sz w:val="20"/>
                <w:szCs w:val="20"/>
              </w:rPr>
              <w:t xml:space="preserve"> and applying stickers will be saved. The project contributes to adhering to “digital by default” principle of service delivery as well as fulfilment of European Union Visa Liberalization long-term objectives with regard to document security.</w:t>
            </w:r>
          </w:p>
        </w:tc>
      </w:tr>
      <w:tr w:rsidR="00F82EEB" w:rsidRPr="00812932" w14:paraId="6269F509" w14:textId="77777777" w:rsidTr="00FB3FDC">
        <w:trPr>
          <w:trHeight w:val="3870"/>
        </w:trPr>
        <w:tc>
          <w:tcPr>
            <w:tcW w:w="167" w:type="pct"/>
            <w:shd w:val="clear" w:color="auto" w:fill="F3F7FB"/>
          </w:tcPr>
          <w:p w14:paraId="778C6D1D" w14:textId="77777777" w:rsidR="00F82EEB" w:rsidRPr="00812932" w:rsidRDefault="00F82EEB" w:rsidP="00F82EEB">
            <w:pPr>
              <w:tabs>
                <w:tab w:val="left" w:pos="-90"/>
              </w:tabs>
              <w:jc w:val="both"/>
              <w:rPr>
                <w:rStyle w:val="A13"/>
                <w:rFonts w:ascii="Arial" w:hAnsi="Arial" w:cs="Arial"/>
                <w:color w:val="auto"/>
                <w:sz w:val="20"/>
                <w:szCs w:val="20"/>
              </w:rPr>
            </w:pPr>
            <w:r w:rsidRPr="00812932">
              <w:rPr>
                <w:rStyle w:val="A13"/>
                <w:rFonts w:ascii="Arial" w:hAnsi="Arial" w:cs="Arial"/>
                <w:color w:val="auto"/>
                <w:sz w:val="20"/>
                <w:szCs w:val="20"/>
              </w:rPr>
              <w:t>11</w:t>
            </w:r>
          </w:p>
        </w:tc>
        <w:tc>
          <w:tcPr>
            <w:tcW w:w="675" w:type="pct"/>
            <w:shd w:val="clear" w:color="auto" w:fill="F3F7FB"/>
          </w:tcPr>
          <w:p w14:paraId="6142EF90" w14:textId="77777777" w:rsidR="00F82EEB" w:rsidRPr="00812932" w:rsidRDefault="00F82EEB" w:rsidP="00FB3FDC">
            <w:pPr>
              <w:tabs>
                <w:tab w:val="left" w:pos="-90"/>
              </w:tabs>
              <w:rPr>
                <w:rStyle w:val="A13"/>
                <w:rFonts w:ascii="Arial" w:hAnsi="Arial" w:cs="Arial"/>
                <w:color w:val="auto"/>
                <w:sz w:val="20"/>
                <w:szCs w:val="20"/>
              </w:rPr>
            </w:pPr>
            <w:r w:rsidRPr="00812932">
              <w:rPr>
                <w:rFonts w:ascii="Arial" w:hAnsi="Arial" w:cs="Arial"/>
                <w:color w:val="000000"/>
                <w:sz w:val="20"/>
                <w:szCs w:val="20"/>
              </w:rPr>
              <w:t>Supporting the implementation of Public Administration Reform through the enhancement of Public Service Delivery in Georgia</w:t>
            </w:r>
          </w:p>
        </w:tc>
        <w:tc>
          <w:tcPr>
            <w:tcW w:w="1250" w:type="pct"/>
            <w:shd w:val="clear" w:color="auto" w:fill="F3F7FB"/>
          </w:tcPr>
          <w:p w14:paraId="2EEBA42F" w14:textId="5C51A88C" w:rsidR="00F82EEB" w:rsidRPr="00FB3FDC" w:rsidRDefault="00F82EEB" w:rsidP="00FB3FDC">
            <w:pPr>
              <w:spacing w:after="240"/>
              <w:rPr>
                <w:rFonts w:ascii="Arial" w:hAnsi="Arial" w:cs="Arial"/>
                <w:bCs/>
                <w:sz w:val="20"/>
                <w:szCs w:val="20"/>
                <w:lang w:val="en-GB"/>
              </w:rPr>
            </w:pPr>
            <w:bookmarkStart w:id="56" w:name="_Hlk20903740"/>
            <w:r w:rsidRPr="00812932">
              <w:rPr>
                <w:rFonts w:ascii="Arial" w:hAnsi="Arial" w:cs="Arial"/>
                <w:sz w:val="20"/>
                <w:szCs w:val="20"/>
              </w:rPr>
              <w:t>The overall objective of the sub-project was to</w:t>
            </w:r>
            <w:r w:rsidRPr="00812932">
              <w:rPr>
                <w:rFonts w:ascii="Arial" w:hAnsi="Arial" w:cs="Arial"/>
                <w:bCs/>
                <w:sz w:val="20"/>
                <w:szCs w:val="20"/>
                <w:lang w:val="en-GB"/>
              </w:rPr>
              <w:t xml:space="preserve"> improve public services in Georgia through the introduction of the unified service design, delivery, quality assurance and costing standards and transferring the knowledge and experience to the respective civil servants. This included training of service delivery agency employees in unified service delivery guidelines to support the capacity building of the service provider agencies.  The sub-project contributed to the successful implementation of the activities outlined in the PAR 2019-2020 Action Plan under the Service Delivery pillar</w:t>
            </w:r>
            <w:bookmarkEnd w:id="56"/>
            <w:r w:rsidR="00FB3FDC">
              <w:rPr>
                <w:rFonts w:ascii="Arial" w:hAnsi="Arial" w:cs="Arial"/>
                <w:bCs/>
                <w:sz w:val="20"/>
                <w:szCs w:val="20"/>
                <w:lang w:val="en-GB"/>
              </w:rPr>
              <w:t>.</w:t>
            </w:r>
          </w:p>
        </w:tc>
        <w:tc>
          <w:tcPr>
            <w:tcW w:w="593" w:type="pct"/>
            <w:shd w:val="clear" w:color="auto" w:fill="F3F7FB"/>
          </w:tcPr>
          <w:p w14:paraId="21065A32" w14:textId="77777777" w:rsidR="00F82EEB" w:rsidRPr="00812932" w:rsidRDefault="00F82EEB" w:rsidP="00FB3FDC">
            <w:pPr>
              <w:rPr>
                <w:rFonts w:ascii="Arial" w:hAnsi="Arial" w:cs="Arial"/>
                <w:sz w:val="20"/>
                <w:szCs w:val="20"/>
              </w:rPr>
            </w:pPr>
            <w:r w:rsidRPr="00812932">
              <w:rPr>
                <w:rFonts w:ascii="Arial" w:hAnsi="Arial" w:cs="Arial"/>
                <w:sz w:val="20"/>
                <w:szCs w:val="20"/>
              </w:rPr>
              <w:t>PSDA</w:t>
            </w:r>
          </w:p>
        </w:tc>
        <w:tc>
          <w:tcPr>
            <w:tcW w:w="469" w:type="pct"/>
            <w:shd w:val="clear" w:color="auto" w:fill="F3F7FB"/>
          </w:tcPr>
          <w:p w14:paraId="0BBEEFB5"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2</w:t>
            </w:r>
            <w:r w:rsidRPr="00812932">
              <w:rPr>
                <w:rStyle w:val="A13"/>
                <w:rFonts w:ascii="Arial" w:hAnsi="Arial" w:cs="Arial"/>
                <w:sz w:val="20"/>
                <w:szCs w:val="20"/>
              </w:rPr>
              <w:t>020 - 2021</w:t>
            </w:r>
          </w:p>
        </w:tc>
        <w:tc>
          <w:tcPr>
            <w:tcW w:w="1845" w:type="pct"/>
            <w:shd w:val="clear" w:color="auto" w:fill="F3F7FB"/>
          </w:tcPr>
          <w:p w14:paraId="36FEA76E"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A</w:t>
            </w:r>
            <w:r w:rsidRPr="00812932">
              <w:rPr>
                <w:rStyle w:val="A13"/>
                <w:rFonts w:ascii="Arial" w:hAnsi="Arial" w:cs="Arial"/>
                <w:sz w:val="20"/>
                <w:szCs w:val="20"/>
              </w:rPr>
              <w:t>s a result of the project f</w:t>
            </w:r>
            <w:r w:rsidRPr="00812932">
              <w:rPr>
                <w:rStyle w:val="A13"/>
                <w:rFonts w:ascii="Arial" w:hAnsi="Arial" w:cs="Arial"/>
                <w:color w:val="auto"/>
                <w:sz w:val="20"/>
                <w:szCs w:val="20"/>
              </w:rPr>
              <w:t xml:space="preserve">ive methodological and training packages were developed and ready to use (costing, </w:t>
            </w:r>
            <w:proofErr w:type="spellStart"/>
            <w:r w:rsidRPr="00812932">
              <w:rPr>
                <w:rStyle w:val="A13"/>
                <w:rFonts w:ascii="Arial" w:hAnsi="Arial" w:cs="Arial"/>
                <w:color w:val="auto"/>
                <w:sz w:val="20"/>
                <w:szCs w:val="20"/>
              </w:rPr>
              <w:t>PwDs</w:t>
            </w:r>
            <w:proofErr w:type="spellEnd"/>
            <w:r w:rsidRPr="00812932">
              <w:rPr>
                <w:rStyle w:val="A13"/>
                <w:rFonts w:ascii="Arial" w:hAnsi="Arial" w:cs="Arial"/>
                <w:color w:val="auto"/>
                <w:sz w:val="20"/>
                <w:szCs w:val="20"/>
              </w:rPr>
              <w:t xml:space="preserve"> inclusive public service design and delivery, CAF, customer satisfaction) and in total 187 public servants (F=139; M= 48) from more than 10 different public agencies trained under UPSDD packages. </w:t>
            </w:r>
          </w:p>
        </w:tc>
      </w:tr>
      <w:tr w:rsidR="00F82EEB" w:rsidRPr="00812932" w14:paraId="55C4744B" w14:textId="77777777" w:rsidTr="00F82EEB">
        <w:trPr>
          <w:trHeight w:val="3995"/>
        </w:trPr>
        <w:tc>
          <w:tcPr>
            <w:tcW w:w="167" w:type="pct"/>
          </w:tcPr>
          <w:p w14:paraId="15EA3E74" w14:textId="77777777" w:rsidR="00F82EEB" w:rsidRPr="00812932" w:rsidRDefault="00F82EEB" w:rsidP="00F82EEB">
            <w:pPr>
              <w:tabs>
                <w:tab w:val="left" w:pos="-90"/>
              </w:tabs>
              <w:jc w:val="both"/>
              <w:rPr>
                <w:rStyle w:val="A13"/>
                <w:rFonts w:ascii="Arial" w:hAnsi="Arial" w:cs="Arial"/>
                <w:color w:val="auto"/>
                <w:sz w:val="20"/>
                <w:szCs w:val="20"/>
              </w:rPr>
            </w:pPr>
            <w:r w:rsidRPr="00812932">
              <w:rPr>
                <w:rStyle w:val="A13"/>
                <w:rFonts w:ascii="Arial" w:hAnsi="Arial" w:cs="Arial"/>
                <w:color w:val="auto"/>
                <w:sz w:val="20"/>
                <w:szCs w:val="20"/>
              </w:rPr>
              <w:lastRenderedPageBreak/>
              <w:t>12</w:t>
            </w:r>
          </w:p>
        </w:tc>
        <w:tc>
          <w:tcPr>
            <w:tcW w:w="675" w:type="pct"/>
            <w:shd w:val="clear" w:color="auto" w:fill="auto"/>
          </w:tcPr>
          <w:p w14:paraId="566A95FF" w14:textId="687DD241" w:rsidR="00F82EEB" w:rsidRPr="00812932" w:rsidRDefault="00F82EEB" w:rsidP="00FB3FDC">
            <w:pPr>
              <w:tabs>
                <w:tab w:val="left" w:pos="-90"/>
              </w:tabs>
              <w:rPr>
                <w:rFonts w:ascii="Arial" w:hAnsi="Arial" w:cs="Arial"/>
                <w:color w:val="000000"/>
                <w:sz w:val="20"/>
                <w:szCs w:val="20"/>
              </w:rPr>
            </w:pPr>
            <w:r w:rsidRPr="00812932">
              <w:rPr>
                <w:rFonts w:ascii="Arial" w:hAnsi="Arial" w:cs="Arial"/>
                <w:sz w:val="20"/>
                <w:szCs w:val="20"/>
              </w:rPr>
              <w:t>Support to Public Service Development Agency towards the Enhancement of Information Security and Administrative Data Management Processes</w:t>
            </w:r>
            <w:r w:rsidR="000D55D3">
              <w:rPr>
                <w:rFonts w:ascii="Arial" w:hAnsi="Arial" w:cs="Arial"/>
                <w:sz w:val="20"/>
                <w:szCs w:val="20"/>
              </w:rPr>
              <w:t xml:space="preserve"> </w:t>
            </w:r>
            <w:r w:rsidR="000D55D3" w:rsidRPr="00366F5F">
              <w:rPr>
                <w:rFonts w:ascii="Arial" w:hAnsi="Arial" w:cs="Arial"/>
                <w:bCs/>
                <w:sz w:val="20"/>
                <w:szCs w:val="20"/>
              </w:rPr>
              <w:t>(Emerging Needs)</w:t>
            </w:r>
          </w:p>
        </w:tc>
        <w:tc>
          <w:tcPr>
            <w:tcW w:w="1250" w:type="pct"/>
            <w:shd w:val="clear" w:color="auto" w:fill="auto"/>
          </w:tcPr>
          <w:p w14:paraId="520937C5" w14:textId="77777777" w:rsidR="00F82EEB" w:rsidRPr="00812932" w:rsidRDefault="00F82EEB" w:rsidP="00FB3FDC">
            <w:pPr>
              <w:rPr>
                <w:rFonts w:ascii="Arial" w:hAnsi="Arial" w:cs="Arial"/>
                <w:sz w:val="20"/>
                <w:szCs w:val="20"/>
              </w:rPr>
            </w:pPr>
            <w:r w:rsidRPr="00812932">
              <w:rPr>
                <w:rFonts w:ascii="Arial" w:hAnsi="Arial" w:cs="Arial"/>
                <w:sz w:val="20"/>
                <w:szCs w:val="20"/>
              </w:rPr>
              <w:t>The objective of the sub-project is to enhance PSDA cybersecurity systems and data management processes in response to the increased global cyber threats, challenges posed by Covid-19 reality and associated remote working practices. The sub-project builds on the achievements of the UNDP funded project - “Support to Public Service Development Agency towards the Enhancement of Informational Security and Trust Service Provision Capacities” (implemented from 2017 to 2018) as well as EU supported project - “Supporting Public Service Development Agency to continuously implement all benchmarks under the Visa Liberalization Action Plan” – Component 3 (implemented from 2017 to 2020) by significantly expanding the scope of the activities geared towards improving PSDA’s information security infrastructure and data management capabilities.</w:t>
            </w:r>
          </w:p>
        </w:tc>
        <w:tc>
          <w:tcPr>
            <w:tcW w:w="593" w:type="pct"/>
            <w:shd w:val="clear" w:color="auto" w:fill="auto"/>
          </w:tcPr>
          <w:p w14:paraId="46AD5C21" w14:textId="77777777" w:rsidR="00F82EEB" w:rsidRPr="00812932" w:rsidRDefault="00F82EEB" w:rsidP="00FB3FDC">
            <w:pPr>
              <w:rPr>
                <w:rFonts w:ascii="Arial" w:hAnsi="Arial" w:cs="Arial"/>
                <w:sz w:val="20"/>
                <w:szCs w:val="20"/>
              </w:rPr>
            </w:pPr>
            <w:r w:rsidRPr="00812932">
              <w:rPr>
                <w:rFonts w:ascii="Arial" w:hAnsi="Arial" w:cs="Arial"/>
                <w:sz w:val="20"/>
                <w:szCs w:val="20"/>
              </w:rPr>
              <w:t>PSDA</w:t>
            </w:r>
          </w:p>
        </w:tc>
        <w:tc>
          <w:tcPr>
            <w:tcW w:w="469" w:type="pct"/>
            <w:shd w:val="clear" w:color="auto" w:fill="auto"/>
          </w:tcPr>
          <w:p w14:paraId="03B4367C"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2</w:t>
            </w:r>
            <w:r w:rsidRPr="00812932">
              <w:rPr>
                <w:rStyle w:val="A13"/>
                <w:rFonts w:ascii="Arial" w:hAnsi="Arial" w:cs="Arial"/>
                <w:sz w:val="20"/>
                <w:szCs w:val="20"/>
              </w:rPr>
              <w:t>020 - 2021</w:t>
            </w:r>
          </w:p>
        </w:tc>
        <w:tc>
          <w:tcPr>
            <w:tcW w:w="1845" w:type="pct"/>
            <w:shd w:val="clear" w:color="auto" w:fill="auto"/>
          </w:tcPr>
          <w:p w14:paraId="339AD404"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lang w:val="en-GB"/>
              </w:rPr>
              <w:t>O</w:t>
            </w:r>
            <w:proofErr w:type="spellStart"/>
            <w:r w:rsidRPr="00812932">
              <w:rPr>
                <w:rStyle w:val="A13"/>
                <w:rFonts w:ascii="Arial" w:hAnsi="Arial" w:cs="Arial"/>
                <w:sz w:val="20"/>
                <w:szCs w:val="20"/>
              </w:rPr>
              <w:t>ngoing</w:t>
            </w:r>
            <w:proofErr w:type="spellEnd"/>
            <w:r w:rsidRPr="00812932">
              <w:rPr>
                <w:rStyle w:val="A13"/>
                <w:rFonts w:ascii="Arial" w:hAnsi="Arial" w:cs="Arial"/>
                <w:sz w:val="20"/>
                <w:szCs w:val="20"/>
              </w:rPr>
              <w:t xml:space="preserve"> </w:t>
            </w:r>
          </w:p>
        </w:tc>
      </w:tr>
      <w:tr w:rsidR="00F82EEB" w:rsidRPr="00812932" w14:paraId="7BD83E34" w14:textId="77777777" w:rsidTr="00F82EEB">
        <w:trPr>
          <w:trHeight w:val="3995"/>
        </w:trPr>
        <w:tc>
          <w:tcPr>
            <w:tcW w:w="167" w:type="pct"/>
            <w:shd w:val="clear" w:color="auto" w:fill="F3F7FB"/>
          </w:tcPr>
          <w:p w14:paraId="6CAE4F17" w14:textId="77777777" w:rsidR="00F82EEB" w:rsidRPr="00812932" w:rsidRDefault="00F82EEB" w:rsidP="00F82EEB">
            <w:pPr>
              <w:tabs>
                <w:tab w:val="left" w:pos="-90"/>
              </w:tabs>
              <w:jc w:val="both"/>
              <w:rPr>
                <w:rStyle w:val="A13"/>
                <w:rFonts w:ascii="Arial" w:hAnsi="Arial" w:cs="Arial"/>
                <w:color w:val="auto"/>
                <w:sz w:val="20"/>
                <w:szCs w:val="20"/>
              </w:rPr>
            </w:pPr>
            <w:r w:rsidRPr="00812932">
              <w:rPr>
                <w:rStyle w:val="A13"/>
                <w:rFonts w:ascii="Arial" w:hAnsi="Arial" w:cs="Arial"/>
                <w:color w:val="auto"/>
                <w:sz w:val="20"/>
                <w:szCs w:val="20"/>
              </w:rPr>
              <w:lastRenderedPageBreak/>
              <w:t>13</w:t>
            </w:r>
          </w:p>
        </w:tc>
        <w:tc>
          <w:tcPr>
            <w:tcW w:w="675" w:type="pct"/>
            <w:shd w:val="clear" w:color="auto" w:fill="F3F7FB"/>
          </w:tcPr>
          <w:p w14:paraId="761D0A22" w14:textId="77777777" w:rsidR="00F82EEB" w:rsidRPr="00812932" w:rsidRDefault="00F82EEB" w:rsidP="00FB3FDC">
            <w:pPr>
              <w:tabs>
                <w:tab w:val="left" w:pos="-90"/>
              </w:tabs>
              <w:rPr>
                <w:rStyle w:val="A13"/>
                <w:rFonts w:ascii="Arial" w:hAnsi="Arial" w:cs="Arial"/>
                <w:color w:val="auto"/>
                <w:sz w:val="20"/>
                <w:szCs w:val="20"/>
              </w:rPr>
            </w:pPr>
            <w:r w:rsidRPr="00812932">
              <w:rPr>
                <w:rStyle w:val="A13"/>
                <w:rFonts w:ascii="Arial" w:hAnsi="Arial" w:cs="Arial"/>
                <w:color w:val="auto"/>
                <w:sz w:val="20"/>
                <w:szCs w:val="20"/>
              </w:rPr>
              <w:t>S</w:t>
            </w:r>
            <w:r w:rsidRPr="00812932">
              <w:rPr>
                <w:rStyle w:val="A13"/>
                <w:rFonts w:ascii="Arial" w:hAnsi="Arial" w:cs="Arial"/>
                <w:sz w:val="20"/>
                <w:szCs w:val="20"/>
              </w:rPr>
              <w:t xml:space="preserve">upporting the Unified Service Center of the Ministry of Internal Affairs to Strengthen its Organizational Capacity for Improved Service Delivery  </w:t>
            </w:r>
          </w:p>
        </w:tc>
        <w:tc>
          <w:tcPr>
            <w:tcW w:w="1250" w:type="pct"/>
            <w:shd w:val="clear" w:color="auto" w:fill="F3F7FB"/>
          </w:tcPr>
          <w:p w14:paraId="531AA007" w14:textId="77777777" w:rsidR="00F82EEB" w:rsidRPr="00812932" w:rsidRDefault="00F82EEB" w:rsidP="00FB3FDC">
            <w:pPr>
              <w:rPr>
                <w:rFonts w:ascii="Arial" w:hAnsi="Arial" w:cs="Arial"/>
                <w:sz w:val="20"/>
                <w:szCs w:val="20"/>
              </w:rPr>
            </w:pPr>
            <w:r w:rsidRPr="00812932">
              <w:rPr>
                <w:rFonts w:ascii="Arial" w:hAnsi="Arial" w:cs="Arial"/>
                <w:sz w:val="20"/>
                <w:szCs w:val="20"/>
              </w:rPr>
              <w:t xml:space="preserve">The aim of the sub-project is to support </w:t>
            </w:r>
            <w:r w:rsidRPr="00812932">
              <w:rPr>
                <w:rStyle w:val="A13"/>
                <w:rFonts w:ascii="Arial" w:hAnsi="Arial" w:cs="Arial"/>
                <w:sz w:val="20"/>
                <w:szCs w:val="20"/>
              </w:rPr>
              <w:t>the Unified Service Center of the Ministry of Internal Affairs to strengthen its organizational capacity through series of capacity building measures of effective and inclusive delivery of human-centered services coupled with increased accessibility of these services to Persons with Disabilities (</w:t>
            </w:r>
            <w:proofErr w:type="spellStart"/>
            <w:r w:rsidRPr="00812932">
              <w:rPr>
                <w:rStyle w:val="A13"/>
                <w:rFonts w:ascii="Arial" w:hAnsi="Arial" w:cs="Arial"/>
                <w:sz w:val="20"/>
                <w:szCs w:val="20"/>
              </w:rPr>
              <w:t>PwDs</w:t>
            </w:r>
            <w:proofErr w:type="spellEnd"/>
            <w:r w:rsidRPr="00812932">
              <w:rPr>
                <w:rStyle w:val="A13"/>
                <w:rFonts w:ascii="Arial" w:hAnsi="Arial" w:cs="Arial"/>
                <w:sz w:val="20"/>
                <w:szCs w:val="20"/>
              </w:rPr>
              <w:t xml:space="preserve">). </w:t>
            </w:r>
          </w:p>
        </w:tc>
        <w:tc>
          <w:tcPr>
            <w:tcW w:w="593" w:type="pct"/>
            <w:shd w:val="clear" w:color="auto" w:fill="F3F7FB"/>
          </w:tcPr>
          <w:p w14:paraId="3F7A191D" w14:textId="77777777" w:rsidR="00F82EEB" w:rsidRPr="00812932" w:rsidRDefault="00F82EEB" w:rsidP="00FB3FDC">
            <w:pPr>
              <w:rPr>
                <w:rFonts w:ascii="Arial" w:hAnsi="Arial" w:cs="Arial"/>
                <w:sz w:val="20"/>
                <w:szCs w:val="20"/>
              </w:rPr>
            </w:pPr>
            <w:r w:rsidRPr="00812932">
              <w:rPr>
                <w:rFonts w:ascii="Arial" w:hAnsi="Arial" w:cs="Arial"/>
                <w:sz w:val="20"/>
                <w:szCs w:val="20"/>
              </w:rPr>
              <w:t xml:space="preserve">Ministry of Internal Affairs </w:t>
            </w:r>
          </w:p>
        </w:tc>
        <w:tc>
          <w:tcPr>
            <w:tcW w:w="469" w:type="pct"/>
            <w:shd w:val="clear" w:color="auto" w:fill="F3F7FB"/>
          </w:tcPr>
          <w:p w14:paraId="4A224EF1"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2</w:t>
            </w:r>
            <w:r w:rsidRPr="00812932">
              <w:rPr>
                <w:rStyle w:val="A13"/>
                <w:rFonts w:ascii="Arial" w:hAnsi="Arial" w:cs="Arial"/>
                <w:sz w:val="20"/>
                <w:szCs w:val="20"/>
              </w:rPr>
              <w:t>020 - 2021</w:t>
            </w:r>
          </w:p>
        </w:tc>
        <w:tc>
          <w:tcPr>
            <w:tcW w:w="1845" w:type="pct"/>
            <w:shd w:val="clear" w:color="auto" w:fill="F3F7FB"/>
          </w:tcPr>
          <w:p w14:paraId="213B527D" w14:textId="77777777" w:rsidR="00F82EEB" w:rsidRPr="00812932" w:rsidRDefault="00F82EEB" w:rsidP="00FB3FDC">
            <w:pPr>
              <w:rPr>
                <w:rStyle w:val="A13"/>
                <w:rFonts w:ascii="Arial" w:hAnsi="Arial" w:cs="Arial"/>
                <w:color w:val="auto"/>
                <w:sz w:val="20"/>
                <w:szCs w:val="20"/>
              </w:rPr>
            </w:pPr>
            <w:r w:rsidRPr="00812932">
              <w:rPr>
                <w:rStyle w:val="A13"/>
                <w:rFonts w:ascii="Arial" w:hAnsi="Arial" w:cs="Arial"/>
                <w:color w:val="auto"/>
                <w:sz w:val="20"/>
                <w:szCs w:val="20"/>
              </w:rPr>
              <w:t xml:space="preserve">As a result of the sub-project Patrol Department of the Unified Service Center of the Ministry of Internal Affairs has implemented Common Assessment Framework (CAF) – a total quality management tool designed for self-assessment and improvement of public organizations from the context of service delivery. Additionally, capacities of the center staff were enhanced in customer services and quality control as well as </w:t>
            </w:r>
            <w:proofErr w:type="spellStart"/>
            <w:r w:rsidRPr="00812932">
              <w:rPr>
                <w:rStyle w:val="A13"/>
                <w:rFonts w:ascii="Arial" w:hAnsi="Arial" w:cs="Arial"/>
                <w:color w:val="auto"/>
                <w:sz w:val="20"/>
                <w:szCs w:val="20"/>
              </w:rPr>
              <w:t>PwDs</w:t>
            </w:r>
            <w:proofErr w:type="spellEnd"/>
            <w:r w:rsidRPr="00812932">
              <w:rPr>
                <w:rStyle w:val="A13"/>
                <w:rFonts w:ascii="Arial" w:hAnsi="Arial" w:cs="Arial"/>
                <w:color w:val="auto"/>
                <w:sz w:val="20"/>
                <w:szCs w:val="20"/>
              </w:rPr>
              <w:t xml:space="preserve"> service delivery. </w:t>
            </w:r>
          </w:p>
        </w:tc>
      </w:tr>
    </w:tbl>
    <w:p w14:paraId="31D744F5" w14:textId="77777777" w:rsidR="00F82EEB" w:rsidRPr="00B72130" w:rsidRDefault="00F82EEB" w:rsidP="00F82EEB">
      <w:pPr>
        <w:jc w:val="center"/>
        <w:rPr>
          <w:rFonts w:ascii="Lora" w:hAnsi="Lora" w:cs="Arial"/>
          <w:sz w:val="22"/>
          <w:szCs w:val="22"/>
        </w:rPr>
      </w:pPr>
    </w:p>
    <w:p w14:paraId="2A7D2C6B" w14:textId="77777777" w:rsidR="00F82EEB" w:rsidRPr="00B72130" w:rsidRDefault="00F82EEB" w:rsidP="00F82EEB">
      <w:pPr>
        <w:jc w:val="center"/>
        <w:rPr>
          <w:rFonts w:ascii="Lora" w:hAnsi="Lora" w:cs="Arial"/>
          <w:sz w:val="22"/>
          <w:szCs w:val="22"/>
        </w:rPr>
      </w:pPr>
    </w:p>
    <w:p w14:paraId="1F1DCE4E" w14:textId="77777777" w:rsidR="00F82EEB" w:rsidRPr="00B72130" w:rsidRDefault="00F82EEB" w:rsidP="00F82EEB">
      <w:pPr>
        <w:jc w:val="center"/>
        <w:rPr>
          <w:rFonts w:ascii="Lora" w:hAnsi="Lora" w:cs="Arial"/>
          <w:sz w:val="22"/>
          <w:szCs w:val="22"/>
        </w:rPr>
      </w:pPr>
    </w:p>
    <w:p w14:paraId="55803A1C" w14:textId="77777777" w:rsidR="00F82EEB" w:rsidRPr="00B72130" w:rsidRDefault="00F82EEB" w:rsidP="00F82EEB">
      <w:pPr>
        <w:jc w:val="center"/>
        <w:rPr>
          <w:rFonts w:ascii="Lora" w:hAnsi="Lora" w:cs="Arial"/>
          <w:sz w:val="22"/>
          <w:szCs w:val="22"/>
        </w:rPr>
      </w:pPr>
    </w:p>
    <w:p w14:paraId="334231B8" w14:textId="77777777" w:rsidR="00F82EEB" w:rsidRPr="00B72130" w:rsidRDefault="00F82EEB" w:rsidP="00F82EEB">
      <w:pPr>
        <w:jc w:val="center"/>
        <w:rPr>
          <w:rFonts w:ascii="Lora" w:hAnsi="Lora" w:cs="Arial"/>
          <w:sz w:val="22"/>
          <w:szCs w:val="22"/>
        </w:rPr>
      </w:pPr>
    </w:p>
    <w:p w14:paraId="0D01081B" w14:textId="77777777" w:rsidR="00F82EEB" w:rsidRDefault="00F82EEB" w:rsidP="00F82EEB"/>
    <w:p w14:paraId="75CADDB4" w14:textId="77777777" w:rsidR="00F82EEB" w:rsidRDefault="00F82EEB" w:rsidP="00077484">
      <w:pPr>
        <w:pStyle w:val="Heading1"/>
      </w:pPr>
    </w:p>
    <w:p w14:paraId="666A5405" w14:textId="77777777" w:rsidR="00812932" w:rsidRDefault="00812932">
      <w:pPr>
        <w:rPr>
          <w:rFonts w:asciiTheme="majorHAnsi" w:eastAsiaTheme="majorEastAsia" w:hAnsiTheme="majorHAnsi" w:cstheme="majorBidi"/>
          <w:b/>
          <w:bCs/>
          <w:color w:val="345A8A" w:themeColor="accent1" w:themeShade="B5"/>
          <w:sz w:val="32"/>
          <w:szCs w:val="32"/>
        </w:rPr>
      </w:pPr>
      <w:r>
        <w:br w:type="page"/>
      </w:r>
    </w:p>
    <w:p w14:paraId="4AB0D393" w14:textId="69959683" w:rsidR="00812932" w:rsidRPr="00291DD6" w:rsidRDefault="00812932" w:rsidP="00812932">
      <w:pPr>
        <w:pStyle w:val="Heading1"/>
      </w:pPr>
      <w:bookmarkStart w:id="57" w:name="_Toc478138891"/>
      <w:r>
        <w:lastRenderedPageBreak/>
        <w:t>Annex J</w:t>
      </w:r>
      <w:r w:rsidR="008D4846">
        <w:t>:</w:t>
      </w:r>
      <w:r w:rsidR="008D4846">
        <w:tab/>
      </w:r>
      <w:r w:rsidR="00291DD6">
        <w:t>Project-Sponsored Conferences and Public Events</w:t>
      </w:r>
      <w:bookmarkEnd w:id="57"/>
    </w:p>
    <w:p w14:paraId="7CB19460" w14:textId="77777777" w:rsidR="00812932" w:rsidRPr="00CB28F6" w:rsidRDefault="00812932" w:rsidP="00812932">
      <w:pPr>
        <w:jc w:val="center"/>
        <w:rPr>
          <w:rFonts w:ascii="Lora" w:hAnsi="Lora" w:cs="Arial"/>
          <w:sz w:val="22"/>
          <w:szCs w:val="22"/>
          <w:lang w:val="en-GB"/>
        </w:rPr>
      </w:pPr>
    </w:p>
    <w:tbl>
      <w:tblPr>
        <w:tblStyle w:val="GridTable4-Accent11"/>
        <w:tblW w:w="14868" w:type="dxa"/>
        <w:tblLook w:val="04A0" w:firstRow="1" w:lastRow="0" w:firstColumn="1" w:lastColumn="0" w:noHBand="0" w:noVBand="1"/>
      </w:tblPr>
      <w:tblGrid>
        <w:gridCol w:w="3148"/>
        <w:gridCol w:w="8194"/>
        <w:gridCol w:w="2050"/>
        <w:gridCol w:w="1476"/>
      </w:tblGrid>
      <w:tr w:rsidR="00812932" w:rsidRPr="00291DD6" w14:paraId="56A4B4FD" w14:textId="77777777" w:rsidTr="008129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43962F3F" w14:textId="77777777" w:rsidR="00812932" w:rsidRPr="00291DD6" w:rsidRDefault="00812932" w:rsidP="00812932">
            <w:pPr>
              <w:jc w:val="center"/>
              <w:rPr>
                <w:rFonts w:ascii="Arial" w:hAnsi="Arial" w:cs="Arial"/>
                <w:lang w:val="en-GB"/>
              </w:rPr>
            </w:pPr>
            <w:r w:rsidRPr="00291DD6">
              <w:rPr>
                <w:rFonts w:ascii="Arial" w:hAnsi="Arial" w:cs="Arial"/>
                <w:lang w:val="en-GB"/>
              </w:rPr>
              <w:t>Subject</w:t>
            </w:r>
          </w:p>
        </w:tc>
        <w:tc>
          <w:tcPr>
            <w:tcW w:w="8214" w:type="dxa"/>
            <w:vAlign w:val="center"/>
          </w:tcPr>
          <w:p w14:paraId="739F4DD7" w14:textId="77777777" w:rsidR="00812932" w:rsidRPr="00291DD6"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291DD6">
              <w:rPr>
                <w:rFonts w:ascii="Arial" w:hAnsi="Arial" w:cs="Arial"/>
                <w:lang w:val="en-GB"/>
              </w:rPr>
              <w:t>Synopsis</w:t>
            </w:r>
          </w:p>
        </w:tc>
        <w:tc>
          <w:tcPr>
            <w:tcW w:w="2053" w:type="dxa"/>
            <w:vAlign w:val="center"/>
          </w:tcPr>
          <w:p w14:paraId="417A15A9" w14:textId="77777777" w:rsidR="00812932" w:rsidRPr="00291DD6"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291DD6">
              <w:rPr>
                <w:rFonts w:ascii="Arial" w:hAnsi="Arial" w:cs="Arial"/>
                <w:lang w:val="en-GB"/>
              </w:rPr>
              <w:t>Date</w:t>
            </w:r>
          </w:p>
        </w:tc>
        <w:tc>
          <w:tcPr>
            <w:tcW w:w="1448" w:type="dxa"/>
            <w:vAlign w:val="center"/>
          </w:tcPr>
          <w:p w14:paraId="039DC53F" w14:textId="77777777" w:rsidR="00812932" w:rsidRPr="00291DD6"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291DD6">
              <w:rPr>
                <w:rFonts w:ascii="Arial" w:hAnsi="Arial" w:cs="Arial"/>
                <w:lang w:val="en-GB"/>
              </w:rPr>
              <w:t># of Participants (M/F %)</w:t>
            </w:r>
          </w:p>
        </w:tc>
      </w:tr>
      <w:tr w:rsidR="00812932" w:rsidRPr="00291DD6" w14:paraId="0141B985"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07C0231B"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Launch of a programme for Public Administration Reform</w:t>
            </w:r>
          </w:p>
        </w:tc>
        <w:tc>
          <w:tcPr>
            <w:tcW w:w="8214" w:type="dxa"/>
            <w:vAlign w:val="center"/>
          </w:tcPr>
          <w:p w14:paraId="710F8A70"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Launch of a programme for Public Administration Reform</w:t>
            </w:r>
          </w:p>
        </w:tc>
        <w:tc>
          <w:tcPr>
            <w:tcW w:w="2053" w:type="dxa"/>
            <w:vAlign w:val="center"/>
          </w:tcPr>
          <w:p w14:paraId="7C3EDD66"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February, 2017</w:t>
            </w:r>
          </w:p>
        </w:tc>
        <w:tc>
          <w:tcPr>
            <w:tcW w:w="1448" w:type="dxa"/>
            <w:vAlign w:val="center"/>
          </w:tcPr>
          <w:p w14:paraId="12C095D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50208448"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5176D751"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Professional Development Forum</w:t>
            </w:r>
          </w:p>
        </w:tc>
        <w:tc>
          <w:tcPr>
            <w:tcW w:w="8214" w:type="dxa"/>
            <w:vAlign w:val="center"/>
          </w:tcPr>
          <w:p w14:paraId="572F1A83"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Two Forum meetings conducted between local private and public training providers</w:t>
            </w:r>
          </w:p>
        </w:tc>
        <w:tc>
          <w:tcPr>
            <w:tcW w:w="2053" w:type="dxa"/>
            <w:vAlign w:val="center"/>
          </w:tcPr>
          <w:p w14:paraId="451901F6"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March- April, 2017</w:t>
            </w:r>
          </w:p>
        </w:tc>
        <w:tc>
          <w:tcPr>
            <w:tcW w:w="1448" w:type="dxa"/>
            <w:vAlign w:val="center"/>
          </w:tcPr>
          <w:p w14:paraId="6B6D0332"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68A885BA"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0A7FA663"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Innovative workshop to promote civil service reform in Georgia</w:t>
            </w:r>
          </w:p>
        </w:tc>
        <w:tc>
          <w:tcPr>
            <w:tcW w:w="8214" w:type="dxa"/>
            <w:vAlign w:val="center"/>
          </w:tcPr>
          <w:p w14:paraId="5E1ECA7A"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Innovative workshop has been organized in cooperation with the PSDA </w:t>
            </w:r>
            <w:proofErr w:type="spellStart"/>
            <w:r w:rsidRPr="00291DD6">
              <w:rPr>
                <w:rFonts w:ascii="Arial" w:hAnsi="Arial" w:cs="Arial"/>
                <w:sz w:val="20"/>
                <w:szCs w:val="20"/>
                <w:lang w:val="en-GB"/>
              </w:rPr>
              <w:t>ServiceLab</w:t>
            </w:r>
            <w:proofErr w:type="spellEnd"/>
            <w:r w:rsidRPr="00291DD6">
              <w:rPr>
                <w:rFonts w:ascii="Arial" w:hAnsi="Arial" w:cs="Arial"/>
                <w:sz w:val="20"/>
                <w:szCs w:val="20"/>
                <w:lang w:val="en-GB"/>
              </w:rPr>
              <w:t>, to promote civil service reform in Georgia.</w:t>
            </w:r>
          </w:p>
        </w:tc>
        <w:tc>
          <w:tcPr>
            <w:tcW w:w="2053" w:type="dxa"/>
            <w:vAlign w:val="center"/>
          </w:tcPr>
          <w:p w14:paraId="5E4A9218"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June 2017</w:t>
            </w:r>
          </w:p>
        </w:tc>
        <w:tc>
          <w:tcPr>
            <w:tcW w:w="1448" w:type="dxa"/>
            <w:vAlign w:val="center"/>
          </w:tcPr>
          <w:p w14:paraId="6DD39282"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7F90B382"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241F1E31"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Working Meeting: “Development of a Unified Performance Tracking and</w:t>
            </w:r>
          </w:p>
          <w:p w14:paraId="58D60DAC"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Monitoring System for Georgia”</w:t>
            </w:r>
          </w:p>
        </w:tc>
        <w:tc>
          <w:tcPr>
            <w:tcW w:w="8214" w:type="dxa"/>
            <w:vAlign w:val="center"/>
          </w:tcPr>
          <w:p w14:paraId="26D77174"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Brief overview of SIGMA baseline study on public policy coordination Processes has been presented, along with the preliminary findings on Developing a unified system for monitoring and reporting government policy implementation, and presentation of the PSDA on online reporting platform Public Service. Meeting was concluded with the discussion on improving the Annual Government Work Plan.</w:t>
            </w:r>
          </w:p>
        </w:tc>
        <w:tc>
          <w:tcPr>
            <w:tcW w:w="2053" w:type="dxa"/>
            <w:vAlign w:val="center"/>
          </w:tcPr>
          <w:p w14:paraId="32282D2F"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November 22, 2017</w:t>
            </w:r>
          </w:p>
        </w:tc>
        <w:tc>
          <w:tcPr>
            <w:tcW w:w="1448" w:type="dxa"/>
            <w:vAlign w:val="center"/>
          </w:tcPr>
          <w:p w14:paraId="4A5A26D6"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30A5C522"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6D438546"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Presentation:</w:t>
            </w:r>
          </w:p>
          <w:p w14:paraId="525CC2CB"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Development of Performance Appraisal System in Georgia:</w:t>
            </w:r>
          </w:p>
          <w:p w14:paraId="4BA9C308"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Achieved Results and Selected Models</w:t>
            </w:r>
          </w:p>
        </w:tc>
        <w:tc>
          <w:tcPr>
            <w:tcW w:w="8214" w:type="dxa"/>
            <w:vAlign w:val="center"/>
          </w:tcPr>
          <w:p w14:paraId="4AABE937"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Presentation has been provided on the development of Performance Appraisal System in Georgia, with major focus on achieved results and selected models.</w:t>
            </w:r>
          </w:p>
        </w:tc>
        <w:tc>
          <w:tcPr>
            <w:tcW w:w="2053" w:type="dxa"/>
            <w:vAlign w:val="center"/>
          </w:tcPr>
          <w:p w14:paraId="401EBE9E"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December 22, 2017</w:t>
            </w:r>
          </w:p>
        </w:tc>
        <w:tc>
          <w:tcPr>
            <w:tcW w:w="1448" w:type="dxa"/>
            <w:vAlign w:val="center"/>
          </w:tcPr>
          <w:p w14:paraId="768392D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33D38628"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628880A4"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Regional Civil Society Network (R-CSN) Conference</w:t>
            </w:r>
          </w:p>
        </w:tc>
        <w:tc>
          <w:tcPr>
            <w:tcW w:w="8214" w:type="dxa"/>
            <w:vAlign w:val="center"/>
          </w:tcPr>
          <w:p w14:paraId="29BC04DF"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Regional Civil Society Network (R-CSN) Conference</w:t>
            </w:r>
          </w:p>
        </w:tc>
        <w:tc>
          <w:tcPr>
            <w:tcW w:w="2053" w:type="dxa"/>
            <w:vAlign w:val="center"/>
          </w:tcPr>
          <w:p w14:paraId="2D13AB11"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December 2017</w:t>
            </w:r>
          </w:p>
        </w:tc>
        <w:tc>
          <w:tcPr>
            <w:tcW w:w="1448" w:type="dxa"/>
            <w:vAlign w:val="center"/>
          </w:tcPr>
          <w:p w14:paraId="66966CA9"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21 (M=13; F=8)</w:t>
            </w:r>
          </w:p>
        </w:tc>
      </w:tr>
      <w:tr w:rsidR="00812932" w:rsidRPr="00291DD6" w14:paraId="06555371"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54CE828C"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Presentation of the results of a training cycle for civil servants on novelties of the Law on Civil Service</w:t>
            </w:r>
          </w:p>
        </w:tc>
        <w:tc>
          <w:tcPr>
            <w:tcW w:w="8214" w:type="dxa"/>
            <w:vAlign w:val="center"/>
          </w:tcPr>
          <w:p w14:paraId="117322C8"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Presentation of the results of a training cycle for civil servants on novelties of the Law on Civil Service</w:t>
            </w:r>
          </w:p>
        </w:tc>
        <w:tc>
          <w:tcPr>
            <w:tcW w:w="2053" w:type="dxa"/>
            <w:vAlign w:val="center"/>
          </w:tcPr>
          <w:p w14:paraId="090A180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December 2017</w:t>
            </w:r>
          </w:p>
        </w:tc>
        <w:tc>
          <w:tcPr>
            <w:tcW w:w="1448" w:type="dxa"/>
            <w:vAlign w:val="center"/>
          </w:tcPr>
          <w:p w14:paraId="6349191D"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102 (M=29; F=29)</w:t>
            </w:r>
          </w:p>
        </w:tc>
      </w:tr>
      <w:tr w:rsidR="00812932" w:rsidRPr="00291DD6" w14:paraId="46499CD1"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126ECABA"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Working Meeting on “Government Work Plan:  Enhancement of Planning, Reporting, Monitoring and Evaluation processes”</w:t>
            </w:r>
          </w:p>
        </w:tc>
        <w:tc>
          <w:tcPr>
            <w:tcW w:w="8214" w:type="dxa"/>
            <w:vAlign w:val="center"/>
          </w:tcPr>
          <w:p w14:paraId="3F640FA5"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Working Meeting on “Government Work Plan:  Enhancement of Planning, Reporting, Monitoring and Evaluation processes”</w:t>
            </w:r>
          </w:p>
        </w:tc>
        <w:tc>
          <w:tcPr>
            <w:tcW w:w="2053" w:type="dxa"/>
            <w:vAlign w:val="center"/>
          </w:tcPr>
          <w:p w14:paraId="7CB9111E"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December 14, 2017</w:t>
            </w:r>
          </w:p>
        </w:tc>
        <w:tc>
          <w:tcPr>
            <w:tcW w:w="1448" w:type="dxa"/>
            <w:vAlign w:val="center"/>
          </w:tcPr>
          <w:p w14:paraId="62D2A67B"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2D975DAE"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1111D97E" w14:textId="77777777" w:rsidR="00812932" w:rsidRPr="001A58F1" w:rsidRDefault="00812932" w:rsidP="00812932">
            <w:pPr>
              <w:pStyle w:val="Header"/>
              <w:spacing w:after="200" w:line="276" w:lineRule="auto"/>
              <w:rPr>
                <w:rFonts w:ascii="Arial" w:hAnsi="Arial" w:cs="Arial"/>
                <w:b w:val="0"/>
                <w:bCs w:val="0"/>
                <w:sz w:val="20"/>
                <w:szCs w:val="20"/>
                <w:lang w:val="en-US"/>
              </w:rPr>
            </w:pPr>
            <w:r w:rsidRPr="001A58F1">
              <w:rPr>
                <w:rFonts w:ascii="Arial" w:hAnsi="Arial" w:cs="Arial"/>
                <w:b w:val="0"/>
                <w:sz w:val="20"/>
                <w:szCs w:val="20"/>
                <w:lang w:val="en-US"/>
              </w:rPr>
              <w:t xml:space="preserve">Workshop for the Policy Planning Network, Government of Georgia </w:t>
            </w:r>
          </w:p>
          <w:p w14:paraId="74D168E6" w14:textId="77777777" w:rsidR="00812932" w:rsidRPr="001A58F1" w:rsidRDefault="00812932" w:rsidP="00812932">
            <w:pPr>
              <w:rPr>
                <w:rFonts w:ascii="Arial" w:hAnsi="Arial" w:cs="Arial"/>
                <w:b w:val="0"/>
                <w:sz w:val="20"/>
                <w:szCs w:val="20"/>
                <w:lang w:val="en-US"/>
              </w:rPr>
            </w:pPr>
          </w:p>
        </w:tc>
        <w:tc>
          <w:tcPr>
            <w:tcW w:w="8214" w:type="dxa"/>
            <w:vAlign w:val="center"/>
          </w:tcPr>
          <w:p w14:paraId="20B22D40" w14:textId="77777777" w:rsidR="00812932" w:rsidRPr="00291DD6" w:rsidRDefault="00812932" w:rsidP="00812932">
            <w:pPr>
              <w:pStyle w:val="Heade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US"/>
              </w:rPr>
            </w:pPr>
            <w:r w:rsidRPr="00291DD6">
              <w:rPr>
                <w:rFonts w:ascii="Arial" w:hAnsi="Arial" w:cs="Arial"/>
                <w:color w:val="000000"/>
                <w:sz w:val="20"/>
                <w:szCs w:val="20"/>
                <w:lang w:val="en-US"/>
              </w:rPr>
              <w:t xml:space="preserve">The three-day workshop has been presented by the Policy Planning and Strategic Coordination Unit of the </w:t>
            </w:r>
            <w:proofErr w:type="spellStart"/>
            <w:r w:rsidRPr="00291DD6">
              <w:rPr>
                <w:rFonts w:ascii="Arial" w:hAnsi="Arial" w:cs="Arial"/>
                <w:color w:val="000000"/>
                <w:sz w:val="20"/>
                <w:szCs w:val="20"/>
                <w:lang w:val="en-US"/>
              </w:rPr>
              <w:t>AoG</w:t>
            </w:r>
            <w:proofErr w:type="spellEnd"/>
            <w:r w:rsidRPr="00291DD6">
              <w:rPr>
                <w:rFonts w:ascii="Arial" w:hAnsi="Arial" w:cs="Arial"/>
                <w:color w:val="000000"/>
                <w:sz w:val="20"/>
                <w:szCs w:val="20"/>
                <w:lang w:val="en-US"/>
              </w:rPr>
              <w:t xml:space="preserve"> under the </w:t>
            </w:r>
            <w:r w:rsidRPr="00291DD6">
              <w:rPr>
                <w:rFonts w:ascii="Arial" w:hAnsi="Arial" w:cs="Arial"/>
                <w:sz w:val="20"/>
                <w:szCs w:val="20"/>
                <w:lang w:val="en-US"/>
              </w:rPr>
              <w:t>PAR project, aiming to support the establishment of a sound and unified monitoring system in Georgia and increasing the capacities of Government agencies in the effective implementation of policy planning and improving basic performance tracking practices.</w:t>
            </w:r>
          </w:p>
          <w:p w14:paraId="6E7EC717"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053" w:type="dxa"/>
            <w:vAlign w:val="center"/>
          </w:tcPr>
          <w:p w14:paraId="10A8AB34"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 – 3 February, 2018</w:t>
            </w:r>
          </w:p>
        </w:tc>
        <w:tc>
          <w:tcPr>
            <w:tcW w:w="1448" w:type="dxa"/>
            <w:vAlign w:val="center"/>
          </w:tcPr>
          <w:p w14:paraId="31BCA875"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18EFDD4A"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22F1B980"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lastRenderedPageBreak/>
              <w:t>Presentation of the project “Support to Public Policy Units of the Ministries of Georgia”</w:t>
            </w:r>
          </w:p>
        </w:tc>
        <w:tc>
          <w:tcPr>
            <w:tcW w:w="8214" w:type="dxa"/>
            <w:vAlign w:val="center"/>
          </w:tcPr>
          <w:p w14:paraId="2E661C72"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The event aimed to inform the PAR stakeholders from government, donors and civil society on the initiative implemented by PAR project main purpose of which was </w:t>
            </w:r>
            <w:proofErr w:type="gramStart"/>
            <w:r w:rsidRPr="00291DD6">
              <w:rPr>
                <w:rFonts w:ascii="Arial" w:hAnsi="Arial" w:cs="Arial"/>
                <w:sz w:val="20"/>
                <w:szCs w:val="20"/>
                <w:lang w:val="en-GB"/>
              </w:rPr>
              <w:t>to  increase</w:t>
            </w:r>
            <w:proofErr w:type="gramEnd"/>
            <w:r w:rsidRPr="00291DD6">
              <w:rPr>
                <w:rFonts w:ascii="Arial" w:hAnsi="Arial" w:cs="Arial"/>
                <w:sz w:val="20"/>
                <w:szCs w:val="20"/>
                <w:lang w:val="en-GB"/>
              </w:rPr>
              <w:t xml:space="preserve"> capacity of ministries’ policy units in public policy analysis and thus improve the policy making process in the country, strengthen the link between policy planning and budgeting, enhance the nexus between policy planning and implementation and build strong mechanisms for monitoring, evaluating and accountability. This initiative resulted in elaboration of the policy trainings for civil servants supported by the project through the year 2020. </w:t>
            </w:r>
          </w:p>
        </w:tc>
        <w:tc>
          <w:tcPr>
            <w:tcW w:w="2053" w:type="dxa"/>
            <w:vAlign w:val="center"/>
          </w:tcPr>
          <w:p w14:paraId="1E5E1D0E"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March 2018</w:t>
            </w:r>
          </w:p>
        </w:tc>
        <w:tc>
          <w:tcPr>
            <w:tcW w:w="1448" w:type="dxa"/>
            <w:vAlign w:val="center"/>
          </w:tcPr>
          <w:p w14:paraId="1B8D5B2F"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56 (M=15; F=41)</w:t>
            </w:r>
          </w:p>
        </w:tc>
      </w:tr>
      <w:tr w:rsidR="00812932" w:rsidRPr="00291DD6" w14:paraId="7509AEE4"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450910BC"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Opening of the cyber security Olympiad Cyber Cube</w:t>
            </w:r>
          </w:p>
        </w:tc>
        <w:tc>
          <w:tcPr>
            <w:tcW w:w="8214" w:type="dxa"/>
            <w:vAlign w:val="center"/>
          </w:tcPr>
          <w:p w14:paraId="07D3E6A0"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The third national Cyber Olympiad </w:t>
            </w:r>
            <w:proofErr w:type="spellStart"/>
            <w:r w:rsidRPr="00291DD6">
              <w:rPr>
                <w:rFonts w:ascii="Arial" w:hAnsi="Arial" w:cs="Arial"/>
                <w:sz w:val="20"/>
                <w:szCs w:val="20"/>
                <w:lang w:val="en-GB"/>
              </w:rPr>
              <w:t>CyberCube</w:t>
            </w:r>
            <w:proofErr w:type="spellEnd"/>
            <w:r w:rsidRPr="00291DD6">
              <w:rPr>
                <w:rFonts w:ascii="Arial" w:hAnsi="Arial" w:cs="Arial"/>
                <w:sz w:val="20"/>
                <w:szCs w:val="20"/>
                <w:lang w:val="en-GB"/>
              </w:rPr>
              <w:t xml:space="preserve"> 2018, has been organized by the Computer Emergency Response Team (CERT.GOV.GE) of the Digital Governance Agency (DGA) under the Ministry of Justice of Georgia, in cooperation with the Cyber Security Bureau of the Ministry of </w:t>
            </w:r>
            <w:proofErr w:type="spellStart"/>
            <w:r w:rsidRPr="00291DD6">
              <w:rPr>
                <w:rFonts w:ascii="Arial" w:hAnsi="Arial" w:cs="Arial"/>
                <w:sz w:val="20"/>
                <w:szCs w:val="20"/>
                <w:lang w:val="en-GB"/>
              </w:rPr>
              <w:t>Defense</w:t>
            </w:r>
            <w:proofErr w:type="spellEnd"/>
            <w:r w:rsidRPr="00291DD6">
              <w:rPr>
                <w:rFonts w:ascii="Arial" w:hAnsi="Arial" w:cs="Arial"/>
                <w:sz w:val="20"/>
                <w:szCs w:val="20"/>
                <w:lang w:val="en-GB"/>
              </w:rPr>
              <w:t xml:space="preserve"> of Georgia and the Ministry of Education and Science of Georgia, and supported by the United Nations Development Program (UNDP) and UK aid from the UK Government, and by a range of business partners and sponsors. </w:t>
            </w:r>
            <w:proofErr w:type="spellStart"/>
            <w:r w:rsidRPr="00291DD6">
              <w:rPr>
                <w:rFonts w:ascii="Arial" w:hAnsi="Arial" w:cs="Arial"/>
                <w:sz w:val="20"/>
                <w:szCs w:val="20"/>
                <w:lang w:val="en-GB"/>
              </w:rPr>
              <w:t>CyberCube</w:t>
            </w:r>
            <w:proofErr w:type="spellEnd"/>
            <w:r w:rsidRPr="00291DD6">
              <w:rPr>
                <w:rFonts w:ascii="Arial" w:hAnsi="Arial" w:cs="Arial"/>
                <w:sz w:val="20"/>
                <w:szCs w:val="20"/>
                <w:lang w:val="en-GB"/>
              </w:rPr>
              <w:t xml:space="preserve"> 2018 was the third Cyber Olympiad organized in Georgia since 2016. Participants represented youth under 25 who compete to fulfil a variety of tasks related to preventing cyber crisis situations and recovering from cyber security incidents caused by hard drive failures or attacks by adversaries. </w:t>
            </w:r>
          </w:p>
        </w:tc>
        <w:tc>
          <w:tcPr>
            <w:tcW w:w="2053" w:type="dxa"/>
            <w:vAlign w:val="center"/>
          </w:tcPr>
          <w:p w14:paraId="674331EF"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May 2018</w:t>
            </w:r>
          </w:p>
        </w:tc>
        <w:tc>
          <w:tcPr>
            <w:tcW w:w="1448" w:type="dxa"/>
            <w:vAlign w:val="center"/>
          </w:tcPr>
          <w:p w14:paraId="17DF854E"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150</w:t>
            </w:r>
          </w:p>
        </w:tc>
      </w:tr>
      <w:tr w:rsidR="00812932" w:rsidRPr="00291DD6" w14:paraId="393EC43D" w14:textId="77777777" w:rsidTr="00812932">
        <w:trPr>
          <w:trHeight w:val="1952"/>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0F874B74"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Discussion on service delivery reform in the Tbilisi Architecture Service of the Tbilisi City Hall</w:t>
            </w:r>
          </w:p>
        </w:tc>
        <w:tc>
          <w:tcPr>
            <w:tcW w:w="8214" w:type="dxa"/>
            <w:vAlign w:val="center"/>
          </w:tcPr>
          <w:p w14:paraId="546666E6" w14:textId="77777777" w:rsidR="00812932" w:rsidRPr="00291DD6" w:rsidRDefault="00812932" w:rsidP="00812932">
            <w:pPr>
              <w:pStyle w:val="NormalWeb"/>
              <w:shd w:val="clear" w:color="auto" w:fill="FEFEFE"/>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GB"/>
              </w:rPr>
            </w:pPr>
            <w:r w:rsidRPr="00291DD6">
              <w:rPr>
                <w:rFonts w:ascii="Arial" w:hAnsi="Arial" w:cs="Arial"/>
                <w:spacing w:val="4"/>
                <w:sz w:val="20"/>
                <w:szCs w:val="20"/>
                <w:lang w:val="en-GB"/>
              </w:rPr>
              <w:t>The reform is based on problem mapping and recommendations, provided to the Tbilisi Architecture Service by a non-governmental organization “Innovations and Reforms Centre” (IRC), with the support from the United Nations Development Programme (UNDP) and UK aid from the UK Government. The concrete steps planned under the ongoing reform were discussed at a working meeting on 21 June 2018, attended by over 40 representatives of the Tbilisi Mayor’s Office, government agencies, NGOs, private companies, international and donor organizations.</w:t>
            </w:r>
          </w:p>
        </w:tc>
        <w:tc>
          <w:tcPr>
            <w:tcW w:w="2053" w:type="dxa"/>
            <w:vAlign w:val="center"/>
          </w:tcPr>
          <w:p w14:paraId="77866383"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June 21, 2018</w:t>
            </w:r>
          </w:p>
        </w:tc>
        <w:tc>
          <w:tcPr>
            <w:tcW w:w="1448" w:type="dxa"/>
            <w:vAlign w:val="center"/>
          </w:tcPr>
          <w:p w14:paraId="79A4903F"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32 (F=24; M=8)</w:t>
            </w:r>
          </w:p>
        </w:tc>
      </w:tr>
      <w:tr w:rsidR="00812932" w:rsidRPr="00291DD6" w14:paraId="6E4B6CBC" w14:textId="77777777" w:rsidTr="0081293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37FB1BAC"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A workshop on the draft study on best practices and lessons-learned of the Policy Planning Network</w:t>
            </w:r>
          </w:p>
        </w:tc>
        <w:tc>
          <w:tcPr>
            <w:tcW w:w="8214" w:type="dxa"/>
            <w:vAlign w:val="center"/>
          </w:tcPr>
          <w:p w14:paraId="37616236" w14:textId="77777777" w:rsidR="00812932" w:rsidRPr="00291DD6" w:rsidRDefault="00812932" w:rsidP="00812932">
            <w:pPr>
              <w:pStyle w:val="NormalWeb"/>
              <w:shd w:val="clear" w:color="auto" w:fill="FEFEFE"/>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GB"/>
              </w:rPr>
            </w:pPr>
            <w:r w:rsidRPr="00291DD6">
              <w:rPr>
                <w:rFonts w:ascii="Arial" w:hAnsi="Arial" w:cs="Arial"/>
                <w:spacing w:val="4"/>
                <w:sz w:val="20"/>
                <w:szCs w:val="20"/>
                <w:lang w:val="en-GB"/>
              </w:rPr>
              <w:t>A workshop on the draft study has been carried out with the relevant stakeholders, for the validation and finalization.</w:t>
            </w:r>
          </w:p>
        </w:tc>
        <w:tc>
          <w:tcPr>
            <w:tcW w:w="2053" w:type="dxa"/>
            <w:vAlign w:val="center"/>
          </w:tcPr>
          <w:p w14:paraId="2E018B75"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June 2018</w:t>
            </w:r>
          </w:p>
        </w:tc>
        <w:tc>
          <w:tcPr>
            <w:tcW w:w="1448" w:type="dxa"/>
            <w:vAlign w:val="center"/>
          </w:tcPr>
          <w:p w14:paraId="0C4FD92E"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2DE804CA" w14:textId="77777777" w:rsidTr="00812932">
        <w:trPr>
          <w:trHeight w:val="1313"/>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5E975CE2"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Workshop: New Consolidated Reference Materials for Drafting, Monitoring, Reporting and Evaluating Policy Documents</w:t>
            </w:r>
          </w:p>
        </w:tc>
        <w:tc>
          <w:tcPr>
            <w:tcW w:w="8214" w:type="dxa"/>
            <w:vAlign w:val="center"/>
          </w:tcPr>
          <w:p w14:paraId="6FD33C37" w14:textId="77777777" w:rsidR="00812932" w:rsidRPr="00291DD6" w:rsidRDefault="00812932" w:rsidP="00812932">
            <w:pPr>
              <w:pStyle w:val="NormalWeb"/>
              <w:shd w:val="clear" w:color="auto" w:fill="FEFEFE"/>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GB"/>
              </w:rPr>
            </w:pPr>
            <w:r w:rsidRPr="00291DD6">
              <w:rPr>
                <w:rFonts w:ascii="Arial" w:hAnsi="Arial" w:cs="Arial"/>
                <w:spacing w:val="4"/>
                <w:sz w:val="20"/>
                <w:szCs w:val="20"/>
                <w:lang w:val="en-GB"/>
              </w:rPr>
              <w:t>A workshop aimed at providing information on a new policy making framework to public agencies</w:t>
            </w:r>
          </w:p>
        </w:tc>
        <w:tc>
          <w:tcPr>
            <w:tcW w:w="2053" w:type="dxa"/>
            <w:vAlign w:val="center"/>
          </w:tcPr>
          <w:p w14:paraId="15B9FC53" w14:textId="77777777" w:rsidR="00812932" w:rsidRPr="00291DD6" w:rsidRDefault="00812932" w:rsidP="00812932">
            <w:pPr>
              <w:spacing w:after="2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26 - 27 July 2018</w:t>
            </w:r>
          </w:p>
          <w:p w14:paraId="1B11B6D3"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448" w:type="dxa"/>
            <w:vAlign w:val="center"/>
          </w:tcPr>
          <w:p w14:paraId="119F78BF"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40</w:t>
            </w:r>
          </w:p>
        </w:tc>
      </w:tr>
      <w:tr w:rsidR="00812932" w:rsidRPr="00291DD6" w14:paraId="11293D46" w14:textId="77777777" w:rsidTr="00812932">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390C8536"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lastRenderedPageBreak/>
              <w:t>Presentation of the Report:</w:t>
            </w:r>
          </w:p>
          <w:p w14:paraId="305F3B90"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Management and Efficient Resolution of Service/Labour Disputes in Civil Service </w:t>
            </w:r>
            <w:r w:rsidRPr="001A58F1">
              <w:rPr>
                <w:rFonts w:ascii="Arial" w:hAnsi="Arial" w:cs="Arial"/>
                <w:b w:val="0"/>
                <w:sz w:val="20"/>
                <w:szCs w:val="20"/>
                <w:lang w:val="en-GB"/>
              </w:rPr>
              <w:tab/>
            </w:r>
          </w:p>
        </w:tc>
        <w:tc>
          <w:tcPr>
            <w:tcW w:w="8214" w:type="dxa"/>
            <w:vAlign w:val="center"/>
          </w:tcPr>
          <w:p w14:paraId="507CE013" w14:textId="77777777" w:rsidR="00812932" w:rsidRPr="00291DD6" w:rsidRDefault="00812932" w:rsidP="00812932">
            <w:pPr>
              <w:pStyle w:val="NormalWeb"/>
              <w:shd w:val="clear" w:color="auto" w:fill="FEFEFE"/>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GB"/>
              </w:rPr>
            </w:pPr>
            <w:r w:rsidRPr="00291DD6">
              <w:rPr>
                <w:rFonts w:ascii="Arial" w:hAnsi="Arial" w:cs="Arial"/>
                <w:spacing w:val="4"/>
                <w:sz w:val="20"/>
                <w:szCs w:val="20"/>
                <w:lang w:val="en-GB"/>
              </w:rPr>
              <w:t>Presentation of the major findings and recommendations on the report “</w:t>
            </w:r>
            <w:r w:rsidRPr="00291DD6">
              <w:rPr>
                <w:rFonts w:ascii="Arial" w:hAnsi="Arial" w:cs="Arial"/>
                <w:sz w:val="20"/>
                <w:szCs w:val="20"/>
                <w:lang w:val="en-GB"/>
              </w:rPr>
              <w:t>Management and Efficient Resolution of Service/Labour Disputes in Civil Service”.</w:t>
            </w:r>
          </w:p>
        </w:tc>
        <w:tc>
          <w:tcPr>
            <w:tcW w:w="2053" w:type="dxa"/>
            <w:vAlign w:val="center"/>
          </w:tcPr>
          <w:p w14:paraId="61AD0DCB" w14:textId="77777777" w:rsidR="00812932" w:rsidRPr="00291DD6" w:rsidRDefault="00812932" w:rsidP="00812932">
            <w:pPr>
              <w:spacing w:after="2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July 23, 2018</w:t>
            </w:r>
          </w:p>
        </w:tc>
        <w:tc>
          <w:tcPr>
            <w:tcW w:w="1448" w:type="dxa"/>
            <w:vAlign w:val="center"/>
          </w:tcPr>
          <w:p w14:paraId="46F71D3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27272DF6"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76205BED"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Workshop: Strategic planning, monitoring, evaluation in public sector   </w:t>
            </w:r>
          </w:p>
        </w:tc>
        <w:tc>
          <w:tcPr>
            <w:tcW w:w="8214" w:type="dxa"/>
            <w:vAlign w:val="center"/>
          </w:tcPr>
          <w:p w14:paraId="52738776"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A workshop with public agencies on the elaboration of the new framework </w:t>
            </w:r>
          </w:p>
        </w:tc>
        <w:tc>
          <w:tcPr>
            <w:tcW w:w="2053" w:type="dxa"/>
            <w:vAlign w:val="center"/>
          </w:tcPr>
          <w:p w14:paraId="35209727"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August 2018</w:t>
            </w:r>
          </w:p>
        </w:tc>
        <w:tc>
          <w:tcPr>
            <w:tcW w:w="1448" w:type="dxa"/>
            <w:vAlign w:val="center"/>
          </w:tcPr>
          <w:p w14:paraId="3E53927A"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178238B8"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251AEF77"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Workshop: Standard Operation Procedures (SOPs) for policy document development   </w:t>
            </w:r>
          </w:p>
        </w:tc>
        <w:tc>
          <w:tcPr>
            <w:tcW w:w="8214" w:type="dxa"/>
            <w:vAlign w:val="center"/>
          </w:tcPr>
          <w:p w14:paraId="15616B72"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Workshop: Standard Operation Procedures (SOPs) for policy document development   </w:t>
            </w:r>
          </w:p>
        </w:tc>
        <w:tc>
          <w:tcPr>
            <w:tcW w:w="2053" w:type="dxa"/>
            <w:vAlign w:val="center"/>
          </w:tcPr>
          <w:p w14:paraId="5563A544"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August 2018</w:t>
            </w:r>
          </w:p>
        </w:tc>
        <w:tc>
          <w:tcPr>
            <w:tcW w:w="1448" w:type="dxa"/>
            <w:vAlign w:val="center"/>
          </w:tcPr>
          <w:p w14:paraId="6AC80C06"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38962D52"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79C6AC1A"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SCO Grants Fair</w:t>
            </w:r>
          </w:p>
        </w:tc>
        <w:tc>
          <w:tcPr>
            <w:tcW w:w="8214" w:type="dxa"/>
            <w:vAlign w:val="center"/>
          </w:tcPr>
          <w:p w14:paraId="55C569AA"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16 distinct SCO/Research initiatives have been supported within the framework of the project, to make the PAR process more inclusive and innovative. The event showcased the mentioned initiatives, focusing on importance of enhancing CSO-Government cooperation and fostering meaningful partnership between various actors in the context of ongoing Public Administration Reform.</w:t>
            </w:r>
          </w:p>
        </w:tc>
        <w:tc>
          <w:tcPr>
            <w:tcW w:w="2053" w:type="dxa"/>
            <w:vAlign w:val="center"/>
          </w:tcPr>
          <w:p w14:paraId="1173814B"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December 14, 2018</w:t>
            </w:r>
          </w:p>
        </w:tc>
        <w:tc>
          <w:tcPr>
            <w:tcW w:w="1448" w:type="dxa"/>
            <w:vAlign w:val="center"/>
          </w:tcPr>
          <w:p w14:paraId="1733C841"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29810E14"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7455761B"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Closing event of the project with the Civil Service Bureau (CSB) of Georgia</w:t>
            </w:r>
          </w:p>
        </w:tc>
        <w:tc>
          <w:tcPr>
            <w:tcW w:w="8214" w:type="dxa"/>
            <w:vAlign w:val="center"/>
          </w:tcPr>
          <w:p w14:paraId="0DA0E96A" w14:textId="77777777" w:rsidR="00812932" w:rsidRPr="00291DD6" w:rsidRDefault="00812932" w:rsidP="0081293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Closing event of the project with the Civil Service Bureau (CSB) of Georgia</w:t>
            </w:r>
          </w:p>
        </w:tc>
        <w:tc>
          <w:tcPr>
            <w:tcW w:w="2053" w:type="dxa"/>
            <w:vAlign w:val="center"/>
          </w:tcPr>
          <w:p w14:paraId="712747DE"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December 2018</w:t>
            </w:r>
          </w:p>
        </w:tc>
        <w:tc>
          <w:tcPr>
            <w:tcW w:w="1448" w:type="dxa"/>
            <w:vAlign w:val="center"/>
          </w:tcPr>
          <w:p w14:paraId="0AFD10FA"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16B07CAB"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5705E523"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Introduction of the Appraisal Systems in Georgia</w:t>
            </w:r>
          </w:p>
        </w:tc>
        <w:tc>
          <w:tcPr>
            <w:tcW w:w="8214" w:type="dxa"/>
            <w:vAlign w:val="center"/>
          </w:tcPr>
          <w:p w14:paraId="183461AF"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Presentation has been provided on the development of Performance Appraisal System in Georgia, with major focus on achieved results and selected models</w:t>
            </w:r>
          </w:p>
        </w:tc>
        <w:tc>
          <w:tcPr>
            <w:tcW w:w="2053" w:type="dxa"/>
            <w:vAlign w:val="center"/>
          </w:tcPr>
          <w:p w14:paraId="2C94349E"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December 2018</w:t>
            </w:r>
          </w:p>
        </w:tc>
        <w:tc>
          <w:tcPr>
            <w:tcW w:w="1448" w:type="dxa"/>
            <w:vAlign w:val="center"/>
          </w:tcPr>
          <w:p w14:paraId="4CB35429"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2E33E1A2"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0BAB6273"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HR Forum</w:t>
            </w:r>
          </w:p>
        </w:tc>
        <w:tc>
          <w:tcPr>
            <w:tcW w:w="8214" w:type="dxa"/>
            <w:vAlign w:val="center"/>
          </w:tcPr>
          <w:p w14:paraId="48EC7D57"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Two HR Forums conducted in the reporting period have facilitated peer learning and experience sharing among HRs and CSB. Besides, the next steps toward the better implementation of appraisal models, in</w:t>
            </w:r>
            <w:r w:rsidRPr="00291DD6">
              <w:rPr>
                <w:rFonts w:ascii="Arial" w:hAnsi="Arial" w:cs="Arial"/>
                <w:sz w:val="20"/>
                <w:szCs w:val="20"/>
                <w:lang w:val="en-GB"/>
              </w:rPr>
              <w:softHyphen/>
              <w:t>cluding relevant legal amendments and additional guidance, were discussed and planned.</w:t>
            </w:r>
          </w:p>
        </w:tc>
        <w:tc>
          <w:tcPr>
            <w:tcW w:w="2053" w:type="dxa"/>
            <w:vAlign w:val="center"/>
          </w:tcPr>
          <w:p w14:paraId="339148D9"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February 2019; September 2019</w:t>
            </w:r>
          </w:p>
        </w:tc>
        <w:tc>
          <w:tcPr>
            <w:tcW w:w="1448" w:type="dxa"/>
            <w:vAlign w:val="center"/>
          </w:tcPr>
          <w:p w14:paraId="67A4894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53823473"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1763C019"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Presentation of the Research </w:t>
            </w:r>
            <w:proofErr w:type="gramStart"/>
            <w:r w:rsidRPr="001A58F1">
              <w:rPr>
                <w:rFonts w:ascii="Arial" w:hAnsi="Arial" w:cs="Arial"/>
                <w:b w:val="0"/>
                <w:sz w:val="20"/>
                <w:szCs w:val="20"/>
                <w:lang w:val="en-GB"/>
              </w:rPr>
              <w:t>on  Professional</w:t>
            </w:r>
            <w:proofErr w:type="gramEnd"/>
            <w:r w:rsidRPr="001A58F1">
              <w:rPr>
                <w:rFonts w:ascii="Arial" w:hAnsi="Arial" w:cs="Arial"/>
                <w:b w:val="0"/>
                <w:sz w:val="20"/>
                <w:szCs w:val="20"/>
                <w:lang w:val="en-GB"/>
              </w:rPr>
              <w:t xml:space="preserve"> development system of civil servants in Georgia”</w:t>
            </w:r>
          </w:p>
        </w:tc>
        <w:tc>
          <w:tcPr>
            <w:tcW w:w="8214" w:type="dxa"/>
            <w:vAlign w:val="center"/>
          </w:tcPr>
          <w:p w14:paraId="68CD340E" w14:textId="77777777" w:rsidR="00812932" w:rsidRPr="00291DD6" w:rsidRDefault="00812932" w:rsidP="00812932">
            <w:pPr>
              <w:pStyle w:val="NormalWeb"/>
              <w:shd w:val="clear" w:color="auto" w:fill="FEFEFE"/>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GB"/>
              </w:rPr>
            </w:pPr>
            <w:r w:rsidRPr="00291DD6">
              <w:rPr>
                <w:rFonts w:ascii="Arial" w:hAnsi="Arial" w:cs="Arial"/>
                <w:spacing w:val="4"/>
                <w:sz w:val="20"/>
                <w:szCs w:val="20"/>
                <w:lang w:val="en-GB"/>
              </w:rPr>
              <w:t xml:space="preserve">Professional development of civil servants in Georgia and the role of educational institutions in this process were the focus of a discussion on 24 January 2019 attended by the international experts and representatives of the Georgian ministries, training </w:t>
            </w:r>
            <w:proofErr w:type="spellStart"/>
            <w:r w:rsidRPr="00291DD6">
              <w:rPr>
                <w:rFonts w:ascii="Arial" w:hAnsi="Arial" w:cs="Arial"/>
                <w:spacing w:val="4"/>
                <w:sz w:val="20"/>
                <w:szCs w:val="20"/>
                <w:lang w:val="en-GB"/>
              </w:rPr>
              <w:t>centers</w:t>
            </w:r>
            <w:proofErr w:type="spellEnd"/>
            <w:r w:rsidRPr="00291DD6">
              <w:rPr>
                <w:rFonts w:ascii="Arial" w:hAnsi="Arial" w:cs="Arial"/>
                <w:spacing w:val="4"/>
                <w:sz w:val="20"/>
                <w:szCs w:val="20"/>
                <w:lang w:val="en-GB"/>
              </w:rPr>
              <w:t xml:space="preserve"> and civil society. The event was organized by the Institute for Development of Freedom of Information (IDFI). </w:t>
            </w:r>
          </w:p>
        </w:tc>
        <w:tc>
          <w:tcPr>
            <w:tcW w:w="2053" w:type="dxa"/>
            <w:vAlign w:val="center"/>
          </w:tcPr>
          <w:p w14:paraId="2352E709" w14:textId="77777777" w:rsidR="00812932" w:rsidRPr="00291DD6" w:rsidRDefault="00812932" w:rsidP="00812932">
            <w:pPr>
              <w:autoSpaceDE w:val="0"/>
              <w:autoSpaceDN w:val="0"/>
              <w:adjustRightInd w:val="0"/>
              <w:spacing w:line="221"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25 January, 2019</w:t>
            </w:r>
          </w:p>
        </w:tc>
        <w:tc>
          <w:tcPr>
            <w:tcW w:w="1448" w:type="dxa"/>
            <w:vAlign w:val="center"/>
          </w:tcPr>
          <w:p w14:paraId="3E7617F7"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6BE5E602"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4522F1D3"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Promoting employment for people with disabilities</w:t>
            </w:r>
          </w:p>
        </w:tc>
        <w:tc>
          <w:tcPr>
            <w:tcW w:w="8214" w:type="dxa"/>
            <w:vAlign w:val="center"/>
          </w:tcPr>
          <w:p w14:paraId="68A40185"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GB"/>
              </w:rPr>
            </w:pPr>
            <w:r w:rsidRPr="00291DD6">
              <w:rPr>
                <w:rFonts w:ascii="Arial" w:hAnsi="Arial" w:cs="Arial"/>
                <w:sz w:val="20"/>
                <w:szCs w:val="20"/>
                <w:lang w:val="en-GB"/>
              </w:rPr>
              <w:t>Presentation and discussion on the research carried out by the Disability Research Center at Tbilisi State University (as part of the CSO grants contest.) explores strengths and challenges of the state programme and examines the factors that influence its implementation.</w:t>
            </w:r>
            <w:r w:rsidRPr="00291DD6">
              <w:rPr>
                <w:rFonts w:ascii="Arial" w:hAnsi="Arial" w:cs="Arial"/>
                <w:spacing w:val="4"/>
                <w:sz w:val="20"/>
                <w:szCs w:val="20"/>
                <w:lang w:val="en-GB"/>
              </w:rPr>
              <w:t xml:space="preserve"> </w:t>
            </w:r>
          </w:p>
        </w:tc>
        <w:tc>
          <w:tcPr>
            <w:tcW w:w="2053" w:type="dxa"/>
            <w:vAlign w:val="center"/>
          </w:tcPr>
          <w:p w14:paraId="76DB2B4C" w14:textId="77777777" w:rsidR="00812932" w:rsidRPr="00291DD6" w:rsidRDefault="00812932" w:rsidP="00812932">
            <w:pPr>
              <w:autoSpaceDE w:val="0"/>
              <w:autoSpaceDN w:val="0"/>
              <w:adjustRightInd w:val="0"/>
              <w:spacing w:line="221"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28 January,</w:t>
            </w:r>
          </w:p>
          <w:p w14:paraId="5118F699" w14:textId="77777777" w:rsidR="00812932" w:rsidRPr="00291DD6" w:rsidRDefault="00812932" w:rsidP="00812932">
            <w:pPr>
              <w:autoSpaceDE w:val="0"/>
              <w:autoSpaceDN w:val="0"/>
              <w:adjustRightInd w:val="0"/>
              <w:spacing w:line="221"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2019</w:t>
            </w:r>
          </w:p>
        </w:tc>
        <w:tc>
          <w:tcPr>
            <w:tcW w:w="1448" w:type="dxa"/>
            <w:vAlign w:val="center"/>
          </w:tcPr>
          <w:p w14:paraId="45B92C50"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1776180B"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6DB5B89C"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The workshop on “Stink Bug &amp; </w:t>
            </w:r>
            <w:proofErr w:type="spellStart"/>
            <w:r w:rsidRPr="001A58F1">
              <w:rPr>
                <w:rFonts w:ascii="Arial" w:hAnsi="Arial" w:cs="Arial"/>
                <w:b w:val="0"/>
                <w:sz w:val="20"/>
                <w:szCs w:val="20"/>
                <w:lang w:val="en-GB"/>
              </w:rPr>
              <w:t>Behavioral</w:t>
            </w:r>
            <w:proofErr w:type="spellEnd"/>
            <w:r w:rsidRPr="001A58F1">
              <w:rPr>
                <w:rFonts w:ascii="Arial" w:hAnsi="Arial" w:cs="Arial"/>
                <w:b w:val="0"/>
                <w:sz w:val="20"/>
                <w:szCs w:val="20"/>
                <w:lang w:val="en-GB"/>
              </w:rPr>
              <w:t xml:space="preserve"> Science”</w:t>
            </w:r>
          </w:p>
        </w:tc>
        <w:tc>
          <w:tcPr>
            <w:tcW w:w="8214" w:type="dxa"/>
            <w:vAlign w:val="center"/>
          </w:tcPr>
          <w:p w14:paraId="6F782970" w14:textId="77777777" w:rsidR="00812932" w:rsidRPr="00291DD6" w:rsidRDefault="00812932" w:rsidP="00812932">
            <w:pPr>
              <w:autoSpaceDE w:val="0"/>
              <w:autoSpaceDN w:val="0"/>
              <w:adjustRightInd w:val="0"/>
              <w:spacing w:line="221"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The </w:t>
            </w:r>
            <w:proofErr w:type="spellStart"/>
            <w:r w:rsidRPr="00291DD6">
              <w:rPr>
                <w:rFonts w:ascii="Arial" w:hAnsi="Arial" w:cs="Arial"/>
                <w:sz w:val="20"/>
                <w:szCs w:val="20"/>
                <w:lang w:val="en-GB"/>
              </w:rPr>
              <w:t>Behavioral</w:t>
            </w:r>
            <w:proofErr w:type="spellEnd"/>
            <w:r w:rsidRPr="00291DD6">
              <w:rPr>
                <w:rFonts w:ascii="Arial" w:hAnsi="Arial" w:cs="Arial"/>
                <w:sz w:val="20"/>
                <w:szCs w:val="20"/>
                <w:lang w:val="en-GB"/>
              </w:rPr>
              <w:t xml:space="preserve"> Insights Team (BIT) from the United States helps find out how to change </w:t>
            </w:r>
            <w:proofErr w:type="spellStart"/>
            <w:r w:rsidRPr="00291DD6">
              <w:rPr>
                <w:rFonts w:ascii="Arial" w:hAnsi="Arial" w:cs="Arial"/>
                <w:sz w:val="20"/>
                <w:szCs w:val="20"/>
                <w:lang w:val="en-GB"/>
              </w:rPr>
              <w:t>behavior</w:t>
            </w:r>
            <w:proofErr w:type="spellEnd"/>
            <w:r w:rsidRPr="00291DD6">
              <w:rPr>
                <w:rFonts w:ascii="Arial" w:hAnsi="Arial" w:cs="Arial"/>
                <w:sz w:val="20"/>
                <w:szCs w:val="20"/>
                <w:lang w:val="en-GB"/>
              </w:rPr>
              <w:t xml:space="preserve"> of farmers and rural population in western Georgia and make the fight against a Brown Marmorated Stink Bug more effective. The workshop on 29 January brought together representatives of the National Food Security Agency of Georgia. The initiative is </w:t>
            </w:r>
            <w:r w:rsidRPr="00291DD6">
              <w:rPr>
                <w:rFonts w:ascii="Arial" w:hAnsi="Arial" w:cs="Arial"/>
                <w:sz w:val="20"/>
                <w:szCs w:val="20"/>
                <w:lang w:val="en-GB"/>
              </w:rPr>
              <w:lastRenderedPageBreak/>
              <w:t xml:space="preserve">carried out by the Georgian NGO “Innovations and Reforms Centre” with the assistance from UNDP and </w:t>
            </w:r>
            <w:proofErr w:type="spellStart"/>
            <w:r w:rsidRPr="00291DD6">
              <w:rPr>
                <w:rFonts w:ascii="Arial" w:hAnsi="Arial" w:cs="Arial"/>
                <w:sz w:val="20"/>
                <w:szCs w:val="20"/>
                <w:lang w:val="en-GB"/>
              </w:rPr>
              <w:t>UKaid</w:t>
            </w:r>
            <w:proofErr w:type="spellEnd"/>
            <w:r w:rsidRPr="00291DD6">
              <w:rPr>
                <w:rFonts w:ascii="Arial" w:hAnsi="Arial" w:cs="Arial"/>
                <w:sz w:val="20"/>
                <w:szCs w:val="20"/>
                <w:lang w:val="en-GB"/>
              </w:rPr>
              <w:t>.</w:t>
            </w:r>
          </w:p>
        </w:tc>
        <w:tc>
          <w:tcPr>
            <w:tcW w:w="2053" w:type="dxa"/>
            <w:vAlign w:val="center"/>
          </w:tcPr>
          <w:p w14:paraId="6FDA95C3" w14:textId="77777777" w:rsidR="00812932" w:rsidRPr="00291DD6" w:rsidRDefault="00812932" w:rsidP="00812932">
            <w:pPr>
              <w:autoSpaceDE w:val="0"/>
              <w:autoSpaceDN w:val="0"/>
              <w:adjustRightInd w:val="0"/>
              <w:spacing w:line="221"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lastRenderedPageBreak/>
              <w:t>29 January, 2019</w:t>
            </w:r>
          </w:p>
        </w:tc>
        <w:tc>
          <w:tcPr>
            <w:tcW w:w="1448" w:type="dxa"/>
            <w:vAlign w:val="center"/>
          </w:tcPr>
          <w:p w14:paraId="2FB03F38"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524D4EEE"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28852987"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A conference on Georgian experience in introducing performance appraisal of civil servants </w:t>
            </w:r>
          </w:p>
        </w:tc>
        <w:tc>
          <w:tcPr>
            <w:tcW w:w="8214" w:type="dxa"/>
            <w:vAlign w:val="center"/>
          </w:tcPr>
          <w:p w14:paraId="1796D71E"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Performance appraisal of civil servants as an important step in the implementation of the Public Administration Reform in Georgia was discussed at a conference on 8 February 2019, attended by 80 representatives of the Georgian ministries, Government Administration, National Bank of Georgia, civil society and international organizations. The invited experts and representatives of the public agencies presented the benefits and drawbacks of a performance appraisal system, introduced in January 2018.</w:t>
            </w:r>
          </w:p>
        </w:tc>
        <w:tc>
          <w:tcPr>
            <w:tcW w:w="2053" w:type="dxa"/>
            <w:vAlign w:val="center"/>
          </w:tcPr>
          <w:p w14:paraId="10C760C9" w14:textId="77777777" w:rsidR="00812932" w:rsidRPr="00291DD6" w:rsidRDefault="00812932" w:rsidP="00812932">
            <w:pPr>
              <w:autoSpaceDE w:val="0"/>
              <w:autoSpaceDN w:val="0"/>
              <w:adjustRightInd w:val="0"/>
              <w:spacing w:line="221"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8 February 2019</w:t>
            </w:r>
          </w:p>
        </w:tc>
        <w:tc>
          <w:tcPr>
            <w:tcW w:w="1448" w:type="dxa"/>
            <w:vAlign w:val="center"/>
          </w:tcPr>
          <w:p w14:paraId="4BD8AC0D"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80</w:t>
            </w:r>
          </w:p>
        </w:tc>
      </w:tr>
      <w:tr w:rsidR="00812932" w:rsidRPr="00291DD6" w14:paraId="57A64BA8"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7AD9E2FD"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Public Policy Training Certificate Award Ceremony</w:t>
            </w:r>
          </w:p>
        </w:tc>
        <w:tc>
          <w:tcPr>
            <w:tcW w:w="8214" w:type="dxa"/>
            <w:vAlign w:val="center"/>
          </w:tcPr>
          <w:p w14:paraId="13E5FEA5" w14:textId="77777777" w:rsidR="00812932" w:rsidRPr="00291DD6" w:rsidRDefault="00812932" w:rsidP="00812932">
            <w:pPr>
              <w:autoSpaceDE w:val="0"/>
              <w:autoSpaceDN w:val="0"/>
              <w:adjustRightInd w:val="0"/>
              <w:spacing w:line="221"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eastAsia="Times New Roman" w:hAnsi="Arial" w:cs="Arial"/>
                <w:sz w:val="20"/>
                <w:szCs w:val="20"/>
                <w:shd w:val="clear" w:color="auto" w:fill="FFFFFF"/>
                <w:lang w:val="en-GB"/>
              </w:rPr>
              <w:t>Over 170 civil servants have successfully completed training in Public Policy Analysis initiated by the Administration of the Government of Georgia with support from the United Nations Development Programme (UNDP) and the UK Government. The certificate award ceremony took place on March 26, bringing together representatives of Georgian public sector organizations, the international and donor community, CSOs, academia and experts.</w:t>
            </w:r>
          </w:p>
        </w:tc>
        <w:tc>
          <w:tcPr>
            <w:tcW w:w="2053" w:type="dxa"/>
            <w:vAlign w:val="center"/>
          </w:tcPr>
          <w:p w14:paraId="7966C7CB" w14:textId="77777777" w:rsidR="00812932" w:rsidRPr="00291DD6" w:rsidRDefault="00812932" w:rsidP="00812932">
            <w:pPr>
              <w:autoSpaceDE w:val="0"/>
              <w:autoSpaceDN w:val="0"/>
              <w:adjustRightInd w:val="0"/>
              <w:spacing w:line="221"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March 26,</w:t>
            </w:r>
          </w:p>
          <w:p w14:paraId="770BBE5D" w14:textId="77777777" w:rsidR="00812932" w:rsidRPr="00291DD6" w:rsidRDefault="00812932" w:rsidP="00812932">
            <w:pPr>
              <w:autoSpaceDE w:val="0"/>
              <w:autoSpaceDN w:val="0"/>
              <w:adjustRightInd w:val="0"/>
              <w:spacing w:line="221"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2019</w:t>
            </w:r>
          </w:p>
        </w:tc>
        <w:tc>
          <w:tcPr>
            <w:tcW w:w="1448" w:type="dxa"/>
            <w:vAlign w:val="center"/>
          </w:tcPr>
          <w:p w14:paraId="1892ED4C"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657ACEF1"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21B15E13"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Introducing accredited training programmes for civil servants</w:t>
            </w:r>
          </w:p>
        </w:tc>
        <w:tc>
          <w:tcPr>
            <w:tcW w:w="8214" w:type="dxa"/>
            <w:vAlign w:val="center"/>
          </w:tcPr>
          <w:p w14:paraId="2C72C3EA"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As part of the ongoing Public Administration Reform, Georgia introduced accredited training programmes for civil servants starting from May 2019.</w:t>
            </w:r>
            <w:r w:rsidRPr="00291DD6">
              <w:rPr>
                <w:rFonts w:ascii="Arial" w:hAnsi="Arial" w:cs="Arial"/>
                <w:sz w:val="20"/>
                <w:szCs w:val="20"/>
                <w:lang w:val="en-GB"/>
              </w:rPr>
              <w:br/>
              <w:t>Public and private training providers attended an information meeting on 11 April to learn about the accreditation requirements and procedures.</w:t>
            </w:r>
            <w:r w:rsidRPr="00291DD6">
              <w:rPr>
                <w:rFonts w:ascii="Arial" w:hAnsi="Arial" w:cs="Arial"/>
                <w:sz w:val="20"/>
                <w:szCs w:val="20"/>
                <w:lang w:val="en-GB"/>
              </w:rPr>
              <w:br/>
              <w:t xml:space="preserve">The meeting was organized by the National Center for Educational Quality Enhancement (NCEQE) and the Civil Service Bureau of Georgia </w:t>
            </w:r>
          </w:p>
        </w:tc>
        <w:tc>
          <w:tcPr>
            <w:tcW w:w="2053" w:type="dxa"/>
            <w:vAlign w:val="center"/>
          </w:tcPr>
          <w:p w14:paraId="49D2A6A6" w14:textId="77777777" w:rsidR="00812932" w:rsidRPr="00291DD6" w:rsidRDefault="00812932" w:rsidP="00812932">
            <w:pPr>
              <w:autoSpaceDE w:val="0"/>
              <w:autoSpaceDN w:val="0"/>
              <w:adjustRightInd w:val="0"/>
              <w:spacing w:line="221"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11 April 2019</w:t>
            </w:r>
          </w:p>
        </w:tc>
        <w:tc>
          <w:tcPr>
            <w:tcW w:w="1448" w:type="dxa"/>
            <w:vAlign w:val="center"/>
          </w:tcPr>
          <w:p w14:paraId="31500273"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3051D81F"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3361D33C" w14:textId="77777777" w:rsidR="00812932" w:rsidRPr="001A58F1" w:rsidRDefault="00812932" w:rsidP="00812932">
            <w:pPr>
              <w:autoSpaceDE w:val="0"/>
              <w:autoSpaceDN w:val="0"/>
              <w:adjustRightInd w:val="0"/>
              <w:spacing w:line="221" w:lineRule="atLeast"/>
              <w:rPr>
                <w:rFonts w:ascii="Arial" w:hAnsi="Arial" w:cs="Arial"/>
                <w:b w:val="0"/>
                <w:sz w:val="20"/>
                <w:szCs w:val="20"/>
                <w:lang w:val="en-GB"/>
              </w:rPr>
            </w:pPr>
            <w:r w:rsidRPr="001A58F1">
              <w:rPr>
                <w:rFonts w:ascii="Arial" w:hAnsi="Arial" w:cs="Arial"/>
                <w:b w:val="0"/>
                <w:sz w:val="20"/>
                <w:szCs w:val="20"/>
                <w:lang w:val="en-GB"/>
              </w:rPr>
              <w:t>Georgia’s Public Service Hall Pioneers Common Assessment Framework in Georgia and South Caucasus</w:t>
            </w:r>
          </w:p>
        </w:tc>
        <w:tc>
          <w:tcPr>
            <w:tcW w:w="8214" w:type="dxa"/>
            <w:vAlign w:val="center"/>
          </w:tcPr>
          <w:p w14:paraId="4AF17CEA" w14:textId="77777777" w:rsidR="00812932" w:rsidRPr="00291DD6" w:rsidRDefault="00812932" w:rsidP="00812932">
            <w:pPr>
              <w:pStyle w:val="NormalWeb"/>
              <w:shd w:val="clear" w:color="auto" w:fill="FEFEFE"/>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GB"/>
              </w:rPr>
            </w:pPr>
            <w:r w:rsidRPr="00291DD6">
              <w:rPr>
                <w:rFonts w:ascii="Arial" w:hAnsi="Arial" w:cs="Arial"/>
                <w:spacing w:val="4"/>
                <w:sz w:val="20"/>
                <w:szCs w:val="20"/>
                <w:lang w:val="en-GB"/>
              </w:rPr>
              <w:t xml:space="preserve">Georgia’s Public Service Hall is the first public agency in the South Caucasus to introduce the Common Assessment Framework (CAF), a European model of self-assessment and quality improvement in the public sector. The initiative is supported by the United Nations Development Programme (UNDP) and the UK Government. On 8 May 2019, Minister of Justice of Georgia, Thea </w:t>
            </w:r>
            <w:proofErr w:type="spellStart"/>
            <w:r w:rsidRPr="00291DD6">
              <w:rPr>
                <w:rFonts w:ascii="Arial" w:hAnsi="Arial" w:cs="Arial"/>
                <w:spacing w:val="4"/>
                <w:sz w:val="20"/>
                <w:szCs w:val="20"/>
                <w:lang w:val="en-GB"/>
              </w:rPr>
              <w:t>Tsulukiani</w:t>
            </w:r>
            <w:proofErr w:type="spellEnd"/>
            <w:r w:rsidRPr="00291DD6">
              <w:rPr>
                <w:rFonts w:ascii="Arial" w:hAnsi="Arial" w:cs="Arial"/>
                <w:spacing w:val="4"/>
                <w:sz w:val="20"/>
                <w:szCs w:val="20"/>
                <w:lang w:val="en-GB"/>
              </w:rPr>
              <w:t xml:space="preserve">, presented the progress of launching the CAF model in the Public Service Hall to the public, government and international partners. </w:t>
            </w:r>
          </w:p>
        </w:tc>
        <w:tc>
          <w:tcPr>
            <w:tcW w:w="2053" w:type="dxa"/>
            <w:vAlign w:val="center"/>
          </w:tcPr>
          <w:p w14:paraId="2D51E7DD" w14:textId="77777777" w:rsidR="00812932" w:rsidRPr="00291DD6" w:rsidRDefault="00812932" w:rsidP="00812932">
            <w:pPr>
              <w:autoSpaceDE w:val="0"/>
              <w:autoSpaceDN w:val="0"/>
              <w:adjustRightInd w:val="0"/>
              <w:spacing w:line="221"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8-May-19</w:t>
            </w:r>
          </w:p>
        </w:tc>
        <w:tc>
          <w:tcPr>
            <w:tcW w:w="1448" w:type="dxa"/>
            <w:vAlign w:val="center"/>
          </w:tcPr>
          <w:p w14:paraId="3A38CE5F"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66174B95"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4EDCED49"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Introducing accredited training programmes for civil servants</w:t>
            </w:r>
          </w:p>
        </w:tc>
        <w:tc>
          <w:tcPr>
            <w:tcW w:w="8214" w:type="dxa"/>
            <w:vAlign w:val="center"/>
          </w:tcPr>
          <w:p w14:paraId="0C87E310"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In May 2019, Georgia introduced accreditation of the training programmes for civil servants. Accreditation procedures and guiding principles were discussed at a workshop on 24 May, attended by independent experts and representatives of the Civil Service Bureau of Georgia and the National Center for Educational Quality Enhancement (NCEQE).</w:t>
            </w:r>
          </w:p>
        </w:tc>
        <w:tc>
          <w:tcPr>
            <w:tcW w:w="2053" w:type="dxa"/>
            <w:vAlign w:val="center"/>
          </w:tcPr>
          <w:p w14:paraId="541E929C" w14:textId="77777777" w:rsidR="00812932" w:rsidRPr="00291DD6" w:rsidRDefault="00812932" w:rsidP="00812932">
            <w:pPr>
              <w:autoSpaceDE w:val="0"/>
              <w:autoSpaceDN w:val="0"/>
              <w:adjustRightInd w:val="0"/>
              <w:spacing w:line="221"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24 May, 2019</w:t>
            </w:r>
          </w:p>
        </w:tc>
        <w:tc>
          <w:tcPr>
            <w:tcW w:w="1448" w:type="dxa"/>
            <w:vAlign w:val="center"/>
          </w:tcPr>
          <w:p w14:paraId="33EB548C"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44DECA18"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26BB9355"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Fourth National Cyber Olympiad </w:t>
            </w:r>
            <w:proofErr w:type="spellStart"/>
            <w:r w:rsidRPr="001A58F1">
              <w:rPr>
                <w:rFonts w:ascii="Arial" w:hAnsi="Arial" w:cs="Arial"/>
                <w:b w:val="0"/>
                <w:sz w:val="20"/>
                <w:szCs w:val="20"/>
                <w:lang w:val="en-GB"/>
              </w:rPr>
              <w:t>CyberCube</w:t>
            </w:r>
            <w:proofErr w:type="spellEnd"/>
            <w:r w:rsidRPr="001A58F1">
              <w:rPr>
                <w:rFonts w:ascii="Arial" w:hAnsi="Arial" w:cs="Arial"/>
                <w:b w:val="0"/>
                <w:sz w:val="20"/>
                <w:szCs w:val="20"/>
                <w:lang w:val="en-GB"/>
              </w:rPr>
              <w:t xml:space="preserve"> 2019</w:t>
            </w:r>
          </w:p>
        </w:tc>
        <w:tc>
          <w:tcPr>
            <w:tcW w:w="8214" w:type="dxa"/>
            <w:vAlign w:val="center"/>
          </w:tcPr>
          <w:p w14:paraId="050FF58E" w14:textId="77777777" w:rsidR="00812932" w:rsidRPr="00291DD6" w:rsidRDefault="00812932" w:rsidP="00812932">
            <w:pPr>
              <w:shd w:val="clear" w:color="auto" w:fill="FEFEFE"/>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4"/>
                <w:sz w:val="20"/>
                <w:szCs w:val="20"/>
                <w:lang w:val="en-GB"/>
              </w:rPr>
            </w:pPr>
            <w:r w:rsidRPr="00291DD6">
              <w:rPr>
                <w:rFonts w:ascii="Arial" w:eastAsia="Times New Roman" w:hAnsi="Arial" w:cs="Arial"/>
                <w:spacing w:val="4"/>
                <w:sz w:val="20"/>
                <w:szCs w:val="20"/>
                <w:lang w:val="en-GB"/>
              </w:rPr>
              <w:t xml:space="preserve">Up to 120 students from universities and schools across Georgia took part in the Cyber Olympiad </w:t>
            </w:r>
            <w:proofErr w:type="spellStart"/>
            <w:r w:rsidRPr="00291DD6">
              <w:rPr>
                <w:rFonts w:ascii="Arial" w:eastAsia="Times New Roman" w:hAnsi="Arial" w:cs="Arial"/>
                <w:spacing w:val="4"/>
                <w:sz w:val="20"/>
                <w:szCs w:val="20"/>
                <w:lang w:val="en-GB"/>
              </w:rPr>
              <w:t>CyberCube</w:t>
            </w:r>
            <w:proofErr w:type="spellEnd"/>
            <w:r w:rsidRPr="00291DD6">
              <w:rPr>
                <w:rFonts w:ascii="Arial" w:eastAsia="Times New Roman" w:hAnsi="Arial" w:cs="Arial"/>
                <w:spacing w:val="4"/>
                <w:sz w:val="20"/>
                <w:szCs w:val="20"/>
                <w:lang w:val="en-GB"/>
              </w:rPr>
              <w:t xml:space="preserve"> 2019 organized by the Computer Emergency Response Team (CERT.GOV.GE) of the Digital Governance Agency (DGA) under the Ministry of Justice of Georgia, and supported by UNDP and UK aid.</w:t>
            </w:r>
          </w:p>
        </w:tc>
        <w:tc>
          <w:tcPr>
            <w:tcW w:w="2053" w:type="dxa"/>
            <w:vAlign w:val="center"/>
          </w:tcPr>
          <w:p w14:paraId="504BFB9D"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31-May-19</w:t>
            </w:r>
          </w:p>
        </w:tc>
        <w:tc>
          <w:tcPr>
            <w:tcW w:w="1448" w:type="dxa"/>
            <w:vAlign w:val="center"/>
          </w:tcPr>
          <w:p w14:paraId="0E008443"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3896BD2E" w14:textId="77777777" w:rsidTr="00812932">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31FBC6B2"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lastRenderedPageBreak/>
              <w:t>Human-</w:t>
            </w:r>
            <w:proofErr w:type="spellStart"/>
            <w:r w:rsidRPr="001A58F1">
              <w:rPr>
                <w:rFonts w:ascii="Arial" w:hAnsi="Arial" w:cs="Arial"/>
                <w:b w:val="0"/>
                <w:sz w:val="20"/>
                <w:szCs w:val="20"/>
                <w:lang w:val="en-GB"/>
              </w:rPr>
              <w:t>centered</w:t>
            </w:r>
            <w:proofErr w:type="spellEnd"/>
            <w:r w:rsidRPr="001A58F1">
              <w:rPr>
                <w:rFonts w:ascii="Arial" w:hAnsi="Arial" w:cs="Arial"/>
                <w:b w:val="0"/>
                <w:sz w:val="20"/>
                <w:szCs w:val="20"/>
                <w:lang w:val="en-GB"/>
              </w:rPr>
              <w:t xml:space="preserve"> approach to transform public services in Georgia</w:t>
            </w:r>
          </w:p>
        </w:tc>
        <w:tc>
          <w:tcPr>
            <w:tcW w:w="8214" w:type="dxa"/>
            <w:vAlign w:val="center"/>
          </w:tcPr>
          <w:p w14:paraId="23027B8C"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Stink bug management service in </w:t>
            </w:r>
            <w:proofErr w:type="spellStart"/>
            <w:r w:rsidRPr="00291DD6">
              <w:rPr>
                <w:rFonts w:ascii="Arial" w:hAnsi="Arial" w:cs="Arial"/>
                <w:sz w:val="20"/>
                <w:szCs w:val="20"/>
                <w:lang w:val="en-GB"/>
              </w:rPr>
              <w:t>Guria</w:t>
            </w:r>
            <w:proofErr w:type="spellEnd"/>
            <w:r w:rsidRPr="00291DD6">
              <w:rPr>
                <w:rFonts w:ascii="Arial" w:hAnsi="Arial" w:cs="Arial"/>
                <w:sz w:val="20"/>
                <w:szCs w:val="20"/>
                <w:lang w:val="en-GB"/>
              </w:rPr>
              <w:t xml:space="preserve"> and Samegrelo is the first attempt in Georgia to blend human-</w:t>
            </w:r>
            <w:proofErr w:type="spellStart"/>
            <w:r w:rsidRPr="00291DD6">
              <w:rPr>
                <w:rFonts w:ascii="Arial" w:hAnsi="Arial" w:cs="Arial"/>
                <w:sz w:val="20"/>
                <w:szCs w:val="20"/>
                <w:lang w:val="en-GB"/>
              </w:rPr>
              <w:t>centered</w:t>
            </w:r>
            <w:proofErr w:type="spellEnd"/>
            <w:r w:rsidRPr="00291DD6">
              <w:rPr>
                <w:rFonts w:ascii="Arial" w:hAnsi="Arial" w:cs="Arial"/>
                <w:sz w:val="20"/>
                <w:szCs w:val="20"/>
                <w:lang w:val="en-GB"/>
              </w:rPr>
              <w:t xml:space="preserve"> approach with </w:t>
            </w:r>
            <w:proofErr w:type="spellStart"/>
            <w:r w:rsidRPr="00291DD6">
              <w:rPr>
                <w:rFonts w:ascii="Arial" w:hAnsi="Arial" w:cs="Arial"/>
                <w:sz w:val="20"/>
                <w:szCs w:val="20"/>
                <w:lang w:val="en-GB"/>
              </w:rPr>
              <w:t>behavioral</w:t>
            </w:r>
            <w:proofErr w:type="spellEnd"/>
            <w:r w:rsidRPr="00291DD6">
              <w:rPr>
                <w:rFonts w:ascii="Arial" w:hAnsi="Arial" w:cs="Arial"/>
                <w:sz w:val="20"/>
                <w:szCs w:val="20"/>
                <w:lang w:val="en-GB"/>
              </w:rPr>
              <w:t xml:space="preserve"> science to redesign an effective public service that responds to the needs of people. For this experiment, UNDP and UK Government teamed up with the Innovation and Reforms Centre (IRC) and an international consultancy organization “</w:t>
            </w:r>
            <w:proofErr w:type="spellStart"/>
            <w:r w:rsidRPr="00291DD6">
              <w:rPr>
                <w:rFonts w:ascii="Arial" w:hAnsi="Arial" w:cs="Arial"/>
                <w:sz w:val="20"/>
                <w:szCs w:val="20"/>
                <w:lang w:val="en-GB"/>
              </w:rPr>
              <w:t>Behavioral</w:t>
            </w:r>
            <w:proofErr w:type="spellEnd"/>
            <w:r w:rsidRPr="00291DD6">
              <w:rPr>
                <w:rFonts w:ascii="Arial" w:hAnsi="Arial" w:cs="Arial"/>
                <w:sz w:val="20"/>
                <w:szCs w:val="20"/>
                <w:lang w:val="en-GB"/>
              </w:rPr>
              <w:t xml:space="preserve"> Insights Team” (BIT). The insights of this innovative project were discussed at the workshop on 31 October.</w:t>
            </w:r>
          </w:p>
        </w:tc>
        <w:tc>
          <w:tcPr>
            <w:tcW w:w="2053" w:type="dxa"/>
            <w:vAlign w:val="center"/>
          </w:tcPr>
          <w:p w14:paraId="314A7E61"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31 October, 2019</w:t>
            </w:r>
          </w:p>
        </w:tc>
        <w:tc>
          <w:tcPr>
            <w:tcW w:w="1448" w:type="dxa"/>
            <w:vAlign w:val="center"/>
          </w:tcPr>
          <w:p w14:paraId="11DF24E2"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55B11532"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09E467B4"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Research on Public Administration Reform</w:t>
            </w:r>
          </w:p>
          <w:p w14:paraId="1A6B1DA3" w14:textId="77777777" w:rsidR="00812932" w:rsidRPr="001A58F1" w:rsidRDefault="00812932" w:rsidP="00812932">
            <w:pPr>
              <w:rPr>
                <w:rFonts w:ascii="Arial" w:hAnsi="Arial" w:cs="Arial"/>
                <w:b w:val="0"/>
                <w:sz w:val="20"/>
                <w:szCs w:val="20"/>
                <w:lang w:val="en-GB"/>
              </w:rPr>
            </w:pPr>
          </w:p>
        </w:tc>
        <w:tc>
          <w:tcPr>
            <w:tcW w:w="8214" w:type="dxa"/>
            <w:vAlign w:val="center"/>
          </w:tcPr>
          <w:p w14:paraId="1A5CC75D" w14:textId="77777777" w:rsidR="00812932" w:rsidRPr="00291DD6" w:rsidRDefault="00812932" w:rsidP="00812932">
            <w:pPr>
              <w:autoSpaceDE w:val="0"/>
              <w:autoSpaceDN w:val="0"/>
              <w:adjustRightInd w:val="0"/>
              <w:spacing w:line="221" w:lineRule="atLeast"/>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shd w:val="clear" w:color="auto" w:fill="FEFEFE"/>
                <w:lang w:val="en-GB"/>
              </w:rPr>
            </w:pPr>
            <w:r w:rsidRPr="00291DD6">
              <w:rPr>
                <w:rFonts w:ascii="Arial" w:hAnsi="Arial" w:cs="Arial"/>
                <w:sz w:val="20"/>
                <w:szCs w:val="20"/>
                <w:lang w:val="en-GB"/>
              </w:rPr>
              <w:t>The research examined the level of citizens' trust in public services. It was commissioned by UNDP with funding from the UK Government and was carried out by the Georgian research agency ACT between April and September 2019. Quantitative data, as well as an earlier study from 2016, Public Perceptions of Georgia’s Civil Service, is also available online.</w:t>
            </w:r>
          </w:p>
          <w:p w14:paraId="745909C2" w14:textId="77777777" w:rsidR="00812932" w:rsidRPr="00291DD6" w:rsidRDefault="00812932" w:rsidP="00812932">
            <w:pPr>
              <w:autoSpaceDE w:val="0"/>
              <w:autoSpaceDN w:val="0"/>
              <w:adjustRightInd w:val="0"/>
              <w:spacing w:line="221"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The presentation was attended by Louise Winton, UNDP Resident Representative in Georgia, UK Ambassador to Georgia Justin McKenzie Smith and representatives of various organizations.</w:t>
            </w:r>
          </w:p>
        </w:tc>
        <w:tc>
          <w:tcPr>
            <w:tcW w:w="2053" w:type="dxa"/>
            <w:vAlign w:val="center"/>
          </w:tcPr>
          <w:p w14:paraId="16D8428D"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29-Nov-19</w:t>
            </w:r>
          </w:p>
        </w:tc>
        <w:tc>
          <w:tcPr>
            <w:tcW w:w="1448" w:type="dxa"/>
            <w:vAlign w:val="center"/>
          </w:tcPr>
          <w:p w14:paraId="017DE46F"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762A439D"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0586F2B7" w14:textId="77777777" w:rsidR="00812932" w:rsidRPr="001A58F1" w:rsidRDefault="00812932" w:rsidP="00812932">
            <w:pPr>
              <w:autoSpaceDE w:val="0"/>
              <w:autoSpaceDN w:val="0"/>
              <w:adjustRightInd w:val="0"/>
              <w:spacing w:line="221" w:lineRule="atLeast"/>
              <w:rPr>
                <w:rFonts w:ascii="Arial" w:hAnsi="Arial" w:cs="Arial"/>
                <w:b w:val="0"/>
                <w:sz w:val="20"/>
                <w:szCs w:val="20"/>
                <w:lang w:val="en-GB"/>
              </w:rPr>
            </w:pPr>
            <w:r w:rsidRPr="001A58F1">
              <w:rPr>
                <w:rFonts w:ascii="Arial" w:hAnsi="Arial" w:cs="Arial"/>
                <w:b w:val="0"/>
                <w:sz w:val="20"/>
                <w:szCs w:val="20"/>
                <w:lang w:val="en-GB"/>
              </w:rPr>
              <w:t>See, Hear, Take a Step - International Day of Persons with Disabilities</w:t>
            </w:r>
          </w:p>
        </w:tc>
        <w:tc>
          <w:tcPr>
            <w:tcW w:w="8214" w:type="dxa"/>
            <w:vAlign w:val="center"/>
          </w:tcPr>
          <w:p w14:paraId="251A035D"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Five years after ratifying the UN Convention on the Rights of Persons with Disabilities, Georgia has yet to fully translate its transformative potential into everyday reality, according to speakers at “See, Hear, Take a Step,” a conference organized by UNDP to mark the International Day of Persons with Disabilities.</w:t>
            </w:r>
          </w:p>
        </w:tc>
        <w:tc>
          <w:tcPr>
            <w:tcW w:w="2053" w:type="dxa"/>
            <w:vAlign w:val="center"/>
          </w:tcPr>
          <w:p w14:paraId="71FFD90E"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3 December 2019</w:t>
            </w:r>
          </w:p>
        </w:tc>
        <w:tc>
          <w:tcPr>
            <w:tcW w:w="1448" w:type="dxa"/>
            <w:vAlign w:val="center"/>
          </w:tcPr>
          <w:p w14:paraId="7F36D8D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4F632BDA" w14:textId="77777777" w:rsidTr="00812932">
        <w:trPr>
          <w:trHeight w:val="728"/>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4E70DA31"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Civil Servant Day</w:t>
            </w:r>
          </w:p>
        </w:tc>
        <w:tc>
          <w:tcPr>
            <w:tcW w:w="8214" w:type="dxa"/>
            <w:vAlign w:val="center"/>
          </w:tcPr>
          <w:p w14:paraId="5A6F62E4"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Celebrating Georgia’s national Civil Servant Day together with the Civil Service Bureau, Government Administration and over 200 civil servants from across the country.</w:t>
            </w:r>
          </w:p>
        </w:tc>
        <w:tc>
          <w:tcPr>
            <w:tcW w:w="2053" w:type="dxa"/>
            <w:vAlign w:val="center"/>
          </w:tcPr>
          <w:p w14:paraId="7E319D8A"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19 December, 2019</w:t>
            </w:r>
          </w:p>
        </w:tc>
        <w:tc>
          <w:tcPr>
            <w:tcW w:w="1448" w:type="dxa"/>
            <w:vAlign w:val="center"/>
          </w:tcPr>
          <w:p w14:paraId="5075B9BB"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1EF4177F" w14:textId="77777777" w:rsidTr="00812932">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2A9619C5" w14:textId="77777777" w:rsidR="00812932" w:rsidRPr="001A58F1" w:rsidRDefault="00812932" w:rsidP="00812932">
            <w:pPr>
              <w:rPr>
                <w:rFonts w:ascii="Arial" w:hAnsi="Arial" w:cs="Arial"/>
                <w:b w:val="0"/>
                <w:sz w:val="20"/>
                <w:szCs w:val="20"/>
                <w:lang w:val="en-GB"/>
              </w:rPr>
            </w:pPr>
            <w:proofErr w:type="spellStart"/>
            <w:r w:rsidRPr="001A58F1">
              <w:rPr>
                <w:rFonts w:ascii="Arial" w:hAnsi="Arial" w:cs="Arial"/>
                <w:b w:val="0"/>
                <w:sz w:val="20"/>
                <w:szCs w:val="20"/>
                <w:lang w:val="en-GB"/>
              </w:rPr>
              <w:t>CyberExe</w:t>
            </w:r>
            <w:proofErr w:type="spellEnd"/>
            <w:r w:rsidRPr="001A58F1">
              <w:rPr>
                <w:rFonts w:ascii="Arial" w:hAnsi="Arial" w:cs="Arial"/>
                <w:b w:val="0"/>
                <w:sz w:val="20"/>
                <w:szCs w:val="20"/>
                <w:lang w:val="en-GB"/>
              </w:rPr>
              <w:t xml:space="preserve"> 2019  </w:t>
            </w:r>
          </w:p>
        </w:tc>
        <w:tc>
          <w:tcPr>
            <w:tcW w:w="8214" w:type="dxa"/>
            <w:vAlign w:val="center"/>
          </w:tcPr>
          <w:p w14:paraId="5B6770A8" w14:textId="77777777" w:rsidR="00812932" w:rsidRPr="00291DD6" w:rsidRDefault="00812932" w:rsidP="00812932">
            <w:pPr>
              <w:autoSpaceDE w:val="0"/>
              <w:autoSpaceDN w:val="0"/>
              <w:adjustRightInd w:val="0"/>
              <w:spacing w:line="221" w:lineRule="atLeas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Up to 60 representatives of Georgia’s public and private organizations tested their skills and knowledge in cyber security at the sixth national Cyber Exercise on 20 December. </w:t>
            </w:r>
            <w:proofErr w:type="spellStart"/>
            <w:r w:rsidRPr="00291DD6">
              <w:rPr>
                <w:rFonts w:ascii="Arial" w:hAnsi="Arial" w:cs="Arial"/>
                <w:sz w:val="20"/>
                <w:szCs w:val="20"/>
                <w:lang w:val="en-GB"/>
              </w:rPr>
              <w:t>CyberExe</w:t>
            </w:r>
            <w:proofErr w:type="spellEnd"/>
            <w:r w:rsidRPr="00291DD6">
              <w:rPr>
                <w:rFonts w:ascii="Arial" w:hAnsi="Arial" w:cs="Arial"/>
                <w:sz w:val="20"/>
                <w:szCs w:val="20"/>
                <w:lang w:val="en-GB"/>
              </w:rPr>
              <w:t xml:space="preserve"> 2019 was organized by the Computer Emergency Response Team - CERT.GOV.GE of the Digital Governance Agency (DGA) under the Ministry of Justice of Georgia, and supported by UNDP Georgia and British Embassy Tbilisi, within PAR initiative.</w:t>
            </w:r>
          </w:p>
        </w:tc>
        <w:tc>
          <w:tcPr>
            <w:tcW w:w="2053" w:type="dxa"/>
            <w:vAlign w:val="center"/>
          </w:tcPr>
          <w:p w14:paraId="2A59D1EC"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20 December, 2019</w:t>
            </w:r>
          </w:p>
        </w:tc>
        <w:tc>
          <w:tcPr>
            <w:tcW w:w="1448" w:type="dxa"/>
            <w:vAlign w:val="center"/>
          </w:tcPr>
          <w:p w14:paraId="52D70BFF"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0255D818" w14:textId="77777777" w:rsidTr="00812932">
        <w:trPr>
          <w:trHeight w:val="152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15361F28"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 xml:space="preserve">“Towards Better Inclusive Education”  </w:t>
            </w:r>
          </w:p>
        </w:tc>
        <w:tc>
          <w:tcPr>
            <w:tcW w:w="8214" w:type="dxa"/>
            <w:vAlign w:val="center"/>
          </w:tcPr>
          <w:p w14:paraId="585607F6" w14:textId="77777777" w:rsidR="00812932" w:rsidRPr="00291DD6" w:rsidRDefault="00812932" w:rsidP="00812932">
            <w:pPr>
              <w:pStyle w:val="NormalWeb"/>
              <w:shd w:val="clear" w:color="auto" w:fill="FEFEFE"/>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GB"/>
              </w:rPr>
            </w:pPr>
            <w:r w:rsidRPr="00291DD6">
              <w:rPr>
                <w:rFonts w:ascii="Arial" w:hAnsi="Arial" w:cs="Arial"/>
                <w:spacing w:val="4"/>
                <w:sz w:val="20"/>
                <w:szCs w:val="20"/>
                <w:lang w:val="en-GB"/>
              </w:rPr>
              <w:t xml:space="preserve">The </w:t>
            </w:r>
            <w:proofErr w:type="gramStart"/>
            <w:r w:rsidRPr="00291DD6">
              <w:rPr>
                <w:rFonts w:ascii="Arial" w:hAnsi="Arial" w:cs="Arial"/>
                <w:spacing w:val="4"/>
                <w:sz w:val="20"/>
                <w:szCs w:val="20"/>
                <w:lang w:val="en-GB"/>
              </w:rPr>
              <w:t>presented  study</w:t>
            </w:r>
            <w:proofErr w:type="gramEnd"/>
            <w:r w:rsidRPr="00291DD6">
              <w:rPr>
                <w:rFonts w:ascii="Arial" w:hAnsi="Arial" w:cs="Arial"/>
                <w:spacing w:val="4"/>
                <w:sz w:val="20"/>
                <w:szCs w:val="20"/>
                <w:lang w:val="en-GB"/>
              </w:rPr>
              <w:t xml:space="preserve"> examined the impact of public services on the progress and quality of inclusive education in public schools; in particular, the process is </w:t>
            </w:r>
            <w:proofErr w:type="spellStart"/>
            <w:r w:rsidRPr="00291DD6">
              <w:rPr>
                <w:rFonts w:ascii="Arial" w:hAnsi="Arial" w:cs="Arial"/>
                <w:spacing w:val="4"/>
                <w:sz w:val="20"/>
                <w:szCs w:val="20"/>
                <w:lang w:val="en-GB"/>
              </w:rPr>
              <w:t>analyzed</w:t>
            </w:r>
            <w:proofErr w:type="spellEnd"/>
            <w:r w:rsidRPr="00291DD6">
              <w:rPr>
                <w:rFonts w:ascii="Arial" w:hAnsi="Arial" w:cs="Arial"/>
                <w:spacing w:val="4"/>
                <w:sz w:val="20"/>
                <w:szCs w:val="20"/>
                <w:lang w:val="en-GB"/>
              </w:rPr>
              <w:t xml:space="preserve"> from the perspective of two subprograms of the State Program for the Promotion of Inclusive Teaching – ‘Supporting a Multidisciplinary Team’ and ‘Financing Integrated Classes in Public Schools’. The study was conducted in four different cities: Tbilisi, Telavi, Kutaisi and Batumi. </w:t>
            </w:r>
          </w:p>
        </w:tc>
        <w:tc>
          <w:tcPr>
            <w:tcW w:w="2053" w:type="dxa"/>
            <w:vAlign w:val="center"/>
          </w:tcPr>
          <w:p w14:paraId="777C5EAD"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February 3, 2020</w:t>
            </w:r>
          </w:p>
        </w:tc>
        <w:tc>
          <w:tcPr>
            <w:tcW w:w="1448" w:type="dxa"/>
            <w:vAlign w:val="center"/>
          </w:tcPr>
          <w:p w14:paraId="79490BC7"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5832FF26"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324FBB81" w14:textId="77777777" w:rsidR="00812932" w:rsidRPr="001A58F1" w:rsidRDefault="00812932" w:rsidP="00812932">
            <w:pPr>
              <w:rPr>
                <w:rFonts w:ascii="Arial" w:hAnsi="Arial" w:cs="Arial"/>
                <w:b w:val="0"/>
                <w:sz w:val="20"/>
                <w:szCs w:val="20"/>
                <w:highlight w:val="yellow"/>
                <w:lang w:val="en-GB"/>
              </w:rPr>
            </w:pPr>
            <w:r w:rsidRPr="001A58F1">
              <w:rPr>
                <w:rFonts w:ascii="Arial" w:hAnsi="Arial" w:cs="Arial"/>
                <w:b w:val="0"/>
                <w:sz w:val="20"/>
                <w:szCs w:val="20"/>
                <w:lang w:val="en-GB"/>
              </w:rPr>
              <w:t>PAR Council Meetings</w:t>
            </w:r>
          </w:p>
        </w:tc>
        <w:tc>
          <w:tcPr>
            <w:tcW w:w="8214" w:type="dxa"/>
            <w:vAlign w:val="center"/>
          </w:tcPr>
          <w:p w14:paraId="37D912D7" w14:textId="77777777" w:rsidR="00812932" w:rsidRPr="00291DD6" w:rsidRDefault="00812932" w:rsidP="008129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Progress on implementation of the Public Administration Reform (PAR) Roadmap and </w:t>
            </w:r>
            <w:r w:rsidRPr="00291DD6">
              <w:rPr>
                <w:rFonts w:ascii="Arial" w:hAnsi="Arial" w:cs="Arial"/>
                <w:sz w:val="20"/>
                <w:szCs w:val="20"/>
                <w:lang w:val="en-GB"/>
              </w:rPr>
              <w:lastRenderedPageBreak/>
              <w:t xml:space="preserve">respective Action Plans as well as recommendations and priorities for the new phase of the reform beyond 2020 were presented by </w:t>
            </w:r>
            <w:proofErr w:type="spellStart"/>
            <w:r w:rsidRPr="00291DD6">
              <w:rPr>
                <w:rFonts w:ascii="Arial" w:hAnsi="Arial" w:cs="Arial"/>
                <w:sz w:val="20"/>
                <w:szCs w:val="20"/>
                <w:lang w:val="en-GB"/>
              </w:rPr>
              <w:t>AoG</w:t>
            </w:r>
            <w:proofErr w:type="spellEnd"/>
            <w:r w:rsidRPr="00291DD6">
              <w:rPr>
                <w:rFonts w:ascii="Arial" w:hAnsi="Arial" w:cs="Arial"/>
                <w:sz w:val="20"/>
                <w:szCs w:val="20"/>
                <w:lang w:val="en-GB"/>
              </w:rPr>
              <w:t xml:space="preserve"> and discussed among the PAR stakeholders. The council meetings included the representatives of Government, international and non-government organizations. In total there were four PAR council meetings conducted through 2018-2020. Next PAR Council meeting is expected to be conducted 1</w:t>
            </w:r>
            <w:r w:rsidRPr="00291DD6">
              <w:rPr>
                <w:rFonts w:ascii="Arial" w:hAnsi="Arial" w:cs="Arial"/>
                <w:sz w:val="20"/>
                <w:szCs w:val="20"/>
                <w:vertAlign w:val="superscript"/>
                <w:lang w:val="en-GB"/>
              </w:rPr>
              <w:t>st</w:t>
            </w:r>
            <w:r w:rsidRPr="00291DD6">
              <w:rPr>
                <w:rFonts w:ascii="Arial" w:hAnsi="Arial" w:cs="Arial"/>
                <w:sz w:val="20"/>
                <w:szCs w:val="20"/>
                <w:lang w:val="en-GB"/>
              </w:rPr>
              <w:t xml:space="preserve"> Q of 2021. </w:t>
            </w:r>
          </w:p>
        </w:tc>
        <w:tc>
          <w:tcPr>
            <w:tcW w:w="2053" w:type="dxa"/>
            <w:vAlign w:val="center"/>
          </w:tcPr>
          <w:p w14:paraId="1DB49DD2"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lastRenderedPageBreak/>
              <w:t>2018- 2020</w:t>
            </w:r>
          </w:p>
        </w:tc>
        <w:tc>
          <w:tcPr>
            <w:tcW w:w="1448" w:type="dxa"/>
            <w:vAlign w:val="center"/>
          </w:tcPr>
          <w:p w14:paraId="3517415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15688957"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37732C66"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Presentation of the new Framework on Policy Planning, Monitoring and Evaluation</w:t>
            </w:r>
          </w:p>
        </w:tc>
        <w:tc>
          <w:tcPr>
            <w:tcW w:w="8214" w:type="dxa"/>
            <w:vAlign w:val="center"/>
          </w:tcPr>
          <w:p w14:paraId="587B057E" w14:textId="77777777" w:rsidR="00812932" w:rsidRPr="00291DD6" w:rsidRDefault="00812932" w:rsidP="008129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The Administration of the Government of Georgia presented a new system in national-level policymaking at the meeting on 28 February, bringing together the representatives from ministries, international and civil society organizations and academia. The new policy planning and coordination system was designed in line with the European principles of Public Administration and is expected to improve the way the government develops, implements and evaluates policies and engages citizens in this process. </w:t>
            </w:r>
          </w:p>
        </w:tc>
        <w:tc>
          <w:tcPr>
            <w:tcW w:w="2053" w:type="dxa"/>
            <w:vAlign w:val="center"/>
          </w:tcPr>
          <w:p w14:paraId="028E94B5"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February 28, 2020</w:t>
            </w:r>
          </w:p>
        </w:tc>
        <w:tc>
          <w:tcPr>
            <w:tcW w:w="1448" w:type="dxa"/>
            <w:vAlign w:val="center"/>
          </w:tcPr>
          <w:p w14:paraId="32EBA6BE"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1E084322"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66698F91" w14:textId="77777777" w:rsidR="00812932" w:rsidRPr="001A58F1" w:rsidRDefault="00812932" w:rsidP="00812932">
            <w:pPr>
              <w:rPr>
                <w:rFonts w:ascii="Arial" w:hAnsi="Arial" w:cs="Arial"/>
                <w:b w:val="0"/>
                <w:sz w:val="20"/>
                <w:szCs w:val="20"/>
                <w:lang w:val="en-GB"/>
              </w:rPr>
            </w:pPr>
            <w:r w:rsidRPr="001A58F1">
              <w:rPr>
                <w:rFonts w:ascii="Arial" w:hAnsi="Arial" w:cs="Arial"/>
                <w:b w:val="0"/>
                <w:sz w:val="20"/>
                <w:szCs w:val="20"/>
                <w:lang w:val="en-GB"/>
              </w:rPr>
              <w:t>Career in Civil Service and Gender Equality</w:t>
            </w:r>
          </w:p>
        </w:tc>
        <w:tc>
          <w:tcPr>
            <w:tcW w:w="8214" w:type="dxa"/>
            <w:vAlign w:val="center"/>
          </w:tcPr>
          <w:p w14:paraId="7AB59A05" w14:textId="77777777" w:rsidR="00812932" w:rsidRPr="00291DD6" w:rsidRDefault="00812932" w:rsidP="008129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Over 1,000 civil servants took part in UNDP study assessing how gender affects career development and professional growth in the Georgian public sector.  Among other findings, 71% of civil servants believe that men advance their careers faster than women. Representatives of the government, civil society, academia and international community discussed the findings and ways to enhance gender equality in civil service.</w:t>
            </w:r>
          </w:p>
        </w:tc>
        <w:tc>
          <w:tcPr>
            <w:tcW w:w="2053" w:type="dxa"/>
            <w:vAlign w:val="center"/>
          </w:tcPr>
          <w:p w14:paraId="23E2A4AF"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March 10, 2020</w:t>
            </w:r>
          </w:p>
        </w:tc>
        <w:tc>
          <w:tcPr>
            <w:tcW w:w="1448" w:type="dxa"/>
            <w:vAlign w:val="center"/>
          </w:tcPr>
          <w:p w14:paraId="48D49295"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100</w:t>
            </w:r>
          </w:p>
        </w:tc>
      </w:tr>
      <w:tr w:rsidR="00812932" w:rsidRPr="00291DD6" w14:paraId="1F05D67B"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3E04437F" w14:textId="77777777" w:rsidR="00812932" w:rsidRPr="001A58F1" w:rsidRDefault="00812932" w:rsidP="00812932">
            <w:pPr>
              <w:autoSpaceDE w:val="0"/>
              <w:autoSpaceDN w:val="0"/>
              <w:adjustRightInd w:val="0"/>
              <w:rPr>
                <w:rFonts w:ascii="Arial" w:hAnsi="Arial" w:cs="Arial"/>
                <w:b w:val="0"/>
                <w:sz w:val="20"/>
                <w:szCs w:val="20"/>
                <w:lang w:val="en-GB"/>
              </w:rPr>
            </w:pPr>
            <w:r w:rsidRPr="001A58F1">
              <w:rPr>
                <w:rFonts w:ascii="Arial" w:hAnsi="Arial" w:cs="Arial"/>
                <w:b w:val="0"/>
                <w:sz w:val="20"/>
                <w:szCs w:val="20"/>
                <w:lang w:val="en-GB"/>
              </w:rPr>
              <w:t xml:space="preserve">The Forum of Civil Servants </w:t>
            </w:r>
          </w:p>
        </w:tc>
        <w:tc>
          <w:tcPr>
            <w:tcW w:w="8214" w:type="dxa"/>
            <w:vAlign w:val="center"/>
          </w:tcPr>
          <w:p w14:paraId="449E384D"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 xml:space="preserve">CSB arranged 21 thematic Civil Servants’ Forum meetings attended by 1,388 female and male civil servants. Sex disaggregated data is not available since vast majority of the forums were conducted online and part of the attendees’ gender could not be identified. Observing the forum participants who were using their cameras during the meetings, the forum can be characterized as female dominant. To track the attendance by gender, CSB will be recommended to use the online registration form for the future forums. Civil Servants’ Forum meetings proved to be a successful platform for enhancing the knowledge civil servants on civil service reform and CSB is planning to continue this effort with the support of another UNDP project. </w:t>
            </w:r>
          </w:p>
          <w:p w14:paraId="04E2C1A9" w14:textId="77777777" w:rsidR="00812932" w:rsidRPr="00291DD6" w:rsidRDefault="00812932" w:rsidP="008129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2053" w:type="dxa"/>
            <w:vAlign w:val="center"/>
          </w:tcPr>
          <w:p w14:paraId="0A2C2227"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April 28, 2020</w:t>
            </w:r>
          </w:p>
        </w:tc>
        <w:tc>
          <w:tcPr>
            <w:tcW w:w="1448" w:type="dxa"/>
            <w:vAlign w:val="center"/>
          </w:tcPr>
          <w:p w14:paraId="5A26D6A8"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1,388</w:t>
            </w:r>
          </w:p>
        </w:tc>
      </w:tr>
      <w:tr w:rsidR="00812932" w:rsidRPr="00291DD6" w14:paraId="36BB4657"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3E01F24B" w14:textId="77777777" w:rsidR="00812932" w:rsidRPr="001A58F1" w:rsidRDefault="00812932" w:rsidP="00812932">
            <w:pPr>
              <w:autoSpaceDE w:val="0"/>
              <w:autoSpaceDN w:val="0"/>
              <w:adjustRightInd w:val="0"/>
              <w:rPr>
                <w:rFonts w:ascii="Arial" w:hAnsi="Arial" w:cs="Arial"/>
                <w:b w:val="0"/>
                <w:sz w:val="20"/>
                <w:szCs w:val="20"/>
                <w:lang w:val="en-GB"/>
              </w:rPr>
            </w:pPr>
            <w:r w:rsidRPr="001A58F1">
              <w:rPr>
                <w:rFonts w:ascii="Arial" w:hAnsi="Arial" w:cs="Arial"/>
                <w:b w:val="0"/>
                <w:sz w:val="20"/>
                <w:szCs w:val="20"/>
                <w:lang w:val="en-GB"/>
              </w:rPr>
              <w:t>Virtual Workshop on Civil Sector Mediation in Georgia for Workplace &amp; Employment Disputes</w:t>
            </w:r>
          </w:p>
        </w:tc>
        <w:tc>
          <w:tcPr>
            <w:tcW w:w="8214" w:type="dxa"/>
            <w:vAlign w:val="center"/>
          </w:tcPr>
          <w:p w14:paraId="6BB8F744" w14:textId="77777777" w:rsidR="00812932" w:rsidRPr="00291DD6" w:rsidRDefault="00812932" w:rsidP="008129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Virtual workshop has been held on Civil Sector Mediation in Georgia for Workplace &amp; Employment Disputes, hosted by CSB and UNDP. International Comparative Analysis, and recommendations for Georgia have been presented.</w:t>
            </w:r>
          </w:p>
        </w:tc>
        <w:tc>
          <w:tcPr>
            <w:tcW w:w="2053" w:type="dxa"/>
            <w:vAlign w:val="center"/>
          </w:tcPr>
          <w:p w14:paraId="31F2EB9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bCs/>
                <w:sz w:val="20"/>
                <w:szCs w:val="20"/>
                <w:lang w:val="en-GB"/>
              </w:rPr>
              <w:t>July 15, 2020</w:t>
            </w:r>
          </w:p>
        </w:tc>
        <w:tc>
          <w:tcPr>
            <w:tcW w:w="1448" w:type="dxa"/>
            <w:vAlign w:val="center"/>
          </w:tcPr>
          <w:p w14:paraId="4F45758B"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5420F710" w14:textId="77777777" w:rsidTr="00812932">
        <w:tc>
          <w:tcPr>
            <w:cnfStyle w:val="001000000000" w:firstRow="0" w:lastRow="0" w:firstColumn="1" w:lastColumn="0" w:oddVBand="0" w:evenVBand="0" w:oddHBand="0" w:evenHBand="0" w:firstRowFirstColumn="0" w:firstRowLastColumn="0" w:lastRowFirstColumn="0" w:lastRowLastColumn="0"/>
            <w:tcW w:w="3153" w:type="dxa"/>
            <w:vAlign w:val="center"/>
          </w:tcPr>
          <w:p w14:paraId="49864036" w14:textId="77777777" w:rsidR="00812932" w:rsidRPr="001A58F1" w:rsidRDefault="00812932" w:rsidP="00812932">
            <w:pPr>
              <w:autoSpaceDE w:val="0"/>
              <w:autoSpaceDN w:val="0"/>
              <w:adjustRightInd w:val="0"/>
              <w:rPr>
                <w:rFonts w:ascii="Arial" w:hAnsi="Arial" w:cs="Arial"/>
                <w:b w:val="0"/>
                <w:sz w:val="20"/>
                <w:szCs w:val="20"/>
                <w:lang w:val="en-GB"/>
              </w:rPr>
            </w:pPr>
            <w:r w:rsidRPr="001A58F1">
              <w:rPr>
                <w:rFonts w:ascii="Arial" w:hAnsi="Arial" w:cs="Arial"/>
                <w:b w:val="0"/>
                <w:sz w:val="20"/>
                <w:szCs w:val="20"/>
                <w:lang w:val="en-GB"/>
              </w:rPr>
              <w:t>Workshop “PAR Communication Strategy and Tactical Plan”</w:t>
            </w:r>
          </w:p>
        </w:tc>
        <w:tc>
          <w:tcPr>
            <w:tcW w:w="8214" w:type="dxa"/>
            <w:vAlign w:val="center"/>
          </w:tcPr>
          <w:p w14:paraId="3E5A31D5" w14:textId="77777777" w:rsidR="00812932" w:rsidRPr="00291DD6" w:rsidRDefault="00812932" w:rsidP="008129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Presentation on the PAR Strategy and communication strategy provided, as well as the presentation on tactical plan.</w:t>
            </w:r>
            <w:r w:rsidRPr="00291DD6">
              <w:rPr>
                <w:rFonts w:ascii="Arial" w:hAnsi="Arial" w:cs="Arial"/>
                <w:b/>
                <w:bCs/>
                <w:sz w:val="20"/>
                <w:szCs w:val="20"/>
                <w:lang w:val="en-GB"/>
              </w:rPr>
              <w:t xml:space="preserve"> </w:t>
            </w:r>
          </w:p>
        </w:tc>
        <w:tc>
          <w:tcPr>
            <w:tcW w:w="2053" w:type="dxa"/>
            <w:vAlign w:val="center"/>
          </w:tcPr>
          <w:p w14:paraId="25368688"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291DD6">
              <w:rPr>
                <w:rFonts w:ascii="Arial" w:hAnsi="Arial" w:cs="Arial"/>
                <w:bCs/>
                <w:sz w:val="20"/>
                <w:szCs w:val="20"/>
                <w:lang w:val="en-GB"/>
              </w:rPr>
              <w:t>October 15, 2020</w:t>
            </w:r>
          </w:p>
          <w:p w14:paraId="37D3D431"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448" w:type="dxa"/>
            <w:vAlign w:val="center"/>
          </w:tcPr>
          <w:p w14:paraId="54802BE6" w14:textId="77777777" w:rsidR="00812932" w:rsidRPr="00291DD6" w:rsidRDefault="00812932" w:rsidP="008129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r w:rsidR="00812932" w:rsidRPr="00291DD6" w14:paraId="2597F12F" w14:textId="77777777" w:rsidTr="0081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vAlign w:val="center"/>
          </w:tcPr>
          <w:p w14:paraId="0FB2F8DB" w14:textId="77777777" w:rsidR="00812932" w:rsidRPr="001A58F1" w:rsidRDefault="00812932" w:rsidP="00812932">
            <w:pPr>
              <w:autoSpaceDE w:val="0"/>
              <w:autoSpaceDN w:val="0"/>
              <w:adjustRightInd w:val="0"/>
              <w:rPr>
                <w:rFonts w:ascii="Arial" w:hAnsi="Arial" w:cs="Arial"/>
                <w:b w:val="0"/>
                <w:sz w:val="20"/>
                <w:szCs w:val="20"/>
                <w:lang w:val="en-GB"/>
              </w:rPr>
            </w:pPr>
            <w:r w:rsidRPr="001A58F1">
              <w:rPr>
                <w:rFonts w:ascii="Arial" w:hAnsi="Arial" w:cs="Arial"/>
                <w:b w:val="0"/>
                <w:sz w:val="20"/>
                <w:szCs w:val="20"/>
                <w:lang w:val="en-GB"/>
              </w:rPr>
              <w:t>Two workshops on Civil Servants’ Perception on Dispute Prevention and Management</w:t>
            </w:r>
          </w:p>
        </w:tc>
        <w:tc>
          <w:tcPr>
            <w:tcW w:w="8214" w:type="dxa"/>
            <w:vAlign w:val="center"/>
          </w:tcPr>
          <w:p w14:paraId="6001AD71" w14:textId="77777777" w:rsidR="00812932" w:rsidRPr="00291DD6" w:rsidRDefault="00812932" w:rsidP="008129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Two workshops organized with the participation of the CSB team, human resource managers and civil servants aimed at identification of additional topics for the survey instruments, on civil servants’ perceptions and perspectives on broader workplace dispute prevention and management.</w:t>
            </w:r>
          </w:p>
        </w:tc>
        <w:tc>
          <w:tcPr>
            <w:tcW w:w="2053" w:type="dxa"/>
            <w:vAlign w:val="center"/>
          </w:tcPr>
          <w:p w14:paraId="3B67B79F"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GB"/>
              </w:rPr>
            </w:pPr>
            <w:r w:rsidRPr="00291DD6">
              <w:rPr>
                <w:rFonts w:ascii="Arial" w:hAnsi="Arial" w:cs="Arial"/>
                <w:bCs/>
                <w:sz w:val="20"/>
                <w:szCs w:val="20"/>
                <w:lang w:val="en-GB"/>
              </w:rPr>
              <w:t>November-December 2020</w:t>
            </w:r>
          </w:p>
        </w:tc>
        <w:tc>
          <w:tcPr>
            <w:tcW w:w="1448" w:type="dxa"/>
            <w:vAlign w:val="center"/>
          </w:tcPr>
          <w:p w14:paraId="14FC1400" w14:textId="77777777" w:rsidR="00812932" w:rsidRPr="00291DD6"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291DD6">
              <w:rPr>
                <w:rFonts w:ascii="Arial" w:hAnsi="Arial" w:cs="Arial"/>
                <w:sz w:val="20"/>
                <w:szCs w:val="20"/>
                <w:lang w:val="en-GB"/>
              </w:rPr>
              <w:t>N/A</w:t>
            </w:r>
          </w:p>
        </w:tc>
      </w:tr>
    </w:tbl>
    <w:p w14:paraId="68000FF3" w14:textId="13BE55A8" w:rsidR="00812932" w:rsidRPr="00CB28F6" w:rsidRDefault="00802807" w:rsidP="00812932">
      <w:pPr>
        <w:pStyle w:val="Heading1"/>
        <w:rPr>
          <w:rFonts w:ascii="Lora" w:hAnsi="Lora" w:cs="Arial"/>
          <w:sz w:val="22"/>
          <w:szCs w:val="22"/>
          <w:lang w:val="en-GB"/>
        </w:rPr>
      </w:pPr>
      <w:bookmarkStart w:id="58" w:name="_Toc65185905"/>
      <w:bookmarkStart w:id="59" w:name="_Toc478138892"/>
      <w:r>
        <w:rPr>
          <w:rFonts w:ascii="Lora" w:hAnsi="Lora"/>
          <w:lang w:val="en-GB"/>
        </w:rPr>
        <w:lastRenderedPageBreak/>
        <w:t>Annex K:</w:t>
      </w:r>
      <w:r>
        <w:rPr>
          <w:rFonts w:ascii="Lora" w:hAnsi="Lora"/>
          <w:lang w:val="en-GB"/>
        </w:rPr>
        <w:tab/>
      </w:r>
      <w:r w:rsidR="00812932" w:rsidRPr="00CB28F6">
        <w:rPr>
          <w:rFonts w:ascii="Lora" w:hAnsi="Lora"/>
          <w:lang w:val="en-GB"/>
        </w:rPr>
        <w:t>Policy Research Studies</w:t>
      </w:r>
      <w:r w:rsidR="00A50DAB">
        <w:rPr>
          <w:rFonts w:ascii="Lora" w:hAnsi="Lora"/>
          <w:lang w:val="en-GB"/>
        </w:rPr>
        <w:t xml:space="preserve">, </w:t>
      </w:r>
      <w:r w:rsidR="00812932" w:rsidRPr="00CB28F6">
        <w:rPr>
          <w:rFonts w:ascii="Lora" w:hAnsi="Lora"/>
          <w:lang w:val="en-GB"/>
        </w:rPr>
        <w:t>Civil Society Grants</w:t>
      </w:r>
      <w:bookmarkEnd w:id="58"/>
      <w:r w:rsidR="008F1587">
        <w:rPr>
          <w:rFonts w:ascii="Lora" w:hAnsi="Lora"/>
          <w:lang w:val="en-GB"/>
        </w:rPr>
        <w:t>, Other Research, Guides, Publications and Videos</w:t>
      </w:r>
      <w:bookmarkEnd w:id="59"/>
    </w:p>
    <w:p w14:paraId="6570C44D" w14:textId="77777777" w:rsidR="00812932" w:rsidRPr="00CB28F6" w:rsidRDefault="00812932" w:rsidP="00812932">
      <w:pPr>
        <w:jc w:val="center"/>
        <w:rPr>
          <w:rFonts w:ascii="Lora" w:hAnsi="Lora" w:cs="Arial"/>
          <w:sz w:val="22"/>
          <w:szCs w:val="22"/>
          <w:lang w:val="en-GB"/>
        </w:rPr>
      </w:pPr>
    </w:p>
    <w:tbl>
      <w:tblPr>
        <w:tblStyle w:val="GridTable4-Accent11"/>
        <w:tblW w:w="5000" w:type="pct"/>
        <w:tblLayout w:type="fixed"/>
        <w:tblCellMar>
          <w:left w:w="115" w:type="dxa"/>
          <w:right w:w="115" w:type="dxa"/>
        </w:tblCellMar>
        <w:tblLook w:val="04A0" w:firstRow="1" w:lastRow="0" w:firstColumn="1" w:lastColumn="0" w:noHBand="0" w:noVBand="1"/>
      </w:tblPr>
      <w:tblGrid>
        <w:gridCol w:w="648"/>
        <w:gridCol w:w="3898"/>
        <w:gridCol w:w="3065"/>
        <w:gridCol w:w="2075"/>
        <w:gridCol w:w="1488"/>
        <w:gridCol w:w="3736"/>
      </w:tblGrid>
      <w:tr w:rsidR="00812932" w:rsidRPr="00451944" w14:paraId="5ABEC139" w14:textId="77777777" w:rsidTr="00FB3F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 w:type="pct"/>
          </w:tcPr>
          <w:p w14:paraId="3227B4CF" w14:textId="77777777" w:rsidR="00812932" w:rsidRPr="00451944" w:rsidRDefault="00812932" w:rsidP="00812932">
            <w:pPr>
              <w:jc w:val="center"/>
              <w:rPr>
                <w:rFonts w:ascii="Arial" w:hAnsi="Arial" w:cs="Arial"/>
                <w:sz w:val="20"/>
                <w:szCs w:val="20"/>
                <w:lang w:val="en-US"/>
              </w:rPr>
            </w:pPr>
          </w:p>
        </w:tc>
        <w:tc>
          <w:tcPr>
            <w:tcW w:w="1307" w:type="pct"/>
          </w:tcPr>
          <w:p w14:paraId="38504630" w14:textId="77777777" w:rsidR="00812932" w:rsidRPr="00451944"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51944">
              <w:rPr>
                <w:rFonts w:ascii="Arial" w:hAnsi="Arial" w:cs="Arial"/>
                <w:lang w:val="en-US"/>
              </w:rPr>
              <w:t>Subject</w:t>
            </w:r>
          </w:p>
        </w:tc>
        <w:tc>
          <w:tcPr>
            <w:tcW w:w="1028" w:type="pct"/>
          </w:tcPr>
          <w:p w14:paraId="7AA162DF" w14:textId="77777777" w:rsidR="00812932" w:rsidRPr="00451944"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51944">
              <w:rPr>
                <w:rFonts w:ascii="Arial" w:hAnsi="Arial" w:cs="Arial"/>
                <w:lang w:val="en-US"/>
              </w:rPr>
              <w:t>Brief Description</w:t>
            </w:r>
          </w:p>
        </w:tc>
        <w:tc>
          <w:tcPr>
            <w:tcW w:w="696" w:type="pct"/>
          </w:tcPr>
          <w:p w14:paraId="1C5AF123" w14:textId="77777777" w:rsidR="00812932" w:rsidRPr="00451944"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51944">
              <w:rPr>
                <w:rFonts w:ascii="Arial" w:hAnsi="Arial" w:cs="Arial"/>
                <w:lang w:val="en-US"/>
              </w:rPr>
              <w:t>Partner</w:t>
            </w:r>
          </w:p>
        </w:tc>
        <w:tc>
          <w:tcPr>
            <w:tcW w:w="499" w:type="pct"/>
          </w:tcPr>
          <w:p w14:paraId="67E18362" w14:textId="77777777" w:rsidR="00812932" w:rsidRPr="00451944" w:rsidRDefault="00812932" w:rsidP="00812932">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51944">
              <w:rPr>
                <w:rFonts w:ascii="Arial" w:hAnsi="Arial" w:cs="Arial"/>
                <w:lang w:val="en-US"/>
              </w:rPr>
              <w:t>Start/End Dates</w:t>
            </w:r>
          </w:p>
        </w:tc>
        <w:tc>
          <w:tcPr>
            <w:tcW w:w="1253" w:type="pct"/>
          </w:tcPr>
          <w:p w14:paraId="517A453B" w14:textId="77777777" w:rsidR="00812932" w:rsidRPr="00451944" w:rsidRDefault="00812932" w:rsidP="00812932">
            <w:pPr>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51944">
              <w:rPr>
                <w:rFonts w:ascii="Arial" w:hAnsi="Arial" w:cs="Arial"/>
                <w:lang w:val="en-US"/>
              </w:rPr>
              <w:t>Result and/or Next Step</w:t>
            </w:r>
          </w:p>
        </w:tc>
      </w:tr>
      <w:tr w:rsidR="00812932" w:rsidRPr="00451944" w14:paraId="67AE4239"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63078AE9" w14:textId="77777777" w:rsidR="00812932" w:rsidRPr="00451944" w:rsidRDefault="00812932" w:rsidP="00812932">
            <w:pPr>
              <w:jc w:val="both"/>
              <w:rPr>
                <w:rFonts w:ascii="Arial" w:hAnsi="Arial" w:cs="Arial"/>
                <w:sz w:val="20"/>
                <w:szCs w:val="20"/>
                <w:lang w:val="en-US"/>
              </w:rPr>
            </w:pPr>
          </w:p>
        </w:tc>
        <w:tc>
          <w:tcPr>
            <w:tcW w:w="1307" w:type="pct"/>
          </w:tcPr>
          <w:p w14:paraId="3368F95E" w14:textId="77777777" w:rsidR="00812932" w:rsidRPr="00451944" w:rsidRDefault="00812932" w:rsidP="0081293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028" w:type="pct"/>
          </w:tcPr>
          <w:p w14:paraId="5D335421" w14:textId="77777777" w:rsidR="00812932" w:rsidRPr="00451944" w:rsidRDefault="00812932" w:rsidP="0081293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r w:rsidRPr="00451944">
              <w:rPr>
                <w:rFonts w:ascii="Arial" w:hAnsi="Arial" w:cs="Arial"/>
                <w:b/>
                <w:bCs/>
                <w:lang w:val="en-US"/>
              </w:rPr>
              <w:t>CSO grants</w:t>
            </w:r>
          </w:p>
        </w:tc>
        <w:tc>
          <w:tcPr>
            <w:tcW w:w="696" w:type="pct"/>
          </w:tcPr>
          <w:p w14:paraId="152F4CAF" w14:textId="77777777" w:rsidR="00812932" w:rsidRPr="00451944" w:rsidRDefault="00812932" w:rsidP="0081293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499" w:type="pct"/>
          </w:tcPr>
          <w:p w14:paraId="529D8F1E" w14:textId="77777777" w:rsidR="00812932" w:rsidRPr="00451944" w:rsidRDefault="00812932" w:rsidP="0081293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253" w:type="pct"/>
          </w:tcPr>
          <w:p w14:paraId="01885EEC" w14:textId="77777777" w:rsidR="00812932" w:rsidRPr="00451944" w:rsidRDefault="00812932" w:rsidP="00812932">
            <w:pPr>
              <w:ind w:left="-10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812932" w:rsidRPr="00451944" w14:paraId="69B5D94C"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232F7148"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1</w:t>
            </w:r>
          </w:p>
        </w:tc>
        <w:tc>
          <w:tcPr>
            <w:tcW w:w="1307" w:type="pct"/>
          </w:tcPr>
          <w:p w14:paraId="6E199DA9"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“Day Care Standards for People with Disabilities” – Child, Family, Society (Civic Initiative Grant)</w:t>
            </w:r>
          </w:p>
        </w:tc>
        <w:tc>
          <w:tcPr>
            <w:tcW w:w="1028" w:type="pct"/>
          </w:tcPr>
          <w:p w14:paraId="67C259AC"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Comprehensive needs assessment and review of current standards and reimbursement rate structure for day care services in Georgia conducted; Set of recommendations for enhancement of standards of day care services elaborated.</w:t>
            </w:r>
          </w:p>
        </w:tc>
        <w:tc>
          <w:tcPr>
            <w:tcW w:w="696" w:type="pct"/>
          </w:tcPr>
          <w:p w14:paraId="25F7104D"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Child, Family, Society</w:t>
            </w:r>
          </w:p>
        </w:tc>
        <w:tc>
          <w:tcPr>
            <w:tcW w:w="499" w:type="pct"/>
          </w:tcPr>
          <w:p w14:paraId="12391445"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15-Mar-17 - 15-Sep-17</w:t>
            </w:r>
          </w:p>
          <w:p w14:paraId="32CB5AAF"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253" w:type="pct"/>
          </w:tcPr>
          <w:p w14:paraId="3E62A738"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grant component aimed at increasing the capacity of sub-grantees, it has contributed to engaging the civil society organizations in PAR to deliver further expertise of high empirical value now and in the future. </w:t>
            </w:r>
          </w:p>
        </w:tc>
      </w:tr>
      <w:tr w:rsidR="00812932" w:rsidRPr="00451944" w14:paraId="1AF230B9"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005E1D2B"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2</w:t>
            </w:r>
          </w:p>
        </w:tc>
        <w:tc>
          <w:tcPr>
            <w:tcW w:w="1307" w:type="pct"/>
          </w:tcPr>
          <w:p w14:paraId="3591A4F5"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“Improving Public Service Delivery Practices in the Local Government Context” – Innovation and Reforms Centre (IRC) (Civic Initiative Grant) (Phase 1)</w:t>
            </w:r>
          </w:p>
          <w:p w14:paraId="2F721689"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6D74B3A"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C6DD885"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“Introduction of Quality Public Service Delivery Practices in the Local Government Context” - Innovation and Reforms Center (IRC) (Civic Initiative Grant) (Phase 2)</w:t>
            </w:r>
          </w:p>
          <w:p w14:paraId="2D184819"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792C27F"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028" w:type="pct"/>
          </w:tcPr>
          <w:p w14:paraId="743C4CB0"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w:t>
            </w:r>
            <w:r w:rsidRPr="00451944">
              <w:rPr>
                <w:rFonts w:ascii="Arial" w:hAnsi="Arial" w:cs="Arial"/>
                <w:sz w:val="20"/>
                <w:szCs w:val="20"/>
                <w:vertAlign w:val="superscript"/>
                <w:lang w:val="en-US"/>
              </w:rPr>
              <w:t>st</w:t>
            </w:r>
            <w:r w:rsidRPr="00451944">
              <w:rPr>
                <w:rFonts w:ascii="Arial" w:hAnsi="Arial" w:cs="Arial"/>
                <w:sz w:val="20"/>
                <w:szCs w:val="20"/>
                <w:lang w:val="en-US"/>
              </w:rPr>
              <w:t xml:space="preserve"> phase of the initiative aimed to: Identify problems in three most crucial services of TAS and develop customer feedback report; Map human resources, key competences, ICT and physical infrastructure directly related to the provision of pre-defined three </w:t>
            </w:r>
            <w:proofErr w:type="gramStart"/>
            <w:r w:rsidRPr="00451944">
              <w:rPr>
                <w:rFonts w:ascii="Arial" w:hAnsi="Arial" w:cs="Arial"/>
                <w:sz w:val="20"/>
                <w:szCs w:val="20"/>
                <w:lang w:val="en-US"/>
              </w:rPr>
              <w:t>services;  Map</w:t>
            </w:r>
            <w:proofErr w:type="gramEnd"/>
            <w:r w:rsidRPr="00451944">
              <w:rPr>
                <w:rFonts w:ascii="Arial" w:hAnsi="Arial" w:cs="Arial"/>
                <w:sz w:val="20"/>
                <w:szCs w:val="20"/>
                <w:lang w:val="en-US"/>
              </w:rPr>
              <w:t xml:space="preserve"> key business processes in “as is” format - detailed business process descriptions of pre-defined three services; Develop the Optimal Service Model for delivery of pre-defined three services and its presentation.</w:t>
            </w:r>
          </w:p>
          <w:p w14:paraId="4856F1E0"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A89F49E"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2</w:t>
            </w:r>
            <w:r w:rsidRPr="00451944">
              <w:rPr>
                <w:rFonts w:ascii="Arial" w:hAnsi="Arial" w:cs="Arial"/>
                <w:sz w:val="20"/>
                <w:szCs w:val="20"/>
                <w:vertAlign w:val="superscript"/>
                <w:lang w:val="en-US"/>
              </w:rPr>
              <w:t>nd</w:t>
            </w:r>
            <w:r w:rsidRPr="00451944">
              <w:rPr>
                <w:rFonts w:ascii="Arial" w:hAnsi="Arial" w:cs="Arial"/>
                <w:sz w:val="20"/>
                <w:szCs w:val="20"/>
                <w:lang w:val="en-US"/>
              </w:rPr>
              <w:t xml:space="preserve"> phase of the initiative aimed to: Improve organizational capacity of TAS; Improve HR management in the context of three pre-defined services; Enhance operational capacities of TAS; Introduce one-stop-shop principle in relation to the </w:t>
            </w:r>
            <w:r w:rsidRPr="00451944">
              <w:rPr>
                <w:rFonts w:ascii="Arial" w:hAnsi="Arial" w:cs="Arial"/>
                <w:sz w:val="20"/>
                <w:szCs w:val="20"/>
                <w:lang w:val="en-US"/>
              </w:rPr>
              <w:lastRenderedPageBreak/>
              <w:t>services of city departments and companies owning engineering and utility networks</w:t>
            </w:r>
          </w:p>
        </w:tc>
        <w:tc>
          <w:tcPr>
            <w:tcW w:w="696" w:type="pct"/>
          </w:tcPr>
          <w:p w14:paraId="297A2DDD"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lastRenderedPageBreak/>
              <w:t>IRC</w:t>
            </w:r>
          </w:p>
        </w:tc>
        <w:tc>
          <w:tcPr>
            <w:tcW w:w="499" w:type="pct"/>
          </w:tcPr>
          <w:p w14:paraId="4F3E304E"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15-Mar-17 - 1-Aug-17</w:t>
            </w:r>
          </w:p>
          <w:p w14:paraId="1FD002F2"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0A0DB2E4"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13-Dec-18 - 13-Dec-19</w:t>
            </w:r>
          </w:p>
        </w:tc>
        <w:tc>
          <w:tcPr>
            <w:tcW w:w="1253" w:type="pct"/>
          </w:tcPr>
          <w:p w14:paraId="4A94986A"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Mapping of human resources and key competencies, ICT and physical infrastructure has been carried out. The description of the business processes related to the three predefined services has been ensured.  The description reflected a real picture, applied in practice and not necessarily defined by the normative acts. The vision and the ways for introduction of the optimal service model were elaborated and submitted to TAS for further decision making. </w:t>
            </w:r>
          </w:p>
          <w:p w14:paraId="41A7EE34"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626A169B"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As a result of the 2nd phase of the initiative TAS established an M&amp;E unit limiting its operations to internal auditing only.    </w:t>
            </w:r>
          </w:p>
        </w:tc>
      </w:tr>
      <w:tr w:rsidR="00812932" w:rsidRPr="00451944" w14:paraId="7BAA46FB"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5843D8B6"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3</w:t>
            </w:r>
          </w:p>
        </w:tc>
        <w:tc>
          <w:tcPr>
            <w:tcW w:w="1307" w:type="pct"/>
          </w:tcPr>
          <w:p w14:paraId="3DDD9E1A"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“Increasing Effectiveness of Local Governance Using Innovative Mechanisms to Inform the Local Public”- Young Scientists Club of Ozurgeti (Civic Initiative Grant)</w:t>
            </w:r>
          </w:p>
        </w:tc>
        <w:tc>
          <w:tcPr>
            <w:tcW w:w="1028" w:type="pct"/>
          </w:tcPr>
          <w:p w14:paraId="7A071911"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Main aim of the initiative was to Introduce SMS system and increase capacities of general public in </w:t>
            </w:r>
            <w:proofErr w:type="spellStart"/>
            <w:r w:rsidRPr="00451944">
              <w:rPr>
                <w:rFonts w:ascii="Arial" w:hAnsi="Arial" w:cs="Arial"/>
                <w:sz w:val="20"/>
                <w:szCs w:val="20"/>
                <w:lang w:val="en-US"/>
              </w:rPr>
              <w:t>Lanchkhuti</w:t>
            </w:r>
            <w:proofErr w:type="spellEnd"/>
            <w:r w:rsidRPr="00451944">
              <w:rPr>
                <w:rFonts w:ascii="Arial" w:hAnsi="Arial" w:cs="Arial"/>
                <w:sz w:val="20"/>
                <w:szCs w:val="20"/>
                <w:lang w:val="en-US"/>
              </w:rPr>
              <w:t xml:space="preserve"> and </w:t>
            </w:r>
            <w:proofErr w:type="spellStart"/>
            <w:r w:rsidRPr="00451944">
              <w:rPr>
                <w:rFonts w:ascii="Arial" w:hAnsi="Arial" w:cs="Arial"/>
                <w:sz w:val="20"/>
                <w:szCs w:val="20"/>
                <w:lang w:val="en-US"/>
              </w:rPr>
              <w:t>Chokhatauri</w:t>
            </w:r>
            <w:proofErr w:type="spellEnd"/>
            <w:r w:rsidRPr="00451944">
              <w:rPr>
                <w:rFonts w:ascii="Arial" w:hAnsi="Arial" w:cs="Arial"/>
                <w:sz w:val="20"/>
                <w:szCs w:val="20"/>
                <w:lang w:val="en-US"/>
              </w:rPr>
              <w:t xml:space="preserve"> on using government internet resources; Establish civic engagement centers in 6 rural areas, to ensure live broadcast of Municipality Assembly meetings and to increase access to public information.</w:t>
            </w:r>
          </w:p>
        </w:tc>
        <w:tc>
          <w:tcPr>
            <w:tcW w:w="696" w:type="pct"/>
          </w:tcPr>
          <w:p w14:paraId="7D59A845"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Young Scientists Club of Ozurgeti</w:t>
            </w:r>
          </w:p>
        </w:tc>
        <w:tc>
          <w:tcPr>
            <w:tcW w:w="499" w:type="pct"/>
          </w:tcPr>
          <w:p w14:paraId="73994C16"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1-Mar-17 - 31-Dec-17</w:t>
            </w:r>
          </w:p>
        </w:tc>
        <w:tc>
          <w:tcPr>
            <w:tcW w:w="1253" w:type="pct"/>
          </w:tcPr>
          <w:p w14:paraId="5B08CCEB" w14:textId="1F1189C7" w:rsidR="00812932" w:rsidRPr="00451944" w:rsidRDefault="00451944"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The project led to</w:t>
            </w:r>
            <w:r w:rsidR="00812932" w:rsidRPr="00451944">
              <w:rPr>
                <w:rFonts w:ascii="Arial" w:hAnsi="Arial" w:cs="Arial"/>
                <w:sz w:val="20"/>
                <w:szCs w:val="20"/>
                <w:lang w:val="en-US"/>
              </w:rPr>
              <w:t xml:space="preserve"> increased community awareness on local government activities in </w:t>
            </w:r>
            <w:proofErr w:type="spellStart"/>
            <w:r w:rsidR="00812932" w:rsidRPr="00451944">
              <w:rPr>
                <w:rFonts w:ascii="Arial" w:hAnsi="Arial" w:cs="Arial"/>
                <w:sz w:val="20"/>
                <w:szCs w:val="20"/>
                <w:lang w:val="en-US"/>
              </w:rPr>
              <w:t>Lanchkhuti</w:t>
            </w:r>
            <w:proofErr w:type="spellEnd"/>
            <w:r w:rsidR="00812932" w:rsidRPr="00451944">
              <w:rPr>
                <w:rFonts w:ascii="Arial" w:hAnsi="Arial" w:cs="Arial"/>
                <w:sz w:val="20"/>
                <w:szCs w:val="20"/>
                <w:lang w:val="en-US"/>
              </w:rPr>
              <w:t xml:space="preserve"> and </w:t>
            </w:r>
            <w:proofErr w:type="spellStart"/>
            <w:r w:rsidR="00812932" w:rsidRPr="00451944">
              <w:rPr>
                <w:rFonts w:ascii="Arial" w:hAnsi="Arial" w:cs="Arial"/>
                <w:sz w:val="20"/>
                <w:szCs w:val="20"/>
                <w:lang w:val="en-US"/>
              </w:rPr>
              <w:t>Chokhatauri</w:t>
            </w:r>
            <w:proofErr w:type="spellEnd"/>
            <w:r w:rsidR="00812932" w:rsidRPr="00451944">
              <w:rPr>
                <w:rFonts w:ascii="Arial" w:hAnsi="Arial" w:cs="Arial"/>
                <w:sz w:val="20"/>
                <w:szCs w:val="20"/>
                <w:lang w:val="en-US"/>
              </w:rPr>
              <w:t xml:space="preserve"> municipalities through the introduction of innovative mechanisms of community participation (SMS system, live broadcast of Municipality Assembly meetings). </w:t>
            </w:r>
          </w:p>
        </w:tc>
      </w:tr>
      <w:tr w:rsidR="00812932" w:rsidRPr="00451944" w14:paraId="1FFCDA17"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4E7215CD"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4</w:t>
            </w:r>
          </w:p>
        </w:tc>
        <w:tc>
          <w:tcPr>
            <w:tcW w:w="1307" w:type="pct"/>
          </w:tcPr>
          <w:p w14:paraId="09BB34D0"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 ”CSOs Support to Public Administration Reforms (PAR) in Georgia” – Civil Development Agency (</w:t>
            </w:r>
            <w:proofErr w:type="spellStart"/>
            <w:r w:rsidRPr="00451944">
              <w:rPr>
                <w:rFonts w:ascii="Arial" w:hAnsi="Arial" w:cs="Arial"/>
                <w:sz w:val="20"/>
                <w:szCs w:val="20"/>
                <w:lang w:val="en-US"/>
              </w:rPr>
              <w:t>CiDA</w:t>
            </w:r>
            <w:proofErr w:type="spellEnd"/>
            <w:r w:rsidRPr="00451944">
              <w:rPr>
                <w:rFonts w:ascii="Arial" w:hAnsi="Arial" w:cs="Arial"/>
                <w:sz w:val="20"/>
                <w:szCs w:val="20"/>
                <w:lang w:val="en-US"/>
              </w:rPr>
              <w:t>) (Civic Initiative Grant)</w:t>
            </w:r>
          </w:p>
        </w:tc>
        <w:tc>
          <w:tcPr>
            <w:tcW w:w="1028" w:type="pct"/>
          </w:tcPr>
          <w:p w14:paraId="6DE5D325"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Main goal of the initiative was to increase skills, knowledge, and capacity of R-CSN members of PAR implementation and monitoring; Increase the level of awareness of the public sector, private businesses and </w:t>
            </w:r>
            <w:proofErr w:type="gramStart"/>
            <w:r w:rsidRPr="00451944">
              <w:rPr>
                <w:rFonts w:ascii="Arial" w:hAnsi="Arial" w:cs="Arial"/>
                <w:sz w:val="20"/>
                <w:szCs w:val="20"/>
                <w:lang w:val="en-US"/>
              </w:rPr>
              <w:t>general public</w:t>
            </w:r>
            <w:proofErr w:type="gramEnd"/>
            <w:r w:rsidRPr="00451944">
              <w:rPr>
                <w:rFonts w:ascii="Arial" w:hAnsi="Arial" w:cs="Arial"/>
                <w:sz w:val="20"/>
                <w:szCs w:val="20"/>
                <w:lang w:val="en-US"/>
              </w:rPr>
              <w:t xml:space="preserve"> on PAR implementation and monitoring.</w:t>
            </w:r>
          </w:p>
        </w:tc>
        <w:tc>
          <w:tcPr>
            <w:tcW w:w="696" w:type="pct"/>
          </w:tcPr>
          <w:p w14:paraId="24E22C80"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451944">
              <w:rPr>
                <w:rFonts w:ascii="Arial" w:hAnsi="Arial" w:cs="Arial"/>
                <w:sz w:val="20"/>
                <w:szCs w:val="20"/>
                <w:lang w:val="en-US"/>
              </w:rPr>
              <w:t>CiDA</w:t>
            </w:r>
            <w:proofErr w:type="spellEnd"/>
          </w:p>
        </w:tc>
        <w:tc>
          <w:tcPr>
            <w:tcW w:w="499" w:type="pct"/>
          </w:tcPr>
          <w:p w14:paraId="13D2004C"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1-Mar-17 - 31-Dec-17</w:t>
            </w:r>
          </w:p>
        </w:tc>
        <w:tc>
          <w:tcPr>
            <w:tcW w:w="1253" w:type="pct"/>
          </w:tcPr>
          <w:p w14:paraId="7A621642"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initiative can be assessed as important contribution to PAR awareness raising as it engaged R-CSN member organizations, that on their part engaged representative of self-governments.</w:t>
            </w:r>
          </w:p>
        </w:tc>
      </w:tr>
      <w:tr w:rsidR="00812932" w:rsidRPr="00451944" w14:paraId="22C88E1D"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42475E6D"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5</w:t>
            </w:r>
          </w:p>
        </w:tc>
        <w:tc>
          <w:tcPr>
            <w:tcW w:w="1307" w:type="pct"/>
          </w:tcPr>
          <w:p w14:paraId="46FE4CAC"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“Public-Civil Cooperation for Improved Service Delivery” - Gori Information Center - </w:t>
            </w:r>
            <w:proofErr w:type="spellStart"/>
            <w:r w:rsidRPr="00451944">
              <w:rPr>
                <w:rFonts w:ascii="Arial" w:hAnsi="Arial" w:cs="Arial"/>
                <w:sz w:val="20"/>
                <w:szCs w:val="20"/>
                <w:lang w:val="en-US"/>
              </w:rPr>
              <w:t>Shida</w:t>
            </w:r>
            <w:proofErr w:type="spellEnd"/>
            <w:r w:rsidRPr="00451944">
              <w:rPr>
                <w:rFonts w:ascii="Arial" w:hAnsi="Arial" w:cs="Arial"/>
                <w:sz w:val="20"/>
                <w:szCs w:val="20"/>
                <w:lang w:val="en-US"/>
              </w:rPr>
              <w:t xml:space="preserve"> </w:t>
            </w:r>
            <w:proofErr w:type="spellStart"/>
            <w:r w:rsidRPr="00451944">
              <w:rPr>
                <w:rFonts w:ascii="Arial" w:hAnsi="Arial" w:cs="Arial"/>
                <w:sz w:val="20"/>
                <w:szCs w:val="20"/>
                <w:lang w:val="en-US"/>
              </w:rPr>
              <w:t>Kartli</w:t>
            </w:r>
            <w:proofErr w:type="spellEnd"/>
            <w:r w:rsidRPr="00451944">
              <w:rPr>
                <w:rFonts w:ascii="Arial" w:hAnsi="Arial" w:cs="Arial"/>
                <w:sz w:val="20"/>
                <w:szCs w:val="20"/>
                <w:lang w:val="en-US"/>
              </w:rPr>
              <w:t xml:space="preserve"> Hub (GIC) (Civic Initiative Grant)</w:t>
            </w:r>
          </w:p>
        </w:tc>
        <w:tc>
          <w:tcPr>
            <w:tcW w:w="1028" w:type="pct"/>
          </w:tcPr>
          <w:p w14:paraId="24D02A7E"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Initiative aimed to: facilitate improvement of service planning, design and delivery processes in Gori Municipality through 1) Conducting qualitative and quantitative research which will cover a) scope and coverage of the services; b) service design process and policies; c) level of public awareness of the services offered; d) relevance of services to the needs of community.</w:t>
            </w:r>
          </w:p>
        </w:tc>
        <w:tc>
          <w:tcPr>
            <w:tcW w:w="696" w:type="pct"/>
          </w:tcPr>
          <w:p w14:paraId="60FAEC9A"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GIC</w:t>
            </w:r>
          </w:p>
        </w:tc>
        <w:tc>
          <w:tcPr>
            <w:tcW w:w="499" w:type="pct"/>
          </w:tcPr>
          <w:p w14:paraId="1553BF11"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1-May-18 - 30-Apr-19</w:t>
            </w:r>
          </w:p>
        </w:tc>
        <w:tc>
          <w:tcPr>
            <w:tcW w:w="1253" w:type="pct"/>
          </w:tcPr>
          <w:p w14:paraId="48D5B0F6"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research findings on “Local Services in Gori Municipality: Practice, Attitudes and Perceptions” provided evidence-based information and created a unique opportunity to respond to the actual needs of local communities through developing evidence-based solutions. The research also established the baseline value and can serve as a useful tool for measuring future progress. </w:t>
            </w:r>
          </w:p>
          <w:p w14:paraId="48F2B9A3" w14:textId="777E830D"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initiative delivered short-term (improved service listing on the website) and long term outcomes (potential for higher impact</w:t>
            </w:r>
            <w:r w:rsidR="00451944">
              <w:rPr>
                <w:rFonts w:ascii="Arial" w:hAnsi="Arial" w:cs="Arial"/>
                <w:sz w:val="20"/>
                <w:szCs w:val="20"/>
                <w:lang w:val="en-US"/>
              </w:rPr>
              <w:t xml:space="preserve"> over time, </w:t>
            </w:r>
            <w:r w:rsidR="00451944">
              <w:rPr>
                <w:rFonts w:ascii="Arial" w:hAnsi="Arial" w:cs="Arial"/>
                <w:sz w:val="20"/>
                <w:szCs w:val="20"/>
                <w:lang w:val="en-US"/>
              </w:rPr>
              <w:lastRenderedPageBreak/>
              <w:t>since the</w:t>
            </w:r>
            <w:r w:rsidRPr="00451944">
              <w:rPr>
                <w:rFonts w:ascii="Arial" w:hAnsi="Arial" w:cs="Arial"/>
                <w:sz w:val="20"/>
                <w:szCs w:val="20"/>
                <w:lang w:val="en-US"/>
              </w:rPr>
              <w:t xml:space="preserve"> research </w:t>
            </w:r>
            <w:r w:rsidR="00451944">
              <w:rPr>
                <w:rFonts w:ascii="Arial" w:hAnsi="Arial" w:cs="Arial"/>
                <w:sz w:val="20"/>
                <w:szCs w:val="20"/>
                <w:lang w:val="en-US"/>
              </w:rPr>
              <w:t>can be replicate</w:t>
            </w:r>
            <w:r w:rsidRPr="00451944">
              <w:rPr>
                <w:rFonts w:ascii="Arial" w:hAnsi="Arial" w:cs="Arial"/>
                <w:sz w:val="20"/>
                <w:szCs w:val="20"/>
                <w:lang w:val="en-US"/>
              </w:rPr>
              <w:t xml:space="preserve"> and </w:t>
            </w:r>
            <w:r w:rsidR="00451944">
              <w:rPr>
                <w:rFonts w:ascii="Arial" w:hAnsi="Arial" w:cs="Arial"/>
                <w:sz w:val="20"/>
                <w:szCs w:val="20"/>
                <w:lang w:val="en-US"/>
              </w:rPr>
              <w:t xml:space="preserve">the </w:t>
            </w:r>
            <w:r w:rsidRPr="00451944">
              <w:rPr>
                <w:rFonts w:ascii="Arial" w:hAnsi="Arial" w:cs="Arial"/>
                <w:sz w:val="20"/>
                <w:szCs w:val="20"/>
                <w:lang w:val="en-US"/>
              </w:rPr>
              <w:t xml:space="preserve">highly collaborative nature between the non-profit and government sectors, possibly contributing to significant further cooperation and mutual projects with greater impact). </w:t>
            </w:r>
          </w:p>
        </w:tc>
      </w:tr>
      <w:tr w:rsidR="00812932" w:rsidRPr="00451944" w14:paraId="75F0A545"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0300B798"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lastRenderedPageBreak/>
              <w:t>6</w:t>
            </w:r>
          </w:p>
        </w:tc>
        <w:tc>
          <w:tcPr>
            <w:tcW w:w="1307" w:type="pct"/>
          </w:tcPr>
          <w:p w14:paraId="4D8FF984"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“Building the bridge between communities and local governments” - </w:t>
            </w:r>
            <w:proofErr w:type="spellStart"/>
            <w:r w:rsidRPr="00451944">
              <w:rPr>
                <w:rFonts w:ascii="Arial" w:hAnsi="Arial" w:cs="Arial"/>
                <w:sz w:val="20"/>
                <w:szCs w:val="20"/>
                <w:lang w:val="en-US"/>
              </w:rPr>
              <w:t>Iare</w:t>
            </w:r>
            <w:proofErr w:type="spellEnd"/>
            <w:r w:rsidRPr="00451944">
              <w:rPr>
                <w:rFonts w:ascii="Arial" w:hAnsi="Arial" w:cs="Arial"/>
                <w:sz w:val="20"/>
                <w:szCs w:val="20"/>
                <w:lang w:val="en-US"/>
              </w:rPr>
              <w:t xml:space="preserve"> </w:t>
            </w:r>
            <w:proofErr w:type="spellStart"/>
            <w:r w:rsidRPr="00451944">
              <w:rPr>
                <w:rFonts w:ascii="Arial" w:hAnsi="Arial" w:cs="Arial"/>
                <w:sz w:val="20"/>
                <w:szCs w:val="20"/>
                <w:lang w:val="en-US"/>
              </w:rPr>
              <w:t>Pekhit</w:t>
            </w:r>
            <w:proofErr w:type="spellEnd"/>
            <w:r w:rsidRPr="00451944">
              <w:rPr>
                <w:rFonts w:ascii="Arial" w:hAnsi="Arial" w:cs="Arial"/>
                <w:sz w:val="20"/>
                <w:szCs w:val="20"/>
                <w:lang w:val="en-US"/>
              </w:rPr>
              <w:t xml:space="preserve"> (WALK) (Civic Initiative Grant)</w:t>
            </w:r>
          </w:p>
        </w:tc>
        <w:tc>
          <w:tcPr>
            <w:tcW w:w="1028" w:type="pct"/>
          </w:tcPr>
          <w:p w14:paraId="276418BF"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Initiative aimed to: empower citizens by providing better tools (i.e. an activist toolkit) and know-how to advocate for a safer, more inclusive and attractive built environment for everyone. Engage local authorities with the citizens as well as implementation of community driven small, but impactful initiatives. </w:t>
            </w:r>
          </w:p>
        </w:tc>
        <w:tc>
          <w:tcPr>
            <w:tcW w:w="696" w:type="pct"/>
          </w:tcPr>
          <w:p w14:paraId="46160F0F"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WALK</w:t>
            </w:r>
          </w:p>
        </w:tc>
        <w:tc>
          <w:tcPr>
            <w:tcW w:w="499" w:type="pct"/>
          </w:tcPr>
          <w:p w14:paraId="574C8AB7"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1-May-18 - 27-Feb-19</w:t>
            </w:r>
          </w:p>
        </w:tc>
        <w:tc>
          <w:tcPr>
            <w:tcW w:w="1253" w:type="pct"/>
          </w:tcPr>
          <w:p w14:paraId="2E726746"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grant aimed at increasing the capacity of sub-grantees, it has contributed to engaging the civil society organizations in PAR to deliver further expertise of high empirical value now and in the future.</w:t>
            </w:r>
          </w:p>
        </w:tc>
      </w:tr>
      <w:tr w:rsidR="00812932" w:rsidRPr="00451944" w14:paraId="49CC20C3"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2C0134CA"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7</w:t>
            </w:r>
          </w:p>
        </w:tc>
        <w:tc>
          <w:tcPr>
            <w:tcW w:w="1307" w:type="pct"/>
          </w:tcPr>
          <w:p w14:paraId="4552F270"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“Supporting Establishment of a Professional Development System in Georgia” - </w:t>
            </w:r>
          </w:p>
          <w:p w14:paraId="1A2B905A"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Institute for Development of Freedom of Information (IDFI)</w:t>
            </w:r>
          </w:p>
          <w:p w14:paraId="144D821F"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(Research Grant)</w:t>
            </w:r>
          </w:p>
        </w:tc>
        <w:tc>
          <w:tcPr>
            <w:tcW w:w="1028" w:type="pct"/>
          </w:tcPr>
          <w:p w14:paraId="7C85A64A"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Conduct a comprehensive analysis of existing practices and gaps related to the professional development of civil servants and assist the CSB in the formulation of policy solutions.</w:t>
            </w:r>
          </w:p>
          <w:p w14:paraId="2E496C94"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96" w:type="pct"/>
          </w:tcPr>
          <w:p w14:paraId="51D741CE"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IDFI</w:t>
            </w:r>
          </w:p>
        </w:tc>
        <w:tc>
          <w:tcPr>
            <w:tcW w:w="499" w:type="pct"/>
          </w:tcPr>
          <w:p w14:paraId="4A046615"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15-May-18 - 15-Nov-18</w:t>
            </w:r>
          </w:p>
        </w:tc>
        <w:tc>
          <w:tcPr>
            <w:tcW w:w="1253" w:type="pct"/>
          </w:tcPr>
          <w:p w14:paraId="25CD2333"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grant component aimed at increasing the capacity of sub-grantees, it has contributed to engaging the civil society organizations in PAR to deliver further expertise of high empirical value now and in the future.</w:t>
            </w:r>
          </w:p>
        </w:tc>
      </w:tr>
      <w:tr w:rsidR="00812932" w:rsidRPr="00451944" w14:paraId="3DB4CBB4"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3711AC63"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8</w:t>
            </w:r>
          </w:p>
        </w:tc>
        <w:tc>
          <w:tcPr>
            <w:tcW w:w="1307" w:type="pct"/>
          </w:tcPr>
          <w:p w14:paraId="3C0F19BF"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“Implementing Public Service Design and Delivery Standards in the Ministry of Environment Protection and Agriculture of Georgia” - Innovations and Reforms Center (IRC) (Civic Initiative Grant)</w:t>
            </w:r>
          </w:p>
          <w:p w14:paraId="2A5B8EAD"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57D57F8"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028" w:type="pct"/>
          </w:tcPr>
          <w:p w14:paraId="04A485C3"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Enhance the efficiency of services provided by the Ministry of Environment Protection and Agriculture through the introduction of standardized, user-centered service design and delivery system.</w:t>
            </w:r>
          </w:p>
          <w:p w14:paraId="36AC33F3"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96" w:type="pct"/>
          </w:tcPr>
          <w:p w14:paraId="0751CE44"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IRC</w:t>
            </w:r>
          </w:p>
        </w:tc>
        <w:tc>
          <w:tcPr>
            <w:tcW w:w="499" w:type="pct"/>
          </w:tcPr>
          <w:p w14:paraId="6862CA23"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1-May-18 - 1-Mar-18</w:t>
            </w:r>
          </w:p>
        </w:tc>
        <w:tc>
          <w:tcPr>
            <w:tcW w:w="1253" w:type="pct"/>
          </w:tcPr>
          <w:p w14:paraId="30F18CD6"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As a result of the project “Improving Perfor</w:t>
            </w:r>
            <w:r w:rsidRPr="00451944">
              <w:rPr>
                <w:rFonts w:ascii="Arial" w:hAnsi="Arial" w:cs="Arial"/>
                <w:sz w:val="20"/>
                <w:szCs w:val="20"/>
                <w:lang w:val="en-US"/>
              </w:rPr>
              <w:softHyphen/>
              <w:t>mance of National Food Agency in Deliver</w:t>
            </w:r>
            <w:r w:rsidRPr="00451944">
              <w:rPr>
                <w:rFonts w:ascii="Arial" w:hAnsi="Arial" w:cs="Arial"/>
                <w:sz w:val="20"/>
                <w:szCs w:val="20"/>
                <w:lang w:val="en-US"/>
              </w:rPr>
              <w:softHyphen/>
              <w:t>ing of the Stink Bug Management Service through Applying Behavioral Approach”, behaviorally informed intervention con</w:t>
            </w:r>
            <w:r w:rsidRPr="00451944">
              <w:rPr>
                <w:rFonts w:ascii="Arial" w:hAnsi="Arial" w:cs="Arial"/>
                <w:sz w:val="20"/>
                <w:szCs w:val="20"/>
                <w:lang w:val="en-US"/>
              </w:rPr>
              <w:softHyphen/>
              <w:t>cept has been elaborated. Specifically, the Ministry of Environment Protection and Agriculture’s existing hotline was adapted to become a more effective and accessible resource for dispensing personalized advice and encouraging collective action against stink bugs and behaviorally informed mate</w:t>
            </w:r>
            <w:r w:rsidRPr="00451944">
              <w:rPr>
                <w:rFonts w:ascii="Arial" w:hAnsi="Arial" w:cs="Arial"/>
                <w:sz w:val="20"/>
                <w:szCs w:val="20"/>
                <w:lang w:val="en-US"/>
              </w:rPr>
              <w:softHyphen/>
              <w:t xml:space="preserve">rials were </w:t>
            </w:r>
            <w:r w:rsidRPr="00451944">
              <w:rPr>
                <w:rFonts w:ascii="Arial" w:hAnsi="Arial" w:cs="Arial"/>
                <w:sz w:val="20"/>
                <w:szCs w:val="20"/>
                <w:lang w:val="en-US"/>
              </w:rPr>
              <w:lastRenderedPageBreak/>
              <w:t>distributed to advertise and en</w:t>
            </w:r>
            <w:r w:rsidRPr="00451944">
              <w:rPr>
                <w:rFonts w:ascii="Arial" w:hAnsi="Arial" w:cs="Arial"/>
                <w:sz w:val="20"/>
                <w:szCs w:val="20"/>
                <w:lang w:val="en-US"/>
              </w:rPr>
              <w:softHyphen/>
              <w:t>courage uptake of the hotline. As a result, 85 more hotline calls came from residents in villages that received behaviorally informed SMS messages and flyers advertising the hotline than came from residents in villages that did not receive these materials. Indi</w:t>
            </w:r>
            <w:r w:rsidRPr="00451944">
              <w:rPr>
                <w:rFonts w:ascii="Arial" w:hAnsi="Arial" w:cs="Arial"/>
                <w:sz w:val="20"/>
                <w:szCs w:val="20"/>
                <w:lang w:val="en-US"/>
              </w:rPr>
              <w:softHyphen/>
              <w:t>viduals who were in villages that received behaviorally informed advertisement ma</w:t>
            </w:r>
            <w:r w:rsidRPr="00451944">
              <w:rPr>
                <w:rFonts w:ascii="Arial" w:hAnsi="Arial" w:cs="Arial"/>
                <w:sz w:val="20"/>
                <w:szCs w:val="20"/>
                <w:lang w:val="en-US"/>
              </w:rPr>
              <w:softHyphen/>
              <w:t xml:space="preserve">terials were 12.38 times more likely to call the hotline than individuals in villages that did not receive them. This pilot project of re-designing the Stink Bug Management Service is the first case in Georgia when a human-centered approach and behavioral science were used in parallel in the process of public service design. </w:t>
            </w:r>
          </w:p>
        </w:tc>
      </w:tr>
      <w:tr w:rsidR="00812932" w:rsidRPr="00451944" w14:paraId="757D007D"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5BF789B0"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lastRenderedPageBreak/>
              <w:t>9</w:t>
            </w:r>
          </w:p>
        </w:tc>
        <w:tc>
          <w:tcPr>
            <w:tcW w:w="1307" w:type="pct"/>
          </w:tcPr>
          <w:p w14:paraId="426A01D9"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“Training and Development of Civil Servants in Georgian Public Sector” - Georgian Institute of Public Affairs  (GIPA) (Research Grant)</w:t>
            </w:r>
          </w:p>
        </w:tc>
        <w:tc>
          <w:tcPr>
            <w:tcW w:w="1028" w:type="pct"/>
          </w:tcPr>
          <w:p w14:paraId="77D5C4A9"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Analyze different models for training and development in public sector, their advantages and disadvantages and their relevance to the Georgian context.</w:t>
            </w:r>
          </w:p>
          <w:p w14:paraId="5EE677A3"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96" w:type="pct"/>
          </w:tcPr>
          <w:p w14:paraId="4A8885F3"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GIPA</w:t>
            </w:r>
          </w:p>
        </w:tc>
        <w:tc>
          <w:tcPr>
            <w:tcW w:w="499" w:type="pct"/>
          </w:tcPr>
          <w:p w14:paraId="72879E08"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9-Mar-17 - 8-Aug-17</w:t>
            </w:r>
          </w:p>
        </w:tc>
        <w:tc>
          <w:tcPr>
            <w:tcW w:w="1253" w:type="pct"/>
          </w:tcPr>
          <w:p w14:paraId="57C6822E"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paper outlines the vision of training providers and beneficiaries (civil servants) on establishment of professional development model in the public sector (centralized, decentralized or semi-centralized) based on the requirements of the Georgian Law on Civil Service. The paper was shared with the CSB for its possible consideration in the process of creating professional development model for public servants. </w:t>
            </w:r>
          </w:p>
        </w:tc>
      </w:tr>
      <w:tr w:rsidR="00812932" w:rsidRPr="00451944" w14:paraId="7DE1ADD1"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5788BD2F"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10</w:t>
            </w:r>
          </w:p>
        </w:tc>
        <w:tc>
          <w:tcPr>
            <w:tcW w:w="1307" w:type="pct"/>
          </w:tcPr>
          <w:p w14:paraId="33CEA4FE"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“Challenges of the Georgian </w:t>
            </w:r>
            <w:bookmarkStart w:id="60" w:name="_Hlk65171565"/>
            <w:r w:rsidRPr="00451944">
              <w:rPr>
                <w:rFonts w:ascii="Arial" w:hAnsi="Arial" w:cs="Arial"/>
                <w:sz w:val="20"/>
                <w:szCs w:val="20"/>
                <w:lang w:val="en-US"/>
              </w:rPr>
              <w:t xml:space="preserve">Bureaucratic System </w:t>
            </w:r>
            <w:bookmarkEnd w:id="60"/>
            <w:r w:rsidRPr="00451944">
              <w:rPr>
                <w:rFonts w:ascii="Arial" w:hAnsi="Arial" w:cs="Arial"/>
                <w:sz w:val="20"/>
                <w:szCs w:val="20"/>
                <w:lang w:val="en-US"/>
              </w:rPr>
              <w:t xml:space="preserve">in the Context of Public Administration Reform” </w:t>
            </w:r>
            <w:proofErr w:type="gramStart"/>
            <w:r w:rsidRPr="00451944">
              <w:rPr>
                <w:rFonts w:ascii="Arial" w:hAnsi="Arial" w:cs="Arial"/>
                <w:sz w:val="20"/>
                <w:szCs w:val="20"/>
                <w:lang w:val="en-US"/>
              </w:rPr>
              <w:t>-  Institute</w:t>
            </w:r>
            <w:proofErr w:type="gramEnd"/>
            <w:r w:rsidRPr="00451944">
              <w:rPr>
                <w:rFonts w:ascii="Arial" w:hAnsi="Arial" w:cs="Arial"/>
                <w:sz w:val="20"/>
                <w:szCs w:val="20"/>
                <w:lang w:val="en-US"/>
              </w:rPr>
              <w:t xml:space="preserve">  For Development of Freedom of Information (IDFI) (Research Grant)</w:t>
            </w:r>
          </w:p>
        </w:tc>
        <w:tc>
          <w:tcPr>
            <w:tcW w:w="1028" w:type="pct"/>
          </w:tcPr>
          <w:p w14:paraId="199C73DA"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Study the state of government bureaucracy and, more specifically, administrative expenses in 2011-2016 for the purpose of identifying existing problems and challenges.</w:t>
            </w:r>
          </w:p>
        </w:tc>
        <w:tc>
          <w:tcPr>
            <w:tcW w:w="696" w:type="pct"/>
          </w:tcPr>
          <w:p w14:paraId="221521ED"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IDFI</w:t>
            </w:r>
          </w:p>
        </w:tc>
        <w:tc>
          <w:tcPr>
            <w:tcW w:w="499" w:type="pct"/>
          </w:tcPr>
          <w:p w14:paraId="1FC34FA0"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9-Mar-17 - 8-Aug-17</w:t>
            </w:r>
          </w:p>
        </w:tc>
        <w:tc>
          <w:tcPr>
            <w:tcW w:w="1253" w:type="pct"/>
          </w:tcPr>
          <w:p w14:paraId="22D26E64"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research provides interesting and useful data on administrative costs and spending - the area that requires permanent monitoring and research. The government optimization process was announced after this study has been published and it can be assumed that the study findings laid a solid basis </w:t>
            </w:r>
            <w:r w:rsidRPr="00451944">
              <w:rPr>
                <w:rFonts w:ascii="Arial" w:hAnsi="Arial" w:cs="Arial"/>
                <w:sz w:val="20"/>
                <w:szCs w:val="20"/>
                <w:lang w:val="en-US"/>
              </w:rPr>
              <w:lastRenderedPageBreak/>
              <w:t xml:space="preserve">for the optimization process. This can be especially true as some of the recommendations presented in the study, such as restriction on bonuses and salary supplements, found itself in the modified policy. </w:t>
            </w:r>
          </w:p>
        </w:tc>
      </w:tr>
      <w:tr w:rsidR="00812932" w:rsidRPr="00451944" w14:paraId="3D60A780"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55D633AB"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lastRenderedPageBreak/>
              <w:t>11</w:t>
            </w:r>
          </w:p>
        </w:tc>
        <w:tc>
          <w:tcPr>
            <w:tcW w:w="1307" w:type="pct"/>
          </w:tcPr>
          <w:p w14:paraId="158913FF"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“What Is the Potential of Blockchain Technologies in Responding to the Challenges in Public Services and Public Administration in Georgia” - Innovation and Reforms Center (IRC) (Research Grant)</w:t>
            </w:r>
          </w:p>
        </w:tc>
        <w:tc>
          <w:tcPr>
            <w:tcW w:w="1028" w:type="pct"/>
          </w:tcPr>
          <w:p w14:paraId="46D0CE31"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Investigate if the Georgian public sector can benefit from the blockchain and what is needed to translate expected benefits into practice.</w:t>
            </w:r>
          </w:p>
          <w:p w14:paraId="5382FC40"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96" w:type="pct"/>
          </w:tcPr>
          <w:p w14:paraId="631403E8"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IRC</w:t>
            </w:r>
          </w:p>
        </w:tc>
        <w:tc>
          <w:tcPr>
            <w:tcW w:w="499" w:type="pct"/>
          </w:tcPr>
          <w:p w14:paraId="11E6C143"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1-May-18 - 1-Sep-18</w:t>
            </w:r>
          </w:p>
        </w:tc>
        <w:tc>
          <w:tcPr>
            <w:tcW w:w="1253" w:type="pct"/>
          </w:tcPr>
          <w:p w14:paraId="5C90E2FB" w14:textId="77777777" w:rsidR="00812932" w:rsidRPr="00451944" w:rsidRDefault="00812932" w:rsidP="00FB3FDC">
            <w:pPr>
              <w:spacing w:after="240" w:line="276" w:lineRule="auto"/>
              <w:ind w:right="57"/>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study offers a critical assessment of the utility and effectiveness of the block-chain technology – promoted by the government - in service delivery.</w:t>
            </w:r>
          </w:p>
        </w:tc>
      </w:tr>
      <w:tr w:rsidR="00812932" w:rsidRPr="00451944" w14:paraId="57B6533A"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4006BE0E"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12</w:t>
            </w:r>
          </w:p>
        </w:tc>
        <w:tc>
          <w:tcPr>
            <w:tcW w:w="1307" w:type="pct"/>
          </w:tcPr>
          <w:p w14:paraId="5DB5EFC8"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“Provision of Public Services and Effectiveness of Ethnic Minority Engagement in Georgia” - BTKK - Policy Research Group (Research Grant)</w:t>
            </w:r>
          </w:p>
          <w:p w14:paraId="27BCBD8D"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028" w:type="pct"/>
          </w:tcPr>
          <w:p w14:paraId="0EC0814C"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Address two major directions of ethnic minority engagement, one on how well do ethnic minorities understand and use the services provided by the Public Service Hall of the Ministry of Justice of Georgia and second, how much information (quantitative and qualitative) do they receive through public broadcaster in their native languages and the official information channels of the government dedicated specially to ethnic minorities.</w:t>
            </w:r>
          </w:p>
        </w:tc>
        <w:tc>
          <w:tcPr>
            <w:tcW w:w="696" w:type="pct"/>
          </w:tcPr>
          <w:p w14:paraId="0A2D077F"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BTKK - Policy Research Group</w:t>
            </w:r>
          </w:p>
        </w:tc>
        <w:tc>
          <w:tcPr>
            <w:tcW w:w="499" w:type="pct"/>
          </w:tcPr>
          <w:p w14:paraId="7C85402A"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2018</w:t>
            </w:r>
          </w:p>
        </w:tc>
        <w:tc>
          <w:tcPr>
            <w:tcW w:w="1253" w:type="pct"/>
          </w:tcPr>
          <w:p w14:paraId="1EFB91D5" w14:textId="77777777" w:rsidR="00812932" w:rsidRPr="00451944" w:rsidRDefault="00812932" w:rsidP="00FB3FDC">
            <w:pPr>
              <w:spacing w:after="240" w:line="276" w:lineRule="auto"/>
              <w:ind w:right="57"/>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n-US"/>
              </w:rPr>
            </w:pPr>
            <w:r w:rsidRPr="00451944">
              <w:rPr>
                <w:rFonts w:ascii="Arial" w:hAnsi="Arial" w:cs="Arial"/>
                <w:sz w:val="20"/>
                <w:szCs w:val="20"/>
                <w:lang w:val="en-US"/>
              </w:rPr>
              <w:t>The study examined policy documents and practices to assess the extent to which the public service delivery is tailored to the needs of ethnic minorities, and to what extent the practices can be improved to augment their engagement in public policy process.</w:t>
            </w:r>
            <w:r w:rsidRPr="00451944">
              <w:rPr>
                <w:rFonts w:ascii="Arial" w:eastAsia="Calibri" w:hAnsi="Arial" w:cs="Arial"/>
                <w:sz w:val="20"/>
                <w:szCs w:val="20"/>
                <w:lang w:val="en-US"/>
              </w:rPr>
              <w:t xml:space="preserve"> </w:t>
            </w:r>
          </w:p>
          <w:p w14:paraId="3416548C" w14:textId="77777777" w:rsidR="00812932" w:rsidRPr="00451944" w:rsidRDefault="00812932" w:rsidP="00FB3FDC">
            <w:pPr>
              <w:ind w:left="-1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812932" w:rsidRPr="00451944" w14:paraId="6E4F4192"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08A3C625"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13</w:t>
            </w:r>
          </w:p>
        </w:tc>
        <w:tc>
          <w:tcPr>
            <w:tcW w:w="1307" w:type="pct"/>
          </w:tcPr>
          <w:p w14:paraId="0DF52667"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“Social Agents as Street-level Policy Makers: Research and Recommendations” - Center for Study of Social Practices (CSSP) (Research Grant)</w:t>
            </w:r>
          </w:p>
        </w:tc>
        <w:tc>
          <w:tcPr>
            <w:tcW w:w="1028" w:type="pct"/>
          </w:tcPr>
          <w:p w14:paraId="10CEF04C"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Social Agents as Street Level Policy Makers: Research and Recommendations” by the Centre for Study of Social Practices (CSSP) aims to develop a policy document studying everyday work strategies of social agents working in Targeted Social Assistance Program and developing recommendations for the Social Service Agency </w:t>
            </w:r>
            <w:r w:rsidRPr="00451944">
              <w:rPr>
                <w:rFonts w:ascii="Arial" w:hAnsi="Arial" w:cs="Arial"/>
                <w:sz w:val="20"/>
                <w:szCs w:val="20"/>
                <w:lang w:val="en-US"/>
              </w:rPr>
              <w:lastRenderedPageBreak/>
              <w:t>about possible ways of efficiency improvements. The innovative project takes the principal-agent framework for analyzing the evidence and practices of service provision. It aims at studying the gap in the quality social services provision as opposed to other public services which was made apparent during the baseline study.</w:t>
            </w:r>
          </w:p>
        </w:tc>
        <w:tc>
          <w:tcPr>
            <w:tcW w:w="696" w:type="pct"/>
          </w:tcPr>
          <w:p w14:paraId="6DE553E5"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lastRenderedPageBreak/>
              <w:t>CSSP</w:t>
            </w:r>
          </w:p>
        </w:tc>
        <w:tc>
          <w:tcPr>
            <w:tcW w:w="499" w:type="pct"/>
          </w:tcPr>
          <w:p w14:paraId="11D0728D"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6-Dec-17 - 6-May-18</w:t>
            </w:r>
          </w:p>
        </w:tc>
        <w:tc>
          <w:tcPr>
            <w:tcW w:w="1253" w:type="pct"/>
          </w:tcPr>
          <w:p w14:paraId="04C75688" w14:textId="77777777" w:rsidR="00812932" w:rsidRPr="00451944" w:rsidRDefault="00812932" w:rsidP="00FB3FDC">
            <w:pPr>
              <w:pStyle w:val="Normal1"/>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451944">
              <w:rPr>
                <w:rFonts w:ascii="Arial" w:eastAsia="Merriweather" w:hAnsi="Arial" w:cs="Arial"/>
                <w:color w:val="000000"/>
                <w:sz w:val="20"/>
                <w:szCs w:val="20"/>
                <w:lang w:val="en-US"/>
              </w:rPr>
              <w:t xml:space="preserve">The study found that although </w:t>
            </w:r>
            <w:r w:rsidRPr="00451944">
              <w:rPr>
                <w:rFonts w:ascii="Arial" w:eastAsia="Merriweather" w:hAnsi="Arial" w:cs="Arial"/>
                <w:sz w:val="20"/>
                <w:szCs w:val="20"/>
                <w:lang w:val="en-US"/>
              </w:rPr>
              <w:t>social agents</w:t>
            </w:r>
            <w:r w:rsidRPr="00451944">
              <w:rPr>
                <w:rFonts w:ascii="Arial" w:eastAsia="Merriweather" w:hAnsi="Arial" w:cs="Arial"/>
                <w:color w:val="000000"/>
                <w:sz w:val="20"/>
                <w:szCs w:val="20"/>
                <w:lang w:val="en-US"/>
              </w:rPr>
              <w:t xml:space="preserve"> acknowledge many problems, including, in many cases, a less than adequate conceptualization of poverty, they do little to avoid formal regulations. Collecting information about households to supplement formal indicators included in the official procedure is the most significant informal practice they are involved in. </w:t>
            </w:r>
            <w:r w:rsidRPr="00451944">
              <w:rPr>
                <w:rFonts w:ascii="Arial" w:eastAsia="Merriweather" w:hAnsi="Arial" w:cs="Arial"/>
                <w:color w:val="000000"/>
                <w:sz w:val="20"/>
                <w:szCs w:val="20"/>
                <w:lang w:val="en-US"/>
              </w:rPr>
              <w:lastRenderedPageBreak/>
              <w:t xml:space="preserve">Also, many </w:t>
            </w:r>
            <w:r w:rsidRPr="00451944">
              <w:rPr>
                <w:rFonts w:ascii="Arial" w:eastAsia="Merriweather" w:hAnsi="Arial" w:cs="Arial"/>
                <w:sz w:val="20"/>
                <w:szCs w:val="20"/>
                <w:lang w:val="en-US"/>
              </w:rPr>
              <w:t>social agents</w:t>
            </w:r>
            <w:r w:rsidRPr="00451944">
              <w:rPr>
                <w:rFonts w:ascii="Arial" w:eastAsia="Merriweather" w:hAnsi="Arial" w:cs="Arial"/>
                <w:color w:val="000000"/>
                <w:sz w:val="20"/>
                <w:szCs w:val="20"/>
                <w:lang w:val="en-US"/>
              </w:rPr>
              <w:t xml:space="preserve"> think that giving them back some degree of formal discretionary power would improve targeting, as they would be able to make a more nuanced and detail-based judgment o</w:t>
            </w:r>
            <w:r w:rsidRPr="00451944">
              <w:rPr>
                <w:rFonts w:ascii="Arial" w:eastAsia="Merriweather" w:hAnsi="Arial" w:cs="Arial"/>
                <w:sz w:val="20"/>
                <w:szCs w:val="20"/>
                <w:lang w:val="en-US"/>
              </w:rPr>
              <w:t>f</w:t>
            </w:r>
            <w:r w:rsidRPr="00451944">
              <w:rPr>
                <w:rFonts w:ascii="Arial" w:eastAsia="Merriweather" w:hAnsi="Arial" w:cs="Arial"/>
                <w:color w:val="000000"/>
                <w:sz w:val="20"/>
                <w:szCs w:val="20"/>
                <w:lang w:val="en-US"/>
              </w:rPr>
              <w:t xml:space="preserve"> a household’s welfare level. Recommendations include the restoration of discretion into the Program, improvement of the agent’s working conditions, and a more active information campaign from the side of the Ministry to explain the main functioning principles of the Program to the population.</w:t>
            </w:r>
          </w:p>
        </w:tc>
      </w:tr>
      <w:tr w:rsidR="00812932" w:rsidRPr="00451944" w14:paraId="17E7C8FC"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719377A5"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lastRenderedPageBreak/>
              <w:t>14</w:t>
            </w:r>
          </w:p>
        </w:tc>
        <w:tc>
          <w:tcPr>
            <w:tcW w:w="1307" w:type="pct"/>
          </w:tcPr>
          <w:p w14:paraId="4161EDA7"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“Management and effective resolution of workplace disputes within the public agencies of Georgia” - New Vision University (NVU) (Research Grant)</w:t>
            </w:r>
          </w:p>
        </w:tc>
        <w:tc>
          <w:tcPr>
            <w:tcW w:w="1028" w:type="pct"/>
          </w:tcPr>
          <w:p w14:paraId="64E6EB1E"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“Management and Effective Resolution of Workplace Disputes within the Public Agencies of Georgia” by New Vision University (NVU), aims to examine current practices, models, challenges and gaps in the resolution of workplace disputes in the public agencies of Georgia. The outputs of the study </w:t>
            </w:r>
            <w:proofErr w:type="gramStart"/>
            <w:r w:rsidRPr="00451944">
              <w:rPr>
                <w:rFonts w:ascii="Arial" w:hAnsi="Arial" w:cs="Arial"/>
                <w:sz w:val="20"/>
                <w:szCs w:val="20"/>
                <w:lang w:val="en-US"/>
              </w:rPr>
              <w:t>provides</w:t>
            </w:r>
            <w:proofErr w:type="gramEnd"/>
            <w:r w:rsidRPr="00451944">
              <w:rPr>
                <w:rFonts w:ascii="Arial" w:hAnsi="Arial" w:cs="Arial"/>
                <w:sz w:val="20"/>
                <w:szCs w:val="20"/>
                <w:lang w:val="en-US"/>
              </w:rPr>
              <w:t xml:space="preserve"> evidence-based support to the discussion on alternative dispute resolution under output indicator 2.4.  The research covered nine government agencies and included 48 interviews in total.</w:t>
            </w:r>
          </w:p>
        </w:tc>
        <w:tc>
          <w:tcPr>
            <w:tcW w:w="696" w:type="pct"/>
          </w:tcPr>
          <w:p w14:paraId="09D6DABC"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NVU</w:t>
            </w:r>
          </w:p>
        </w:tc>
        <w:tc>
          <w:tcPr>
            <w:tcW w:w="499" w:type="pct"/>
          </w:tcPr>
          <w:p w14:paraId="129202F1"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6-Dec-17 - 6-May-18</w:t>
            </w:r>
          </w:p>
        </w:tc>
        <w:tc>
          <w:tcPr>
            <w:tcW w:w="1253" w:type="pct"/>
          </w:tcPr>
          <w:p w14:paraId="06878436"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research provides a very good evidence on existing problems and challenges in civil service associated with the lack of ADR mechanisms. </w:t>
            </w:r>
          </w:p>
        </w:tc>
      </w:tr>
      <w:tr w:rsidR="00812932" w:rsidRPr="00451944" w14:paraId="6C062C0A"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32163C52" w14:textId="77777777" w:rsidR="00812932" w:rsidRPr="001A58F1" w:rsidRDefault="00812932" w:rsidP="00812932">
            <w:pPr>
              <w:jc w:val="both"/>
              <w:rPr>
                <w:rFonts w:ascii="Arial" w:eastAsia="Calibri" w:hAnsi="Arial" w:cs="Arial"/>
                <w:b w:val="0"/>
                <w:iCs/>
                <w:sz w:val="20"/>
                <w:szCs w:val="20"/>
                <w:lang w:val="en-US"/>
              </w:rPr>
            </w:pPr>
            <w:r w:rsidRPr="001A58F1">
              <w:rPr>
                <w:rFonts w:ascii="Arial" w:eastAsia="Calibri" w:hAnsi="Arial" w:cs="Arial"/>
                <w:b w:val="0"/>
                <w:iCs/>
                <w:sz w:val="20"/>
                <w:szCs w:val="20"/>
                <w:lang w:val="en-US"/>
              </w:rPr>
              <w:t>15</w:t>
            </w:r>
          </w:p>
        </w:tc>
        <w:tc>
          <w:tcPr>
            <w:tcW w:w="1307" w:type="pct"/>
          </w:tcPr>
          <w:p w14:paraId="1A14E84A"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eastAsia="Calibri" w:hAnsi="Arial" w:cs="Arial"/>
                <w:iCs/>
                <w:sz w:val="20"/>
                <w:szCs w:val="20"/>
                <w:lang w:val="en-US"/>
              </w:rPr>
              <w:t xml:space="preserve">‘Improving State Services Supporting the Employment of Persons with Disabilities in Georgia”, </w:t>
            </w:r>
            <w:r w:rsidRPr="00451944">
              <w:rPr>
                <w:rFonts w:ascii="Arial" w:hAnsi="Arial" w:cs="Arial"/>
                <w:sz w:val="20"/>
                <w:szCs w:val="20"/>
                <w:lang w:val="en-US"/>
              </w:rPr>
              <w:t>Ivane Javakhishvili Tbilisi State University (Disability Research Center (DRC) (Research Grant)</w:t>
            </w:r>
          </w:p>
        </w:tc>
        <w:tc>
          <w:tcPr>
            <w:tcW w:w="1028" w:type="pct"/>
          </w:tcPr>
          <w:p w14:paraId="2F2011D6"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main aim of the initiative was to: map the services supporting inclusive education in Georgia provided by the central and local governments; </w:t>
            </w:r>
            <w:r w:rsidRPr="00451944">
              <w:rPr>
                <w:rFonts w:ascii="Arial" w:hAnsi="Arial" w:cs="Arial"/>
                <w:sz w:val="20"/>
                <w:szCs w:val="20"/>
                <w:lang w:val="en-US"/>
              </w:rPr>
              <w:lastRenderedPageBreak/>
              <w:t>analyze educational needs of persons with disabilities in Georgia across the age and type of disability and explore how these needs are met by the existing state services; Analyze the relevant experience of Poland and Germany and learn their best practices that can be taken into consideration whilst working on the research recommendations.</w:t>
            </w:r>
          </w:p>
        </w:tc>
        <w:tc>
          <w:tcPr>
            <w:tcW w:w="696" w:type="pct"/>
          </w:tcPr>
          <w:p w14:paraId="7C5905FF"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lastRenderedPageBreak/>
              <w:t>DRC</w:t>
            </w:r>
          </w:p>
        </w:tc>
        <w:tc>
          <w:tcPr>
            <w:tcW w:w="499" w:type="pct"/>
          </w:tcPr>
          <w:p w14:paraId="7E47FDDF"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16-Jul-19 - 30-Dec-19</w:t>
            </w:r>
          </w:p>
        </w:tc>
        <w:tc>
          <w:tcPr>
            <w:tcW w:w="1253" w:type="pct"/>
          </w:tcPr>
          <w:p w14:paraId="2AE34621"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study explored the effectiveness of the current policies for employment of the persons with disabilities, and developed recommendations for further improving the targeted services, based </w:t>
            </w:r>
            <w:r w:rsidRPr="00451944">
              <w:rPr>
                <w:rFonts w:ascii="Arial" w:hAnsi="Arial" w:cs="Arial"/>
                <w:sz w:val="20"/>
                <w:szCs w:val="20"/>
                <w:lang w:val="en-US"/>
              </w:rPr>
              <w:lastRenderedPageBreak/>
              <w:t xml:space="preserve">on UK experience. Research may have contributed to the cumulative effect of various stakeholder efforts that eventually resulted in the relevant policy changes. The study has strengthened TSU’s engagement this dimension as one of the major areas of its research activities and it plans to continue conducting more specific studies in the field. </w:t>
            </w:r>
          </w:p>
        </w:tc>
      </w:tr>
      <w:tr w:rsidR="00812932" w:rsidRPr="00451944" w14:paraId="58D85842"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43D4637C" w14:textId="77777777" w:rsidR="00812932" w:rsidRPr="001A58F1" w:rsidRDefault="00812932" w:rsidP="00812932">
            <w:pPr>
              <w:jc w:val="both"/>
              <w:rPr>
                <w:rFonts w:ascii="Arial" w:eastAsia="Calibri" w:hAnsi="Arial" w:cs="Arial"/>
                <w:b w:val="0"/>
                <w:iCs/>
                <w:sz w:val="20"/>
                <w:szCs w:val="20"/>
                <w:highlight w:val="yellow"/>
                <w:lang w:val="en-US"/>
              </w:rPr>
            </w:pPr>
            <w:r w:rsidRPr="001A58F1">
              <w:rPr>
                <w:rFonts w:ascii="Arial" w:eastAsia="Calibri" w:hAnsi="Arial" w:cs="Arial"/>
                <w:b w:val="0"/>
                <w:iCs/>
                <w:sz w:val="20"/>
                <w:szCs w:val="20"/>
                <w:lang w:val="en-US"/>
              </w:rPr>
              <w:lastRenderedPageBreak/>
              <w:t xml:space="preserve">16 </w:t>
            </w:r>
          </w:p>
        </w:tc>
        <w:tc>
          <w:tcPr>
            <w:tcW w:w="1307" w:type="pct"/>
          </w:tcPr>
          <w:p w14:paraId="45F95C98"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eastAsia="Calibri" w:hAnsi="Arial" w:cs="Arial"/>
                <w:iCs/>
                <w:sz w:val="20"/>
                <w:szCs w:val="20"/>
                <w:highlight w:val="yellow"/>
                <w:lang w:val="en-US"/>
              </w:rPr>
            </w:pPr>
            <w:r w:rsidRPr="00451944">
              <w:rPr>
                <w:rFonts w:ascii="Arial" w:eastAsia="Calibri" w:hAnsi="Arial" w:cs="Arial"/>
                <w:iCs/>
                <w:sz w:val="20"/>
                <w:szCs w:val="20"/>
                <w:lang w:val="en-US"/>
              </w:rPr>
              <w:t xml:space="preserve">“Improving State Services Supporting Inclusive Education in Georgia” - Ivane Javakhishvili Tbilisi State University (Disability Research Center (DRC) </w:t>
            </w:r>
            <w:r w:rsidRPr="00451944">
              <w:rPr>
                <w:rFonts w:ascii="Arial" w:hAnsi="Arial" w:cs="Arial"/>
                <w:sz w:val="20"/>
                <w:szCs w:val="20"/>
                <w:lang w:val="en-US"/>
              </w:rPr>
              <w:t>(Research Grant)</w:t>
            </w:r>
          </w:p>
        </w:tc>
        <w:tc>
          <w:tcPr>
            <w:tcW w:w="1028" w:type="pct"/>
          </w:tcPr>
          <w:p w14:paraId="0A62172D"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Map the services supporting inclusive education in Georgia provided by the central and local governments; Analyze educational needs of persons with disabilities in Georgia across the age and type of disability and explore how these needs are met by the existing state services; Analyze the relevant experience of Poland and Germany and learn their best practices that can be taken into consideration whilst working on the research</w:t>
            </w:r>
          </w:p>
          <w:p w14:paraId="701FD8A9"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rPr>
            </w:pPr>
            <w:r w:rsidRPr="00451944">
              <w:rPr>
                <w:rFonts w:ascii="Arial" w:hAnsi="Arial" w:cs="Arial"/>
                <w:sz w:val="20"/>
                <w:szCs w:val="20"/>
                <w:lang w:val="en-US"/>
              </w:rPr>
              <w:t>recommendations.</w:t>
            </w:r>
          </w:p>
        </w:tc>
        <w:tc>
          <w:tcPr>
            <w:tcW w:w="696" w:type="pct"/>
          </w:tcPr>
          <w:p w14:paraId="10C7B7E5"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rPr>
            </w:pPr>
            <w:r w:rsidRPr="00451944">
              <w:rPr>
                <w:rFonts w:ascii="Arial" w:hAnsi="Arial" w:cs="Arial"/>
                <w:sz w:val="20"/>
                <w:szCs w:val="20"/>
                <w:lang w:val="en-US"/>
              </w:rPr>
              <w:t>DRC</w:t>
            </w:r>
          </w:p>
        </w:tc>
        <w:tc>
          <w:tcPr>
            <w:tcW w:w="499" w:type="pct"/>
          </w:tcPr>
          <w:p w14:paraId="58E68044"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rPr>
            </w:pPr>
            <w:r w:rsidRPr="00451944">
              <w:rPr>
                <w:rFonts w:ascii="Arial" w:hAnsi="Arial" w:cs="Arial"/>
                <w:sz w:val="20"/>
                <w:szCs w:val="20"/>
                <w:lang w:val="en-US"/>
              </w:rPr>
              <w:t>2019-2020</w:t>
            </w:r>
          </w:p>
        </w:tc>
        <w:tc>
          <w:tcPr>
            <w:tcW w:w="1253" w:type="pct"/>
          </w:tcPr>
          <w:p w14:paraId="1DD393C3" w14:textId="6AD46DCF"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rPr>
            </w:pPr>
            <w:r w:rsidRPr="00451944">
              <w:rPr>
                <w:rFonts w:ascii="Arial" w:hAnsi="Arial" w:cs="Arial"/>
                <w:sz w:val="20"/>
                <w:szCs w:val="20"/>
                <w:lang w:val="en-US"/>
              </w:rPr>
              <w:t>The study demonstrated that the number of students with special educational needs increases in Georgian schools, bringing the long</w:t>
            </w:r>
            <w:r w:rsidR="00291DD6" w:rsidRPr="00451944">
              <w:rPr>
                <w:rFonts w:ascii="Arial" w:hAnsi="Arial" w:cs="Arial"/>
                <w:sz w:val="20"/>
                <w:szCs w:val="20"/>
                <w:lang w:val="en-US"/>
              </w:rPr>
              <w:t xml:space="preserve"> </w:t>
            </w:r>
            <w:r w:rsidRPr="00451944">
              <w:rPr>
                <w:rFonts w:ascii="Arial" w:hAnsi="Arial" w:cs="Arial"/>
                <w:sz w:val="20"/>
                <w:szCs w:val="20"/>
                <w:lang w:val="en-US"/>
              </w:rPr>
              <w:t xml:space="preserve">time tendency of social seclusion of children with disabilities to its end. </w:t>
            </w:r>
          </w:p>
        </w:tc>
      </w:tr>
      <w:tr w:rsidR="00812932" w:rsidRPr="00451944" w14:paraId="6ADCBE8B"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7EBED38F"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t>17</w:t>
            </w:r>
          </w:p>
        </w:tc>
        <w:tc>
          <w:tcPr>
            <w:tcW w:w="1307" w:type="pct"/>
          </w:tcPr>
          <w:p w14:paraId="79C71141"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“‘Political Independence of Civil Servants and the Role of a Senior Civil Servant” - Georgian Institute of Public Affairs (GIPA) – (Research Grant)</w:t>
            </w:r>
          </w:p>
        </w:tc>
        <w:tc>
          <w:tcPr>
            <w:tcW w:w="1028" w:type="pct"/>
          </w:tcPr>
          <w:p w14:paraId="64EDD1A3" w14:textId="77777777" w:rsidR="00812932" w:rsidRPr="00451944" w:rsidRDefault="00812932" w:rsidP="00FB3F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study ‘Political Independence of Civil Servants and the Role of a Senior Civil Servant’ presents an overview of senior civil servant position and its institutional setup in select European countries and provides basis for possible implementation of similar reform in Georgia. The report covers senior civil servant </w:t>
            </w:r>
            <w:r w:rsidRPr="00451944">
              <w:rPr>
                <w:rFonts w:ascii="Arial" w:hAnsi="Arial" w:cs="Arial"/>
                <w:sz w:val="20"/>
                <w:szCs w:val="20"/>
                <w:lang w:val="en-US"/>
              </w:rPr>
              <w:lastRenderedPageBreak/>
              <w:t>models deployed in the United Kingdom, the Netherlands, Estonia, Belgium, Lithuania, and Latvia. It also discusses the uneven experiences of the countries of the Western Balkans (Albania, The Republic of North Macedonia, Montenegro, Serbia, and Bosnia and Herzegovina) as well as Ukraine.</w:t>
            </w:r>
          </w:p>
        </w:tc>
        <w:tc>
          <w:tcPr>
            <w:tcW w:w="696" w:type="pct"/>
          </w:tcPr>
          <w:p w14:paraId="12905121"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lastRenderedPageBreak/>
              <w:t>GIPA</w:t>
            </w:r>
          </w:p>
        </w:tc>
        <w:tc>
          <w:tcPr>
            <w:tcW w:w="499" w:type="pct"/>
          </w:tcPr>
          <w:p w14:paraId="45851C94"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16-Jul-19 - 30-Dec-19</w:t>
            </w:r>
          </w:p>
        </w:tc>
        <w:tc>
          <w:tcPr>
            <w:tcW w:w="1253" w:type="pct"/>
          </w:tcPr>
          <w:p w14:paraId="1EA63F72"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report proposed recommendations to decision-makers and stakeholders involved in public sector reform and specifically civil service reform, highlighting the issues that need to be considered and reviewed prior to introduction the of Senior Civil Servant institute. The study findings enabled to continue a strategic dialogue and supported internal consultations at CSB concerning the feasibility of </w:t>
            </w:r>
            <w:r w:rsidRPr="00451944">
              <w:rPr>
                <w:rFonts w:ascii="Arial" w:hAnsi="Arial" w:cs="Arial"/>
                <w:sz w:val="20"/>
                <w:szCs w:val="20"/>
                <w:lang w:val="en-US"/>
              </w:rPr>
              <w:lastRenderedPageBreak/>
              <w:t xml:space="preserve">introducing this mechanism. </w:t>
            </w:r>
          </w:p>
        </w:tc>
      </w:tr>
      <w:tr w:rsidR="00812932" w:rsidRPr="00451944" w14:paraId="0C3A7DB5"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3186DB4D" w14:textId="77777777" w:rsidR="00812932" w:rsidRPr="001A58F1" w:rsidRDefault="00812932" w:rsidP="00812932">
            <w:pPr>
              <w:jc w:val="both"/>
              <w:rPr>
                <w:rFonts w:ascii="Arial" w:hAnsi="Arial" w:cs="Arial"/>
                <w:b w:val="0"/>
                <w:sz w:val="20"/>
                <w:szCs w:val="20"/>
                <w:lang w:val="en-US"/>
              </w:rPr>
            </w:pPr>
            <w:r w:rsidRPr="001A58F1">
              <w:rPr>
                <w:rFonts w:ascii="Arial" w:hAnsi="Arial" w:cs="Arial"/>
                <w:b w:val="0"/>
                <w:sz w:val="20"/>
                <w:szCs w:val="20"/>
                <w:lang w:val="en-US"/>
              </w:rPr>
              <w:lastRenderedPageBreak/>
              <w:t>18</w:t>
            </w:r>
          </w:p>
        </w:tc>
        <w:tc>
          <w:tcPr>
            <w:tcW w:w="1307" w:type="pct"/>
          </w:tcPr>
          <w:p w14:paraId="1D97D5BE"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“Career in Civil Service and Gender Equality”- Institute for Development of Freedom of Information (IDFI) (Research Grant) </w:t>
            </w:r>
          </w:p>
          <w:p w14:paraId="64EF9969"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56DD449C"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 </w:t>
            </w:r>
          </w:p>
        </w:tc>
        <w:tc>
          <w:tcPr>
            <w:tcW w:w="1028" w:type="pct"/>
          </w:tcPr>
          <w:p w14:paraId="019DEAFE"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research aimed to identify the key ways in which gender determines differences in career paths and the extent to which these differences are perceived as detrimental to the individual civil servants and the civil service as a whole. </w:t>
            </w:r>
          </w:p>
          <w:p w14:paraId="224CCF58"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96" w:type="pct"/>
          </w:tcPr>
          <w:p w14:paraId="77BB17DE"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IDFI</w:t>
            </w:r>
          </w:p>
        </w:tc>
        <w:tc>
          <w:tcPr>
            <w:tcW w:w="499" w:type="pct"/>
          </w:tcPr>
          <w:p w14:paraId="5F8F8E21"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16-Jul-19 - 30-Dec-19</w:t>
            </w:r>
          </w:p>
        </w:tc>
        <w:tc>
          <w:tcPr>
            <w:tcW w:w="1253" w:type="pct"/>
          </w:tcPr>
          <w:p w14:paraId="214C6E91"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study can be considered as one of the first systemic attempts at studying the element of gender in civil service in an in-depth fashion. Study results prove that female and male managers at civil service have contrasting career paths. The differences are reflected in various cultural practices, which determine gender inequality at civil service.  Results bring forward the invisible barriers, cultural practices and hierarchies. The findings will help policymakers better address the systemic and cultural constraints that result in the “glass ceiling” existing in the public sector. PAR Project, together with Civic Service Bureau, will consider the findings of the study while planning the future collaborations to address the gaps identified in the study.</w:t>
            </w:r>
          </w:p>
        </w:tc>
      </w:tr>
      <w:tr w:rsidR="00812932" w:rsidRPr="00451944" w14:paraId="20AFF611"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3AF531BE" w14:textId="77777777" w:rsidR="00812932" w:rsidRPr="001A58F1" w:rsidRDefault="00812932" w:rsidP="00812932">
            <w:pPr>
              <w:autoSpaceDE w:val="0"/>
              <w:autoSpaceDN w:val="0"/>
              <w:adjustRightInd w:val="0"/>
              <w:jc w:val="both"/>
              <w:rPr>
                <w:rFonts w:ascii="Arial" w:hAnsi="Arial" w:cs="Arial"/>
                <w:b w:val="0"/>
                <w:sz w:val="20"/>
                <w:szCs w:val="20"/>
                <w:lang w:val="en-US"/>
              </w:rPr>
            </w:pPr>
            <w:r w:rsidRPr="001A58F1">
              <w:rPr>
                <w:rFonts w:ascii="Arial" w:hAnsi="Arial" w:cs="Arial"/>
                <w:b w:val="0"/>
                <w:sz w:val="20"/>
                <w:szCs w:val="20"/>
                <w:lang w:val="en-US"/>
              </w:rPr>
              <w:t>19</w:t>
            </w:r>
          </w:p>
        </w:tc>
        <w:tc>
          <w:tcPr>
            <w:tcW w:w="1307" w:type="pct"/>
          </w:tcPr>
          <w:p w14:paraId="6B820735" w14:textId="77777777" w:rsidR="00812932" w:rsidRPr="00451944" w:rsidRDefault="00812932" w:rsidP="00FB3F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“Perceptions and attitudes towards Performance</w:t>
            </w:r>
          </w:p>
          <w:p w14:paraId="765B7D81" w14:textId="77777777" w:rsidR="00812932" w:rsidRPr="00451944" w:rsidRDefault="00812932" w:rsidP="00FB3F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Appraisal systems among civil</w:t>
            </w:r>
          </w:p>
          <w:p w14:paraId="2EEAA471"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Servants” – Ilia State University Ilia State University (ISU) (Research Grant)</w:t>
            </w:r>
          </w:p>
        </w:tc>
        <w:tc>
          <w:tcPr>
            <w:tcW w:w="1028" w:type="pct"/>
          </w:tcPr>
          <w:p w14:paraId="7AB35026"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study aimed to explore perceptions and attitudes of civil servants - mid- and low-level (2nd, 3rd and 4th ranks), - as well as HRs, towards performance appraisal in the selected line ministries. </w:t>
            </w:r>
          </w:p>
          <w:p w14:paraId="4C16BE7C"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696" w:type="pct"/>
          </w:tcPr>
          <w:p w14:paraId="1F967E7B"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ISU</w:t>
            </w:r>
          </w:p>
        </w:tc>
        <w:tc>
          <w:tcPr>
            <w:tcW w:w="499" w:type="pct"/>
          </w:tcPr>
          <w:p w14:paraId="6B7EE995"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17-Jul-19 - 30-Dec-19</w:t>
            </w:r>
          </w:p>
        </w:tc>
        <w:tc>
          <w:tcPr>
            <w:tcW w:w="1253" w:type="pct"/>
          </w:tcPr>
          <w:p w14:paraId="7ED3DC1B"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study indicated that all groups of respondents perceive the introduction</w:t>
            </w:r>
            <w:r w:rsidRPr="00451944">
              <w:rPr>
                <w:rFonts w:ascii="Arial" w:hAnsi="Arial" w:cs="Arial"/>
                <w:b/>
                <w:bCs/>
                <w:sz w:val="20"/>
                <w:szCs w:val="20"/>
                <w:lang w:val="en-US"/>
              </w:rPr>
              <w:t xml:space="preserve"> </w:t>
            </w:r>
            <w:r w:rsidRPr="00451944">
              <w:rPr>
                <w:rFonts w:ascii="Arial" w:hAnsi="Arial" w:cs="Arial"/>
                <w:sz w:val="20"/>
                <w:szCs w:val="20"/>
                <w:lang w:val="en-US"/>
              </w:rPr>
              <w:t xml:space="preserve">of the performance appraisal system in the civil service of Georgia as a necessary step; however, there was some skepticism towards the implemented processes. The latter included lack of legal and factual </w:t>
            </w:r>
            <w:r w:rsidRPr="00451944">
              <w:rPr>
                <w:rFonts w:ascii="Arial" w:hAnsi="Arial" w:cs="Arial"/>
                <w:sz w:val="20"/>
                <w:szCs w:val="20"/>
                <w:lang w:val="en-US"/>
              </w:rPr>
              <w:lastRenderedPageBreak/>
              <w:t xml:space="preserve">consequences of the performance appraisal, different approaches used during scoring, a lack of feedback, etc.  The research provided a very good evidence and overview on existing challenges as well as good practices of performance appraisal systems in civil service based on detailed analysis of selected ministries. </w:t>
            </w:r>
          </w:p>
        </w:tc>
      </w:tr>
      <w:tr w:rsidR="00812932" w:rsidRPr="00451944" w14:paraId="2DE5A2CF" w14:textId="77777777" w:rsidTr="00FB3FDC">
        <w:trPr>
          <w:cnfStyle w:val="000000100000" w:firstRow="0" w:lastRow="0" w:firstColumn="0" w:lastColumn="0" w:oddVBand="0" w:evenVBand="0" w:oddHBand="1" w:evenHBand="0" w:firstRowFirstColumn="0" w:firstRowLastColumn="0" w:lastRowFirstColumn="0" w:lastRowLastColumn="0"/>
          <w:trHeight w:val="4157"/>
        </w:trPr>
        <w:tc>
          <w:tcPr>
            <w:cnfStyle w:val="001000000000" w:firstRow="0" w:lastRow="0" w:firstColumn="1" w:lastColumn="0" w:oddVBand="0" w:evenVBand="0" w:oddHBand="0" w:evenHBand="0" w:firstRowFirstColumn="0" w:firstRowLastColumn="0" w:lastRowFirstColumn="0" w:lastRowLastColumn="0"/>
            <w:tcW w:w="217" w:type="pct"/>
          </w:tcPr>
          <w:p w14:paraId="197FA034" w14:textId="77777777" w:rsidR="00812932" w:rsidRPr="001A58F1" w:rsidRDefault="00812932" w:rsidP="00812932">
            <w:pPr>
              <w:autoSpaceDE w:val="0"/>
              <w:autoSpaceDN w:val="0"/>
              <w:adjustRightInd w:val="0"/>
              <w:jc w:val="both"/>
              <w:rPr>
                <w:rFonts w:ascii="Arial" w:eastAsia="Open Sans" w:hAnsi="Arial" w:cs="Arial"/>
                <w:b w:val="0"/>
                <w:sz w:val="20"/>
                <w:szCs w:val="20"/>
                <w:lang w:val="en-US"/>
              </w:rPr>
            </w:pPr>
            <w:r w:rsidRPr="001A58F1">
              <w:rPr>
                <w:rFonts w:ascii="Arial" w:eastAsia="Open Sans" w:hAnsi="Arial" w:cs="Arial"/>
                <w:b w:val="0"/>
                <w:sz w:val="20"/>
                <w:szCs w:val="20"/>
                <w:lang w:val="en-US"/>
              </w:rPr>
              <w:lastRenderedPageBreak/>
              <w:t>20</w:t>
            </w:r>
          </w:p>
        </w:tc>
        <w:tc>
          <w:tcPr>
            <w:tcW w:w="1307" w:type="pct"/>
          </w:tcPr>
          <w:p w14:paraId="50319CF1" w14:textId="77777777" w:rsidR="00812932" w:rsidRPr="00451944" w:rsidRDefault="00812932" w:rsidP="00FB3F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eastAsia="Open Sans" w:hAnsi="Arial" w:cs="Arial"/>
                <w:sz w:val="20"/>
                <w:szCs w:val="20"/>
                <w:lang w:val="en-US"/>
              </w:rPr>
              <w:t xml:space="preserve">Digital learning readiness assessment – supporting the shift to online learning in Georgian public sector - </w:t>
            </w:r>
            <w:r w:rsidRPr="00451944">
              <w:rPr>
                <w:rFonts w:ascii="Arial" w:hAnsi="Arial" w:cs="Arial"/>
                <w:sz w:val="20"/>
                <w:szCs w:val="20"/>
                <w:lang w:val="en-US"/>
              </w:rPr>
              <w:t>PMC Research (Research Grant)</w:t>
            </w:r>
          </w:p>
        </w:tc>
        <w:tc>
          <w:tcPr>
            <w:tcW w:w="1028" w:type="pct"/>
          </w:tcPr>
          <w:p w14:paraId="1A5EB048"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study aims to assess: a) civil servants' readiness to adopt technology in their daily work (behavioral and cognitive competence); b) willingness, concerns, and anticipations of public servants regarding digital </w:t>
            </w:r>
            <w:proofErr w:type="gramStart"/>
            <w:r w:rsidRPr="00451944">
              <w:rPr>
                <w:rFonts w:ascii="Arial" w:hAnsi="Arial" w:cs="Arial"/>
                <w:sz w:val="20"/>
                <w:szCs w:val="20"/>
                <w:lang w:val="en-US"/>
              </w:rPr>
              <w:t>learning ;</w:t>
            </w:r>
            <w:proofErr w:type="gramEnd"/>
            <w:r w:rsidRPr="00451944">
              <w:rPr>
                <w:rFonts w:ascii="Arial" w:hAnsi="Arial" w:cs="Arial"/>
                <w:sz w:val="20"/>
                <w:szCs w:val="20"/>
                <w:lang w:val="en-US"/>
              </w:rPr>
              <w:t xml:space="preserve"> c) shortcomings of face-to-face professional development courses; d) possible challenges and risks of the shift to online learning (including those faced by ethnic minorities). </w:t>
            </w:r>
          </w:p>
        </w:tc>
        <w:tc>
          <w:tcPr>
            <w:tcW w:w="696" w:type="pct"/>
          </w:tcPr>
          <w:p w14:paraId="3D9D6EC2"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PMC Research</w:t>
            </w:r>
          </w:p>
        </w:tc>
        <w:tc>
          <w:tcPr>
            <w:tcW w:w="499" w:type="pct"/>
          </w:tcPr>
          <w:p w14:paraId="5BAECF95"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2020-2021</w:t>
            </w:r>
          </w:p>
        </w:tc>
        <w:tc>
          <w:tcPr>
            <w:tcW w:w="1253" w:type="pct"/>
          </w:tcPr>
          <w:p w14:paraId="5C5E6F6D"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As a result of the study, recommendations for integrating digital learning into organizational culture of public organizations will be elaborated, possible challenges and risks of the shift to online learning will be assessed and respective mitigation strategies will be drafted. The study findings will be integrated into the online learning platform concept. The concept of the platform is currently under development and will be finalized by March 15. </w:t>
            </w:r>
          </w:p>
        </w:tc>
      </w:tr>
      <w:tr w:rsidR="00812932" w:rsidRPr="00451944" w14:paraId="43783F60"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5DA39C7D" w14:textId="77777777" w:rsidR="00812932" w:rsidRPr="001A58F1" w:rsidRDefault="00812932" w:rsidP="00812932">
            <w:pPr>
              <w:autoSpaceDE w:val="0"/>
              <w:autoSpaceDN w:val="0"/>
              <w:adjustRightInd w:val="0"/>
              <w:jc w:val="both"/>
              <w:rPr>
                <w:rFonts w:ascii="Arial" w:eastAsia="Open Sans" w:hAnsi="Arial" w:cs="Arial"/>
                <w:b w:val="0"/>
                <w:sz w:val="20"/>
                <w:szCs w:val="20"/>
                <w:lang w:val="en-US"/>
              </w:rPr>
            </w:pPr>
            <w:r w:rsidRPr="001A58F1">
              <w:rPr>
                <w:rFonts w:ascii="Arial" w:eastAsia="Open Sans" w:hAnsi="Arial" w:cs="Arial"/>
                <w:b w:val="0"/>
                <w:sz w:val="20"/>
                <w:szCs w:val="20"/>
                <w:lang w:val="en-US"/>
              </w:rPr>
              <w:t>21</w:t>
            </w:r>
          </w:p>
        </w:tc>
        <w:tc>
          <w:tcPr>
            <w:tcW w:w="1307" w:type="pct"/>
          </w:tcPr>
          <w:p w14:paraId="68B75793" w14:textId="77777777" w:rsidR="00812932" w:rsidRPr="00451944" w:rsidRDefault="00812932" w:rsidP="00FB3F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eastAsia="Open Sans" w:hAnsi="Arial" w:cs="Arial"/>
                <w:sz w:val="20"/>
                <w:szCs w:val="20"/>
                <w:lang w:val="en-US"/>
              </w:rPr>
              <w:t xml:space="preserve">The challenges in provision of services to women victims of domestic violence by the Ministry of Internal Affairs during Covid-19 – </w:t>
            </w:r>
            <w:proofErr w:type="spellStart"/>
            <w:r w:rsidRPr="00451944">
              <w:rPr>
                <w:rFonts w:ascii="Arial" w:eastAsia="Open Sans" w:hAnsi="Arial" w:cs="Arial"/>
                <w:sz w:val="20"/>
                <w:szCs w:val="20"/>
                <w:lang w:val="en-US"/>
              </w:rPr>
              <w:t>Sapari</w:t>
            </w:r>
            <w:proofErr w:type="spellEnd"/>
            <w:r w:rsidRPr="00451944">
              <w:rPr>
                <w:rFonts w:ascii="Arial" w:eastAsia="Open Sans" w:hAnsi="Arial" w:cs="Arial"/>
                <w:sz w:val="20"/>
                <w:szCs w:val="20"/>
                <w:lang w:val="en-US"/>
              </w:rPr>
              <w:t xml:space="preserve"> (Research Grant)</w:t>
            </w:r>
          </w:p>
        </w:tc>
        <w:tc>
          <w:tcPr>
            <w:tcW w:w="1028" w:type="pct"/>
          </w:tcPr>
          <w:p w14:paraId="5CA79F62"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purpose of the grant is to support the improvement of services provided by the Ministry of Internal Affairs of Georgia to women victims of domestic violence. The specific focus of the project is to analyze the provision of these services to the target group during the Covid-19 pandemic and as a result, develop recommendations that will </w:t>
            </w:r>
            <w:r w:rsidRPr="00451944">
              <w:rPr>
                <w:rFonts w:ascii="Arial" w:hAnsi="Arial" w:cs="Arial"/>
                <w:sz w:val="20"/>
                <w:szCs w:val="20"/>
                <w:lang w:val="en-US"/>
              </w:rPr>
              <w:lastRenderedPageBreak/>
              <w:t xml:space="preserve">improve service delivery process in future. For this aim, the Union </w:t>
            </w:r>
            <w:proofErr w:type="spellStart"/>
            <w:r w:rsidRPr="00451944">
              <w:rPr>
                <w:rFonts w:ascii="Arial" w:hAnsi="Arial" w:cs="Arial"/>
                <w:sz w:val="20"/>
                <w:szCs w:val="20"/>
                <w:lang w:val="en-US"/>
              </w:rPr>
              <w:t>Sapari</w:t>
            </w:r>
            <w:proofErr w:type="spellEnd"/>
            <w:r w:rsidRPr="00451944">
              <w:rPr>
                <w:rFonts w:ascii="Arial" w:hAnsi="Arial" w:cs="Arial"/>
                <w:sz w:val="20"/>
                <w:szCs w:val="20"/>
                <w:lang w:val="en-US"/>
              </w:rPr>
              <w:t xml:space="preserve"> will conduct sociological research and develop a comprehensive analysis of services in question. The research process will include: </w:t>
            </w:r>
            <w:proofErr w:type="spellStart"/>
            <w:r w:rsidRPr="00451944">
              <w:rPr>
                <w:rFonts w:ascii="Arial" w:hAnsi="Arial" w:cs="Arial"/>
                <w:sz w:val="20"/>
                <w:szCs w:val="20"/>
                <w:lang w:val="en-US"/>
              </w:rPr>
              <w:t>i</w:t>
            </w:r>
            <w:proofErr w:type="spellEnd"/>
            <w:r w:rsidRPr="00451944">
              <w:rPr>
                <w:rFonts w:ascii="Arial" w:hAnsi="Arial" w:cs="Arial"/>
                <w:sz w:val="20"/>
                <w:szCs w:val="20"/>
                <w:lang w:val="en-US"/>
              </w:rPr>
              <w:t>) an analysis of attitudes of victims of domestic violence in relation to the work of the Ministry of Internal Affairs and the Emergency Service – 112 during the pandemic; as well as ii) an identification of challenges and gaps in the process of combating domestic violence by these two institutions.</w:t>
            </w:r>
          </w:p>
        </w:tc>
        <w:tc>
          <w:tcPr>
            <w:tcW w:w="696" w:type="pct"/>
          </w:tcPr>
          <w:p w14:paraId="259A4B8B"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451944">
              <w:rPr>
                <w:rFonts w:ascii="Arial" w:hAnsi="Arial" w:cs="Arial"/>
                <w:sz w:val="20"/>
                <w:szCs w:val="20"/>
                <w:lang w:val="en-US"/>
              </w:rPr>
              <w:lastRenderedPageBreak/>
              <w:t>Sapari</w:t>
            </w:r>
            <w:proofErr w:type="spellEnd"/>
          </w:p>
        </w:tc>
        <w:tc>
          <w:tcPr>
            <w:tcW w:w="499" w:type="pct"/>
          </w:tcPr>
          <w:p w14:paraId="2B50DE47"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2020-2021</w:t>
            </w:r>
          </w:p>
        </w:tc>
        <w:tc>
          <w:tcPr>
            <w:tcW w:w="1253" w:type="pct"/>
          </w:tcPr>
          <w:p w14:paraId="586C07E8" w14:textId="77777777" w:rsidR="00812932" w:rsidRPr="00451944" w:rsidRDefault="00812932" w:rsidP="00FB3FDC">
            <w:pPr>
              <w:ind w:left="-108"/>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study will analyze the provision of the services to the women victims of domestic violence during the Covid-19 pandemic and as a result, develop recommendations that will improve service delivery process in future</w:t>
            </w:r>
          </w:p>
        </w:tc>
      </w:tr>
      <w:tr w:rsidR="00812932" w:rsidRPr="00451944" w14:paraId="206D6ADA"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77241585" w14:textId="77777777" w:rsidR="00812932" w:rsidRPr="001A58F1" w:rsidRDefault="00812932" w:rsidP="00812932">
            <w:pPr>
              <w:autoSpaceDE w:val="0"/>
              <w:autoSpaceDN w:val="0"/>
              <w:adjustRightInd w:val="0"/>
              <w:jc w:val="both"/>
              <w:rPr>
                <w:rFonts w:ascii="Arial" w:eastAsia="Open Sans" w:hAnsi="Arial" w:cs="Arial"/>
                <w:b w:val="0"/>
                <w:sz w:val="20"/>
                <w:szCs w:val="20"/>
                <w:lang w:val="en-US"/>
              </w:rPr>
            </w:pPr>
            <w:r w:rsidRPr="001A58F1">
              <w:rPr>
                <w:rFonts w:ascii="Arial" w:eastAsia="Open Sans" w:hAnsi="Arial" w:cs="Arial"/>
                <w:b w:val="0"/>
                <w:sz w:val="20"/>
                <w:szCs w:val="20"/>
                <w:lang w:val="en-US"/>
              </w:rPr>
              <w:t>22</w:t>
            </w:r>
          </w:p>
        </w:tc>
        <w:tc>
          <w:tcPr>
            <w:tcW w:w="1307" w:type="pct"/>
          </w:tcPr>
          <w:p w14:paraId="3E5A92BE" w14:textId="77777777" w:rsidR="00812932" w:rsidRPr="00451944" w:rsidRDefault="00812932" w:rsidP="00FB3F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eastAsia="Open Sans" w:hAnsi="Arial" w:cs="Arial"/>
                <w:sz w:val="20"/>
                <w:szCs w:val="20"/>
                <w:lang w:val="en-US"/>
              </w:rPr>
              <w:t xml:space="preserve">Assessing Public Participation in Policy Making Process – </w:t>
            </w:r>
            <w:proofErr w:type="spellStart"/>
            <w:r w:rsidRPr="00451944">
              <w:rPr>
                <w:rFonts w:ascii="Arial" w:eastAsia="Open Sans" w:hAnsi="Arial" w:cs="Arial"/>
                <w:sz w:val="20"/>
                <w:szCs w:val="20"/>
                <w:lang w:val="en-US"/>
              </w:rPr>
              <w:t>WeResearch</w:t>
            </w:r>
            <w:proofErr w:type="spellEnd"/>
            <w:r w:rsidRPr="00451944">
              <w:rPr>
                <w:rFonts w:ascii="Arial" w:eastAsia="Open Sans" w:hAnsi="Arial" w:cs="Arial"/>
                <w:sz w:val="20"/>
                <w:szCs w:val="20"/>
                <w:lang w:val="en-US"/>
              </w:rPr>
              <w:t xml:space="preserve"> (Research Grant)</w:t>
            </w:r>
          </w:p>
        </w:tc>
        <w:tc>
          <w:tcPr>
            <w:tcW w:w="1028" w:type="pct"/>
          </w:tcPr>
          <w:p w14:paraId="33BC4D94" w14:textId="77777777" w:rsidR="00812932" w:rsidRPr="00451944" w:rsidRDefault="00812932" w:rsidP="00FB3FDC">
            <w:pPr>
              <w:ind w:left="-108"/>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main purpose of the grant is to support research aiming to evaluate public participation aspect of the selected policy documents from 2020 cohort. </w:t>
            </w:r>
          </w:p>
        </w:tc>
        <w:tc>
          <w:tcPr>
            <w:tcW w:w="696" w:type="pct"/>
          </w:tcPr>
          <w:p w14:paraId="59F8F657"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451944">
              <w:rPr>
                <w:rFonts w:ascii="Arial" w:hAnsi="Arial" w:cs="Arial"/>
                <w:sz w:val="20"/>
                <w:szCs w:val="20"/>
                <w:lang w:val="en-US"/>
              </w:rPr>
              <w:t>WeResearch</w:t>
            </w:r>
            <w:proofErr w:type="spellEnd"/>
          </w:p>
        </w:tc>
        <w:tc>
          <w:tcPr>
            <w:tcW w:w="499" w:type="pct"/>
          </w:tcPr>
          <w:p w14:paraId="3F0F3DB3"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2020-2021</w:t>
            </w:r>
          </w:p>
        </w:tc>
        <w:tc>
          <w:tcPr>
            <w:tcW w:w="1253" w:type="pct"/>
          </w:tcPr>
          <w:p w14:paraId="46BECA8D"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The study will assess how public agencies follow the public participation component of the unified policy methodological framework. Namely, the framework makes it mandatory for public agencies to conduct public consultations on strategic policy documents before their approval. </w:t>
            </w:r>
            <w:proofErr w:type="spellStart"/>
            <w:r w:rsidRPr="00451944">
              <w:rPr>
                <w:rFonts w:ascii="Arial" w:hAnsi="Arial" w:cs="Arial"/>
                <w:sz w:val="20"/>
                <w:szCs w:val="20"/>
                <w:lang w:val="en-US"/>
              </w:rPr>
              <w:t>WeResearch</w:t>
            </w:r>
            <w:proofErr w:type="spellEnd"/>
            <w:r w:rsidRPr="00451944">
              <w:rPr>
                <w:rFonts w:ascii="Arial" w:hAnsi="Arial" w:cs="Arial"/>
                <w:sz w:val="20"/>
                <w:szCs w:val="20"/>
                <w:lang w:val="en-US"/>
              </w:rPr>
              <w:t xml:space="preserve"> will evaluate compliance to the regulation, analyze the quality and usefulness of public participation and identify existing gaps.  As a part of the study, an index for measuring the public participation element in the policy making process was developed. Index can serve as an effective tool to measure public engagement in the future.</w:t>
            </w:r>
          </w:p>
        </w:tc>
      </w:tr>
      <w:tr w:rsidR="00812932" w:rsidRPr="00451944" w14:paraId="66ACF649" w14:textId="77777777" w:rsidTr="00FB3FDC">
        <w:tc>
          <w:tcPr>
            <w:cnfStyle w:val="001000000000" w:firstRow="0" w:lastRow="0" w:firstColumn="1" w:lastColumn="0" w:oddVBand="0" w:evenVBand="0" w:oddHBand="0" w:evenHBand="0" w:firstRowFirstColumn="0" w:firstRowLastColumn="0" w:lastRowFirstColumn="0" w:lastRowLastColumn="0"/>
            <w:tcW w:w="217" w:type="pct"/>
          </w:tcPr>
          <w:p w14:paraId="20A8E8B1" w14:textId="77777777" w:rsidR="00812932" w:rsidRPr="001A58F1" w:rsidRDefault="00812932" w:rsidP="00812932">
            <w:pPr>
              <w:autoSpaceDE w:val="0"/>
              <w:autoSpaceDN w:val="0"/>
              <w:adjustRightInd w:val="0"/>
              <w:jc w:val="both"/>
              <w:rPr>
                <w:rFonts w:ascii="Arial" w:eastAsia="Open Sans" w:hAnsi="Arial" w:cs="Arial"/>
                <w:b w:val="0"/>
                <w:sz w:val="20"/>
                <w:szCs w:val="20"/>
                <w:lang w:val="en-US"/>
              </w:rPr>
            </w:pPr>
            <w:r w:rsidRPr="001A58F1">
              <w:rPr>
                <w:rFonts w:ascii="Arial" w:eastAsia="Open Sans" w:hAnsi="Arial" w:cs="Arial"/>
                <w:b w:val="0"/>
                <w:sz w:val="20"/>
                <w:szCs w:val="20"/>
                <w:lang w:val="en-US"/>
              </w:rPr>
              <w:t>23</w:t>
            </w:r>
          </w:p>
        </w:tc>
        <w:tc>
          <w:tcPr>
            <w:tcW w:w="1307" w:type="pct"/>
          </w:tcPr>
          <w:p w14:paraId="0AF38A52" w14:textId="77777777" w:rsidR="00812932" w:rsidRPr="00451944" w:rsidRDefault="00812932" w:rsidP="00FB3F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eastAsia="Open Sans" w:hAnsi="Arial" w:cs="Arial"/>
                <w:sz w:val="20"/>
                <w:szCs w:val="20"/>
                <w:lang w:val="en-US"/>
              </w:rPr>
              <w:t xml:space="preserve">Support expansion of the home care services throughout Georgia targeting the most at-risk people affected by the </w:t>
            </w:r>
            <w:r w:rsidRPr="00451944">
              <w:rPr>
                <w:rFonts w:ascii="Arial" w:eastAsia="Open Sans" w:hAnsi="Arial" w:cs="Arial"/>
                <w:sz w:val="20"/>
                <w:szCs w:val="20"/>
                <w:lang w:val="en-US"/>
              </w:rPr>
              <w:lastRenderedPageBreak/>
              <w:t xml:space="preserve">COVID-19 - </w:t>
            </w:r>
            <w:r w:rsidRPr="00451944">
              <w:rPr>
                <w:rFonts w:ascii="Arial" w:hAnsi="Arial" w:cs="Arial"/>
                <w:sz w:val="20"/>
                <w:szCs w:val="20"/>
                <w:lang w:val="en-US"/>
              </w:rPr>
              <w:t xml:space="preserve">Georgia Red Cross Society (C-19 Response Grant) </w:t>
            </w:r>
          </w:p>
        </w:tc>
        <w:tc>
          <w:tcPr>
            <w:tcW w:w="1028" w:type="pct"/>
          </w:tcPr>
          <w:p w14:paraId="3C0E3239"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lastRenderedPageBreak/>
              <w:t xml:space="preserve">PAR project supported Georgia Red Cross Society (GRCS) to expand its home care services </w:t>
            </w:r>
            <w:r w:rsidRPr="00451944">
              <w:rPr>
                <w:rFonts w:ascii="Arial" w:hAnsi="Arial" w:cs="Arial"/>
                <w:sz w:val="20"/>
                <w:szCs w:val="20"/>
                <w:lang w:val="en-US"/>
              </w:rPr>
              <w:lastRenderedPageBreak/>
              <w:t xml:space="preserve">throughout Georgia targeting the most at-risk people affected by the COVID-19.  The initiative aimed to contribute to improving the quality of life of the elderly and vulnerable people.  </w:t>
            </w:r>
          </w:p>
        </w:tc>
        <w:tc>
          <w:tcPr>
            <w:tcW w:w="696" w:type="pct"/>
          </w:tcPr>
          <w:p w14:paraId="07A984A9"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lastRenderedPageBreak/>
              <w:t>Georgia Red Cross Society (GRCS)</w:t>
            </w:r>
          </w:p>
        </w:tc>
        <w:tc>
          <w:tcPr>
            <w:tcW w:w="499" w:type="pct"/>
          </w:tcPr>
          <w:p w14:paraId="0D52F39B"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May – October 2020</w:t>
            </w:r>
          </w:p>
        </w:tc>
        <w:tc>
          <w:tcPr>
            <w:tcW w:w="1253" w:type="pct"/>
          </w:tcPr>
          <w:p w14:paraId="42583B3A"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Following results were achieved: 1/ Professional and community-based home care services are provided by </w:t>
            </w:r>
            <w:r w:rsidRPr="00451944">
              <w:rPr>
                <w:rFonts w:ascii="Arial" w:hAnsi="Arial" w:cs="Arial"/>
                <w:sz w:val="20"/>
                <w:szCs w:val="20"/>
                <w:lang w:val="en-US"/>
              </w:rPr>
              <w:lastRenderedPageBreak/>
              <w:t>GRCS in targeted locations: Tbilisi and 29 municipalities. 2/ Program for online learning platform for home care staff, volunteers and informal caregivers is developed and launched; 3/ Capacity of Georgia Red Cross home care caregivers, volunteers, and informal caregivers in the provision of both professional and community -based home care strengthened. As a result of the project implementation, GRCS delivered, information and counselling to more than 5,000 elderly and vulnerable persons (5716) in 30 regional locations through a network of more than 600 caregivers and volunteers. GRCS facilitated the process of establishing 150 Self-Support Groups (SSG) with over 30 SSG members each involved in HC. Moreover 22 600 leaflets and 1200 booklets on COVID-19 were developed, published, and distributed to the 30 municipalities.</w:t>
            </w:r>
          </w:p>
          <w:p w14:paraId="4DE50992" w14:textId="77777777" w:rsidR="00812932" w:rsidRPr="00451944" w:rsidRDefault="00812932"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 </w:t>
            </w:r>
          </w:p>
        </w:tc>
      </w:tr>
      <w:tr w:rsidR="00812932" w:rsidRPr="00451944" w14:paraId="1AC123B5" w14:textId="77777777" w:rsidTr="00FB3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 w:type="pct"/>
          </w:tcPr>
          <w:p w14:paraId="14713CF8" w14:textId="77777777" w:rsidR="00812932" w:rsidRPr="001A58F1" w:rsidRDefault="00812932" w:rsidP="00812932">
            <w:pPr>
              <w:autoSpaceDE w:val="0"/>
              <w:autoSpaceDN w:val="0"/>
              <w:adjustRightInd w:val="0"/>
              <w:jc w:val="both"/>
              <w:rPr>
                <w:rFonts w:ascii="Arial" w:eastAsia="Open Sans" w:hAnsi="Arial" w:cs="Arial"/>
                <w:b w:val="0"/>
                <w:sz w:val="20"/>
                <w:szCs w:val="20"/>
                <w:lang w:val="en-US"/>
              </w:rPr>
            </w:pPr>
            <w:r w:rsidRPr="001A58F1">
              <w:rPr>
                <w:rFonts w:ascii="Arial" w:eastAsia="Open Sans" w:hAnsi="Arial" w:cs="Arial"/>
                <w:b w:val="0"/>
                <w:sz w:val="20"/>
                <w:szCs w:val="20"/>
                <w:lang w:val="en-US"/>
              </w:rPr>
              <w:lastRenderedPageBreak/>
              <w:t>24</w:t>
            </w:r>
          </w:p>
        </w:tc>
        <w:tc>
          <w:tcPr>
            <w:tcW w:w="1307" w:type="pct"/>
          </w:tcPr>
          <w:p w14:paraId="573C9F87" w14:textId="77777777" w:rsidR="00812932" w:rsidRPr="00451944" w:rsidRDefault="00812932" w:rsidP="00FB3F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eastAsia="Open Sans" w:hAnsi="Arial" w:cs="Arial"/>
                <w:sz w:val="20"/>
                <w:szCs w:val="20"/>
                <w:lang w:val="en-US"/>
              </w:rPr>
              <w:t xml:space="preserve">Development and Deployment of National Risk Communication Strategy for Public Health Emergencies in Georgia – UNAG </w:t>
            </w:r>
            <w:r w:rsidRPr="00451944">
              <w:rPr>
                <w:rFonts w:ascii="Arial" w:hAnsi="Arial" w:cs="Arial"/>
                <w:sz w:val="20"/>
                <w:szCs w:val="20"/>
                <w:lang w:val="en-US"/>
              </w:rPr>
              <w:t xml:space="preserve">(C-19 Response Grant) </w:t>
            </w:r>
          </w:p>
        </w:tc>
        <w:tc>
          <w:tcPr>
            <w:tcW w:w="1028" w:type="pct"/>
          </w:tcPr>
          <w:p w14:paraId="4BC0E90A"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The project supported the Government of Georgia and particularly the National Center for Disease Control and Public Health (NCDC) of Georgia in developing the National Risk Communication Strategy for the NCDC based on the guidelines of the World Health Organization and best international practices to serve as a guidance for public health emergencies.</w:t>
            </w:r>
          </w:p>
        </w:tc>
        <w:tc>
          <w:tcPr>
            <w:tcW w:w="696" w:type="pct"/>
          </w:tcPr>
          <w:p w14:paraId="42B90D28"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UN Association of Georgia (UNAG)</w:t>
            </w:r>
          </w:p>
        </w:tc>
        <w:tc>
          <w:tcPr>
            <w:tcW w:w="499" w:type="pct"/>
          </w:tcPr>
          <w:p w14:paraId="503AA048"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May – December 2020</w:t>
            </w:r>
          </w:p>
        </w:tc>
        <w:tc>
          <w:tcPr>
            <w:tcW w:w="1253" w:type="pct"/>
          </w:tcPr>
          <w:p w14:paraId="7423C172" w14:textId="77777777" w:rsidR="00812932" w:rsidRPr="00451944" w:rsidRDefault="00812932"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51944">
              <w:rPr>
                <w:rFonts w:ascii="Arial" w:hAnsi="Arial" w:cs="Arial"/>
                <w:sz w:val="20"/>
                <w:szCs w:val="20"/>
                <w:lang w:val="en-US"/>
              </w:rPr>
              <w:t xml:space="preserve">As part of the Risk Communication Strategy deployment activities, UNAG, jointly with NCDC, facilitated a series of online trainings on key guidelines of the Strategy for up to 200 local government and public health </w:t>
            </w:r>
            <w:proofErr w:type="spellStart"/>
            <w:r w:rsidRPr="00451944">
              <w:rPr>
                <w:rFonts w:ascii="Arial" w:hAnsi="Arial" w:cs="Arial"/>
                <w:sz w:val="20"/>
                <w:szCs w:val="20"/>
                <w:lang w:val="en-US"/>
              </w:rPr>
              <w:t>centre</w:t>
            </w:r>
            <w:proofErr w:type="spellEnd"/>
            <w:r w:rsidRPr="00451944">
              <w:rPr>
                <w:rFonts w:ascii="Arial" w:hAnsi="Arial" w:cs="Arial"/>
                <w:sz w:val="20"/>
                <w:szCs w:val="20"/>
                <w:lang w:val="en-US"/>
              </w:rPr>
              <w:t xml:space="preserve"> representatives across 52 municipalities and 9 regions, including Tbilisi. In addition, UNAG developed multiple videos with healthcare workers’ participation to promote the key guiding principles of the Strategy among the broader public to be disseminated via NCDC channels.</w:t>
            </w:r>
          </w:p>
        </w:tc>
      </w:tr>
    </w:tbl>
    <w:p w14:paraId="7BC1392B" w14:textId="77777777" w:rsidR="001A58F1" w:rsidRDefault="001A58F1">
      <w:pPr>
        <w:rPr>
          <w:rFonts w:ascii="Lora" w:hAnsi="Lora"/>
          <w:lang w:val="en-GB"/>
        </w:rPr>
      </w:pPr>
    </w:p>
    <w:p w14:paraId="35A81919" w14:textId="7A17BD2C" w:rsidR="008F1587" w:rsidRPr="001A58F1" w:rsidRDefault="001A58F1" w:rsidP="001A58F1">
      <w:pPr>
        <w:jc w:val="center"/>
        <w:rPr>
          <w:rFonts w:ascii="Lora" w:hAnsi="Lora"/>
          <w:b/>
          <w:lang w:val="en-GB"/>
        </w:rPr>
      </w:pPr>
      <w:r w:rsidRPr="001A58F1">
        <w:rPr>
          <w:rFonts w:ascii="Lora" w:hAnsi="Lora"/>
          <w:b/>
          <w:lang w:val="en-GB"/>
        </w:rPr>
        <w:t>Other Major Research, Guides, Publications and Videos</w:t>
      </w:r>
    </w:p>
    <w:p w14:paraId="3EBB0DF3" w14:textId="77777777" w:rsidR="001A58F1" w:rsidRDefault="001A58F1">
      <w:pPr>
        <w:rPr>
          <w:rFonts w:ascii="Lora" w:eastAsiaTheme="majorEastAsia" w:hAnsi="Lora" w:cstheme="majorBidi"/>
          <w:b/>
          <w:bCs/>
          <w:color w:val="345A8A" w:themeColor="accent1" w:themeShade="B5"/>
          <w:sz w:val="32"/>
          <w:szCs w:val="32"/>
          <w:lang w:val="en-GB"/>
        </w:rPr>
      </w:pPr>
    </w:p>
    <w:tbl>
      <w:tblPr>
        <w:tblStyle w:val="GridTable4-Accent11"/>
        <w:tblW w:w="5055" w:type="pct"/>
        <w:tblLayout w:type="fixed"/>
        <w:tblCellMar>
          <w:left w:w="115" w:type="dxa"/>
          <w:right w:w="115" w:type="dxa"/>
        </w:tblCellMar>
        <w:tblLook w:val="04A0" w:firstRow="1" w:lastRow="0" w:firstColumn="1" w:lastColumn="0" w:noHBand="0" w:noVBand="1"/>
      </w:tblPr>
      <w:tblGrid>
        <w:gridCol w:w="474"/>
        <w:gridCol w:w="1957"/>
        <w:gridCol w:w="5586"/>
        <w:gridCol w:w="1007"/>
        <w:gridCol w:w="1305"/>
        <w:gridCol w:w="4745"/>
      </w:tblGrid>
      <w:tr w:rsidR="008F1587" w:rsidRPr="008F1587" w14:paraId="152C8C12" w14:textId="77777777" w:rsidTr="008F1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 w:type="pct"/>
          </w:tcPr>
          <w:p w14:paraId="0CD7A23C" w14:textId="77777777" w:rsidR="008F1587" w:rsidRPr="008F1587" w:rsidRDefault="008F1587" w:rsidP="008F1587">
            <w:pPr>
              <w:jc w:val="both"/>
              <w:rPr>
                <w:rFonts w:ascii="Arial" w:hAnsi="Arial" w:cs="Arial"/>
                <w:sz w:val="20"/>
                <w:szCs w:val="20"/>
                <w:lang w:val="en-US"/>
              </w:rPr>
            </w:pPr>
          </w:p>
        </w:tc>
        <w:tc>
          <w:tcPr>
            <w:tcW w:w="649" w:type="pct"/>
            <w:vAlign w:val="center"/>
          </w:tcPr>
          <w:p w14:paraId="47779C95" w14:textId="77777777" w:rsidR="008F1587" w:rsidRPr="008F1587" w:rsidRDefault="008F1587" w:rsidP="008F158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Subject</w:t>
            </w:r>
          </w:p>
        </w:tc>
        <w:tc>
          <w:tcPr>
            <w:tcW w:w="1853" w:type="pct"/>
            <w:vAlign w:val="center"/>
          </w:tcPr>
          <w:p w14:paraId="52BED03A" w14:textId="77777777" w:rsidR="008F1587" w:rsidRPr="008F1587" w:rsidRDefault="008F1587" w:rsidP="008F158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Brief description</w:t>
            </w:r>
          </w:p>
        </w:tc>
        <w:tc>
          <w:tcPr>
            <w:tcW w:w="334" w:type="pct"/>
            <w:vAlign w:val="center"/>
          </w:tcPr>
          <w:p w14:paraId="7D472193" w14:textId="77777777" w:rsidR="008F1587" w:rsidRPr="008F1587" w:rsidRDefault="008F1587" w:rsidP="008F158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Partner</w:t>
            </w:r>
          </w:p>
        </w:tc>
        <w:tc>
          <w:tcPr>
            <w:tcW w:w="433" w:type="pct"/>
            <w:vAlign w:val="center"/>
          </w:tcPr>
          <w:p w14:paraId="2CE002CF" w14:textId="77777777" w:rsidR="008F1587" w:rsidRPr="008F1587" w:rsidRDefault="008F1587" w:rsidP="008F158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Start/End Dates</w:t>
            </w:r>
          </w:p>
        </w:tc>
        <w:tc>
          <w:tcPr>
            <w:tcW w:w="1572" w:type="pct"/>
            <w:vAlign w:val="center"/>
          </w:tcPr>
          <w:p w14:paraId="28D88329" w14:textId="77777777" w:rsidR="008F1587" w:rsidRPr="008F1587" w:rsidRDefault="008F1587" w:rsidP="008F1587">
            <w:pPr>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Result and/or Next Step</w:t>
            </w:r>
          </w:p>
        </w:tc>
      </w:tr>
      <w:tr w:rsidR="008F1587" w:rsidRPr="008F1587" w14:paraId="322A8D97"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69064FA6" w14:textId="2912E956" w:rsidR="008F1587" w:rsidRPr="008F1587" w:rsidRDefault="008F1587" w:rsidP="008F1587">
            <w:pPr>
              <w:ind w:left="-108"/>
              <w:jc w:val="center"/>
              <w:rPr>
                <w:rFonts w:ascii="Arial" w:hAnsi="Arial" w:cs="Arial"/>
                <w:color w:val="000000" w:themeColor="text1"/>
                <w:sz w:val="20"/>
                <w:szCs w:val="20"/>
                <w:lang w:val="en-US"/>
              </w:rPr>
            </w:pPr>
            <w:r>
              <w:rPr>
                <w:rFonts w:ascii="Arial" w:hAnsi="Arial" w:cs="Arial"/>
                <w:color w:val="000000" w:themeColor="text1"/>
                <w:sz w:val="20"/>
                <w:szCs w:val="20"/>
                <w:lang w:val="en-US"/>
              </w:rPr>
              <w:t xml:space="preserve">Other </w:t>
            </w:r>
            <w:r w:rsidR="001A58F1">
              <w:rPr>
                <w:rFonts w:ascii="Arial" w:hAnsi="Arial" w:cs="Arial"/>
                <w:color w:val="000000" w:themeColor="text1"/>
                <w:sz w:val="20"/>
                <w:szCs w:val="20"/>
                <w:lang w:val="en-US"/>
              </w:rPr>
              <w:t xml:space="preserve">Major </w:t>
            </w:r>
            <w:r>
              <w:rPr>
                <w:rFonts w:ascii="Arial" w:hAnsi="Arial" w:cs="Arial"/>
                <w:color w:val="000000" w:themeColor="text1"/>
                <w:sz w:val="20"/>
                <w:szCs w:val="20"/>
                <w:lang w:val="en-US"/>
              </w:rPr>
              <w:t>Research</w:t>
            </w:r>
          </w:p>
        </w:tc>
      </w:tr>
      <w:tr w:rsidR="008F1587" w:rsidRPr="008F1587" w14:paraId="755AEC84"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25869E1E"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w:t>
            </w:r>
          </w:p>
        </w:tc>
        <w:tc>
          <w:tcPr>
            <w:tcW w:w="649" w:type="pct"/>
          </w:tcPr>
          <w:p w14:paraId="386CAA9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Public attitudes towards Public Administration Reform (Baseline Study)</w:t>
            </w:r>
          </w:p>
          <w:p w14:paraId="3BD8ED1F"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0C0D93AF"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7FE756BE"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853" w:type="pct"/>
          </w:tcPr>
          <w:p w14:paraId="68F7C3BD"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project has contracted a local polling and research company for conducting the baseline survey, serving as a quantitative basis for updating the project Results Framework and for revising the project interventions. The Baseline Survey solicited relevant information from civil servants as well as the general public in the PAR context. </w:t>
            </w:r>
          </w:p>
        </w:tc>
        <w:tc>
          <w:tcPr>
            <w:tcW w:w="334" w:type="pct"/>
          </w:tcPr>
          <w:p w14:paraId="041D084C"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ACT, </w:t>
            </w:r>
            <w:proofErr w:type="spellStart"/>
            <w:r w:rsidRPr="008F1587">
              <w:rPr>
                <w:rFonts w:ascii="Arial" w:hAnsi="Arial" w:cs="Arial"/>
                <w:sz w:val="20"/>
                <w:szCs w:val="20"/>
                <w:lang w:val="en-US"/>
              </w:rPr>
              <w:t>AoG</w:t>
            </w:r>
            <w:proofErr w:type="spellEnd"/>
          </w:p>
        </w:tc>
        <w:tc>
          <w:tcPr>
            <w:tcW w:w="433" w:type="pct"/>
          </w:tcPr>
          <w:p w14:paraId="68D40EE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2016-2017 </w:t>
            </w:r>
          </w:p>
        </w:tc>
        <w:tc>
          <w:tcPr>
            <w:tcW w:w="1572" w:type="pct"/>
          </w:tcPr>
          <w:p w14:paraId="2A4C4561"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findings of the study provided a good understanding of the context. The findings were integrated into the results framework of the project for monitoring and evaluation purposes. </w:t>
            </w:r>
          </w:p>
          <w:p w14:paraId="4B0E5A14"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00A281D1"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8F1587" w:rsidRPr="008F1587" w14:paraId="3172E800" w14:textId="77777777" w:rsidTr="008F1587">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57" w:type="pct"/>
          </w:tcPr>
          <w:p w14:paraId="3C3069A2"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2</w:t>
            </w:r>
          </w:p>
        </w:tc>
        <w:tc>
          <w:tcPr>
            <w:tcW w:w="649" w:type="pct"/>
          </w:tcPr>
          <w:p w14:paraId="28513D9A"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Case Study Report on Public Service Delivery Monitoring and New Service Development Processes in Service Delivery Agencies in Georgia</w:t>
            </w:r>
          </w:p>
          <w:p w14:paraId="4FB4F6F0"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6C7245A7"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853" w:type="pct"/>
          </w:tcPr>
          <w:p w14:paraId="76E70A2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Case Study conducted by a local expert focused on public service quality monitoring practices and on the business processes related to creating new services as practiced in the Georgian public service.</w:t>
            </w:r>
          </w:p>
        </w:tc>
        <w:tc>
          <w:tcPr>
            <w:tcW w:w="334" w:type="pct"/>
          </w:tcPr>
          <w:p w14:paraId="187D8F5A"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PSDA</w:t>
            </w:r>
          </w:p>
        </w:tc>
        <w:tc>
          <w:tcPr>
            <w:tcW w:w="433" w:type="pct"/>
          </w:tcPr>
          <w:p w14:paraId="23F13C0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2017 </w:t>
            </w:r>
          </w:p>
        </w:tc>
        <w:tc>
          <w:tcPr>
            <w:tcW w:w="1572" w:type="pct"/>
          </w:tcPr>
          <w:p w14:paraId="789975B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case study was used while developing the policy on Public Service Design and Delivery Policy Document (PSDD)</w:t>
            </w:r>
          </w:p>
          <w:p w14:paraId="3245FA1F"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1994EDA"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8F1587" w:rsidRPr="008F1587" w14:paraId="090EA7B7" w14:textId="77777777" w:rsidTr="008F1587">
        <w:trPr>
          <w:trHeight w:val="530"/>
        </w:trPr>
        <w:tc>
          <w:tcPr>
            <w:cnfStyle w:val="001000000000" w:firstRow="0" w:lastRow="0" w:firstColumn="1" w:lastColumn="0" w:oddVBand="0" w:evenVBand="0" w:oddHBand="0" w:evenHBand="0" w:firstRowFirstColumn="0" w:firstRowLastColumn="0" w:lastRowFirstColumn="0" w:lastRowLastColumn="0"/>
            <w:tcW w:w="157" w:type="pct"/>
          </w:tcPr>
          <w:p w14:paraId="203B0392"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3</w:t>
            </w:r>
          </w:p>
        </w:tc>
        <w:tc>
          <w:tcPr>
            <w:tcW w:w="649" w:type="pct"/>
          </w:tcPr>
          <w:p w14:paraId="1304BB0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Public Service Delivery Baseline Assessment</w:t>
            </w:r>
          </w:p>
        </w:tc>
        <w:tc>
          <w:tcPr>
            <w:tcW w:w="1853" w:type="pct"/>
          </w:tcPr>
          <w:p w14:paraId="3787BDDB"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international and local experts hired by the project have developed the Georgian Public Service Delivery Baseline Assessment Report. The report provides an in-depth overview of the public service delivery practices in Georgia and by studying the design, delivery, pricing and quality assurance dimensions, highlights the best practices and the existing gaps. </w:t>
            </w:r>
            <w:r w:rsidRPr="008F1587">
              <w:rPr>
                <w:rFonts w:ascii="Arial" w:hAnsi="Arial" w:cs="Arial"/>
                <w:sz w:val="20"/>
                <w:szCs w:val="20"/>
                <w:lang w:val="en-US"/>
              </w:rPr>
              <w:cr/>
              <w:t xml:space="preserve"> </w:t>
            </w:r>
          </w:p>
        </w:tc>
        <w:tc>
          <w:tcPr>
            <w:tcW w:w="334" w:type="pct"/>
          </w:tcPr>
          <w:p w14:paraId="6D8B4AE1"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PSDA</w:t>
            </w:r>
          </w:p>
        </w:tc>
        <w:tc>
          <w:tcPr>
            <w:tcW w:w="433" w:type="pct"/>
          </w:tcPr>
          <w:p w14:paraId="13C48F2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2018</w:t>
            </w:r>
          </w:p>
        </w:tc>
        <w:tc>
          <w:tcPr>
            <w:tcW w:w="1572" w:type="pct"/>
          </w:tcPr>
          <w:p w14:paraId="76B496EB"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Public Service Delivery Baseline Assessment served as a basis for developing Public Service Design and Delivery Policy Document (PSDD).  This was the first document of its kind developed in Georgia. Its comprehensive character set the stage for the government to holistically approach the public service delivery within the context of PAR. </w:t>
            </w:r>
          </w:p>
        </w:tc>
      </w:tr>
      <w:tr w:rsidR="008F1587" w:rsidRPr="008F1587" w14:paraId="78381E7D"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1244D227"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4</w:t>
            </w:r>
          </w:p>
        </w:tc>
        <w:tc>
          <w:tcPr>
            <w:tcW w:w="649" w:type="pct"/>
          </w:tcPr>
          <w:p w14:paraId="753EDE42"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Policy Planning Needs Assessment Report</w:t>
            </w:r>
          </w:p>
        </w:tc>
        <w:tc>
          <w:tcPr>
            <w:tcW w:w="1853" w:type="pct"/>
          </w:tcPr>
          <w:p w14:paraId="07E17DBF"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assessment was produced as part of the sub-project ‘Training and Consultation Support (TCS)’ aiming to increase capacity of ministries' policy units in public policy analysis and thus improve the policy making process in the country, strengthen the link between policy planning and budgeting, enhance the nexus between policy planning and implementation and build strong mechanisms for monitoring, </w:t>
            </w:r>
            <w:r w:rsidRPr="008F1587">
              <w:rPr>
                <w:rFonts w:ascii="Arial" w:hAnsi="Arial" w:cs="Arial"/>
                <w:sz w:val="20"/>
                <w:szCs w:val="20"/>
                <w:lang w:val="en-US"/>
              </w:rPr>
              <w:lastRenderedPageBreak/>
              <w:t xml:space="preserve">evaluating and accountability. </w:t>
            </w:r>
          </w:p>
          <w:p w14:paraId="70A1ADE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needs assessment report comprised of two elements - Staff Capacity Assessment (through Self-Assessment and Independent External Assessment) and Policy Planning Assessment of all the line ministries in Georgia. </w:t>
            </w:r>
          </w:p>
        </w:tc>
        <w:tc>
          <w:tcPr>
            <w:tcW w:w="334" w:type="pct"/>
          </w:tcPr>
          <w:p w14:paraId="059A3704"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8F1587">
              <w:rPr>
                <w:rFonts w:ascii="Arial" w:hAnsi="Arial" w:cs="Arial"/>
                <w:sz w:val="20"/>
                <w:szCs w:val="20"/>
                <w:lang w:val="en-US"/>
              </w:rPr>
              <w:lastRenderedPageBreak/>
              <w:t>AoG</w:t>
            </w:r>
            <w:proofErr w:type="spellEnd"/>
            <w:r w:rsidRPr="008F1587">
              <w:rPr>
                <w:rFonts w:ascii="Arial" w:hAnsi="Arial" w:cs="Arial"/>
                <w:sz w:val="20"/>
                <w:szCs w:val="20"/>
                <w:lang w:val="en-US"/>
              </w:rPr>
              <w:t>, GEC</w:t>
            </w:r>
          </w:p>
        </w:tc>
        <w:tc>
          <w:tcPr>
            <w:tcW w:w="433" w:type="pct"/>
          </w:tcPr>
          <w:p w14:paraId="083D46B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2018</w:t>
            </w:r>
          </w:p>
        </w:tc>
        <w:tc>
          <w:tcPr>
            <w:tcW w:w="1572" w:type="pct"/>
          </w:tcPr>
          <w:p w14:paraId="31CF4934"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report served as a basis for developing the training and consultancy support package to the line ministries including the training </w:t>
            </w:r>
            <w:proofErr w:type="spellStart"/>
            <w:r w:rsidRPr="008F1587">
              <w:rPr>
                <w:rFonts w:ascii="Arial" w:hAnsi="Arial" w:cs="Arial"/>
                <w:sz w:val="20"/>
                <w:szCs w:val="20"/>
                <w:lang w:val="en-US"/>
              </w:rPr>
              <w:t>programme</w:t>
            </w:r>
            <w:proofErr w:type="spellEnd"/>
            <w:r w:rsidRPr="008F1587">
              <w:rPr>
                <w:rFonts w:ascii="Arial" w:hAnsi="Arial" w:cs="Arial"/>
                <w:sz w:val="20"/>
                <w:szCs w:val="20"/>
                <w:lang w:val="en-US"/>
              </w:rPr>
              <w:t xml:space="preserve"> for Public Policy Analysis for civil servants supported by PAR project through 2018-2020. </w:t>
            </w:r>
          </w:p>
        </w:tc>
      </w:tr>
      <w:tr w:rsidR="008F1587" w:rsidRPr="008F1587" w14:paraId="4D27255B"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1BF69002"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5</w:t>
            </w:r>
          </w:p>
        </w:tc>
        <w:tc>
          <w:tcPr>
            <w:tcW w:w="649" w:type="pct"/>
          </w:tcPr>
          <w:p w14:paraId="5CFF5419"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Public attitudes towards Public Administration Reform (Midterm Study)</w:t>
            </w:r>
          </w:p>
        </w:tc>
        <w:tc>
          <w:tcPr>
            <w:tcW w:w="1853" w:type="pct"/>
          </w:tcPr>
          <w:p w14:paraId="4A4A25D6"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project solicited a country-wide study, which was administered by a research com</w:t>
            </w:r>
            <w:r w:rsidRPr="008F1587">
              <w:rPr>
                <w:rFonts w:ascii="Arial" w:hAnsi="Arial" w:cs="Arial"/>
                <w:sz w:val="20"/>
                <w:szCs w:val="20"/>
                <w:lang w:val="en-US"/>
              </w:rPr>
              <w:softHyphen/>
              <w:t>pany ACT. During the research the midterm progress of public administration reform was assessed in the areas of policy development and cooperation, civil service and human resource management and service delivery. The company polled citizens and civil ser</w:t>
            </w:r>
            <w:r w:rsidRPr="008F1587">
              <w:rPr>
                <w:rFonts w:ascii="Arial" w:hAnsi="Arial" w:cs="Arial"/>
                <w:sz w:val="20"/>
                <w:szCs w:val="20"/>
                <w:lang w:val="en-US"/>
              </w:rPr>
              <w:softHyphen/>
              <w:t>vants, undertook literature and policy re</w:t>
            </w:r>
            <w:r w:rsidRPr="008F1587">
              <w:rPr>
                <w:rFonts w:ascii="Arial" w:hAnsi="Arial" w:cs="Arial"/>
                <w:sz w:val="20"/>
                <w:szCs w:val="20"/>
                <w:lang w:val="en-US"/>
              </w:rPr>
              <w:softHyphen/>
              <w:t>search to collect comprehensive data, com</w:t>
            </w:r>
            <w:r w:rsidRPr="008F1587">
              <w:rPr>
                <w:rFonts w:ascii="Arial" w:hAnsi="Arial" w:cs="Arial"/>
                <w:sz w:val="20"/>
                <w:szCs w:val="20"/>
                <w:lang w:val="en-US"/>
              </w:rPr>
              <w:softHyphen/>
              <w:t xml:space="preserve">parable with the baseline study conducted by the same company in 2016. </w:t>
            </w:r>
          </w:p>
        </w:tc>
        <w:tc>
          <w:tcPr>
            <w:tcW w:w="334" w:type="pct"/>
          </w:tcPr>
          <w:p w14:paraId="199A6C0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ACT, </w:t>
            </w:r>
            <w:proofErr w:type="spellStart"/>
            <w:r w:rsidRPr="008F1587">
              <w:rPr>
                <w:rFonts w:ascii="Arial" w:hAnsi="Arial" w:cs="Arial"/>
                <w:sz w:val="20"/>
                <w:szCs w:val="20"/>
                <w:lang w:val="en-US"/>
              </w:rPr>
              <w:t>AoG</w:t>
            </w:r>
            <w:proofErr w:type="spellEnd"/>
          </w:p>
        </w:tc>
        <w:tc>
          <w:tcPr>
            <w:tcW w:w="433" w:type="pct"/>
          </w:tcPr>
          <w:p w14:paraId="542EB729"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2019</w:t>
            </w:r>
          </w:p>
        </w:tc>
        <w:tc>
          <w:tcPr>
            <w:tcW w:w="1572" w:type="pct"/>
          </w:tcPr>
          <w:p w14:paraId="1F35745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study results provided a snapshot of the developments and attitudes of both public and civil servants through generating some comparable data against baseline study and informed project activities as well as contributed to revision of project’s Results Framework. </w:t>
            </w:r>
          </w:p>
          <w:p w14:paraId="60BCFC4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8F1587" w:rsidRPr="008F1587" w14:paraId="6055BEC7" w14:textId="77777777" w:rsidTr="008F1587">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57" w:type="pct"/>
          </w:tcPr>
          <w:p w14:paraId="71D0EDAC"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6</w:t>
            </w:r>
          </w:p>
        </w:tc>
        <w:tc>
          <w:tcPr>
            <w:tcW w:w="649" w:type="pct"/>
          </w:tcPr>
          <w:p w14:paraId="773AC29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A concept paper on the introduction of coaching and/or mentoring methods in the Georgian civil service </w:t>
            </w:r>
          </w:p>
        </w:tc>
        <w:tc>
          <w:tcPr>
            <w:tcW w:w="1853" w:type="pct"/>
          </w:tcPr>
          <w:p w14:paraId="2448E6D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A concept paper on the introduction of coaching and/or mentoring methods in the Georgian civil service has been elaborated, based on the findings of the pilot research. Two ministries – Ministry of Economy and Sustainable Development of Georgia and Ministry of Regional Development and Infrastructure of Georgia were selected for piloting Coaching and Mentoring practices. A study was completed, concerning the various motivational schemes necessary to improve the working environment in the Civil Service. It was complemented by research on existing practices towards planning the workforce.</w:t>
            </w:r>
          </w:p>
        </w:tc>
        <w:tc>
          <w:tcPr>
            <w:tcW w:w="334" w:type="pct"/>
          </w:tcPr>
          <w:p w14:paraId="1BCD806F"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CSB, </w:t>
            </w:r>
            <w:proofErr w:type="spellStart"/>
            <w:r w:rsidRPr="008F1587">
              <w:rPr>
                <w:rFonts w:ascii="Arial" w:hAnsi="Arial" w:cs="Arial"/>
                <w:sz w:val="20"/>
                <w:szCs w:val="20"/>
                <w:lang w:val="en-US"/>
              </w:rPr>
              <w:t>MoESD</w:t>
            </w:r>
            <w:proofErr w:type="spellEnd"/>
            <w:r w:rsidRPr="008F1587">
              <w:rPr>
                <w:rFonts w:ascii="Arial" w:hAnsi="Arial" w:cs="Arial"/>
                <w:sz w:val="20"/>
                <w:szCs w:val="20"/>
                <w:lang w:val="en-US"/>
              </w:rPr>
              <w:t>, MRDI</w:t>
            </w:r>
          </w:p>
        </w:tc>
        <w:tc>
          <w:tcPr>
            <w:tcW w:w="433" w:type="pct"/>
          </w:tcPr>
          <w:p w14:paraId="35C4D520"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2020 </w:t>
            </w:r>
          </w:p>
          <w:p w14:paraId="5B310C4F"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572" w:type="pct"/>
          </w:tcPr>
          <w:p w14:paraId="03B20AD2"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Based on the research on Mentoring and Coaching in Civil Service the concept paper on introduction of the coaching and/or mentoring methods was developed, resulting in creating initial mentoring </w:t>
            </w:r>
            <w:proofErr w:type="spellStart"/>
            <w:r w:rsidRPr="008F1587">
              <w:rPr>
                <w:rFonts w:ascii="Arial" w:hAnsi="Arial" w:cs="Arial"/>
                <w:sz w:val="20"/>
                <w:szCs w:val="20"/>
                <w:lang w:val="en-US"/>
              </w:rPr>
              <w:t>programmes</w:t>
            </w:r>
            <w:proofErr w:type="spellEnd"/>
            <w:r w:rsidRPr="008F1587">
              <w:rPr>
                <w:rFonts w:ascii="Arial" w:hAnsi="Arial" w:cs="Arial"/>
                <w:sz w:val="20"/>
                <w:szCs w:val="20"/>
                <w:lang w:val="en-US"/>
              </w:rPr>
              <w:t xml:space="preserve"> for newcomers in two pilot ministries.</w:t>
            </w:r>
          </w:p>
        </w:tc>
      </w:tr>
      <w:tr w:rsidR="008F1587" w:rsidRPr="008F1587" w14:paraId="4B80DBC1" w14:textId="77777777" w:rsidTr="008F1587">
        <w:trPr>
          <w:trHeight w:val="1178"/>
        </w:trPr>
        <w:tc>
          <w:tcPr>
            <w:cnfStyle w:val="001000000000" w:firstRow="0" w:lastRow="0" w:firstColumn="1" w:lastColumn="0" w:oddVBand="0" w:evenVBand="0" w:oddHBand="0" w:evenHBand="0" w:firstRowFirstColumn="0" w:firstRowLastColumn="0" w:lastRowFirstColumn="0" w:lastRowLastColumn="0"/>
            <w:tcW w:w="157" w:type="pct"/>
          </w:tcPr>
          <w:p w14:paraId="5484C3BD"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7</w:t>
            </w:r>
          </w:p>
        </w:tc>
        <w:tc>
          <w:tcPr>
            <w:tcW w:w="649" w:type="pct"/>
          </w:tcPr>
          <w:p w14:paraId="045615A3"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Comparative Study on Mediation and Dispute Management in Public Service</w:t>
            </w:r>
          </w:p>
        </w:tc>
        <w:tc>
          <w:tcPr>
            <w:tcW w:w="1853" w:type="pct"/>
          </w:tcPr>
          <w:p w14:paraId="7588B7DF"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International Expert on Mediation and Dispute Management in Public Service has been hired to elaborate the comparative study, providing recommendations for concrete mechanisms relevant for Georgian civil service.</w:t>
            </w:r>
          </w:p>
        </w:tc>
        <w:tc>
          <w:tcPr>
            <w:tcW w:w="334" w:type="pct"/>
          </w:tcPr>
          <w:p w14:paraId="1902E5EB"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1F3B1E3F"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March 2020</w:t>
            </w:r>
          </w:p>
        </w:tc>
        <w:tc>
          <w:tcPr>
            <w:tcW w:w="1572" w:type="pct"/>
          </w:tcPr>
          <w:p w14:paraId="3A04215E" w14:textId="77777777" w:rsidR="008F1587" w:rsidRPr="008F1587" w:rsidRDefault="008F1587" w:rsidP="00FB3FDC">
            <w:pPr>
              <w:ind w:left="156" w:hanging="156"/>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recommendations suggested by the study are expected to be used by CSB during planning of the next steps in regards with ADR introduction in civil service.  </w:t>
            </w:r>
          </w:p>
        </w:tc>
      </w:tr>
      <w:tr w:rsidR="008F1587" w:rsidRPr="008F1587" w14:paraId="7B8545AA"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297B5554" w14:textId="77777777" w:rsidR="008F1587" w:rsidRPr="008F1587" w:rsidRDefault="008F1587" w:rsidP="008F1587">
            <w:pPr>
              <w:jc w:val="center"/>
              <w:rPr>
                <w:rFonts w:ascii="Arial" w:hAnsi="Arial" w:cs="Arial"/>
                <w:sz w:val="20"/>
                <w:szCs w:val="20"/>
                <w:lang w:val="en-US"/>
              </w:rPr>
            </w:pPr>
            <w:r w:rsidRPr="008F1587">
              <w:rPr>
                <w:rFonts w:ascii="Arial" w:hAnsi="Arial" w:cs="Arial"/>
                <w:sz w:val="20"/>
                <w:szCs w:val="20"/>
                <w:lang w:val="en-US"/>
              </w:rPr>
              <w:t>Guides/Publications/Videos</w:t>
            </w:r>
          </w:p>
        </w:tc>
      </w:tr>
      <w:tr w:rsidR="008F1587" w:rsidRPr="008F1587" w14:paraId="33BA14C1"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42CE75E8"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w:t>
            </w:r>
          </w:p>
        </w:tc>
        <w:tc>
          <w:tcPr>
            <w:tcW w:w="649" w:type="pct"/>
          </w:tcPr>
          <w:p w14:paraId="058E1589"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Guidelines on the novelties of CSR and Anti-Corruption regulations</w:t>
            </w:r>
          </w:p>
        </w:tc>
        <w:tc>
          <w:tcPr>
            <w:tcW w:w="1853" w:type="pct"/>
          </w:tcPr>
          <w:p w14:paraId="36DCCA7D"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To enhance the culture of integrity among civil servants, the “General Code of Ethics and Conduct for Civil Service” was adopted on 20 April 2017. The amended Law on Conflict of Interests and Corruption in Civil Service and the newly adopted Code of Ethics outlined the basic integrity principles that would enhance the level of accountability among civil servants and strengthen anti-corruption tools in the civil service. Following the amendments, CSB </w:t>
            </w:r>
            <w:proofErr w:type="gramStart"/>
            <w:r w:rsidRPr="008F1587">
              <w:rPr>
                <w:rFonts w:ascii="Arial" w:hAnsi="Arial" w:cs="Arial"/>
                <w:sz w:val="20"/>
                <w:szCs w:val="20"/>
                <w:lang w:val="en-US"/>
              </w:rPr>
              <w:t xml:space="preserve">initiated  </w:t>
            </w:r>
            <w:r w:rsidRPr="008F1587">
              <w:rPr>
                <w:rFonts w:ascii="Arial" w:hAnsi="Arial" w:cs="Arial"/>
                <w:sz w:val="20"/>
                <w:szCs w:val="20"/>
                <w:lang w:val="en-US"/>
              </w:rPr>
              <w:lastRenderedPageBreak/>
              <w:t>elaboration</w:t>
            </w:r>
            <w:proofErr w:type="gramEnd"/>
            <w:r w:rsidRPr="008F1587">
              <w:rPr>
                <w:rFonts w:ascii="Arial" w:hAnsi="Arial" w:cs="Arial"/>
                <w:sz w:val="20"/>
                <w:szCs w:val="20"/>
                <w:lang w:val="en-US"/>
              </w:rPr>
              <w:t xml:space="preserve"> of guidelines on the novelties of CSR and Anti-Corruption regulations. </w:t>
            </w:r>
          </w:p>
        </w:tc>
        <w:tc>
          <w:tcPr>
            <w:tcW w:w="334" w:type="pct"/>
          </w:tcPr>
          <w:p w14:paraId="4F50ED3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lastRenderedPageBreak/>
              <w:t>CSB</w:t>
            </w:r>
          </w:p>
        </w:tc>
        <w:tc>
          <w:tcPr>
            <w:tcW w:w="433" w:type="pct"/>
          </w:tcPr>
          <w:p w14:paraId="6EA8F540"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2017</w:t>
            </w:r>
          </w:p>
        </w:tc>
        <w:tc>
          <w:tcPr>
            <w:tcW w:w="1572" w:type="pct"/>
          </w:tcPr>
          <w:p w14:paraId="62D580C6"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Guidelines to the new LCS coupled with additional capacity-building activities enhanced general knowledge and skills regarding the new Law and by-laws. Furthermore, the Handbook served as an excellent tool for analyzing cases in practice.</w:t>
            </w:r>
          </w:p>
        </w:tc>
      </w:tr>
      <w:tr w:rsidR="008F1587" w:rsidRPr="008F1587" w14:paraId="13BF49EE"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04BB0E61"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2</w:t>
            </w:r>
          </w:p>
        </w:tc>
        <w:tc>
          <w:tcPr>
            <w:tcW w:w="649" w:type="pct"/>
          </w:tcPr>
          <w:p w14:paraId="17233FAF"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Handbook on Ethics and Code of Conduct in Civil Service</w:t>
            </w:r>
          </w:p>
        </w:tc>
        <w:tc>
          <w:tcPr>
            <w:tcW w:w="1853" w:type="pct"/>
          </w:tcPr>
          <w:p w14:paraId="3E4EE900"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In 2015, the first edition of the “Handbook on Ethics and Code of Conduct on Civil Service” was developed by the CSB. The Handbook included the duties and responsibilities of civil servants and public officials, outlines the basic ethical standards for civil service members, and illustrates practical exercises, checklists and case studies based on the legislative and organizational framework of the civil service in Georgia. Following the amendments in to the code CSB initiated elaboration </w:t>
            </w:r>
            <w:proofErr w:type="gramStart"/>
            <w:r w:rsidRPr="008F1587">
              <w:rPr>
                <w:rFonts w:ascii="Arial" w:hAnsi="Arial" w:cs="Arial"/>
                <w:sz w:val="20"/>
                <w:szCs w:val="20"/>
                <w:lang w:val="en-US"/>
              </w:rPr>
              <w:t>of  practical</w:t>
            </w:r>
            <w:proofErr w:type="gramEnd"/>
            <w:r w:rsidRPr="008F1587">
              <w:rPr>
                <w:rFonts w:ascii="Arial" w:hAnsi="Arial" w:cs="Arial"/>
                <w:sz w:val="20"/>
                <w:szCs w:val="20"/>
                <w:lang w:val="en-US"/>
              </w:rPr>
              <w:t xml:space="preserve"> guidelines on a) the new LCS and b) the newly adopted Code of Ethics and c) update the Handbook on Ethics and Code of Conduct in Civil Service in line with new legislation.</w:t>
            </w:r>
          </w:p>
        </w:tc>
        <w:tc>
          <w:tcPr>
            <w:tcW w:w="334" w:type="pct"/>
          </w:tcPr>
          <w:p w14:paraId="744D8953"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5D9A3DA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2017</w:t>
            </w:r>
          </w:p>
        </w:tc>
        <w:tc>
          <w:tcPr>
            <w:tcW w:w="1572" w:type="pct"/>
          </w:tcPr>
          <w:p w14:paraId="013CC787" w14:textId="77777777" w:rsidR="008F1587" w:rsidRPr="008F1587" w:rsidRDefault="008F1587" w:rsidP="00FB3FDC">
            <w:pPr>
              <w:autoSpaceDE w:val="0"/>
              <w:autoSpaceDN w:val="0"/>
              <w:adjustRightInd w:val="0"/>
              <w:spacing w:line="276" w:lineRule="auto"/>
              <w:ind w:left="9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Code of Ethics guidelines supports preserving integrity in public institutions, manage conflict of interest and incompatibility cases, and ensure compliance with ethical standards. Guidelines to the new LCS coupled with additional capacity-building activities further enhanced general knowledge and skills regarding the new Law and by-laws. Furthermore, the Handbook served as an excellent tool for analyzing cases in practice.</w:t>
            </w:r>
          </w:p>
        </w:tc>
      </w:tr>
      <w:tr w:rsidR="008F1587" w:rsidRPr="008F1587" w14:paraId="293C9FE2"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2C83F8AB"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3</w:t>
            </w:r>
          </w:p>
        </w:tc>
        <w:tc>
          <w:tcPr>
            <w:tcW w:w="649" w:type="pct"/>
          </w:tcPr>
          <w:p w14:paraId="5DE788DB"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Policy Planning, Monitoring and Evaluation Handbook </w:t>
            </w:r>
          </w:p>
        </w:tc>
        <w:tc>
          <w:tcPr>
            <w:tcW w:w="1853" w:type="pct"/>
          </w:tcPr>
          <w:p w14:paraId="167A1BC1"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In 2018 the project team facilitated the improvement of the existing policy monitoring framework of the Government. Namely, based on a comprehensive assessment of existing performance tracking, monitoring and evaluation systems performed by local and international experts as well as six working meetings conducted among 15 public agencies, a new Glossary of Terms and a new Policy Planning, Monitoring and Evaluation Handbook were developed. </w:t>
            </w:r>
          </w:p>
          <w:p w14:paraId="65878358"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34" w:type="pct"/>
          </w:tcPr>
          <w:p w14:paraId="1AC6A4B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8F1587">
              <w:rPr>
                <w:rFonts w:ascii="Arial" w:hAnsi="Arial" w:cs="Arial"/>
                <w:sz w:val="20"/>
                <w:szCs w:val="20"/>
                <w:lang w:val="en-US"/>
              </w:rPr>
              <w:t>AoG</w:t>
            </w:r>
            <w:proofErr w:type="spellEnd"/>
          </w:p>
          <w:p w14:paraId="51A9702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International/local experts</w:t>
            </w:r>
          </w:p>
        </w:tc>
        <w:tc>
          <w:tcPr>
            <w:tcW w:w="433" w:type="pct"/>
          </w:tcPr>
          <w:p w14:paraId="6C4024B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2018-2019</w:t>
            </w:r>
          </w:p>
        </w:tc>
        <w:tc>
          <w:tcPr>
            <w:tcW w:w="1572" w:type="pct"/>
          </w:tcPr>
          <w:p w14:paraId="73CD622F" w14:textId="77777777" w:rsidR="008F1587" w:rsidRPr="008F1587" w:rsidRDefault="008F1587" w:rsidP="00FB3FDC">
            <w:pPr>
              <w:autoSpaceDE w:val="0"/>
              <w:autoSpaceDN w:val="0"/>
              <w:adjustRightInd w:val="0"/>
              <w:spacing w:line="276" w:lineRule="auto"/>
              <w:ind w:left="9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Guide draws mostly on OECD/SIGMA methodology, including its 2018 Baseline Measurement Report on Policy Development and Coordination in Georgia. With the support of the project team, the </w:t>
            </w:r>
            <w:proofErr w:type="spellStart"/>
            <w:r w:rsidRPr="008F1587">
              <w:rPr>
                <w:rFonts w:ascii="Arial" w:hAnsi="Arial" w:cs="Arial"/>
                <w:sz w:val="20"/>
                <w:szCs w:val="20"/>
                <w:lang w:val="en-US"/>
              </w:rPr>
              <w:t>AoG</w:t>
            </w:r>
            <w:proofErr w:type="spellEnd"/>
            <w:r w:rsidRPr="008F1587">
              <w:rPr>
                <w:rFonts w:ascii="Arial" w:hAnsi="Arial" w:cs="Arial"/>
                <w:sz w:val="20"/>
                <w:szCs w:val="20"/>
                <w:lang w:val="en-US"/>
              </w:rPr>
              <w:t xml:space="preserve"> has finalized the methodological guidelines (Hand</w:t>
            </w:r>
            <w:r w:rsidRPr="008F1587">
              <w:rPr>
                <w:rFonts w:ascii="Arial" w:hAnsi="Arial" w:cs="Arial"/>
                <w:sz w:val="20"/>
                <w:szCs w:val="20"/>
                <w:lang w:val="en-US"/>
              </w:rPr>
              <w:softHyphen/>
              <w:t>book) on Policy Planning, Monitoring, and Evaluation, along with “Rule on Develop</w:t>
            </w:r>
            <w:r w:rsidRPr="008F1587">
              <w:rPr>
                <w:rFonts w:ascii="Arial" w:hAnsi="Arial" w:cs="Arial"/>
                <w:sz w:val="20"/>
                <w:szCs w:val="20"/>
                <w:lang w:val="en-US"/>
              </w:rPr>
              <w:softHyphen/>
              <w:t>ment, Monitoring and Evaluation of Poli</w:t>
            </w:r>
            <w:r w:rsidRPr="008F1587">
              <w:rPr>
                <w:rFonts w:ascii="Arial" w:hAnsi="Arial" w:cs="Arial"/>
                <w:sz w:val="20"/>
                <w:szCs w:val="20"/>
                <w:lang w:val="en-US"/>
              </w:rPr>
              <w:softHyphen/>
              <w:t>cy Documents,” which introduced a whole-of-Government approach in nation</w:t>
            </w:r>
            <w:r w:rsidRPr="008F1587">
              <w:rPr>
                <w:rFonts w:ascii="Arial" w:hAnsi="Arial" w:cs="Arial"/>
                <w:sz w:val="20"/>
                <w:szCs w:val="20"/>
                <w:lang w:val="en-US"/>
              </w:rPr>
              <w:softHyphen/>
              <w:t xml:space="preserve">al-level policy making approved by Government in December 2019 with a Decree # 629. </w:t>
            </w:r>
          </w:p>
        </w:tc>
      </w:tr>
      <w:tr w:rsidR="008F1587" w:rsidRPr="008F1587" w14:paraId="5416C2EC" w14:textId="77777777" w:rsidTr="008F1587">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57" w:type="pct"/>
          </w:tcPr>
          <w:p w14:paraId="15CE6FDB"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4</w:t>
            </w:r>
          </w:p>
        </w:tc>
        <w:tc>
          <w:tcPr>
            <w:tcW w:w="649" w:type="pct"/>
          </w:tcPr>
          <w:p w14:paraId="2BA5D45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Guidelines on reorganization, disciplinary proceedings, gifts, institutional arrangements and the conflict of interest</w:t>
            </w:r>
          </w:p>
        </w:tc>
        <w:tc>
          <w:tcPr>
            <w:tcW w:w="1853" w:type="pct"/>
          </w:tcPr>
          <w:p w14:paraId="13D0C94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 elaborated five detailed guidelines for civil servants on:  reorganization, disciplinary proceedings, gifts, institutional arrangements and the conflict of interest in public organizations.</w:t>
            </w:r>
          </w:p>
        </w:tc>
        <w:tc>
          <w:tcPr>
            <w:tcW w:w="334" w:type="pct"/>
          </w:tcPr>
          <w:p w14:paraId="4BC68C4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1B0121D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2018</w:t>
            </w:r>
          </w:p>
        </w:tc>
        <w:tc>
          <w:tcPr>
            <w:tcW w:w="1572" w:type="pct"/>
          </w:tcPr>
          <w:p w14:paraId="157C13F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guidelines served as a useful tool to provide both theoretical and hands-on information and useful instructions to HR professionals and civil servants on the selected topics and procedures introduced along with the civil service reform and the new Civil Service Law. </w:t>
            </w:r>
          </w:p>
        </w:tc>
      </w:tr>
      <w:tr w:rsidR="008F1587" w:rsidRPr="008F1587" w14:paraId="7E1E7F12"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0840A98F"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5</w:t>
            </w:r>
          </w:p>
        </w:tc>
        <w:tc>
          <w:tcPr>
            <w:tcW w:w="649" w:type="pct"/>
          </w:tcPr>
          <w:p w14:paraId="33B593EA"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Set of publications on performance appraisal </w:t>
            </w:r>
          </w:p>
        </w:tc>
        <w:tc>
          <w:tcPr>
            <w:tcW w:w="1853" w:type="pct"/>
          </w:tcPr>
          <w:p w14:paraId="57F83DFD"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project team has developed a set of publications including: (1) Handbook of Performance Appraisal System in Civil Service, (2) Guide on Self-evaluation Techniques, </w:t>
            </w:r>
            <w:r w:rsidRPr="008F1587">
              <w:rPr>
                <w:rFonts w:ascii="Arial" w:hAnsi="Arial" w:cs="Arial"/>
                <w:sz w:val="20"/>
                <w:szCs w:val="20"/>
                <w:lang w:val="en-US"/>
              </w:rPr>
              <w:lastRenderedPageBreak/>
              <w:t xml:space="preserve">(3) Perception Study on Performance Appraisal conducted Among Civil Servants and (4) four video tutorials on goals and major stages of the performance appraisal process. </w:t>
            </w:r>
          </w:p>
        </w:tc>
        <w:tc>
          <w:tcPr>
            <w:tcW w:w="334" w:type="pct"/>
          </w:tcPr>
          <w:p w14:paraId="696F05C6"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lastRenderedPageBreak/>
              <w:t>CSB</w:t>
            </w:r>
          </w:p>
        </w:tc>
        <w:tc>
          <w:tcPr>
            <w:tcW w:w="433" w:type="pct"/>
          </w:tcPr>
          <w:p w14:paraId="633D683A"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2018-2019</w:t>
            </w:r>
          </w:p>
        </w:tc>
        <w:tc>
          <w:tcPr>
            <w:tcW w:w="1572" w:type="pct"/>
          </w:tcPr>
          <w:p w14:paraId="45D4571B"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w:t>
            </w:r>
            <w:proofErr w:type="gramStart"/>
            <w:r w:rsidRPr="008F1587">
              <w:rPr>
                <w:rFonts w:ascii="Arial" w:hAnsi="Arial" w:cs="Arial"/>
                <w:sz w:val="20"/>
                <w:szCs w:val="20"/>
                <w:lang w:val="en-US"/>
              </w:rPr>
              <w:t>guidelines  and</w:t>
            </w:r>
            <w:proofErr w:type="gramEnd"/>
            <w:r w:rsidRPr="008F1587">
              <w:rPr>
                <w:rFonts w:ascii="Arial" w:hAnsi="Arial" w:cs="Arial"/>
                <w:sz w:val="20"/>
                <w:szCs w:val="20"/>
                <w:lang w:val="en-US"/>
              </w:rPr>
              <w:t xml:space="preserve"> video served as a useful tool to provide both theoretical and hands-on information and useful instructions to HR </w:t>
            </w:r>
            <w:r w:rsidRPr="008F1587">
              <w:rPr>
                <w:rFonts w:ascii="Arial" w:hAnsi="Arial" w:cs="Arial"/>
                <w:sz w:val="20"/>
                <w:szCs w:val="20"/>
                <w:lang w:val="en-US"/>
              </w:rPr>
              <w:lastRenderedPageBreak/>
              <w:t>professionals and civil servants on the selected topics and procedures introduced along with the civil service reform and the new Civil Service Law.</w:t>
            </w:r>
          </w:p>
        </w:tc>
      </w:tr>
      <w:tr w:rsidR="008F1587" w:rsidRPr="008F1587" w14:paraId="2E245CD3"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72FDD4B1"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lastRenderedPageBreak/>
              <w:t>6</w:t>
            </w:r>
          </w:p>
        </w:tc>
        <w:tc>
          <w:tcPr>
            <w:tcW w:w="649" w:type="pct"/>
          </w:tcPr>
          <w:p w14:paraId="0ED56D96"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Handbook on Professional Development of Civil Servant </w:t>
            </w:r>
          </w:p>
        </w:tc>
        <w:tc>
          <w:tcPr>
            <w:tcW w:w="1853" w:type="pct"/>
          </w:tcPr>
          <w:p w14:paraId="2CD9BA8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In May 2018, the Government of Georgia adopted a Decree on “Standards and Rules of Professional Development of Civil Servants” developed by the CSB. With the aim to support other public agencies in implementation of this new Decree, the CSB has requested the project a consultancy support of local experts in developing a detailed methodology for the assessment of professional development needs in the public sector.</w:t>
            </w:r>
          </w:p>
          <w:p w14:paraId="37D5BF3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E1633BF"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34" w:type="pct"/>
          </w:tcPr>
          <w:p w14:paraId="54CBDCC9"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2BE1DFEA"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2018</w:t>
            </w:r>
          </w:p>
        </w:tc>
        <w:tc>
          <w:tcPr>
            <w:tcW w:w="1572" w:type="pct"/>
          </w:tcPr>
          <w:p w14:paraId="1357E622"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In order to support the establishment of a professional, career based civil service, with a unified system and universal standards for civil servants’ professional development local consultants have developed a handbook on professional development of a civil servant. Apart from the handbook development, the consultants have elaborated forms, sample questionnaires and a list of available resources for professional development as well as relevant examples for the civil service context. This has served as practical toolkits for the line ministries and especially their HR Units. </w:t>
            </w:r>
          </w:p>
        </w:tc>
      </w:tr>
      <w:tr w:rsidR="008F1587" w:rsidRPr="008F1587" w14:paraId="3079BE52"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4409E684"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7</w:t>
            </w:r>
          </w:p>
        </w:tc>
        <w:tc>
          <w:tcPr>
            <w:tcW w:w="649" w:type="pct"/>
          </w:tcPr>
          <w:p w14:paraId="4ADD23F4"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Handbook on Execution of the Training Accreditation </w:t>
            </w:r>
          </w:p>
          <w:p w14:paraId="20B924DB"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853" w:type="pct"/>
          </w:tcPr>
          <w:p w14:paraId="79C79788" w14:textId="77777777" w:rsidR="008F1587" w:rsidRPr="008F1587" w:rsidDel="00EB1C03"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project consultant supported the preparation of the Training Accreditation Handbook drafting process with the focus on legal issues. </w:t>
            </w:r>
          </w:p>
        </w:tc>
        <w:tc>
          <w:tcPr>
            <w:tcW w:w="334" w:type="pct"/>
          </w:tcPr>
          <w:p w14:paraId="790D4286"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 NCEQE</w:t>
            </w:r>
          </w:p>
        </w:tc>
        <w:tc>
          <w:tcPr>
            <w:tcW w:w="433" w:type="pct"/>
          </w:tcPr>
          <w:p w14:paraId="0CBE1448"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August – December 2018</w:t>
            </w:r>
          </w:p>
        </w:tc>
        <w:tc>
          <w:tcPr>
            <w:tcW w:w="1572" w:type="pct"/>
          </w:tcPr>
          <w:p w14:paraId="731CBC89"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aim to develop the handbook on execution of the training accreditation was to ensure that all the stakeholders of this process – Accreditation Council members, Experts’ Corp and training providers – know how to execute the policy and procedures to get through the training accreditation process and in this way ensure the quality control of Civil Servants’ training programs.</w:t>
            </w:r>
          </w:p>
        </w:tc>
      </w:tr>
      <w:tr w:rsidR="008F1587" w:rsidRPr="008F1587" w14:paraId="23541A4C"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49870EA7"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8</w:t>
            </w:r>
          </w:p>
        </w:tc>
        <w:tc>
          <w:tcPr>
            <w:tcW w:w="649" w:type="pct"/>
          </w:tcPr>
          <w:p w14:paraId="5D4A05B7"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Handbooks for two courses from the mandatory training program - “Effective Communication” and “Effective Service Delivery”</w:t>
            </w:r>
          </w:p>
        </w:tc>
        <w:tc>
          <w:tcPr>
            <w:tcW w:w="1853" w:type="pct"/>
          </w:tcPr>
          <w:p w14:paraId="7BCA30A4"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Handbooks aimed at supporting the public and private training providers while preparing their programs for selected courses for the accreditation in a standardized manner.</w:t>
            </w:r>
          </w:p>
        </w:tc>
        <w:tc>
          <w:tcPr>
            <w:tcW w:w="334" w:type="pct"/>
          </w:tcPr>
          <w:p w14:paraId="16B90AC0"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53DE354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2019</w:t>
            </w:r>
          </w:p>
        </w:tc>
        <w:tc>
          <w:tcPr>
            <w:tcW w:w="1572" w:type="pct"/>
          </w:tcPr>
          <w:p w14:paraId="0EAFA4B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To further support the training standardization processes, the project team facilitated the development of curriculum outlines and topical guides (handbooks) for two courses from the mandatory training</w:t>
            </w:r>
          </w:p>
          <w:p w14:paraId="034FB15E"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program - “Effective Communication” and “Effective Service Delivery”. </w:t>
            </w:r>
          </w:p>
        </w:tc>
      </w:tr>
      <w:tr w:rsidR="008F1587" w:rsidRPr="008F1587" w14:paraId="5A177547"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6C81A376"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9</w:t>
            </w:r>
          </w:p>
        </w:tc>
        <w:tc>
          <w:tcPr>
            <w:tcW w:w="649" w:type="pct"/>
          </w:tcPr>
          <w:p w14:paraId="4468CC2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book “E-Georgia: Decades of Successful Transition”</w:t>
            </w:r>
          </w:p>
        </w:tc>
        <w:tc>
          <w:tcPr>
            <w:tcW w:w="1853" w:type="pct"/>
          </w:tcPr>
          <w:p w14:paraId="036C7F09"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book “E-Georgia: Decades of Successful Transition” was published and disseminated widely. The book describes reforms and success of Georgia in the field of e-Gov</w:t>
            </w:r>
            <w:r w:rsidRPr="008F1587">
              <w:rPr>
                <w:rFonts w:ascii="Arial" w:hAnsi="Arial" w:cs="Arial"/>
                <w:sz w:val="20"/>
                <w:szCs w:val="20"/>
                <w:lang w:val="en-US"/>
              </w:rPr>
              <w:softHyphen/>
              <w:t xml:space="preserve">ernance. </w:t>
            </w:r>
          </w:p>
        </w:tc>
        <w:tc>
          <w:tcPr>
            <w:tcW w:w="334" w:type="pct"/>
          </w:tcPr>
          <w:p w14:paraId="74523CB4"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DGA</w:t>
            </w:r>
          </w:p>
        </w:tc>
        <w:tc>
          <w:tcPr>
            <w:tcW w:w="433" w:type="pct"/>
          </w:tcPr>
          <w:p w14:paraId="11EFCDB0"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2019</w:t>
            </w:r>
          </w:p>
        </w:tc>
        <w:tc>
          <w:tcPr>
            <w:tcW w:w="1572" w:type="pct"/>
          </w:tcPr>
          <w:p w14:paraId="37B29C00"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publication has been dissem</w:t>
            </w:r>
            <w:r w:rsidRPr="008F1587">
              <w:rPr>
                <w:rFonts w:ascii="Arial" w:hAnsi="Arial" w:cs="Arial"/>
                <w:sz w:val="20"/>
                <w:szCs w:val="20"/>
                <w:lang w:val="en-US"/>
              </w:rPr>
              <w:softHyphen/>
              <w:t>inated among the relevant stakeholders locally as well as internationally (including through UNDP Kazakhstan Astana Regional Civil Service Hub).</w:t>
            </w:r>
          </w:p>
        </w:tc>
      </w:tr>
      <w:tr w:rsidR="008F1587" w:rsidRPr="008F1587" w14:paraId="0E23390A"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50FB175C"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10</w:t>
            </w:r>
          </w:p>
        </w:tc>
        <w:tc>
          <w:tcPr>
            <w:tcW w:w="649" w:type="pct"/>
          </w:tcPr>
          <w:p w14:paraId="4BBBF3D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Guidebooks and training materials in service design, </w:t>
            </w:r>
            <w:r w:rsidRPr="008F1587">
              <w:rPr>
                <w:rFonts w:ascii="Arial" w:hAnsi="Arial" w:cs="Arial"/>
                <w:sz w:val="20"/>
                <w:szCs w:val="20"/>
                <w:lang w:val="en-US"/>
              </w:rPr>
              <w:lastRenderedPageBreak/>
              <w:t>service delivery, customer satisfaction surveying, Common Assessment Framework and costing of public services.</w:t>
            </w:r>
          </w:p>
        </w:tc>
        <w:tc>
          <w:tcPr>
            <w:tcW w:w="1853" w:type="pct"/>
          </w:tcPr>
          <w:p w14:paraId="048693FE"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lastRenderedPageBreak/>
              <w:t>Five local and international experts contracted by the project to develop guidebooks and training materials in service design, service deliv</w:t>
            </w:r>
            <w:r w:rsidRPr="008F1587">
              <w:rPr>
                <w:rFonts w:ascii="Arial" w:hAnsi="Arial" w:cs="Arial"/>
                <w:sz w:val="20"/>
                <w:szCs w:val="20"/>
                <w:lang w:val="en-US"/>
              </w:rPr>
              <w:softHyphen/>
              <w:t xml:space="preserve">ery, quality control and costing of public </w:t>
            </w:r>
            <w:r w:rsidRPr="008F1587">
              <w:rPr>
                <w:rFonts w:ascii="Arial" w:hAnsi="Arial" w:cs="Arial"/>
                <w:sz w:val="20"/>
                <w:szCs w:val="20"/>
                <w:lang w:val="en-US"/>
              </w:rPr>
              <w:lastRenderedPageBreak/>
              <w:t xml:space="preserve">services. </w:t>
            </w:r>
          </w:p>
        </w:tc>
        <w:tc>
          <w:tcPr>
            <w:tcW w:w="334" w:type="pct"/>
          </w:tcPr>
          <w:p w14:paraId="39E827AE"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lastRenderedPageBreak/>
              <w:t>PSDA</w:t>
            </w:r>
          </w:p>
        </w:tc>
        <w:tc>
          <w:tcPr>
            <w:tcW w:w="433" w:type="pct"/>
          </w:tcPr>
          <w:p w14:paraId="1A46FEBA"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2020</w:t>
            </w:r>
          </w:p>
        </w:tc>
        <w:tc>
          <w:tcPr>
            <w:tcW w:w="1572" w:type="pct"/>
          </w:tcPr>
          <w:p w14:paraId="30A6E81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International expert in service design, local expert in service delivery, local expert in quality (namely, customer satisfaction component of qual</w:t>
            </w:r>
            <w:r w:rsidRPr="008F1587">
              <w:rPr>
                <w:rFonts w:ascii="Arial" w:hAnsi="Arial" w:cs="Arial"/>
                <w:sz w:val="20"/>
                <w:szCs w:val="20"/>
                <w:lang w:val="en-US"/>
              </w:rPr>
              <w:softHyphen/>
              <w:t xml:space="preserve">ity </w:t>
            </w:r>
            <w:r w:rsidRPr="008F1587">
              <w:rPr>
                <w:rFonts w:ascii="Arial" w:hAnsi="Arial" w:cs="Arial"/>
                <w:sz w:val="20"/>
                <w:szCs w:val="20"/>
                <w:lang w:val="en-US"/>
              </w:rPr>
              <w:lastRenderedPageBreak/>
              <w:t>control), international and local experts in costing of public services have prepared five methodological guidelines and training materials. In addition, local legal expert has been contracted to analyze legal framework related to design and delivery of public services and provide recommendations.</w:t>
            </w:r>
          </w:p>
        </w:tc>
      </w:tr>
      <w:tr w:rsidR="008F1587" w:rsidRPr="008F1587" w14:paraId="5ED8A9B4"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784FF751"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lastRenderedPageBreak/>
              <w:t>11</w:t>
            </w:r>
          </w:p>
        </w:tc>
        <w:tc>
          <w:tcPr>
            <w:tcW w:w="649" w:type="pct"/>
          </w:tcPr>
          <w:p w14:paraId="2ECFD198"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Business Analysis Document of the Government-wide E-System for Policy Planning &amp; Monitoring</w:t>
            </w:r>
          </w:p>
        </w:tc>
        <w:tc>
          <w:tcPr>
            <w:tcW w:w="1853" w:type="pct"/>
          </w:tcPr>
          <w:p w14:paraId="75A86EBC"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A business analysis document of the Government-wide E-System for Policy Planning &amp; Monitoring has been prepared </w:t>
            </w:r>
          </w:p>
        </w:tc>
        <w:tc>
          <w:tcPr>
            <w:tcW w:w="334" w:type="pct"/>
          </w:tcPr>
          <w:p w14:paraId="59AD1D2E"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DGA, </w:t>
            </w:r>
            <w:proofErr w:type="spellStart"/>
            <w:r w:rsidRPr="008F1587">
              <w:rPr>
                <w:rFonts w:ascii="Arial" w:hAnsi="Arial" w:cs="Arial"/>
                <w:sz w:val="20"/>
                <w:szCs w:val="20"/>
                <w:lang w:val="en-US"/>
              </w:rPr>
              <w:t>AoG</w:t>
            </w:r>
            <w:proofErr w:type="spellEnd"/>
          </w:p>
        </w:tc>
        <w:tc>
          <w:tcPr>
            <w:tcW w:w="433" w:type="pct"/>
          </w:tcPr>
          <w:p w14:paraId="6145435A"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2020</w:t>
            </w:r>
          </w:p>
        </w:tc>
        <w:tc>
          <w:tcPr>
            <w:tcW w:w="1572" w:type="pct"/>
          </w:tcPr>
          <w:p w14:paraId="3935C523"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Business analysis document of the Government-wide E-System for Policy Planning &amp; Monitoring has been widely discussed with the project stakeholders including Academia and CSOs and will serve as a basis for the M&amp;E platform development (IT development work). </w:t>
            </w:r>
          </w:p>
        </w:tc>
      </w:tr>
      <w:tr w:rsidR="008F1587" w:rsidRPr="008F1587" w14:paraId="192841E7"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38F33E00"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12</w:t>
            </w:r>
          </w:p>
        </w:tc>
        <w:tc>
          <w:tcPr>
            <w:tcW w:w="649" w:type="pct"/>
          </w:tcPr>
          <w:p w14:paraId="669E5725"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guidebook on Management and Leadership in Civil Service</w:t>
            </w:r>
          </w:p>
        </w:tc>
        <w:tc>
          <w:tcPr>
            <w:tcW w:w="1853" w:type="pct"/>
          </w:tcPr>
          <w:p w14:paraId="63821BC7"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guidebook on Management and Leadership in Civil Service was developed by the Civil Service Bureau, covering aspects of effective leader, leader-subordinate relationships and organizational issues in civil service</w:t>
            </w:r>
          </w:p>
        </w:tc>
        <w:tc>
          <w:tcPr>
            <w:tcW w:w="334" w:type="pct"/>
          </w:tcPr>
          <w:p w14:paraId="11708C5E"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25C5BB48"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June 2020</w:t>
            </w:r>
          </w:p>
        </w:tc>
        <w:tc>
          <w:tcPr>
            <w:tcW w:w="1572" w:type="pct"/>
          </w:tcPr>
          <w:p w14:paraId="2DAE776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In order to enhance knowledge on management and leadership issues within civil service the Guidebook on Management and Leadership was developed with the involvement of 13 local experts. The guidebooks were printed (1710 copies) and provided to the managers from all respective ministries/agencies.</w:t>
            </w:r>
          </w:p>
        </w:tc>
      </w:tr>
      <w:tr w:rsidR="008F1587" w:rsidRPr="008F1587" w14:paraId="6E4B1923"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38750253"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13</w:t>
            </w:r>
          </w:p>
        </w:tc>
        <w:tc>
          <w:tcPr>
            <w:tcW w:w="649" w:type="pct"/>
          </w:tcPr>
          <w:p w14:paraId="7BE707F6"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Video on online services available on my.gov.ge</w:t>
            </w:r>
          </w:p>
        </w:tc>
        <w:tc>
          <w:tcPr>
            <w:tcW w:w="1853" w:type="pct"/>
          </w:tcPr>
          <w:p w14:paraId="6929521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DGA created and disseminated a video about services available online on My.gov.ge, encouraging citizens to use the portal during the COVID-19 lockdown</w:t>
            </w:r>
          </w:p>
        </w:tc>
        <w:tc>
          <w:tcPr>
            <w:tcW w:w="334" w:type="pct"/>
          </w:tcPr>
          <w:p w14:paraId="713F219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DGA</w:t>
            </w:r>
          </w:p>
        </w:tc>
        <w:tc>
          <w:tcPr>
            <w:tcW w:w="433" w:type="pct"/>
          </w:tcPr>
          <w:p w14:paraId="1DF83A2E"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2020</w:t>
            </w:r>
          </w:p>
        </w:tc>
        <w:tc>
          <w:tcPr>
            <w:tcW w:w="1572" w:type="pct"/>
          </w:tcPr>
          <w:p w14:paraId="56DCC3A9"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N/A</w:t>
            </w:r>
          </w:p>
        </w:tc>
      </w:tr>
      <w:tr w:rsidR="008F1587" w:rsidRPr="008F1587" w14:paraId="4B282CAC"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52103F63"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14</w:t>
            </w:r>
          </w:p>
        </w:tc>
        <w:tc>
          <w:tcPr>
            <w:tcW w:w="649" w:type="pct"/>
          </w:tcPr>
          <w:p w14:paraId="545C938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Guidebooks for serving </w:t>
            </w:r>
            <w:proofErr w:type="spellStart"/>
            <w:r w:rsidRPr="008F1587">
              <w:rPr>
                <w:rFonts w:ascii="Arial" w:hAnsi="Arial" w:cs="Arial"/>
                <w:sz w:val="20"/>
                <w:szCs w:val="20"/>
                <w:lang w:val="en-US"/>
              </w:rPr>
              <w:t>PwDs</w:t>
            </w:r>
            <w:proofErr w:type="spellEnd"/>
            <w:r w:rsidRPr="008F1587">
              <w:rPr>
                <w:rFonts w:ascii="Arial" w:hAnsi="Arial" w:cs="Arial"/>
                <w:sz w:val="20"/>
                <w:szCs w:val="20"/>
                <w:lang w:val="en-US"/>
              </w:rPr>
              <w:t xml:space="preserve"> in Public Service Hall</w:t>
            </w:r>
          </w:p>
        </w:tc>
        <w:tc>
          <w:tcPr>
            <w:tcW w:w="1853" w:type="pct"/>
          </w:tcPr>
          <w:p w14:paraId="7E957936"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Guidebooks for serving </w:t>
            </w:r>
            <w:proofErr w:type="spellStart"/>
            <w:r w:rsidRPr="008F1587">
              <w:rPr>
                <w:rFonts w:ascii="Arial" w:hAnsi="Arial" w:cs="Arial"/>
                <w:sz w:val="20"/>
                <w:szCs w:val="20"/>
                <w:lang w:val="en-US"/>
              </w:rPr>
              <w:t>PwDs</w:t>
            </w:r>
            <w:proofErr w:type="spellEnd"/>
            <w:r w:rsidRPr="008F1587">
              <w:rPr>
                <w:rFonts w:ascii="Arial" w:hAnsi="Arial" w:cs="Arial"/>
                <w:sz w:val="20"/>
                <w:szCs w:val="20"/>
                <w:lang w:val="en-US"/>
              </w:rPr>
              <w:t xml:space="preserve"> in Public Service Hall included: detailed guidelines on detecting and reacting to possible citizen rights’ violations and for serving persons with psychosocial needs in Public Service Halls across Georgia </w:t>
            </w:r>
          </w:p>
        </w:tc>
        <w:tc>
          <w:tcPr>
            <w:tcW w:w="334" w:type="pct"/>
          </w:tcPr>
          <w:p w14:paraId="47580986"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PSH</w:t>
            </w:r>
          </w:p>
        </w:tc>
        <w:tc>
          <w:tcPr>
            <w:tcW w:w="433" w:type="pct"/>
          </w:tcPr>
          <w:p w14:paraId="17722BBB"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2020</w:t>
            </w:r>
          </w:p>
        </w:tc>
        <w:tc>
          <w:tcPr>
            <w:tcW w:w="1572" w:type="pct"/>
          </w:tcPr>
          <w:p w14:paraId="12045471"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guidebooks were developed as a result of in-depth analysis of over 400 services provided by the Public Service Halls exploring the procedural and legal challenges </w:t>
            </w:r>
            <w:proofErr w:type="spellStart"/>
            <w:r w:rsidRPr="008F1587">
              <w:rPr>
                <w:rFonts w:ascii="Arial" w:hAnsi="Arial" w:cs="Arial"/>
                <w:sz w:val="20"/>
                <w:szCs w:val="20"/>
                <w:lang w:val="en-US"/>
              </w:rPr>
              <w:t>PwDs</w:t>
            </w:r>
            <w:proofErr w:type="spellEnd"/>
            <w:r w:rsidRPr="008F1587">
              <w:rPr>
                <w:rFonts w:ascii="Arial" w:hAnsi="Arial" w:cs="Arial"/>
                <w:sz w:val="20"/>
                <w:szCs w:val="20"/>
                <w:lang w:val="en-US"/>
              </w:rPr>
              <w:t xml:space="preserve"> or persons with phycological needs face while receiving public services through these one-stop-shop channels</w:t>
            </w:r>
          </w:p>
        </w:tc>
      </w:tr>
      <w:tr w:rsidR="008F1587" w:rsidRPr="008F1587" w14:paraId="1E7D82C0"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5F46901C"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15</w:t>
            </w:r>
          </w:p>
        </w:tc>
        <w:tc>
          <w:tcPr>
            <w:tcW w:w="649" w:type="pct"/>
          </w:tcPr>
          <w:p w14:paraId="311362E8" w14:textId="77777777" w:rsidR="008F1587" w:rsidRPr="008F1587" w:rsidDel="006D47BB"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Concept of the E-Learning Platform for Georgian Civil Servants </w:t>
            </w:r>
          </w:p>
        </w:tc>
        <w:tc>
          <w:tcPr>
            <w:tcW w:w="1853" w:type="pct"/>
          </w:tcPr>
          <w:p w14:paraId="4FC624DD" w14:textId="77777777" w:rsidR="008F1587" w:rsidRPr="008F1587" w:rsidDel="006D47BB"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International expert developed a conceptual architecture of the platform in close cooperation with the CSB and other relevant stakeholders, such as human resource managers, representatives of training providers, civil servants and other key actors.</w:t>
            </w:r>
          </w:p>
        </w:tc>
        <w:tc>
          <w:tcPr>
            <w:tcW w:w="334" w:type="pct"/>
          </w:tcPr>
          <w:p w14:paraId="7F81102B"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CSB, </w:t>
            </w:r>
          </w:p>
          <w:p w14:paraId="15563251" w14:textId="77777777" w:rsidR="008F1587" w:rsidRPr="008F1587" w:rsidDel="006D47BB"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433" w:type="pct"/>
          </w:tcPr>
          <w:p w14:paraId="26D50819" w14:textId="77777777" w:rsidR="008F1587" w:rsidRPr="008F1587" w:rsidDel="006D47BB"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2020</w:t>
            </w:r>
          </w:p>
        </w:tc>
        <w:tc>
          <w:tcPr>
            <w:tcW w:w="1572" w:type="pct"/>
          </w:tcPr>
          <w:p w14:paraId="55A4632C"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concept will contribute to finalization of the detailed technical documentation being prepared as a basis for the platform development work (IT development work). </w:t>
            </w:r>
          </w:p>
        </w:tc>
      </w:tr>
      <w:tr w:rsidR="008F1587" w:rsidRPr="008F1587" w14:paraId="57454F52"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500DCB94"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16</w:t>
            </w:r>
          </w:p>
        </w:tc>
        <w:tc>
          <w:tcPr>
            <w:tcW w:w="649" w:type="pct"/>
          </w:tcPr>
          <w:p w14:paraId="3C47BFB6"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Research document on Civil Servant’s </w:t>
            </w:r>
            <w:r w:rsidRPr="008F1587">
              <w:rPr>
                <w:rFonts w:ascii="Arial" w:hAnsi="Arial" w:cs="Arial"/>
                <w:sz w:val="20"/>
                <w:szCs w:val="20"/>
                <w:lang w:val="en-US"/>
              </w:rPr>
              <w:lastRenderedPageBreak/>
              <w:t>Perceptions and Perspectives on Workplace Dispute Prevention and Management</w:t>
            </w:r>
          </w:p>
          <w:p w14:paraId="279285E1"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853" w:type="pct"/>
          </w:tcPr>
          <w:p w14:paraId="3B26DDA2"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lastRenderedPageBreak/>
              <w:t xml:space="preserve">To contribute to the stimulation of discussions on mediation and enhancement of dispute prevention and management processes in Georgia, the need for comprehensive research </w:t>
            </w:r>
            <w:r w:rsidRPr="008F1587">
              <w:rPr>
                <w:rFonts w:ascii="Arial" w:hAnsi="Arial" w:cs="Arial"/>
                <w:sz w:val="20"/>
                <w:szCs w:val="20"/>
                <w:lang w:val="en-US"/>
              </w:rPr>
              <w:lastRenderedPageBreak/>
              <w:t xml:space="preserve">on civil servants’ perceptions on dispute prevention and management has been raised and relevant study was administered through a local researcher </w:t>
            </w:r>
          </w:p>
        </w:tc>
        <w:tc>
          <w:tcPr>
            <w:tcW w:w="334" w:type="pct"/>
          </w:tcPr>
          <w:p w14:paraId="5D1161F9"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lastRenderedPageBreak/>
              <w:t>CSB</w:t>
            </w:r>
          </w:p>
        </w:tc>
        <w:tc>
          <w:tcPr>
            <w:tcW w:w="433" w:type="pct"/>
          </w:tcPr>
          <w:p w14:paraId="7EE86A4A"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November - December 2020</w:t>
            </w:r>
          </w:p>
        </w:tc>
        <w:tc>
          <w:tcPr>
            <w:tcW w:w="1572" w:type="pct"/>
          </w:tcPr>
          <w:p w14:paraId="35429B1C"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An in-depth research document has been elaborated on civil servants’ perceptions and perspectives on broader workplace dispute </w:t>
            </w:r>
            <w:r w:rsidRPr="008F1587">
              <w:rPr>
                <w:rFonts w:ascii="Arial" w:hAnsi="Arial" w:cs="Arial"/>
                <w:sz w:val="20"/>
                <w:szCs w:val="20"/>
                <w:lang w:val="en-US"/>
              </w:rPr>
              <w:lastRenderedPageBreak/>
              <w:t>prevention and management.</w:t>
            </w:r>
          </w:p>
        </w:tc>
      </w:tr>
      <w:tr w:rsidR="008F1587" w:rsidRPr="008F1587" w14:paraId="28A931A6" w14:textId="77777777" w:rsidTr="008F1587">
        <w:tc>
          <w:tcPr>
            <w:cnfStyle w:val="001000000000" w:firstRow="0" w:lastRow="0" w:firstColumn="1" w:lastColumn="0" w:oddVBand="0" w:evenVBand="0" w:oddHBand="0" w:evenHBand="0" w:firstRowFirstColumn="0" w:firstRowLastColumn="0" w:lastRowFirstColumn="0" w:lastRowLastColumn="0"/>
            <w:tcW w:w="157" w:type="pct"/>
          </w:tcPr>
          <w:p w14:paraId="1900E7F0"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lastRenderedPageBreak/>
              <w:t>17</w:t>
            </w:r>
          </w:p>
        </w:tc>
        <w:tc>
          <w:tcPr>
            <w:tcW w:w="649" w:type="pct"/>
          </w:tcPr>
          <w:p w14:paraId="52CEB249"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Methodological Concept Development of the E-Learning Platform for Civil Servants </w:t>
            </w:r>
          </w:p>
        </w:tc>
        <w:tc>
          <w:tcPr>
            <w:tcW w:w="1853" w:type="pct"/>
          </w:tcPr>
          <w:p w14:paraId="5E9A7B0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Local consultant is working on the outline of the concept document (a detailed methodological overview of the platform), for creation of a learning, information-sharing and personnel development platform for the civil servants in Georgia.</w:t>
            </w:r>
          </w:p>
        </w:tc>
        <w:tc>
          <w:tcPr>
            <w:tcW w:w="334" w:type="pct"/>
          </w:tcPr>
          <w:p w14:paraId="676E939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1820A561"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December 2020 - March 2021</w:t>
            </w:r>
          </w:p>
        </w:tc>
        <w:tc>
          <w:tcPr>
            <w:tcW w:w="1572" w:type="pct"/>
          </w:tcPr>
          <w:p w14:paraId="37754372"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The concept will contribute to finalization of the detailed technical documentation being prepared as a basis for the platform development work (IT development work)</w:t>
            </w:r>
          </w:p>
        </w:tc>
      </w:tr>
      <w:tr w:rsidR="008F1587" w:rsidRPr="008F1587" w14:paraId="0B024E16" w14:textId="77777777" w:rsidTr="008F1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 w:type="pct"/>
          </w:tcPr>
          <w:p w14:paraId="7DE280D9"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18</w:t>
            </w:r>
          </w:p>
        </w:tc>
        <w:tc>
          <w:tcPr>
            <w:tcW w:w="649" w:type="pct"/>
          </w:tcPr>
          <w:p w14:paraId="7575F2F9"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Concept on the staff appraisal system in the Administration of the Government of Georgia</w:t>
            </w:r>
          </w:p>
        </w:tc>
        <w:tc>
          <w:tcPr>
            <w:tcW w:w="1853" w:type="pct"/>
          </w:tcPr>
          <w:p w14:paraId="48F73B42"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Consultant hired for the development of a Performance Appraisal System in </w:t>
            </w:r>
            <w:proofErr w:type="spellStart"/>
            <w:r w:rsidRPr="008F1587">
              <w:rPr>
                <w:rFonts w:ascii="Arial" w:hAnsi="Arial" w:cs="Arial"/>
                <w:sz w:val="20"/>
                <w:szCs w:val="20"/>
                <w:lang w:val="en-US"/>
              </w:rPr>
              <w:t>AoG</w:t>
            </w:r>
            <w:proofErr w:type="spellEnd"/>
            <w:r w:rsidRPr="008F1587">
              <w:rPr>
                <w:rFonts w:ascii="Arial" w:hAnsi="Arial" w:cs="Arial"/>
                <w:sz w:val="20"/>
                <w:szCs w:val="20"/>
                <w:lang w:val="en-US"/>
              </w:rPr>
              <w:t>, elaborated the concept of the staff appraisal system; basic criteria, procedures and forms for a selected model of staff appraisal system.</w:t>
            </w:r>
          </w:p>
        </w:tc>
        <w:tc>
          <w:tcPr>
            <w:tcW w:w="334" w:type="pct"/>
          </w:tcPr>
          <w:p w14:paraId="4FA9361B"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8F1587">
              <w:rPr>
                <w:rFonts w:ascii="Arial" w:hAnsi="Arial" w:cs="Arial"/>
                <w:sz w:val="20"/>
                <w:szCs w:val="20"/>
                <w:lang w:val="en-US"/>
              </w:rPr>
              <w:t>AoG</w:t>
            </w:r>
            <w:proofErr w:type="spellEnd"/>
          </w:p>
        </w:tc>
        <w:tc>
          <w:tcPr>
            <w:tcW w:w="433" w:type="pct"/>
          </w:tcPr>
          <w:p w14:paraId="298D8F90"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August 2020</w:t>
            </w:r>
          </w:p>
          <w:p w14:paraId="36C9546A"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March 2021</w:t>
            </w:r>
          </w:p>
        </w:tc>
        <w:tc>
          <w:tcPr>
            <w:tcW w:w="1572" w:type="pct"/>
          </w:tcPr>
          <w:p w14:paraId="64B83CD3"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concept will serve as a guidance for </w:t>
            </w:r>
            <w:proofErr w:type="spellStart"/>
            <w:r w:rsidRPr="008F1587">
              <w:rPr>
                <w:rFonts w:ascii="Arial" w:hAnsi="Arial" w:cs="Arial"/>
                <w:sz w:val="20"/>
                <w:szCs w:val="20"/>
                <w:lang w:val="en-US"/>
              </w:rPr>
              <w:t>AoG</w:t>
            </w:r>
            <w:proofErr w:type="spellEnd"/>
            <w:r w:rsidRPr="008F1587">
              <w:rPr>
                <w:rFonts w:ascii="Arial" w:hAnsi="Arial" w:cs="Arial"/>
                <w:sz w:val="20"/>
                <w:szCs w:val="20"/>
                <w:lang w:val="en-US"/>
              </w:rPr>
              <w:t xml:space="preserve"> to move forward with the refining and further improving the staff performance appraisal system within the </w:t>
            </w:r>
            <w:proofErr w:type="spellStart"/>
            <w:r w:rsidRPr="008F1587">
              <w:rPr>
                <w:rFonts w:ascii="Arial" w:hAnsi="Arial" w:cs="Arial"/>
                <w:sz w:val="20"/>
                <w:szCs w:val="20"/>
                <w:lang w:val="en-US"/>
              </w:rPr>
              <w:t>AoG</w:t>
            </w:r>
            <w:proofErr w:type="spellEnd"/>
            <w:r w:rsidRPr="008F1587">
              <w:rPr>
                <w:rFonts w:ascii="Arial" w:hAnsi="Arial" w:cs="Arial"/>
                <w:sz w:val="20"/>
                <w:szCs w:val="20"/>
                <w:lang w:val="en-US"/>
              </w:rPr>
              <w:t xml:space="preserve">. </w:t>
            </w:r>
          </w:p>
        </w:tc>
      </w:tr>
      <w:tr w:rsidR="008F1587" w:rsidRPr="008F1587" w14:paraId="3115E37C" w14:textId="77777777" w:rsidTr="008F1587">
        <w:trPr>
          <w:trHeight w:val="1025"/>
        </w:trPr>
        <w:tc>
          <w:tcPr>
            <w:cnfStyle w:val="001000000000" w:firstRow="0" w:lastRow="0" w:firstColumn="1" w:lastColumn="0" w:oddVBand="0" w:evenVBand="0" w:oddHBand="0" w:evenHBand="0" w:firstRowFirstColumn="0" w:firstRowLastColumn="0" w:lastRowFirstColumn="0" w:lastRowLastColumn="0"/>
            <w:tcW w:w="157" w:type="pct"/>
          </w:tcPr>
          <w:p w14:paraId="727A56E4"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19</w:t>
            </w:r>
          </w:p>
        </w:tc>
        <w:tc>
          <w:tcPr>
            <w:tcW w:w="649" w:type="pct"/>
          </w:tcPr>
          <w:p w14:paraId="5A644BCF"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Research on the Mandatory Training Programs for Civil Servants</w:t>
            </w:r>
          </w:p>
        </w:tc>
        <w:tc>
          <w:tcPr>
            <w:tcW w:w="1853" w:type="pct"/>
          </w:tcPr>
          <w:p w14:paraId="54BD1C1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In 2018, the Government of Georgia adopted the Decree N242 on “Professional Standards and Training Delivery Rules and Procedures for Civil Servants”. According to this by-law, CSB and NCEQE were assigned to set an accreditation system for civil servants’ training programs. In 2019, a new legislative framework creating unified standards for professional development, needs’ identification, and accreditation of mandatory training programs was developed by these institutions. Since then, at least five public and private training providers have received accreditation of their respective programs and more than 1000 civil servants were trained in the past two years. However, throughout the implementation, a need to analyze the conducted training sessions to further improve their quality and also increase civil servants’ satisfaction has been identified. </w:t>
            </w:r>
          </w:p>
        </w:tc>
        <w:tc>
          <w:tcPr>
            <w:tcW w:w="334" w:type="pct"/>
          </w:tcPr>
          <w:p w14:paraId="75EB7AAA"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 NCEQE</w:t>
            </w:r>
          </w:p>
          <w:p w14:paraId="65CDC391"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433" w:type="pct"/>
          </w:tcPr>
          <w:p w14:paraId="21D47C9A"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February 2020  </w:t>
            </w:r>
          </w:p>
          <w:p w14:paraId="6FBCDB23"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March 2021</w:t>
            </w:r>
          </w:p>
        </w:tc>
        <w:tc>
          <w:tcPr>
            <w:tcW w:w="1572" w:type="pct"/>
          </w:tcPr>
          <w:p w14:paraId="3B2FBA96"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Local consultant is assessing the effectiveness of mandatory training programs conducted by accredited training providers for civil servants in 2019-2020, in close collaboration with the local consultant for Improving Accreditation Standards and Procedures for Professional Development Programs of Civil Servants, CSB and NCEQE. As a result of the research, detailed recommendations will be elaborated to inform preparation of legal amendments to the Accreditation Statute and Government Decree N242, based on the detailed analysis of the existing regulatory framework in close cooperation with the CSB.</w:t>
            </w:r>
          </w:p>
        </w:tc>
      </w:tr>
      <w:tr w:rsidR="008F1587" w:rsidRPr="008F1587" w14:paraId="45FCA24D" w14:textId="77777777" w:rsidTr="008F1587">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57" w:type="pct"/>
          </w:tcPr>
          <w:p w14:paraId="2FC4E177"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lastRenderedPageBreak/>
              <w:t>20</w:t>
            </w:r>
          </w:p>
        </w:tc>
        <w:tc>
          <w:tcPr>
            <w:tcW w:w="649" w:type="pct"/>
          </w:tcPr>
          <w:p w14:paraId="2F0A6EC5"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Comprehensive analysis document on the performance appraisal results</w:t>
            </w:r>
          </w:p>
        </w:tc>
        <w:tc>
          <w:tcPr>
            <w:tcW w:w="1853" w:type="pct"/>
          </w:tcPr>
          <w:p w14:paraId="3E483B8E"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In order to support improvement of the existing models of performance appraisal comprehensive analysis document on the performance appraisal results was drafted by a local consultant. </w:t>
            </w:r>
          </w:p>
        </w:tc>
        <w:tc>
          <w:tcPr>
            <w:tcW w:w="334" w:type="pct"/>
          </w:tcPr>
          <w:p w14:paraId="74219511"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proofErr w:type="gramStart"/>
            <w:r w:rsidRPr="008F1587">
              <w:rPr>
                <w:rFonts w:ascii="Arial" w:hAnsi="Arial" w:cs="Arial"/>
                <w:sz w:val="20"/>
                <w:szCs w:val="20"/>
                <w:lang w:val="en-US"/>
              </w:rPr>
              <w:t>MoILHSA</w:t>
            </w:r>
            <w:proofErr w:type="spellEnd"/>
            <w:r w:rsidRPr="008F1587">
              <w:rPr>
                <w:rFonts w:ascii="Arial" w:hAnsi="Arial" w:cs="Arial"/>
                <w:sz w:val="20"/>
                <w:szCs w:val="20"/>
                <w:lang w:val="en-US"/>
              </w:rPr>
              <w:t xml:space="preserve">,  </w:t>
            </w:r>
            <w:proofErr w:type="spellStart"/>
            <w:r w:rsidRPr="008F1587">
              <w:rPr>
                <w:rFonts w:ascii="Arial" w:hAnsi="Arial" w:cs="Arial"/>
                <w:sz w:val="20"/>
                <w:szCs w:val="20"/>
                <w:lang w:val="en-US"/>
              </w:rPr>
              <w:t>MoESD</w:t>
            </w:r>
            <w:proofErr w:type="spellEnd"/>
            <w:proofErr w:type="gramEnd"/>
          </w:p>
        </w:tc>
        <w:tc>
          <w:tcPr>
            <w:tcW w:w="433" w:type="pct"/>
          </w:tcPr>
          <w:p w14:paraId="4760AF40"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November 2020 December 2020</w:t>
            </w:r>
          </w:p>
        </w:tc>
        <w:tc>
          <w:tcPr>
            <w:tcW w:w="1572" w:type="pct"/>
          </w:tcPr>
          <w:p w14:paraId="633010A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In order to support improvement of the existing models of performance appraisal, enhancing systems of professional development of civil servants, and increasing the capacities of the line managers in these areas, a comprehensive analysis document on the performance appraisal results and respective recommendations has been elaborated.</w:t>
            </w:r>
          </w:p>
        </w:tc>
      </w:tr>
      <w:tr w:rsidR="008F1587" w:rsidRPr="008F1587" w14:paraId="0B11CC2F" w14:textId="77777777" w:rsidTr="008F1587">
        <w:trPr>
          <w:trHeight w:val="962"/>
        </w:trPr>
        <w:tc>
          <w:tcPr>
            <w:cnfStyle w:val="001000000000" w:firstRow="0" w:lastRow="0" w:firstColumn="1" w:lastColumn="0" w:oddVBand="0" w:evenVBand="0" w:oddHBand="0" w:evenHBand="0" w:firstRowFirstColumn="0" w:firstRowLastColumn="0" w:lastRowFirstColumn="0" w:lastRowLastColumn="0"/>
            <w:tcW w:w="157" w:type="pct"/>
          </w:tcPr>
          <w:p w14:paraId="07EB3B91"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21</w:t>
            </w:r>
          </w:p>
        </w:tc>
        <w:tc>
          <w:tcPr>
            <w:tcW w:w="649" w:type="pct"/>
          </w:tcPr>
          <w:p w14:paraId="6658EA1D"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Concept on the Value, Potential, Limits and Relevance of Mediation</w:t>
            </w:r>
          </w:p>
        </w:tc>
        <w:tc>
          <w:tcPr>
            <w:tcW w:w="1853" w:type="pct"/>
          </w:tcPr>
          <w:p w14:paraId="7C1A3C77"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w:t>
            </w:r>
            <w:proofErr w:type="spellStart"/>
            <w:r w:rsidRPr="008F1587">
              <w:rPr>
                <w:rFonts w:ascii="Arial" w:hAnsi="Arial" w:cs="Arial"/>
                <w:sz w:val="20"/>
                <w:szCs w:val="20"/>
                <w:lang w:val="en-US"/>
              </w:rPr>
              <w:t>GoG</w:t>
            </w:r>
            <w:proofErr w:type="spellEnd"/>
            <w:r w:rsidRPr="008F1587">
              <w:rPr>
                <w:rFonts w:ascii="Arial" w:hAnsi="Arial" w:cs="Arial"/>
                <w:sz w:val="20"/>
                <w:szCs w:val="20"/>
                <w:lang w:val="en-US"/>
              </w:rPr>
              <w:t xml:space="preserve"> is currently confronted with an increased number of disputes raised in the public service. Traditional court litigation, serving as a significant instrument for resolving conflicts in public service, is far too time-consuming for addressing underlying problems promptly and effectively. Therefore, there is a clear need to develop a more diverse and sustainable system of civil service dispute resolution in Georgia, define clear guidelines on dispute management and promote the usage of alternative dispute resolution methods. With this aim, PAR project supports CSB in analyzing workplace disputes and developing relevant recommendations for further improvements in the given area, throughout recent years. </w:t>
            </w:r>
          </w:p>
        </w:tc>
        <w:tc>
          <w:tcPr>
            <w:tcW w:w="334" w:type="pct"/>
          </w:tcPr>
          <w:p w14:paraId="158E8A95"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CSB</w:t>
            </w:r>
          </w:p>
        </w:tc>
        <w:tc>
          <w:tcPr>
            <w:tcW w:w="433" w:type="pct"/>
          </w:tcPr>
          <w:p w14:paraId="18673898"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September 2020 March 2021</w:t>
            </w:r>
          </w:p>
        </w:tc>
        <w:tc>
          <w:tcPr>
            <w:tcW w:w="1572" w:type="pct"/>
          </w:tcPr>
          <w:p w14:paraId="4AF2D71D"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The concept will be drawn upon the study of civil servants’ perceptions and attitudes, existing challenges as well as reflect the relevant legislative framework and will further contribute to better dispute prevention and management processes in Georgia and increase awareness of civil servants thereon. It will also serve as a basis for CSB to plan concrete measures to introduce ADR in civil service throughout 2021 and beyond. </w:t>
            </w:r>
          </w:p>
          <w:p w14:paraId="613360B4" w14:textId="77777777" w:rsidR="008F1587" w:rsidRPr="008F1587" w:rsidRDefault="008F1587" w:rsidP="00FB3FD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8F1587" w:rsidRPr="008F1587" w14:paraId="6C99E582" w14:textId="77777777" w:rsidTr="008F158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57" w:type="pct"/>
          </w:tcPr>
          <w:p w14:paraId="44D2E50A" w14:textId="77777777" w:rsidR="008F1587" w:rsidRPr="001A58F1" w:rsidRDefault="008F1587" w:rsidP="008F1587">
            <w:pPr>
              <w:jc w:val="both"/>
              <w:rPr>
                <w:rFonts w:ascii="Arial" w:hAnsi="Arial" w:cs="Arial"/>
                <w:b w:val="0"/>
                <w:sz w:val="20"/>
                <w:szCs w:val="20"/>
                <w:lang w:val="en-US"/>
              </w:rPr>
            </w:pPr>
            <w:r w:rsidRPr="001A58F1">
              <w:rPr>
                <w:rFonts w:ascii="Arial" w:hAnsi="Arial" w:cs="Arial"/>
                <w:b w:val="0"/>
                <w:sz w:val="20"/>
                <w:szCs w:val="20"/>
                <w:lang w:val="en-US"/>
              </w:rPr>
              <w:t>22</w:t>
            </w:r>
          </w:p>
        </w:tc>
        <w:tc>
          <w:tcPr>
            <w:tcW w:w="649" w:type="pct"/>
          </w:tcPr>
          <w:p w14:paraId="69A992C9"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Promotional Videos for National Risk Communication Strategy  </w:t>
            </w:r>
          </w:p>
        </w:tc>
        <w:tc>
          <w:tcPr>
            <w:tcW w:w="1853" w:type="pct"/>
          </w:tcPr>
          <w:p w14:paraId="29712747"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UNAG collaborated with “Pulse TV” to produce feature reports on the strategy development (original story ran amid the July 16 conference) and 6 instructional/educational videos, including one full tutorial video (12 minutes) for project’s training participants and future users of the strategy/guideline. Mixed-format videos, ranging from ten 1-minute public service announcements to full-scale tutorials, feature prominent doctors and public health professionals, who communicate the key messages, tasks and priorities from the strategy/guideline document in these videos. </w:t>
            </w:r>
          </w:p>
        </w:tc>
        <w:tc>
          <w:tcPr>
            <w:tcW w:w="334" w:type="pct"/>
          </w:tcPr>
          <w:p w14:paraId="74FC84BD"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UNAG, NCDC </w:t>
            </w:r>
          </w:p>
        </w:tc>
        <w:tc>
          <w:tcPr>
            <w:tcW w:w="433" w:type="pct"/>
          </w:tcPr>
          <w:p w14:paraId="167D3E79"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July – December 2020 </w:t>
            </w:r>
          </w:p>
        </w:tc>
        <w:tc>
          <w:tcPr>
            <w:tcW w:w="1572" w:type="pct"/>
          </w:tcPr>
          <w:p w14:paraId="5DD26C84" w14:textId="77777777" w:rsidR="008F1587" w:rsidRPr="008F1587" w:rsidRDefault="008F1587" w:rsidP="00FB3F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F1587">
              <w:rPr>
                <w:rFonts w:ascii="Arial" w:hAnsi="Arial" w:cs="Arial"/>
                <w:sz w:val="20"/>
                <w:szCs w:val="20"/>
                <w:lang w:val="en-US"/>
              </w:rPr>
              <w:t xml:space="preserve">UNAG developed multiple videos with healthcare workers’ participation to promote the key guiding principles of the Strategy among the broader public to be disseminated via NCDC </w:t>
            </w:r>
            <w:hyperlink r:id="rId26" w:history="1">
              <w:r w:rsidRPr="008F1587">
                <w:rPr>
                  <w:rStyle w:val="Hyperlink"/>
                  <w:rFonts w:ascii="Arial" w:hAnsi="Arial" w:cs="Arial"/>
                  <w:sz w:val="20"/>
                  <w:szCs w:val="20"/>
                  <w:lang w:val="en-US"/>
                </w:rPr>
                <w:t>channels</w:t>
              </w:r>
            </w:hyperlink>
            <w:r w:rsidRPr="008F1587">
              <w:rPr>
                <w:rStyle w:val="Hyperlink"/>
                <w:rFonts w:ascii="Arial" w:hAnsi="Arial" w:cs="Arial"/>
                <w:sz w:val="20"/>
                <w:szCs w:val="20"/>
                <w:lang w:val="en-US"/>
              </w:rPr>
              <w:t xml:space="preserve">. </w:t>
            </w:r>
          </w:p>
        </w:tc>
      </w:tr>
    </w:tbl>
    <w:p w14:paraId="53AAC357" w14:textId="067E484B" w:rsidR="00AF1EF3" w:rsidRDefault="00AF1EF3">
      <w:pPr>
        <w:rPr>
          <w:rFonts w:ascii="Lora" w:eastAsiaTheme="majorEastAsia" w:hAnsi="Lora" w:cstheme="majorBidi"/>
          <w:b/>
          <w:bCs/>
          <w:color w:val="345A8A" w:themeColor="accent1" w:themeShade="B5"/>
          <w:sz w:val="32"/>
          <w:szCs w:val="32"/>
          <w:lang w:val="en-GB"/>
        </w:rPr>
      </w:pPr>
    </w:p>
    <w:p w14:paraId="69C55690" w14:textId="77777777" w:rsidR="001A58F1" w:rsidRDefault="001A58F1">
      <w:pPr>
        <w:rPr>
          <w:rFonts w:ascii="Lora" w:eastAsiaTheme="majorEastAsia" w:hAnsi="Lora" w:cstheme="majorBidi"/>
          <w:b/>
          <w:bCs/>
          <w:color w:val="345A8A" w:themeColor="accent1" w:themeShade="B5"/>
          <w:sz w:val="32"/>
          <w:szCs w:val="32"/>
          <w:lang w:val="en-GB"/>
        </w:rPr>
      </w:pPr>
      <w:r>
        <w:rPr>
          <w:rFonts w:ascii="Lora" w:hAnsi="Lora"/>
          <w:lang w:val="en-GB"/>
        </w:rPr>
        <w:br w:type="page"/>
      </w:r>
    </w:p>
    <w:p w14:paraId="488AC052" w14:textId="60A9B659" w:rsidR="00AF1EF3" w:rsidRDefault="00B670BD" w:rsidP="00AF1EF3">
      <w:pPr>
        <w:pStyle w:val="Heading1"/>
        <w:rPr>
          <w:rFonts w:ascii="Lora" w:hAnsi="Lora"/>
          <w:lang w:val="en-GB"/>
        </w:rPr>
      </w:pPr>
      <w:bookmarkStart w:id="61" w:name="_Toc478138893"/>
      <w:r>
        <w:rPr>
          <w:rFonts w:ascii="Lora" w:hAnsi="Lora"/>
          <w:lang w:val="en-GB"/>
        </w:rPr>
        <w:lastRenderedPageBreak/>
        <w:t>Annex L</w:t>
      </w:r>
      <w:r w:rsidR="00AF1EF3">
        <w:rPr>
          <w:rFonts w:ascii="Lora" w:hAnsi="Lora"/>
          <w:lang w:val="en-GB"/>
        </w:rPr>
        <w:t>:</w:t>
      </w:r>
      <w:r w:rsidR="00AF1EF3">
        <w:rPr>
          <w:rFonts w:ascii="Lora" w:hAnsi="Lora"/>
          <w:lang w:val="en-GB"/>
        </w:rPr>
        <w:tab/>
        <w:t>Project Supported e-Services</w:t>
      </w:r>
      <w:bookmarkEnd w:id="61"/>
    </w:p>
    <w:p w14:paraId="008EE71C" w14:textId="77777777" w:rsidR="00AF1EF3" w:rsidRDefault="00AF1EF3" w:rsidP="00AF1EF3"/>
    <w:tbl>
      <w:tblPr>
        <w:tblW w:w="14145" w:type="dxa"/>
        <w:tblInd w:w="93" w:type="dxa"/>
        <w:tblLayout w:type="fixed"/>
        <w:tblLook w:val="04A0" w:firstRow="1" w:lastRow="0" w:firstColumn="1" w:lastColumn="0" w:noHBand="0" w:noVBand="1"/>
      </w:tblPr>
      <w:tblGrid>
        <w:gridCol w:w="780"/>
        <w:gridCol w:w="3735"/>
        <w:gridCol w:w="5220"/>
        <w:gridCol w:w="810"/>
        <w:gridCol w:w="810"/>
        <w:gridCol w:w="720"/>
        <w:gridCol w:w="900"/>
        <w:gridCol w:w="1170"/>
      </w:tblGrid>
      <w:tr w:rsidR="00AF1EF3" w:rsidRPr="00AF1EF3" w14:paraId="53F1B695" w14:textId="77777777" w:rsidTr="00B86F59">
        <w:trPr>
          <w:trHeight w:val="930"/>
          <w:tblHeader/>
        </w:trPr>
        <w:tc>
          <w:tcPr>
            <w:tcW w:w="7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D7123B" w14:textId="77777777" w:rsidR="00AF1EF3" w:rsidRPr="00AF1EF3" w:rsidRDefault="00AF1EF3" w:rsidP="00AF1EF3">
            <w:pPr>
              <w:jc w:val="center"/>
              <w:rPr>
                <w:rFonts w:ascii="Arial" w:eastAsia="Times New Roman" w:hAnsi="Arial" w:cs="Arial"/>
                <w:b/>
                <w:bCs/>
                <w:color w:val="000000"/>
                <w:sz w:val="20"/>
                <w:szCs w:val="20"/>
              </w:rPr>
            </w:pPr>
            <w:r w:rsidRPr="00AF1EF3">
              <w:rPr>
                <w:rFonts w:ascii="Arial" w:eastAsia="Times New Roman" w:hAnsi="Arial" w:cs="Arial"/>
                <w:b/>
                <w:bCs/>
                <w:color w:val="000000"/>
                <w:sz w:val="20"/>
                <w:szCs w:val="20"/>
              </w:rPr>
              <w:t>#</w:t>
            </w:r>
          </w:p>
        </w:tc>
        <w:tc>
          <w:tcPr>
            <w:tcW w:w="3735" w:type="dxa"/>
            <w:tcBorders>
              <w:top w:val="single" w:sz="4" w:space="0" w:color="auto"/>
              <w:left w:val="nil"/>
              <w:bottom w:val="single" w:sz="4" w:space="0" w:color="auto"/>
              <w:right w:val="single" w:sz="4" w:space="0" w:color="auto"/>
            </w:tcBorders>
            <w:shd w:val="clear" w:color="000000" w:fill="D9E1F2"/>
            <w:vAlign w:val="center"/>
            <w:hideMark/>
          </w:tcPr>
          <w:p w14:paraId="26E320E6" w14:textId="77777777" w:rsidR="00AF1EF3" w:rsidRPr="00AF1EF3" w:rsidRDefault="00AF1EF3" w:rsidP="00AF1EF3">
            <w:pPr>
              <w:jc w:val="center"/>
              <w:rPr>
                <w:rFonts w:ascii="Arial" w:eastAsia="Times New Roman" w:hAnsi="Arial" w:cs="Arial"/>
                <w:b/>
                <w:bCs/>
                <w:color w:val="000000"/>
                <w:sz w:val="20"/>
                <w:szCs w:val="20"/>
              </w:rPr>
            </w:pPr>
            <w:r w:rsidRPr="00AF1EF3">
              <w:rPr>
                <w:rFonts w:ascii="Arial" w:eastAsia="Times New Roman" w:hAnsi="Arial" w:cs="Arial"/>
                <w:b/>
                <w:bCs/>
                <w:color w:val="000000"/>
                <w:sz w:val="20"/>
                <w:szCs w:val="20"/>
              </w:rPr>
              <w:t>Service Delivery Agency</w:t>
            </w:r>
          </w:p>
        </w:tc>
        <w:tc>
          <w:tcPr>
            <w:tcW w:w="5220" w:type="dxa"/>
            <w:tcBorders>
              <w:top w:val="single" w:sz="4" w:space="0" w:color="auto"/>
              <w:left w:val="nil"/>
              <w:bottom w:val="single" w:sz="4" w:space="0" w:color="auto"/>
              <w:right w:val="single" w:sz="4" w:space="0" w:color="auto"/>
            </w:tcBorders>
            <w:shd w:val="clear" w:color="000000" w:fill="D9E1F2"/>
            <w:noWrap/>
            <w:vAlign w:val="center"/>
            <w:hideMark/>
          </w:tcPr>
          <w:p w14:paraId="7271EB9F" w14:textId="77777777" w:rsidR="00AF1EF3" w:rsidRPr="00AF1EF3" w:rsidRDefault="00AF1EF3" w:rsidP="00AF1EF3">
            <w:pPr>
              <w:jc w:val="center"/>
              <w:rPr>
                <w:rFonts w:ascii="Arial" w:eastAsia="Times New Roman" w:hAnsi="Arial" w:cs="Arial"/>
                <w:b/>
                <w:bCs/>
                <w:sz w:val="20"/>
                <w:szCs w:val="20"/>
              </w:rPr>
            </w:pPr>
            <w:r w:rsidRPr="00AF1EF3">
              <w:rPr>
                <w:rFonts w:ascii="Arial" w:eastAsia="Times New Roman" w:hAnsi="Arial" w:cs="Arial"/>
                <w:b/>
                <w:bCs/>
                <w:sz w:val="20"/>
                <w:szCs w:val="20"/>
              </w:rPr>
              <w:t>Service</w:t>
            </w:r>
          </w:p>
        </w:tc>
        <w:tc>
          <w:tcPr>
            <w:tcW w:w="810" w:type="dxa"/>
            <w:tcBorders>
              <w:top w:val="single" w:sz="4" w:space="0" w:color="auto"/>
              <w:left w:val="nil"/>
              <w:bottom w:val="single" w:sz="4" w:space="0" w:color="auto"/>
              <w:right w:val="single" w:sz="4" w:space="0" w:color="auto"/>
            </w:tcBorders>
            <w:shd w:val="clear" w:color="000000" w:fill="D9E1F2"/>
            <w:noWrap/>
            <w:vAlign w:val="center"/>
            <w:hideMark/>
          </w:tcPr>
          <w:p w14:paraId="17692B53" w14:textId="77777777" w:rsidR="00AF1EF3" w:rsidRPr="00AF1EF3" w:rsidRDefault="00AF1EF3" w:rsidP="00AF1EF3">
            <w:pPr>
              <w:jc w:val="center"/>
              <w:rPr>
                <w:rFonts w:ascii="Arial" w:eastAsia="Times New Roman" w:hAnsi="Arial" w:cs="Arial"/>
                <w:b/>
                <w:bCs/>
                <w:color w:val="000000"/>
                <w:sz w:val="20"/>
                <w:szCs w:val="20"/>
              </w:rPr>
            </w:pPr>
            <w:r w:rsidRPr="00AF1EF3">
              <w:rPr>
                <w:rFonts w:ascii="Arial" w:eastAsia="Times New Roman" w:hAnsi="Arial" w:cs="Arial"/>
                <w:b/>
                <w:bCs/>
                <w:color w:val="000000"/>
                <w:sz w:val="20"/>
                <w:szCs w:val="20"/>
              </w:rPr>
              <w:t>2016</w:t>
            </w:r>
          </w:p>
        </w:tc>
        <w:tc>
          <w:tcPr>
            <w:tcW w:w="810" w:type="dxa"/>
            <w:tcBorders>
              <w:top w:val="single" w:sz="4" w:space="0" w:color="auto"/>
              <w:left w:val="nil"/>
              <w:bottom w:val="single" w:sz="4" w:space="0" w:color="auto"/>
              <w:right w:val="single" w:sz="4" w:space="0" w:color="auto"/>
            </w:tcBorders>
            <w:shd w:val="clear" w:color="000000" w:fill="D9E1F2"/>
            <w:noWrap/>
            <w:vAlign w:val="center"/>
            <w:hideMark/>
          </w:tcPr>
          <w:p w14:paraId="38AFCCAB" w14:textId="77777777" w:rsidR="00AF1EF3" w:rsidRPr="00AF1EF3" w:rsidRDefault="00AF1EF3" w:rsidP="00AF1EF3">
            <w:pPr>
              <w:jc w:val="center"/>
              <w:rPr>
                <w:rFonts w:ascii="Arial" w:eastAsia="Times New Roman" w:hAnsi="Arial" w:cs="Arial"/>
                <w:b/>
                <w:bCs/>
                <w:color w:val="000000"/>
                <w:sz w:val="20"/>
                <w:szCs w:val="20"/>
              </w:rPr>
            </w:pPr>
            <w:r w:rsidRPr="00AF1EF3">
              <w:rPr>
                <w:rFonts w:ascii="Arial" w:eastAsia="Times New Roman" w:hAnsi="Arial" w:cs="Arial"/>
                <w:b/>
                <w:bCs/>
                <w:color w:val="000000"/>
                <w:sz w:val="20"/>
                <w:szCs w:val="20"/>
              </w:rPr>
              <w:t>2017</w:t>
            </w:r>
          </w:p>
        </w:tc>
        <w:tc>
          <w:tcPr>
            <w:tcW w:w="720" w:type="dxa"/>
            <w:tcBorders>
              <w:top w:val="single" w:sz="4" w:space="0" w:color="auto"/>
              <w:left w:val="nil"/>
              <w:bottom w:val="single" w:sz="4" w:space="0" w:color="auto"/>
              <w:right w:val="single" w:sz="4" w:space="0" w:color="auto"/>
            </w:tcBorders>
            <w:shd w:val="clear" w:color="000000" w:fill="D9E1F2"/>
            <w:noWrap/>
            <w:vAlign w:val="center"/>
            <w:hideMark/>
          </w:tcPr>
          <w:p w14:paraId="4B4B9AD5" w14:textId="77777777" w:rsidR="00AF1EF3" w:rsidRPr="00AF1EF3" w:rsidRDefault="00AF1EF3" w:rsidP="00AF1EF3">
            <w:pPr>
              <w:jc w:val="center"/>
              <w:rPr>
                <w:rFonts w:ascii="Arial" w:eastAsia="Times New Roman" w:hAnsi="Arial" w:cs="Arial"/>
                <w:b/>
                <w:bCs/>
                <w:color w:val="000000"/>
                <w:sz w:val="20"/>
                <w:szCs w:val="20"/>
              </w:rPr>
            </w:pPr>
            <w:r w:rsidRPr="00AF1EF3">
              <w:rPr>
                <w:rFonts w:ascii="Arial" w:eastAsia="Times New Roman" w:hAnsi="Arial" w:cs="Arial"/>
                <w:b/>
                <w:bCs/>
                <w:color w:val="000000"/>
                <w:sz w:val="20"/>
                <w:szCs w:val="20"/>
              </w:rPr>
              <w:t>2018</w:t>
            </w:r>
          </w:p>
        </w:tc>
        <w:tc>
          <w:tcPr>
            <w:tcW w:w="900" w:type="dxa"/>
            <w:tcBorders>
              <w:top w:val="single" w:sz="4" w:space="0" w:color="auto"/>
              <w:left w:val="nil"/>
              <w:bottom w:val="single" w:sz="4" w:space="0" w:color="auto"/>
              <w:right w:val="single" w:sz="4" w:space="0" w:color="auto"/>
            </w:tcBorders>
            <w:shd w:val="clear" w:color="000000" w:fill="D9E1F2"/>
            <w:noWrap/>
            <w:vAlign w:val="center"/>
            <w:hideMark/>
          </w:tcPr>
          <w:p w14:paraId="2E7FA7A2" w14:textId="77777777" w:rsidR="00AF1EF3" w:rsidRPr="00AF1EF3" w:rsidRDefault="00AF1EF3" w:rsidP="00AF1EF3">
            <w:pPr>
              <w:jc w:val="center"/>
              <w:rPr>
                <w:rFonts w:ascii="Arial" w:eastAsia="Times New Roman" w:hAnsi="Arial" w:cs="Arial"/>
                <w:b/>
                <w:bCs/>
                <w:color w:val="000000"/>
                <w:sz w:val="20"/>
                <w:szCs w:val="20"/>
              </w:rPr>
            </w:pPr>
            <w:r w:rsidRPr="00AF1EF3">
              <w:rPr>
                <w:rFonts w:ascii="Arial" w:eastAsia="Times New Roman" w:hAnsi="Arial" w:cs="Arial"/>
                <w:b/>
                <w:bCs/>
                <w:color w:val="000000"/>
                <w:sz w:val="20"/>
                <w:szCs w:val="20"/>
              </w:rPr>
              <w:t>2019</w:t>
            </w:r>
          </w:p>
        </w:tc>
        <w:tc>
          <w:tcPr>
            <w:tcW w:w="1170" w:type="dxa"/>
            <w:tcBorders>
              <w:top w:val="single" w:sz="4" w:space="0" w:color="auto"/>
              <w:left w:val="nil"/>
              <w:bottom w:val="single" w:sz="4" w:space="0" w:color="auto"/>
              <w:right w:val="single" w:sz="4" w:space="0" w:color="auto"/>
            </w:tcBorders>
            <w:shd w:val="clear" w:color="000000" w:fill="D9E1F2"/>
            <w:noWrap/>
            <w:vAlign w:val="center"/>
            <w:hideMark/>
          </w:tcPr>
          <w:p w14:paraId="724ECBEA" w14:textId="77777777" w:rsidR="00AF1EF3" w:rsidRPr="00AF1EF3" w:rsidRDefault="00AF1EF3" w:rsidP="00AF1EF3">
            <w:pPr>
              <w:jc w:val="center"/>
              <w:rPr>
                <w:rFonts w:ascii="Arial" w:eastAsia="Times New Roman" w:hAnsi="Arial" w:cs="Arial"/>
                <w:b/>
                <w:bCs/>
                <w:color w:val="000000"/>
                <w:sz w:val="20"/>
                <w:szCs w:val="20"/>
              </w:rPr>
            </w:pPr>
            <w:r w:rsidRPr="00AF1EF3">
              <w:rPr>
                <w:rFonts w:ascii="Arial" w:eastAsia="Times New Roman" w:hAnsi="Arial" w:cs="Arial"/>
                <w:b/>
                <w:bCs/>
                <w:color w:val="000000"/>
                <w:sz w:val="20"/>
                <w:szCs w:val="20"/>
              </w:rPr>
              <w:t>2020</w:t>
            </w:r>
          </w:p>
        </w:tc>
      </w:tr>
      <w:tr w:rsidR="00AF1EF3" w:rsidRPr="00AF1EF3" w14:paraId="105CCA4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AF6659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c>
          <w:tcPr>
            <w:tcW w:w="3735" w:type="dxa"/>
            <w:tcBorders>
              <w:top w:val="nil"/>
              <w:left w:val="nil"/>
              <w:bottom w:val="single" w:sz="4" w:space="0" w:color="auto"/>
              <w:right w:val="single" w:sz="4" w:space="0" w:color="auto"/>
            </w:tcBorders>
            <w:shd w:val="clear" w:color="auto" w:fill="auto"/>
            <w:noWrap/>
            <w:vAlign w:val="center"/>
            <w:hideMark/>
          </w:tcPr>
          <w:p w14:paraId="59A44E89"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F65C134" w14:textId="3836385B" w:rsidR="00AF1EF3" w:rsidRPr="00AF1EF3" w:rsidRDefault="00AF1EF3" w:rsidP="00AF1EF3">
            <w:pPr>
              <w:rPr>
                <w:rFonts w:ascii="Arial" w:eastAsia="Times New Roman" w:hAnsi="Arial" w:cs="Arial"/>
                <w:color w:val="000000"/>
                <w:sz w:val="20"/>
                <w:szCs w:val="20"/>
              </w:rPr>
            </w:pPr>
            <w:r>
              <w:rPr>
                <w:rFonts w:ascii="Arial" w:eastAsia="Times New Roman" w:hAnsi="Arial" w:cs="Arial"/>
                <w:color w:val="000000"/>
                <w:sz w:val="20"/>
                <w:szCs w:val="20"/>
              </w:rPr>
              <w:t>Issu</w:t>
            </w:r>
            <w:r w:rsidRPr="00AF1EF3">
              <w:rPr>
                <w:rFonts w:ascii="Arial" w:eastAsia="Times New Roman" w:hAnsi="Arial" w:cs="Arial"/>
                <w:color w:val="000000"/>
                <w:sz w:val="20"/>
                <w:szCs w:val="20"/>
              </w:rPr>
              <w:t>ing duplicates of Identity Document (ID)</w:t>
            </w:r>
          </w:p>
        </w:tc>
        <w:tc>
          <w:tcPr>
            <w:tcW w:w="810" w:type="dxa"/>
            <w:tcBorders>
              <w:top w:val="nil"/>
              <w:left w:val="nil"/>
              <w:bottom w:val="single" w:sz="4" w:space="0" w:color="auto"/>
              <w:right w:val="single" w:sz="4" w:space="0" w:color="auto"/>
            </w:tcBorders>
            <w:shd w:val="clear" w:color="auto" w:fill="auto"/>
            <w:noWrap/>
            <w:vAlign w:val="center"/>
            <w:hideMark/>
          </w:tcPr>
          <w:p w14:paraId="4DB19CC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1D8D45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657CB9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12AA84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C86F473" w14:textId="5DD2D55E"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227</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931</w:t>
            </w:r>
          </w:p>
        </w:tc>
      </w:tr>
      <w:tr w:rsidR="00AF1EF3" w:rsidRPr="00AF1EF3" w14:paraId="48DFDE1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2C7D76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p>
        </w:tc>
        <w:tc>
          <w:tcPr>
            <w:tcW w:w="3735" w:type="dxa"/>
            <w:tcBorders>
              <w:top w:val="nil"/>
              <w:left w:val="nil"/>
              <w:bottom w:val="single" w:sz="4" w:space="0" w:color="auto"/>
              <w:right w:val="single" w:sz="4" w:space="0" w:color="auto"/>
            </w:tcBorders>
            <w:shd w:val="clear" w:color="auto" w:fill="auto"/>
            <w:noWrap/>
            <w:vAlign w:val="center"/>
            <w:hideMark/>
          </w:tcPr>
          <w:p w14:paraId="57A0A386"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48AE4297"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Birth and Death Certificates </w:t>
            </w:r>
          </w:p>
        </w:tc>
        <w:tc>
          <w:tcPr>
            <w:tcW w:w="810" w:type="dxa"/>
            <w:tcBorders>
              <w:top w:val="nil"/>
              <w:left w:val="nil"/>
              <w:bottom w:val="single" w:sz="4" w:space="0" w:color="auto"/>
              <w:right w:val="single" w:sz="4" w:space="0" w:color="auto"/>
            </w:tcBorders>
            <w:shd w:val="clear" w:color="auto" w:fill="auto"/>
            <w:noWrap/>
            <w:vAlign w:val="center"/>
            <w:hideMark/>
          </w:tcPr>
          <w:p w14:paraId="603D7EC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236B0E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72C6DD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E7FDE7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A85C4E9" w14:textId="7C505781"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922</w:t>
            </w:r>
          </w:p>
        </w:tc>
      </w:tr>
      <w:tr w:rsidR="00AF1EF3" w:rsidRPr="00AF1EF3" w14:paraId="171F21E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58AC3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p>
        </w:tc>
        <w:tc>
          <w:tcPr>
            <w:tcW w:w="3735" w:type="dxa"/>
            <w:tcBorders>
              <w:top w:val="nil"/>
              <w:left w:val="nil"/>
              <w:bottom w:val="single" w:sz="4" w:space="0" w:color="auto"/>
              <w:right w:val="single" w:sz="4" w:space="0" w:color="auto"/>
            </w:tcBorders>
            <w:shd w:val="clear" w:color="auto" w:fill="auto"/>
            <w:noWrap/>
            <w:vAlign w:val="center"/>
            <w:hideMark/>
          </w:tcPr>
          <w:p w14:paraId="17D498B9"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1F3AEA6" w14:textId="72AFF58B" w:rsidR="00AF1EF3" w:rsidRPr="00AF1EF3" w:rsidRDefault="00AF1EF3" w:rsidP="00AF1EF3">
            <w:pPr>
              <w:rPr>
                <w:rFonts w:ascii="Arial" w:eastAsia="Times New Roman" w:hAnsi="Arial" w:cs="Arial"/>
                <w:color w:val="000000"/>
                <w:sz w:val="20"/>
                <w:szCs w:val="20"/>
              </w:rPr>
            </w:pPr>
            <w:r>
              <w:rPr>
                <w:rFonts w:ascii="Arial" w:eastAsia="Times New Roman" w:hAnsi="Arial" w:cs="Arial"/>
                <w:color w:val="000000"/>
                <w:sz w:val="20"/>
                <w:szCs w:val="20"/>
              </w:rPr>
              <w:t>Issui</w:t>
            </w:r>
            <w:r w:rsidRPr="00AF1EF3">
              <w:rPr>
                <w:rFonts w:ascii="Arial" w:eastAsia="Times New Roman" w:hAnsi="Arial" w:cs="Arial"/>
                <w:color w:val="000000"/>
                <w:sz w:val="20"/>
                <w:szCs w:val="20"/>
              </w:rPr>
              <w:t>ng duplicates of Passport</w:t>
            </w:r>
          </w:p>
        </w:tc>
        <w:tc>
          <w:tcPr>
            <w:tcW w:w="810" w:type="dxa"/>
            <w:tcBorders>
              <w:top w:val="nil"/>
              <w:left w:val="nil"/>
              <w:bottom w:val="single" w:sz="4" w:space="0" w:color="auto"/>
              <w:right w:val="single" w:sz="4" w:space="0" w:color="auto"/>
            </w:tcBorders>
            <w:shd w:val="clear" w:color="auto" w:fill="auto"/>
            <w:noWrap/>
            <w:vAlign w:val="center"/>
            <w:hideMark/>
          </w:tcPr>
          <w:p w14:paraId="0C7FEE0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2DC10B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F7AD5F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6700EA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3EEB193" w14:textId="3139E055"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583</w:t>
            </w:r>
          </w:p>
        </w:tc>
      </w:tr>
      <w:tr w:rsidR="00AF1EF3" w:rsidRPr="00AF1EF3" w14:paraId="5B983EB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063878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p>
        </w:tc>
        <w:tc>
          <w:tcPr>
            <w:tcW w:w="3735" w:type="dxa"/>
            <w:tcBorders>
              <w:top w:val="nil"/>
              <w:left w:val="nil"/>
              <w:bottom w:val="single" w:sz="4" w:space="0" w:color="auto"/>
              <w:right w:val="single" w:sz="4" w:space="0" w:color="auto"/>
            </w:tcBorders>
            <w:shd w:val="clear" w:color="auto" w:fill="auto"/>
            <w:noWrap/>
            <w:vAlign w:val="center"/>
            <w:hideMark/>
          </w:tcPr>
          <w:p w14:paraId="25536199"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AD3E15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Residence Certificate</w:t>
            </w:r>
          </w:p>
        </w:tc>
        <w:tc>
          <w:tcPr>
            <w:tcW w:w="810" w:type="dxa"/>
            <w:tcBorders>
              <w:top w:val="nil"/>
              <w:left w:val="nil"/>
              <w:bottom w:val="single" w:sz="4" w:space="0" w:color="auto"/>
              <w:right w:val="single" w:sz="4" w:space="0" w:color="auto"/>
            </w:tcBorders>
            <w:shd w:val="clear" w:color="auto" w:fill="auto"/>
            <w:noWrap/>
            <w:vAlign w:val="center"/>
            <w:hideMark/>
          </w:tcPr>
          <w:p w14:paraId="7D79316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D6A2CD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D4712E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AAC860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79F76AB" w14:textId="145FE915"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822</w:t>
            </w:r>
          </w:p>
        </w:tc>
      </w:tr>
      <w:tr w:rsidR="00AF1EF3" w:rsidRPr="00AF1EF3" w14:paraId="344C6B1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AAA959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w:t>
            </w:r>
          </w:p>
        </w:tc>
        <w:tc>
          <w:tcPr>
            <w:tcW w:w="3735" w:type="dxa"/>
            <w:tcBorders>
              <w:top w:val="nil"/>
              <w:left w:val="nil"/>
              <w:bottom w:val="single" w:sz="4" w:space="0" w:color="auto"/>
              <w:right w:val="single" w:sz="4" w:space="0" w:color="auto"/>
            </w:tcBorders>
            <w:shd w:val="clear" w:color="auto" w:fill="auto"/>
            <w:noWrap/>
            <w:vAlign w:val="center"/>
            <w:hideMark/>
          </w:tcPr>
          <w:p w14:paraId="7D3AD5DE"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52B8F1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Registration of change of name or/and surname</w:t>
            </w:r>
          </w:p>
        </w:tc>
        <w:tc>
          <w:tcPr>
            <w:tcW w:w="810" w:type="dxa"/>
            <w:tcBorders>
              <w:top w:val="nil"/>
              <w:left w:val="nil"/>
              <w:bottom w:val="single" w:sz="4" w:space="0" w:color="auto"/>
              <w:right w:val="single" w:sz="4" w:space="0" w:color="auto"/>
            </w:tcBorders>
            <w:shd w:val="clear" w:color="auto" w:fill="auto"/>
            <w:noWrap/>
            <w:vAlign w:val="center"/>
            <w:hideMark/>
          </w:tcPr>
          <w:p w14:paraId="031C954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A96D82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7EEF5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53E12B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96073EE" w14:textId="3E7D9A0E"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058</w:t>
            </w:r>
          </w:p>
        </w:tc>
      </w:tr>
      <w:tr w:rsidR="00AF1EF3" w:rsidRPr="00AF1EF3" w14:paraId="3E433B0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2B463C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w:t>
            </w:r>
          </w:p>
        </w:tc>
        <w:tc>
          <w:tcPr>
            <w:tcW w:w="3735" w:type="dxa"/>
            <w:tcBorders>
              <w:top w:val="nil"/>
              <w:left w:val="nil"/>
              <w:bottom w:val="single" w:sz="4" w:space="0" w:color="auto"/>
              <w:right w:val="single" w:sz="4" w:space="0" w:color="auto"/>
            </w:tcBorders>
            <w:shd w:val="clear" w:color="auto" w:fill="auto"/>
            <w:noWrap/>
            <w:vAlign w:val="center"/>
            <w:hideMark/>
          </w:tcPr>
          <w:p w14:paraId="0D65E6FA"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195AB22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Information Note</w:t>
            </w:r>
          </w:p>
        </w:tc>
        <w:tc>
          <w:tcPr>
            <w:tcW w:w="810" w:type="dxa"/>
            <w:tcBorders>
              <w:top w:val="nil"/>
              <w:left w:val="nil"/>
              <w:bottom w:val="single" w:sz="4" w:space="0" w:color="auto"/>
              <w:right w:val="single" w:sz="4" w:space="0" w:color="auto"/>
            </w:tcBorders>
            <w:shd w:val="clear" w:color="auto" w:fill="auto"/>
            <w:noWrap/>
            <w:vAlign w:val="center"/>
            <w:hideMark/>
          </w:tcPr>
          <w:p w14:paraId="477157E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245718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1D20847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3865C7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496F509" w14:textId="738BD33D"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760</w:t>
            </w:r>
          </w:p>
        </w:tc>
      </w:tr>
      <w:tr w:rsidR="00AF1EF3" w:rsidRPr="00AF1EF3" w14:paraId="5E762E27"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43B5BF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w:t>
            </w:r>
          </w:p>
        </w:tc>
        <w:tc>
          <w:tcPr>
            <w:tcW w:w="3735" w:type="dxa"/>
            <w:tcBorders>
              <w:top w:val="nil"/>
              <w:left w:val="nil"/>
              <w:bottom w:val="single" w:sz="4" w:space="0" w:color="auto"/>
              <w:right w:val="single" w:sz="4" w:space="0" w:color="auto"/>
            </w:tcBorders>
            <w:shd w:val="clear" w:color="auto" w:fill="auto"/>
            <w:noWrap/>
            <w:vAlign w:val="center"/>
            <w:hideMark/>
          </w:tcPr>
          <w:p w14:paraId="644330C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0B3F2C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Certificate on the Number of Residents</w:t>
            </w:r>
          </w:p>
        </w:tc>
        <w:tc>
          <w:tcPr>
            <w:tcW w:w="810" w:type="dxa"/>
            <w:tcBorders>
              <w:top w:val="nil"/>
              <w:left w:val="nil"/>
              <w:bottom w:val="single" w:sz="4" w:space="0" w:color="auto"/>
              <w:right w:val="single" w:sz="4" w:space="0" w:color="auto"/>
            </w:tcBorders>
            <w:shd w:val="clear" w:color="auto" w:fill="auto"/>
            <w:noWrap/>
            <w:vAlign w:val="center"/>
            <w:hideMark/>
          </w:tcPr>
          <w:p w14:paraId="1276838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79FCE5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8BAF8B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7E378D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C9EAD96" w14:textId="5633C84A"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661</w:t>
            </w:r>
          </w:p>
        </w:tc>
      </w:tr>
      <w:tr w:rsidR="00AF1EF3" w:rsidRPr="00AF1EF3" w14:paraId="319FB28E"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6D5862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w:t>
            </w:r>
          </w:p>
        </w:tc>
        <w:tc>
          <w:tcPr>
            <w:tcW w:w="3735" w:type="dxa"/>
            <w:tcBorders>
              <w:top w:val="nil"/>
              <w:left w:val="nil"/>
              <w:bottom w:val="single" w:sz="4" w:space="0" w:color="auto"/>
              <w:right w:val="single" w:sz="4" w:space="0" w:color="auto"/>
            </w:tcBorders>
            <w:shd w:val="clear" w:color="auto" w:fill="auto"/>
            <w:noWrap/>
            <w:vAlign w:val="center"/>
            <w:hideMark/>
          </w:tcPr>
          <w:p w14:paraId="7887726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7F3CF87D"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Registering the change of name/surname</w:t>
            </w:r>
          </w:p>
        </w:tc>
        <w:tc>
          <w:tcPr>
            <w:tcW w:w="810" w:type="dxa"/>
            <w:tcBorders>
              <w:top w:val="nil"/>
              <w:left w:val="nil"/>
              <w:bottom w:val="single" w:sz="4" w:space="0" w:color="auto"/>
              <w:right w:val="single" w:sz="4" w:space="0" w:color="auto"/>
            </w:tcBorders>
            <w:shd w:val="clear" w:color="auto" w:fill="auto"/>
            <w:noWrap/>
            <w:vAlign w:val="center"/>
            <w:hideMark/>
          </w:tcPr>
          <w:p w14:paraId="6115C53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B3C189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B89110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45E48A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015064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546</w:t>
            </w:r>
          </w:p>
        </w:tc>
      </w:tr>
      <w:tr w:rsidR="00AF1EF3" w:rsidRPr="00AF1EF3" w14:paraId="2A4CE6C7"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691D1B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w:t>
            </w:r>
          </w:p>
        </w:tc>
        <w:tc>
          <w:tcPr>
            <w:tcW w:w="3735" w:type="dxa"/>
            <w:tcBorders>
              <w:top w:val="nil"/>
              <w:left w:val="nil"/>
              <w:bottom w:val="single" w:sz="4" w:space="0" w:color="auto"/>
              <w:right w:val="single" w:sz="4" w:space="0" w:color="auto"/>
            </w:tcBorders>
            <w:shd w:val="clear" w:color="auto" w:fill="auto"/>
            <w:noWrap/>
            <w:vAlign w:val="center"/>
            <w:hideMark/>
          </w:tcPr>
          <w:p w14:paraId="33275B6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7EA7D4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Status-Neutral ID</w:t>
            </w:r>
          </w:p>
        </w:tc>
        <w:tc>
          <w:tcPr>
            <w:tcW w:w="810" w:type="dxa"/>
            <w:tcBorders>
              <w:top w:val="nil"/>
              <w:left w:val="nil"/>
              <w:bottom w:val="single" w:sz="4" w:space="0" w:color="auto"/>
              <w:right w:val="single" w:sz="4" w:space="0" w:color="auto"/>
            </w:tcBorders>
            <w:shd w:val="clear" w:color="auto" w:fill="auto"/>
            <w:noWrap/>
            <w:vAlign w:val="center"/>
            <w:hideMark/>
          </w:tcPr>
          <w:p w14:paraId="49D4ADC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F1AE8A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65D490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3C8830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E56FDA1" w14:textId="1B97A5E9"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930</w:t>
            </w:r>
          </w:p>
        </w:tc>
      </w:tr>
      <w:tr w:rsidR="00AF1EF3" w:rsidRPr="00AF1EF3" w14:paraId="65C3B24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33E193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w:t>
            </w:r>
          </w:p>
        </w:tc>
        <w:tc>
          <w:tcPr>
            <w:tcW w:w="3735" w:type="dxa"/>
            <w:tcBorders>
              <w:top w:val="nil"/>
              <w:left w:val="nil"/>
              <w:bottom w:val="single" w:sz="4" w:space="0" w:color="auto"/>
              <w:right w:val="single" w:sz="4" w:space="0" w:color="auto"/>
            </w:tcBorders>
            <w:shd w:val="clear" w:color="auto" w:fill="auto"/>
            <w:noWrap/>
            <w:vAlign w:val="center"/>
            <w:hideMark/>
          </w:tcPr>
          <w:p w14:paraId="605B14C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2139B59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Certificate on Absence of Circumstances Impedimental to Marriage</w:t>
            </w:r>
          </w:p>
        </w:tc>
        <w:tc>
          <w:tcPr>
            <w:tcW w:w="810" w:type="dxa"/>
            <w:tcBorders>
              <w:top w:val="nil"/>
              <w:left w:val="nil"/>
              <w:bottom w:val="single" w:sz="4" w:space="0" w:color="auto"/>
              <w:right w:val="single" w:sz="4" w:space="0" w:color="auto"/>
            </w:tcBorders>
            <w:shd w:val="clear" w:color="auto" w:fill="auto"/>
            <w:noWrap/>
            <w:vAlign w:val="center"/>
            <w:hideMark/>
          </w:tcPr>
          <w:p w14:paraId="3DF7654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6F41F7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E68028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736D1C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D19E719" w14:textId="23C4AC1F"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229</w:t>
            </w:r>
          </w:p>
        </w:tc>
      </w:tr>
      <w:tr w:rsidR="00AF1EF3" w:rsidRPr="00AF1EF3" w14:paraId="684E5CE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F9C168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w:t>
            </w:r>
          </w:p>
        </w:tc>
        <w:tc>
          <w:tcPr>
            <w:tcW w:w="3735" w:type="dxa"/>
            <w:tcBorders>
              <w:top w:val="nil"/>
              <w:left w:val="nil"/>
              <w:bottom w:val="single" w:sz="4" w:space="0" w:color="auto"/>
              <w:right w:val="single" w:sz="4" w:space="0" w:color="auto"/>
            </w:tcBorders>
            <w:shd w:val="clear" w:color="auto" w:fill="auto"/>
            <w:noWrap/>
            <w:vAlign w:val="center"/>
            <w:hideMark/>
          </w:tcPr>
          <w:p w14:paraId="4218273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33A5F081"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Consent to the issues of the PSDA</w:t>
            </w:r>
          </w:p>
        </w:tc>
        <w:tc>
          <w:tcPr>
            <w:tcW w:w="810" w:type="dxa"/>
            <w:tcBorders>
              <w:top w:val="nil"/>
              <w:left w:val="nil"/>
              <w:bottom w:val="single" w:sz="4" w:space="0" w:color="auto"/>
              <w:right w:val="single" w:sz="4" w:space="0" w:color="auto"/>
            </w:tcBorders>
            <w:shd w:val="clear" w:color="auto" w:fill="auto"/>
            <w:noWrap/>
            <w:vAlign w:val="center"/>
            <w:hideMark/>
          </w:tcPr>
          <w:p w14:paraId="0008583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B2BDC5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CAFCFB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FC081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7260303" w14:textId="4B0BD7E2"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177</w:t>
            </w:r>
          </w:p>
        </w:tc>
      </w:tr>
      <w:tr w:rsidR="00AF1EF3" w:rsidRPr="00AF1EF3" w14:paraId="3F631270"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14E3F4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w:t>
            </w:r>
          </w:p>
        </w:tc>
        <w:tc>
          <w:tcPr>
            <w:tcW w:w="3735" w:type="dxa"/>
            <w:tcBorders>
              <w:top w:val="nil"/>
              <w:left w:val="nil"/>
              <w:bottom w:val="single" w:sz="4" w:space="0" w:color="auto"/>
              <w:right w:val="single" w:sz="4" w:space="0" w:color="auto"/>
            </w:tcBorders>
            <w:shd w:val="clear" w:color="auto" w:fill="auto"/>
            <w:noWrap/>
            <w:vAlign w:val="center"/>
            <w:hideMark/>
          </w:tcPr>
          <w:p w14:paraId="51DED705"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6CEBAC30"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Acquisition of Georgian citizenship</w:t>
            </w:r>
          </w:p>
        </w:tc>
        <w:tc>
          <w:tcPr>
            <w:tcW w:w="810" w:type="dxa"/>
            <w:tcBorders>
              <w:top w:val="nil"/>
              <w:left w:val="nil"/>
              <w:bottom w:val="single" w:sz="4" w:space="0" w:color="auto"/>
              <w:right w:val="single" w:sz="4" w:space="0" w:color="auto"/>
            </w:tcBorders>
            <w:shd w:val="clear" w:color="auto" w:fill="auto"/>
            <w:noWrap/>
            <w:vAlign w:val="center"/>
            <w:hideMark/>
          </w:tcPr>
          <w:p w14:paraId="2839915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388AF3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DB67BD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CB9BD0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C965C63" w14:textId="2065E2E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265</w:t>
            </w:r>
          </w:p>
        </w:tc>
      </w:tr>
      <w:tr w:rsidR="00AF1EF3" w:rsidRPr="00AF1EF3" w14:paraId="6F4E0F9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6C72FA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w:t>
            </w:r>
          </w:p>
        </w:tc>
        <w:tc>
          <w:tcPr>
            <w:tcW w:w="3735" w:type="dxa"/>
            <w:tcBorders>
              <w:top w:val="nil"/>
              <w:left w:val="nil"/>
              <w:bottom w:val="single" w:sz="4" w:space="0" w:color="auto"/>
              <w:right w:val="single" w:sz="4" w:space="0" w:color="auto"/>
            </w:tcBorders>
            <w:shd w:val="clear" w:color="auto" w:fill="auto"/>
            <w:noWrap/>
            <w:vAlign w:val="center"/>
            <w:hideMark/>
          </w:tcPr>
          <w:p w14:paraId="327CC349"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775C8D4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Retention of Georgian citizenship</w:t>
            </w:r>
          </w:p>
        </w:tc>
        <w:tc>
          <w:tcPr>
            <w:tcW w:w="810" w:type="dxa"/>
            <w:tcBorders>
              <w:top w:val="nil"/>
              <w:left w:val="nil"/>
              <w:bottom w:val="single" w:sz="4" w:space="0" w:color="auto"/>
              <w:right w:val="single" w:sz="4" w:space="0" w:color="auto"/>
            </w:tcBorders>
            <w:shd w:val="clear" w:color="auto" w:fill="auto"/>
            <w:noWrap/>
            <w:vAlign w:val="center"/>
            <w:hideMark/>
          </w:tcPr>
          <w:p w14:paraId="34A4BAC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E9D4F9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4020BC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D8B6BB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8AF7CA8" w14:textId="7FBE7DAC"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247</w:t>
            </w:r>
          </w:p>
        </w:tc>
      </w:tr>
      <w:tr w:rsidR="00AF1EF3" w:rsidRPr="00AF1EF3" w14:paraId="733FFFDB"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0B84C6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14</w:t>
            </w:r>
          </w:p>
        </w:tc>
        <w:tc>
          <w:tcPr>
            <w:tcW w:w="3735" w:type="dxa"/>
            <w:tcBorders>
              <w:top w:val="nil"/>
              <w:left w:val="nil"/>
              <w:bottom w:val="single" w:sz="4" w:space="0" w:color="auto"/>
              <w:right w:val="single" w:sz="4" w:space="0" w:color="auto"/>
            </w:tcBorders>
            <w:shd w:val="clear" w:color="auto" w:fill="auto"/>
            <w:noWrap/>
            <w:vAlign w:val="center"/>
            <w:hideMark/>
          </w:tcPr>
          <w:p w14:paraId="5956CDE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7226C8C6" w14:textId="663ACC36"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Granting citizenship of Georgia through an exe</w:t>
            </w:r>
            <w:r>
              <w:rPr>
                <w:rFonts w:ascii="Arial" w:eastAsia="Times New Roman" w:hAnsi="Arial" w:cs="Arial"/>
                <w:sz w:val="20"/>
                <w:szCs w:val="20"/>
              </w:rPr>
              <w:t>m</w:t>
            </w:r>
            <w:r w:rsidRPr="00AF1EF3">
              <w:rPr>
                <w:rFonts w:ascii="Arial" w:eastAsia="Times New Roman" w:hAnsi="Arial" w:cs="Arial"/>
                <w:sz w:val="20"/>
                <w:szCs w:val="20"/>
              </w:rPr>
              <w:t>pted rule</w:t>
            </w:r>
          </w:p>
        </w:tc>
        <w:tc>
          <w:tcPr>
            <w:tcW w:w="810" w:type="dxa"/>
            <w:tcBorders>
              <w:top w:val="nil"/>
              <w:left w:val="nil"/>
              <w:bottom w:val="single" w:sz="4" w:space="0" w:color="auto"/>
              <w:right w:val="single" w:sz="4" w:space="0" w:color="auto"/>
            </w:tcBorders>
            <w:shd w:val="clear" w:color="auto" w:fill="auto"/>
            <w:noWrap/>
            <w:vAlign w:val="center"/>
            <w:hideMark/>
          </w:tcPr>
          <w:p w14:paraId="54F13F4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616520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15697D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20BC1C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8161C14" w14:textId="49E833CF"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007</w:t>
            </w:r>
          </w:p>
        </w:tc>
      </w:tr>
      <w:tr w:rsidR="00AF1EF3" w:rsidRPr="00AF1EF3" w14:paraId="33CF91AF"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947778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15</w:t>
            </w:r>
          </w:p>
        </w:tc>
        <w:tc>
          <w:tcPr>
            <w:tcW w:w="3735" w:type="dxa"/>
            <w:tcBorders>
              <w:top w:val="nil"/>
              <w:left w:val="nil"/>
              <w:bottom w:val="single" w:sz="4" w:space="0" w:color="auto"/>
              <w:right w:val="single" w:sz="4" w:space="0" w:color="auto"/>
            </w:tcBorders>
            <w:shd w:val="clear" w:color="auto" w:fill="auto"/>
            <w:noWrap/>
            <w:vAlign w:val="center"/>
            <w:hideMark/>
          </w:tcPr>
          <w:p w14:paraId="45C189BA"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2CCD7F0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the power of attorney on PSDA matters</w:t>
            </w:r>
          </w:p>
        </w:tc>
        <w:tc>
          <w:tcPr>
            <w:tcW w:w="810" w:type="dxa"/>
            <w:tcBorders>
              <w:top w:val="nil"/>
              <w:left w:val="nil"/>
              <w:bottom w:val="single" w:sz="4" w:space="0" w:color="auto"/>
              <w:right w:val="single" w:sz="4" w:space="0" w:color="auto"/>
            </w:tcBorders>
            <w:shd w:val="clear" w:color="auto" w:fill="auto"/>
            <w:noWrap/>
            <w:vAlign w:val="center"/>
            <w:hideMark/>
          </w:tcPr>
          <w:p w14:paraId="628E52C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90AA17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7E03D4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09B7C5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7FF2F8A" w14:textId="6C185DA5"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561</w:t>
            </w:r>
          </w:p>
        </w:tc>
      </w:tr>
      <w:tr w:rsidR="00AF1EF3" w:rsidRPr="00AF1EF3" w14:paraId="3B156DB7"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D14A42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16</w:t>
            </w:r>
          </w:p>
        </w:tc>
        <w:tc>
          <w:tcPr>
            <w:tcW w:w="3735" w:type="dxa"/>
            <w:tcBorders>
              <w:top w:val="nil"/>
              <w:left w:val="nil"/>
              <w:bottom w:val="single" w:sz="4" w:space="0" w:color="auto"/>
              <w:right w:val="single" w:sz="4" w:space="0" w:color="auto"/>
            </w:tcBorders>
            <w:shd w:val="clear" w:color="auto" w:fill="auto"/>
            <w:noWrap/>
            <w:vAlign w:val="center"/>
            <w:hideMark/>
          </w:tcPr>
          <w:p w14:paraId="5BEAC4EF"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891F15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Emigration Permit</w:t>
            </w:r>
          </w:p>
        </w:tc>
        <w:tc>
          <w:tcPr>
            <w:tcW w:w="810" w:type="dxa"/>
            <w:tcBorders>
              <w:top w:val="nil"/>
              <w:left w:val="nil"/>
              <w:bottom w:val="single" w:sz="4" w:space="0" w:color="auto"/>
              <w:right w:val="single" w:sz="4" w:space="0" w:color="auto"/>
            </w:tcBorders>
            <w:shd w:val="clear" w:color="auto" w:fill="auto"/>
            <w:noWrap/>
            <w:vAlign w:val="center"/>
            <w:hideMark/>
          </w:tcPr>
          <w:p w14:paraId="71E3B13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712E12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A53678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CB8B81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57BD7D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590</w:t>
            </w:r>
          </w:p>
        </w:tc>
      </w:tr>
      <w:tr w:rsidR="00AF1EF3" w:rsidRPr="00AF1EF3" w14:paraId="769298FA"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01EC7F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17</w:t>
            </w:r>
          </w:p>
        </w:tc>
        <w:tc>
          <w:tcPr>
            <w:tcW w:w="3735" w:type="dxa"/>
            <w:tcBorders>
              <w:top w:val="nil"/>
              <w:left w:val="nil"/>
              <w:bottom w:val="single" w:sz="4" w:space="0" w:color="auto"/>
              <w:right w:val="single" w:sz="4" w:space="0" w:color="auto"/>
            </w:tcBorders>
            <w:shd w:val="clear" w:color="auto" w:fill="auto"/>
            <w:noWrap/>
            <w:vAlign w:val="center"/>
            <w:hideMark/>
          </w:tcPr>
          <w:p w14:paraId="77E946CF"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4B4E605F"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Abandonment of Citizenship of Georgia</w:t>
            </w:r>
          </w:p>
        </w:tc>
        <w:tc>
          <w:tcPr>
            <w:tcW w:w="810" w:type="dxa"/>
            <w:tcBorders>
              <w:top w:val="nil"/>
              <w:left w:val="nil"/>
              <w:bottom w:val="single" w:sz="4" w:space="0" w:color="auto"/>
              <w:right w:val="single" w:sz="4" w:space="0" w:color="auto"/>
            </w:tcBorders>
            <w:shd w:val="clear" w:color="auto" w:fill="auto"/>
            <w:noWrap/>
            <w:vAlign w:val="center"/>
            <w:hideMark/>
          </w:tcPr>
          <w:p w14:paraId="18D3E90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49F036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351CB0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3E5974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9E8E47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479</w:t>
            </w:r>
          </w:p>
        </w:tc>
      </w:tr>
      <w:tr w:rsidR="00AF1EF3" w:rsidRPr="00AF1EF3" w14:paraId="452B9F94"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039B8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18</w:t>
            </w:r>
          </w:p>
        </w:tc>
        <w:tc>
          <w:tcPr>
            <w:tcW w:w="3735" w:type="dxa"/>
            <w:tcBorders>
              <w:top w:val="nil"/>
              <w:left w:val="nil"/>
              <w:bottom w:val="single" w:sz="4" w:space="0" w:color="auto"/>
              <w:right w:val="single" w:sz="4" w:space="0" w:color="auto"/>
            </w:tcBorders>
            <w:shd w:val="clear" w:color="auto" w:fill="auto"/>
            <w:noWrap/>
            <w:vAlign w:val="center"/>
            <w:hideMark/>
          </w:tcPr>
          <w:p w14:paraId="3272EC8D"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7DE9BAF4"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Award of citizenship of Georgia under restoration procedure</w:t>
            </w:r>
          </w:p>
        </w:tc>
        <w:tc>
          <w:tcPr>
            <w:tcW w:w="810" w:type="dxa"/>
            <w:tcBorders>
              <w:top w:val="nil"/>
              <w:left w:val="nil"/>
              <w:bottom w:val="single" w:sz="4" w:space="0" w:color="auto"/>
              <w:right w:val="single" w:sz="4" w:space="0" w:color="auto"/>
            </w:tcBorders>
            <w:shd w:val="clear" w:color="auto" w:fill="auto"/>
            <w:noWrap/>
            <w:vAlign w:val="center"/>
            <w:hideMark/>
          </w:tcPr>
          <w:p w14:paraId="0AB62BC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9B99AE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078593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402C5B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68665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985</w:t>
            </w:r>
          </w:p>
        </w:tc>
      </w:tr>
      <w:tr w:rsidR="00AF1EF3" w:rsidRPr="00AF1EF3" w14:paraId="52342A3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595C78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19</w:t>
            </w:r>
          </w:p>
        </w:tc>
        <w:tc>
          <w:tcPr>
            <w:tcW w:w="3735" w:type="dxa"/>
            <w:tcBorders>
              <w:top w:val="nil"/>
              <w:left w:val="nil"/>
              <w:bottom w:val="single" w:sz="4" w:space="0" w:color="auto"/>
              <w:right w:val="single" w:sz="4" w:space="0" w:color="auto"/>
            </w:tcBorders>
            <w:shd w:val="clear" w:color="auto" w:fill="auto"/>
            <w:noWrap/>
            <w:vAlign w:val="center"/>
            <w:hideMark/>
          </w:tcPr>
          <w:p w14:paraId="4E14934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6631A0F"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Granting a status of compatriot residing abroad</w:t>
            </w:r>
          </w:p>
        </w:tc>
        <w:tc>
          <w:tcPr>
            <w:tcW w:w="810" w:type="dxa"/>
            <w:tcBorders>
              <w:top w:val="nil"/>
              <w:left w:val="nil"/>
              <w:bottom w:val="single" w:sz="4" w:space="0" w:color="auto"/>
              <w:right w:val="single" w:sz="4" w:space="0" w:color="auto"/>
            </w:tcBorders>
            <w:shd w:val="clear" w:color="auto" w:fill="auto"/>
            <w:noWrap/>
            <w:vAlign w:val="center"/>
            <w:hideMark/>
          </w:tcPr>
          <w:p w14:paraId="22EB705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D4096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1CBA35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C45FB0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3BCEF4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428</w:t>
            </w:r>
          </w:p>
        </w:tc>
      </w:tr>
      <w:tr w:rsidR="00AF1EF3" w:rsidRPr="00AF1EF3" w14:paraId="088B23E5"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6438AD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20</w:t>
            </w:r>
          </w:p>
        </w:tc>
        <w:tc>
          <w:tcPr>
            <w:tcW w:w="3735" w:type="dxa"/>
            <w:tcBorders>
              <w:top w:val="nil"/>
              <w:left w:val="nil"/>
              <w:bottom w:val="single" w:sz="4" w:space="0" w:color="auto"/>
              <w:right w:val="single" w:sz="4" w:space="0" w:color="auto"/>
            </w:tcBorders>
            <w:shd w:val="clear" w:color="auto" w:fill="auto"/>
            <w:noWrap/>
            <w:vAlign w:val="center"/>
            <w:hideMark/>
          </w:tcPr>
          <w:p w14:paraId="5833442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41CAA6BF"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a person living in the occupied territories and assignment of a personal number</w:t>
            </w:r>
          </w:p>
        </w:tc>
        <w:tc>
          <w:tcPr>
            <w:tcW w:w="810" w:type="dxa"/>
            <w:tcBorders>
              <w:top w:val="nil"/>
              <w:left w:val="nil"/>
              <w:bottom w:val="single" w:sz="4" w:space="0" w:color="auto"/>
              <w:right w:val="single" w:sz="4" w:space="0" w:color="auto"/>
            </w:tcBorders>
            <w:shd w:val="clear" w:color="auto" w:fill="auto"/>
            <w:noWrap/>
            <w:vAlign w:val="center"/>
            <w:hideMark/>
          </w:tcPr>
          <w:p w14:paraId="166BBCA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E317FF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C0778D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5B3432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923AC0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354</w:t>
            </w:r>
          </w:p>
        </w:tc>
      </w:tr>
      <w:tr w:rsidR="00AF1EF3" w:rsidRPr="00AF1EF3" w14:paraId="131FBEB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CECC72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21</w:t>
            </w:r>
          </w:p>
        </w:tc>
        <w:tc>
          <w:tcPr>
            <w:tcW w:w="3735" w:type="dxa"/>
            <w:tcBorders>
              <w:top w:val="nil"/>
              <w:left w:val="nil"/>
              <w:bottom w:val="single" w:sz="4" w:space="0" w:color="auto"/>
              <w:right w:val="single" w:sz="4" w:space="0" w:color="auto"/>
            </w:tcBorders>
            <w:shd w:val="clear" w:color="auto" w:fill="auto"/>
            <w:noWrap/>
            <w:vAlign w:val="center"/>
            <w:hideMark/>
          </w:tcPr>
          <w:p w14:paraId="02A02D03"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5EB6E6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Status-neutral Travel Document</w:t>
            </w:r>
          </w:p>
        </w:tc>
        <w:tc>
          <w:tcPr>
            <w:tcW w:w="810" w:type="dxa"/>
            <w:tcBorders>
              <w:top w:val="nil"/>
              <w:left w:val="nil"/>
              <w:bottom w:val="single" w:sz="4" w:space="0" w:color="auto"/>
              <w:right w:val="single" w:sz="4" w:space="0" w:color="auto"/>
            </w:tcBorders>
            <w:shd w:val="clear" w:color="auto" w:fill="auto"/>
            <w:noWrap/>
            <w:vAlign w:val="center"/>
            <w:hideMark/>
          </w:tcPr>
          <w:p w14:paraId="43F76CF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61C20C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021BB4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91B200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0A7DEE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474</w:t>
            </w:r>
          </w:p>
        </w:tc>
      </w:tr>
      <w:tr w:rsidR="00AF1EF3" w:rsidRPr="00AF1EF3" w14:paraId="2910B996"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3E3D75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22</w:t>
            </w:r>
          </w:p>
        </w:tc>
        <w:tc>
          <w:tcPr>
            <w:tcW w:w="3735" w:type="dxa"/>
            <w:tcBorders>
              <w:top w:val="nil"/>
              <w:left w:val="nil"/>
              <w:bottom w:val="single" w:sz="4" w:space="0" w:color="auto"/>
              <w:right w:val="single" w:sz="4" w:space="0" w:color="auto"/>
            </w:tcBorders>
            <w:shd w:val="clear" w:color="auto" w:fill="auto"/>
            <w:noWrap/>
            <w:vAlign w:val="center"/>
            <w:hideMark/>
          </w:tcPr>
          <w:p w14:paraId="16C9A157"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03F53E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Postponing the obligation to leave Georgia</w:t>
            </w:r>
          </w:p>
        </w:tc>
        <w:tc>
          <w:tcPr>
            <w:tcW w:w="810" w:type="dxa"/>
            <w:tcBorders>
              <w:top w:val="nil"/>
              <w:left w:val="nil"/>
              <w:bottom w:val="single" w:sz="4" w:space="0" w:color="auto"/>
              <w:right w:val="single" w:sz="4" w:space="0" w:color="auto"/>
            </w:tcBorders>
            <w:shd w:val="clear" w:color="auto" w:fill="auto"/>
            <w:noWrap/>
            <w:vAlign w:val="center"/>
            <w:hideMark/>
          </w:tcPr>
          <w:p w14:paraId="2883BCA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0EA5CA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19F0DBF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8336B2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7A2512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566</w:t>
            </w:r>
          </w:p>
        </w:tc>
      </w:tr>
      <w:tr w:rsidR="00AF1EF3" w:rsidRPr="00AF1EF3" w14:paraId="519D794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1AC76C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23</w:t>
            </w:r>
          </w:p>
        </w:tc>
        <w:tc>
          <w:tcPr>
            <w:tcW w:w="3735" w:type="dxa"/>
            <w:tcBorders>
              <w:top w:val="nil"/>
              <w:left w:val="nil"/>
              <w:bottom w:val="single" w:sz="4" w:space="0" w:color="auto"/>
              <w:right w:val="single" w:sz="4" w:space="0" w:color="auto"/>
            </w:tcBorders>
            <w:shd w:val="clear" w:color="auto" w:fill="auto"/>
            <w:noWrap/>
            <w:vAlign w:val="center"/>
            <w:hideMark/>
          </w:tcPr>
          <w:p w14:paraId="5054739F"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2E48CBB"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Marriage Registration</w:t>
            </w:r>
          </w:p>
        </w:tc>
        <w:tc>
          <w:tcPr>
            <w:tcW w:w="810" w:type="dxa"/>
            <w:tcBorders>
              <w:top w:val="nil"/>
              <w:left w:val="nil"/>
              <w:bottom w:val="single" w:sz="4" w:space="0" w:color="auto"/>
              <w:right w:val="single" w:sz="4" w:space="0" w:color="auto"/>
            </w:tcBorders>
            <w:shd w:val="clear" w:color="auto" w:fill="auto"/>
            <w:noWrap/>
            <w:vAlign w:val="center"/>
            <w:hideMark/>
          </w:tcPr>
          <w:p w14:paraId="24F7B6F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E3374E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717B05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2D4897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EAB6DBB" w14:textId="7DCD6DC9"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313</w:t>
            </w:r>
          </w:p>
        </w:tc>
      </w:tr>
      <w:tr w:rsidR="00AF1EF3" w:rsidRPr="00AF1EF3" w14:paraId="5DBF548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14334B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lastRenderedPageBreak/>
              <w:t>24</w:t>
            </w:r>
          </w:p>
        </w:tc>
        <w:tc>
          <w:tcPr>
            <w:tcW w:w="3735" w:type="dxa"/>
            <w:tcBorders>
              <w:top w:val="nil"/>
              <w:left w:val="nil"/>
              <w:bottom w:val="single" w:sz="4" w:space="0" w:color="auto"/>
              <w:right w:val="single" w:sz="4" w:space="0" w:color="auto"/>
            </w:tcBorders>
            <w:shd w:val="clear" w:color="auto" w:fill="auto"/>
            <w:noWrap/>
            <w:vAlign w:val="center"/>
            <w:hideMark/>
          </w:tcPr>
          <w:p w14:paraId="2A49739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EE378E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Divorce Registration</w:t>
            </w:r>
          </w:p>
        </w:tc>
        <w:tc>
          <w:tcPr>
            <w:tcW w:w="810" w:type="dxa"/>
            <w:tcBorders>
              <w:top w:val="nil"/>
              <w:left w:val="nil"/>
              <w:bottom w:val="single" w:sz="4" w:space="0" w:color="auto"/>
              <w:right w:val="single" w:sz="4" w:space="0" w:color="auto"/>
            </w:tcBorders>
            <w:shd w:val="clear" w:color="auto" w:fill="auto"/>
            <w:noWrap/>
            <w:vAlign w:val="center"/>
            <w:hideMark/>
          </w:tcPr>
          <w:p w14:paraId="57A175E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83600A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AC3F4A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A8DEA1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15B119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237</w:t>
            </w:r>
          </w:p>
        </w:tc>
      </w:tr>
      <w:tr w:rsidR="00AF1EF3" w:rsidRPr="00AF1EF3" w14:paraId="69B1935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01B9EF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25</w:t>
            </w:r>
          </w:p>
        </w:tc>
        <w:tc>
          <w:tcPr>
            <w:tcW w:w="3735" w:type="dxa"/>
            <w:tcBorders>
              <w:top w:val="nil"/>
              <w:left w:val="nil"/>
              <w:bottom w:val="single" w:sz="4" w:space="0" w:color="auto"/>
              <w:right w:val="single" w:sz="4" w:space="0" w:color="auto"/>
            </w:tcBorders>
            <w:shd w:val="clear" w:color="auto" w:fill="auto"/>
            <w:noWrap/>
            <w:vAlign w:val="center"/>
            <w:hideMark/>
          </w:tcPr>
          <w:p w14:paraId="0EAEE365"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665655DB"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Established Paternity</w:t>
            </w:r>
          </w:p>
        </w:tc>
        <w:tc>
          <w:tcPr>
            <w:tcW w:w="810" w:type="dxa"/>
            <w:tcBorders>
              <w:top w:val="nil"/>
              <w:left w:val="nil"/>
              <w:bottom w:val="single" w:sz="4" w:space="0" w:color="auto"/>
              <w:right w:val="single" w:sz="4" w:space="0" w:color="auto"/>
            </w:tcBorders>
            <w:shd w:val="clear" w:color="auto" w:fill="auto"/>
            <w:noWrap/>
            <w:vAlign w:val="center"/>
            <w:hideMark/>
          </w:tcPr>
          <w:p w14:paraId="1928AD4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88CDDF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F2BACF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997329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87D4AF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347</w:t>
            </w:r>
          </w:p>
        </w:tc>
      </w:tr>
      <w:tr w:rsidR="00AF1EF3" w:rsidRPr="00AF1EF3" w14:paraId="19DC4E7A"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C6F220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26</w:t>
            </w:r>
          </w:p>
        </w:tc>
        <w:tc>
          <w:tcPr>
            <w:tcW w:w="3735" w:type="dxa"/>
            <w:tcBorders>
              <w:top w:val="nil"/>
              <w:left w:val="nil"/>
              <w:bottom w:val="single" w:sz="4" w:space="0" w:color="auto"/>
              <w:right w:val="single" w:sz="4" w:space="0" w:color="auto"/>
            </w:tcBorders>
            <w:shd w:val="clear" w:color="auto" w:fill="auto"/>
            <w:noWrap/>
            <w:vAlign w:val="center"/>
            <w:hideMark/>
          </w:tcPr>
          <w:p w14:paraId="2E78B504"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hideMark/>
          </w:tcPr>
          <w:p w14:paraId="67C531D1"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Change of Name or/and Surname</w:t>
            </w:r>
          </w:p>
        </w:tc>
        <w:tc>
          <w:tcPr>
            <w:tcW w:w="810" w:type="dxa"/>
            <w:tcBorders>
              <w:top w:val="nil"/>
              <w:left w:val="nil"/>
              <w:bottom w:val="single" w:sz="4" w:space="0" w:color="auto"/>
              <w:right w:val="single" w:sz="4" w:space="0" w:color="auto"/>
            </w:tcBorders>
            <w:shd w:val="clear" w:color="auto" w:fill="auto"/>
            <w:noWrap/>
            <w:vAlign w:val="center"/>
            <w:hideMark/>
          </w:tcPr>
          <w:p w14:paraId="1315173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B27545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1EDC826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C8269C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21FD28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58</w:t>
            </w:r>
          </w:p>
        </w:tc>
      </w:tr>
      <w:tr w:rsidR="00AF1EF3" w:rsidRPr="00AF1EF3" w14:paraId="16F673E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3BB521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27</w:t>
            </w:r>
          </w:p>
        </w:tc>
        <w:tc>
          <w:tcPr>
            <w:tcW w:w="3735" w:type="dxa"/>
            <w:tcBorders>
              <w:top w:val="nil"/>
              <w:left w:val="nil"/>
              <w:bottom w:val="single" w:sz="4" w:space="0" w:color="auto"/>
              <w:right w:val="single" w:sz="4" w:space="0" w:color="auto"/>
            </w:tcBorders>
            <w:shd w:val="clear" w:color="auto" w:fill="auto"/>
            <w:noWrap/>
            <w:vAlign w:val="center"/>
            <w:hideMark/>
          </w:tcPr>
          <w:p w14:paraId="34496745"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7F0B81E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Birth</w:t>
            </w:r>
          </w:p>
        </w:tc>
        <w:tc>
          <w:tcPr>
            <w:tcW w:w="810" w:type="dxa"/>
            <w:tcBorders>
              <w:top w:val="nil"/>
              <w:left w:val="nil"/>
              <w:bottom w:val="single" w:sz="4" w:space="0" w:color="auto"/>
              <w:right w:val="single" w:sz="4" w:space="0" w:color="auto"/>
            </w:tcBorders>
            <w:shd w:val="clear" w:color="auto" w:fill="auto"/>
            <w:noWrap/>
            <w:vAlign w:val="center"/>
            <w:hideMark/>
          </w:tcPr>
          <w:p w14:paraId="778371D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8B2B60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AFEB0B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7CE4BD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03FB458" w14:textId="4CF9B91F"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429</w:t>
            </w:r>
          </w:p>
        </w:tc>
      </w:tr>
      <w:tr w:rsidR="00AF1EF3" w:rsidRPr="00AF1EF3" w14:paraId="38558D4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7C8456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28</w:t>
            </w:r>
          </w:p>
        </w:tc>
        <w:tc>
          <w:tcPr>
            <w:tcW w:w="3735" w:type="dxa"/>
            <w:tcBorders>
              <w:top w:val="nil"/>
              <w:left w:val="nil"/>
              <w:bottom w:val="single" w:sz="4" w:space="0" w:color="auto"/>
              <w:right w:val="single" w:sz="4" w:space="0" w:color="auto"/>
            </w:tcBorders>
            <w:shd w:val="clear" w:color="auto" w:fill="auto"/>
            <w:noWrap/>
            <w:vAlign w:val="center"/>
            <w:hideMark/>
          </w:tcPr>
          <w:p w14:paraId="291B188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F89791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Death Registration</w:t>
            </w:r>
          </w:p>
        </w:tc>
        <w:tc>
          <w:tcPr>
            <w:tcW w:w="810" w:type="dxa"/>
            <w:tcBorders>
              <w:top w:val="nil"/>
              <w:left w:val="nil"/>
              <w:bottom w:val="single" w:sz="4" w:space="0" w:color="auto"/>
              <w:right w:val="single" w:sz="4" w:space="0" w:color="auto"/>
            </w:tcBorders>
            <w:shd w:val="clear" w:color="auto" w:fill="auto"/>
            <w:noWrap/>
            <w:vAlign w:val="center"/>
            <w:hideMark/>
          </w:tcPr>
          <w:p w14:paraId="27F6629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230CD1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1537BDF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67FC72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F08313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163</w:t>
            </w:r>
          </w:p>
        </w:tc>
      </w:tr>
      <w:tr w:rsidR="00AF1EF3" w:rsidRPr="00AF1EF3" w14:paraId="1C56B5D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518FB3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29</w:t>
            </w:r>
          </w:p>
        </w:tc>
        <w:tc>
          <w:tcPr>
            <w:tcW w:w="3735" w:type="dxa"/>
            <w:tcBorders>
              <w:top w:val="nil"/>
              <w:left w:val="nil"/>
              <w:bottom w:val="single" w:sz="4" w:space="0" w:color="auto"/>
              <w:right w:val="single" w:sz="4" w:space="0" w:color="auto"/>
            </w:tcBorders>
            <w:shd w:val="clear" w:color="auto" w:fill="auto"/>
            <w:noWrap/>
            <w:vAlign w:val="center"/>
            <w:hideMark/>
          </w:tcPr>
          <w:p w14:paraId="6A6B19F7"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29D00B8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Passport</w:t>
            </w:r>
          </w:p>
        </w:tc>
        <w:tc>
          <w:tcPr>
            <w:tcW w:w="810" w:type="dxa"/>
            <w:tcBorders>
              <w:top w:val="nil"/>
              <w:left w:val="nil"/>
              <w:bottom w:val="single" w:sz="4" w:space="0" w:color="auto"/>
              <w:right w:val="single" w:sz="4" w:space="0" w:color="auto"/>
            </w:tcBorders>
            <w:shd w:val="clear" w:color="auto" w:fill="auto"/>
            <w:noWrap/>
            <w:vAlign w:val="center"/>
            <w:hideMark/>
          </w:tcPr>
          <w:p w14:paraId="2D56D1A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6B5891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D595BF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82A3BD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746A5E2" w14:textId="233FB2E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857</w:t>
            </w:r>
          </w:p>
        </w:tc>
      </w:tr>
      <w:tr w:rsidR="00AF1EF3" w:rsidRPr="00AF1EF3" w14:paraId="30864C33"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58A60F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30</w:t>
            </w:r>
          </w:p>
        </w:tc>
        <w:tc>
          <w:tcPr>
            <w:tcW w:w="3735" w:type="dxa"/>
            <w:tcBorders>
              <w:top w:val="nil"/>
              <w:left w:val="nil"/>
              <w:bottom w:val="single" w:sz="4" w:space="0" w:color="auto"/>
              <w:right w:val="single" w:sz="4" w:space="0" w:color="auto"/>
            </w:tcBorders>
            <w:shd w:val="clear" w:color="auto" w:fill="auto"/>
            <w:noWrap/>
            <w:vAlign w:val="center"/>
            <w:hideMark/>
          </w:tcPr>
          <w:p w14:paraId="68B7444A"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9C3B32F"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Certificate on the Number of Residents</w:t>
            </w:r>
          </w:p>
        </w:tc>
        <w:tc>
          <w:tcPr>
            <w:tcW w:w="810" w:type="dxa"/>
            <w:tcBorders>
              <w:top w:val="nil"/>
              <w:left w:val="nil"/>
              <w:bottom w:val="single" w:sz="4" w:space="0" w:color="auto"/>
              <w:right w:val="single" w:sz="4" w:space="0" w:color="auto"/>
            </w:tcBorders>
            <w:shd w:val="clear" w:color="auto" w:fill="auto"/>
            <w:noWrap/>
            <w:vAlign w:val="center"/>
            <w:hideMark/>
          </w:tcPr>
          <w:p w14:paraId="43BDE5E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72A4C0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CB3725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B3696F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849C13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776</w:t>
            </w:r>
          </w:p>
        </w:tc>
      </w:tr>
      <w:tr w:rsidR="00AF1EF3" w:rsidRPr="00AF1EF3" w14:paraId="676A038A"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B26059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31</w:t>
            </w:r>
          </w:p>
        </w:tc>
        <w:tc>
          <w:tcPr>
            <w:tcW w:w="3735" w:type="dxa"/>
            <w:tcBorders>
              <w:top w:val="nil"/>
              <w:left w:val="nil"/>
              <w:bottom w:val="single" w:sz="4" w:space="0" w:color="auto"/>
              <w:right w:val="single" w:sz="4" w:space="0" w:color="auto"/>
            </w:tcBorders>
            <w:shd w:val="clear" w:color="auto" w:fill="auto"/>
            <w:noWrap/>
            <w:vAlign w:val="center"/>
            <w:hideMark/>
          </w:tcPr>
          <w:p w14:paraId="6CB21DA4"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82812F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Civil acts Registration Certificates</w:t>
            </w:r>
          </w:p>
        </w:tc>
        <w:tc>
          <w:tcPr>
            <w:tcW w:w="810" w:type="dxa"/>
            <w:tcBorders>
              <w:top w:val="nil"/>
              <w:left w:val="nil"/>
              <w:bottom w:val="single" w:sz="4" w:space="0" w:color="auto"/>
              <w:right w:val="single" w:sz="4" w:space="0" w:color="auto"/>
            </w:tcBorders>
            <w:shd w:val="clear" w:color="auto" w:fill="auto"/>
            <w:noWrap/>
            <w:vAlign w:val="center"/>
            <w:hideMark/>
          </w:tcPr>
          <w:p w14:paraId="046C674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DC29E3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E3D00F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55A10A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B3D3D6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18</w:t>
            </w:r>
          </w:p>
        </w:tc>
      </w:tr>
      <w:tr w:rsidR="00AF1EF3" w:rsidRPr="00AF1EF3" w14:paraId="3BD7BB76"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916C4E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32</w:t>
            </w:r>
          </w:p>
        </w:tc>
        <w:tc>
          <w:tcPr>
            <w:tcW w:w="3735" w:type="dxa"/>
            <w:tcBorders>
              <w:top w:val="nil"/>
              <w:left w:val="nil"/>
              <w:bottom w:val="single" w:sz="4" w:space="0" w:color="auto"/>
              <w:right w:val="single" w:sz="4" w:space="0" w:color="auto"/>
            </w:tcBorders>
            <w:shd w:val="clear" w:color="auto" w:fill="auto"/>
            <w:noWrap/>
            <w:vAlign w:val="center"/>
            <w:hideMark/>
          </w:tcPr>
          <w:p w14:paraId="298C06B1"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7BE9800D"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Electronic Apostille</w:t>
            </w:r>
          </w:p>
        </w:tc>
        <w:tc>
          <w:tcPr>
            <w:tcW w:w="810" w:type="dxa"/>
            <w:tcBorders>
              <w:top w:val="nil"/>
              <w:left w:val="nil"/>
              <w:bottom w:val="single" w:sz="4" w:space="0" w:color="auto"/>
              <w:right w:val="single" w:sz="4" w:space="0" w:color="auto"/>
            </w:tcBorders>
            <w:shd w:val="clear" w:color="auto" w:fill="auto"/>
            <w:noWrap/>
            <w:vAlign w:val="center"/>
            <w:hideMark/>
          </w:tcPr>
          <w:p w14:paraId="47E2651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34BF7D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46FFBE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720807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4EE7A54" w14:textId="5DBF1D2F"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474</w:t>
            </w:r>
          </w:p>
        </w:tc>
      </w:tr>
      <w:tr w:rsidR="00AF1EF3" w:rsidRPr="00AF1EF3" w14:paraId="0009C760"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E3F7AA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33</w:t>
            </w:r>
          </w:p>
        </w:tc>
        <w:tc>
          <w:tcPr>
            <w:tcW w:w="3735" w:type="dxa"/>
            <w:tcBorders>
              <w:top w:val="nil"/>
              <w:left w:val="nil"/>
              <w:bottom w:val="single" w:sz="4" w:space="0" w:color="auto"/>
              <w:right w:val="single" w:sz="4" w:space="0" w:color="auto"/>
            </w:tcBorders>
            <w:shd w:val="clear" w:color="auto" w:fill="auto"/>
            <w:noWrap/>
            <w:vAlign w:val="center"/>
            <w:hideMark/>
          </w:tcPr>
          <w:p w14:paraId="4450476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56CF4CB9"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Electronic Register of the PSDA</w:t>
            </w:r>
          </w:p>
        </w:tc>
        <w:tc>
          <w:tcPr>
            <w:tcW w:w="810" w:type="dxa"/>
            <w:tcBorders>
              <w:top w:val="nil"/>
              <w:left w:val="nil"/>
              <w:bottom w:val="single" w:sz="4" w:space="0" w:color="auto"/>
              <w:right w:val="single" w:sz="4" w:space="0" w:color="auto"/>
            </w:tcBorders>
            <w:shd w:val="clear" w:color="auto" w:fill="auto"/>
            <w:noWrap/>
            <w:vAlign w:val="center"/>
            <w:hideMark/>
          </w:tcPr>
          <w:p w14:paraId="69BF320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6EFAB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13A0E4E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E7B0EF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1F93240" w14:textId="07CF890B"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205</w:t>
            </w:r>
          </w:p>
        </w:tc>
      </w:tr>
      <w:tr w:rsidR="00AF1EF3" w:rsidRPr="00AF1EF3" w14:paraId="47BA8AA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3266C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34</w:t>
            </w:r>
          </w:p>
        </w:tc>
        <w:tc>
          <w:tcPr>
            <w:tcW w:w="3735" w:type="dxa"/>
            <w:tcBorders>
              <w:top w:val="nil"/>
              <w:left w:val="nil"/>
              <w:bottom w:val="single" w:sz="4" w:space="0" w:color="auto"/>
              <w:right w:val="single" w:sz="4" w:space="0" w:color="auto"/>
            </w:tcBorders>
            <w:shd w:val="clear" w:color="auto" w:fill="auto"/>
            <w:noWrap/>
            <w:vAlign w:val="center"/>
            <w:hideMark/>
          </w:tcPr>
          <w:p w14:paraId="329C820F"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3936445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Apostille and Legalization e-Register</w:t>
            </w:r>
          </w:p>
        </w:tc>
        <w:tc>
          <w:tcPr>
            <w:tcW w:w="810" w:type="dxa"/>
            <w:tcBorders>
              <w:top w:val="nil"/>
              <w:left w:val="nil"/>
              <w:bottom w:val="single" w:sz="4" w:space="0" w:color="auto"/>
              <w:right w:val="single" w:sz="4" w:space="0" w:color="auto"/>
            </w:tcBorders>
            <w:shd w:val="clear" w:color="auto" w:fill="auto"/>
            <w:noWrap/>
            <w:vAlign w:val="center"/>
            <w:hideMark/>
          </w:tcPr>
          <w:p w14:paraId="71E7E15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7BDBC5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4EF7D1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29DF41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0AA7E4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731</w:t>
            </w:r>
          </w:p>
        </w:tc>
      </w:tr>
      <w:tr w:rsidR="00AF1EF3" w:rsidRPr="00AF1EF3" w14:paraId="09B7BBE6"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A654ED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35</w:t>
            </w:r>
          </w:p>
        </w:tc>
        <w:tc>
          <w:tcPr>
            <w:tcW w:w="3735" w:type="dxa"/>
            <w:tcBorders>
              <w:top w:val="nil"/>
              <w:left w:val="nil"/>
              <w:bottom w:val="single" w:sz="4" w:space="0" w:color="auto"/>
              <w:right w:val="single" w:sz="4" w:space="0" w:color="auto"/>
            </w:tcBorders>
            <w:shd w:val="clear" w:color="auto" w:fill="auto"/>
            <w:noWrap/>
            <w:vAlign w:val="center"/>
            <w:hideMark/>
          </w:tcPr>
          <w:p w14:paraId="7B8DFD05" w14:textId="380C4302"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130992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the Extract from the Registry of Entrepreneurial and Non-entrepreneurial (Non-commercial) Legal Entities</w:t>
            </w:r>
          </w:p>
        </w:tc>
        <w:tc>
          <w:tcPr>
            <w:tcW w:w="810" w:type="dxa"/>
            <w:tcBorders>
              <w:top w:val="nil"/>
              <w:left w:val="nil"/>
              <w:bottom w:val="single" w:sz="4" w:space="0" w:color="auto"/>
              <w:right w:val="single" w:sz="4" w:space="0" w:color="auto"/>
            </w:tcBorders>
            <w:shd w:val="clear" w:color="auto" w:fill="auto"/>
            <w:noWrap/>
            <w:vAlign w:val="center"/>
            <w:hideMark/>
          </w:tcPr>
          <w:p w14:paraId="106F91F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34021D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E5F6F9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E4944C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w:t>
            </w:r>
          </w:p>
        </w:tc>
        <w:tc>
          <w:tcPr>
            <w:tcW w:w="1170" w:type="dxa"/>
            <w:tcBorders>
              <w:top w:val="nil"/>
              <w:left w:val="nil"/>
              <w:bottom w:val="single" w:sz="4" w:space="0" w:color="auto"/>
              <w:right w:val="single" w:sz="4" w:space="0" w:color="auto"/>
            </w:tcBorders>
            <w:shd w:val="clear" w:color="auto" w:fill="auto"/>
            <w:noWrap/>
            <w:vAlign w:val="center"/>
            <w:hideMark/>
          </w:tcPr>
          <w:p w14:paraId="3BDF89D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94</w:t>
            </w:r>
          </w:p>
        </w:tc>
      </w:tr>
      <w:tr w:rsidR="00AF1EF3" w:rsidRPr="00AF1EF3" w14:paraId="5A994323"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8B0224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36</w:t>
            </w:r>
          </w:p>
        </w:tc>
        <w:tc>
          <w:tcPr>
            <w:tcW w:w="3735" w:type="dxa"/>
            <w:tcBorders>
              <w:top w:val="nil"/>
              <w:left w:val="nil"/>
              <w:bottom w:val="single" w:sz="4" w:space="0" w:color="auto"/>
              <w:right w:val="single" w:sz="4" w:space="0" w:color="auto"/>
            </w:tcBorders>
            <w:shd w:val="clear" w:color="auto" w:fill="auto"/>
            <w:noWrap/>
            <w:vAlign w:val="center"/>
            <w:hideMark/>
          </w:tcPr>
          <w:p w14:paraId="481FA85A" w14:textId="6CCD8A8E"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w:t>
            </w:r>
            <w:r w:rsidR="00D0186C">
              <w:rPr>
                <w:rFonts w:ascii="Arial" w:eastAsia="Times New Roman" w:hAnsi="Arial" w:cs="Arial"/>
                <w:color w:val="000000"/>
                <w:sz w:val="20"/>
                <w:szCs w:val="20"/>
              </w:rPr>
              <w:t>ional Agency of Public Registry</w:t>
            </w:r>
            <w:r w:rsidRPr="00AF1EF3">
              <w:rPr>
                <w:rFonts w:ascii="Arial" w:eastAsia="Times New Roman" w:hAnsi="Arial" w:cs="Arial"/>
                <w:color w:val="000000"/>
                <w:sz w:val="20"/>
                <w:szCs w:val="20"/>
              </w:rPr>
              <w:t xml:space="preserve"> </w:t>
            </w:r>
          </w:p>
        </w:tc>
        <w:tc>
          <w:tcPr>
            <w:tcW w:w="5220" w:type="dxa"/>
            <w:tcBorders>
              <w:top w:val="nil"/>
              <w:left w:val="nil"/>
              <w:bottom w:val="single" w:sz="4" w:space="0" w:color="auto"/>
              <w:right w:val="single" w:sz="4" w:space="0" w:color="auto"/>
            </w:tcBorders>
            <w:shd w:val="clear" w:color="auto" w:fill="auto"/>
            <w:vAlign w:val="center"/>
            <w:hideMark/>
          </w:tcPr>
          <w:p w14:paraId="018A652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Electronic issuance of copies of documents</w:t>
            </w:r>
          </w:p>
        </w:tc>
        <w:tc>
          <w:tcPr>
            <w:tcW w:w="810" w:type="dxa"/>
            <w:tcBorders>
              <w:top w:val="nil"/>
              <w:left w:val="nil"/>
              <w:bottom w:val="single" w:sz="4" w:space="0" w:color="auto"/>
              <w:right w:val="single" w:sz="4" w:space="0" w:color="auto"/>
            </w:tcBorders>
            <w:shd w:val="clear" w:color="auto" w:fill="auto"/>
            <w:noWrap/>
            <w:vAlign w:val="center"/>
            <w:hideMark/>
          </w:tcPr>
          <w:p w14:paraId="3556741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0AF51D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0E2B99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4F7E02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745E24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19</w:t>
            </w:r>
          </w:p>
        </w:tc>
      </w:tr>
      <w:tr w:rsidR="00AF1EF3" w:rsidRPr="00AF1EF3" w14:paraId="53E773F3"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4B175D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37</w:t>
            </w:r>
          </w:p>
        </w:tc>
        <w:tc>
          <w:tcPr>
            <w:tcW w:w="3735" w:type="dxa"/>
            <w:tcBorders>
              <w:top w:val="nil"/>
              <w:left w:val="nil"/>
              <w:bottom w:val="single" w:sz="4" w:space="0" w:color="auto"/>
              <w:right w:val="single" w:sz="4" w:space="0" w:color="auto"/>
            </w:tcBorders>
            <w:shd w:val="clear" w:color="auto" w:fill="auto"/>
            <w:noWrap/>
            <w:vAlign w:val="center"/>
            <w:hideMark/>
          </w:tcPr>
          <w:p w14:paraId="6702E164" w14:textId="2D279641"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48DB82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from the Registry of Entrepreneurial and Non-entrepreneurial (Non-commercial) Legal Entities</w:t>
            </w:r>
          </w:p>
        </w:tc>
        <w:tc>
          <w:tcPr>
            <w:tcW w:w="810" w:type="dxa"/>
            <w:tcBorders>
              <w:top w:val="nil"/>
              <w:left w:val="nil"/>
              <w:bottom w:val="single" w:sz="4" w:space="0" w:color="auto"/>
              <w:right w:val="single" w:sz="4" w:space="0" w:color="auto"/>
            </w:tcBorders>
            <w:shd w:val="clear" w:color="auto" w:fill="auto"/>
            <w:noWrap/>
            <w:vAlign w:val="center"/>
            <w:hideMark/>
          </w:tcPr>
          <w:p w14:paraId="7BDFAA6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E992E9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59E77A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B6239F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52564D7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31</w:t>
            </w:r>
          </w:p>
        </w:tc>
      </w:tr>
      <w:tr w:rsidR="00AF1EF3" w:rsidRPr="00AF1EF3" w14:paraId="7B30EF5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580C5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38</w:t>
            </w:r>
          </w:p>
        </w:tc>
        <w:tc>
          <w:tcPr>
            <w:tcW w:w="3735" w:type="dxa"/>
            <w:tcBorders>
              <w:top w:val="nil"/>
              <w:left w:val="nil"/>
              <w:bottom w:val="single" w:sz="4" w:space="0" w:color="auto"/>
              <w:right w:val="single" w:sz="4" w:space="0" w:color="auto"/>
            </w:tcBorders>
            <w:shd w:val="clear" w:color="auto" w:fill="auto"/>
            <w:noWrap/>
            <w:vAlign w:val="center"/>
            <w:hideMark/>
          </w:tcPr>
          <w:p w14:paraId="59DD4D80" w14:textId="63CF3D7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9F30BD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Cancellation of Registration</w:t>
            </w:r>
          </w:p>
        </w:tc>
        <w:tc>
          <w:tcPr>
            <w:tcW w:w="810" w:type="dxa"/>
            <w:tcBorders>
              <w:top w:val="nil"/>
              <w:left w:val="nil"/>
              <w:bottom w:val="single" w:sz="4" w:space="0" w:color="auto"/>
              <w:right w:val="single" w:sz="4" w:space="0" w:color="auto"/>
            </w:tcBorders>
            <w:shd w:val="clear" w:color="auto" w:fill="auto"/>
            <w:noWrap/>
            <w:vAlign w:val="center"/>
            <w:hideMark/>
          </w:tcPr>
          <w:p w14:paraId="1C19A62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F08BDE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D6916B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3982F6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w:t>
            </w:r>
          </w:p>
        </w:tc>
        <w:tc>
          <w:tcPr>
            <w:tcW w:w="1170" w:type="dxa"/>
            <w:tcBorders>
              <w:top w:val="nil"/>
              <w:left w:val="nil"/>
              <w:bottom w:val="single" w:sz="4" w:space="0" w:color="auto"/>
              <w:right w:val="single" w:sz="4" w:space="0" w:color="auto"/>
            </w:tcBorders>
            <w:shd w:val="clear" w:color="auto" w:fill="auto"/>
            <w:noWrap/>
            <w:vAlign w:val="center"/>
            <w:hideMark/>
          </w:tcPr>
          <w:p w14:paraId="705EAD7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23</w:t>
            </w:r>
          </w:p>
        </w:tc>
      </w:tr>
      <w:tr w:rsidR="00AF1EF3" w:rsidRPr="00AF1EF3" w14:paraId="11FD374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F5BB3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39</w:t>
            </w:r>
          </w:p>
        </w:tc>
        <w:tc>
          <w:tcPr>
            <w:tcW w:w="3735" w:type="dxa"/>
            <w:tcBorders>
              <w:top w:val="nil"/>
              <w:left w:val="nil"/>
              <w:bottom w:val="single" w:sz="4" w:space="0" w:color="auto"/>
              <w:right w:val="single" w:sz="4" w:space="0" w:color="auto"/>
            </w:tcBorders>
            <w:shd w:val="clear" w:color="auto" w:fill="auto"/>
            <w:noWrap/>
            <w:vAlign w:val="center"/>
            <w:hideMark/>
          </w:tcPr>
          <w:p w14:paraId="1C0F8FC9" w14:textId="763F494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C0BC07A"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Change of Identification Details</w:t>
            </w:r>
          </w:p>
        </w:tc>
        <w:tc>
          <w:tcPr>
            <w:tcW w:w="810" w:type="dxa"/>
            <w:tcBorders>
              <w:top w:val="nil"/>
              <w:left w:val="nil"/>
              <w:bottom w:val="single" w:sz="4" w:space="0" w:color="auto"/>
              <w:right w:val="single" w:sz="4" w:space="0" w:color="auto"/>
            </w:tcBorders>
            <w:shd w:val="clear" w:color="auto" w:fill="auto"/>
            <w:noWrap/>
            <w:vAlign w:val="center"/>
            <w:hideMark/>
          </w:tcPr>
          <w:p w14:paraId="09E3D37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434A9E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367517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DAE46A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01D98CD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w:t>
            </w:r>
          </w:p>
        </w:tc>
      </w:tr>
      <w:tr w:rsidR="00AF1EF3" w:rsidRPr="00AF1EF3" w14:paraId="5A2788B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A3F4FF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40</w:t>
            </w:r>
          </w:p>
        </w:tc>
        <w:tc>
          <w:tcPr>
            <w:tcW w:w="3735" w:type="dxa"/>
            <w:tcBorders>
              <w:top w:val="nil"/>
              <w:left w:val="nil"/>
              <w:bottom w:val="single" w:sz="4" w:space="0" w:color="auto"/>
              <w:right w:val="single" w:sz="4" w:space="0" w:color="auto"/>
            </w:tcBorders>
            <w:shd w:val="clear" w:color="auto" w:fill="auto"/>
            <w:noWrap/>
            <w:vAlign w:val="center"/>
            <w:hideMark/>
          </w:tcPr>
          <w:p w14:paraId="29EC13D8" w14:textId="7B517EA9"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60C22021"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Changes in the Registration Records</w:t>
            </w:r>
          </w:p>
        </w:tc>
        <w:tc>
          <w:tcPr>
            <w:tcW w:w="810" w:type="dxa"/>
            <w:tcBorders>
              <w:top w:val="nil"/>
              <w:left w:val="nil"/>
              <w:bottom w:val="single" w:sz="4" w:space="0" w:color="auto"/>
              <w:right w:val="single" w:sz="4" w:space="0" w:color="auto"/>
            </w:tcBorders>
            <w:shd w:val="clear" w:color="auto" w:fill="auto"/>
            <w:noWrap/>
            <w:vAlign w:val="center"/>
            <w:hideMark/>
          </w:tcPr>
          <w:p w14:paraId="125789F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35401B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8D2026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BB1E84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w:t>
            </w:r>
          </w:p>
        </w:tc>
        <w:tc>
          <w:tcPr>
            <w:tcW w:w="1170" w:type="dxa"/>
            <w:tcBorders>
              <w:top w:val="nil"/>
              <w:left w:val="nil"/>
              <w:bottom w:val="single" w:sz="4" w:space="0" w:color="auto"/>
              <w:right w:val="single" w:sz="4" w:space="0" w:color="auto"/>
            </w:tcBorders>
            <w:shd w:val="clear" w:color="auto" w:fill="auto"/>
            <w:noWrap/>
            <w:vAlign w:val="center"/>
            <w:hideMark/>
          </w:tcPr>
          <w:p w14:paraId="7327D51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122</w:t>
            </w:r>
          </w:p>
        </w:tc>
      </w:tr>
      <w:tr w:rsidR="00AF1EF3" w:rsidRPr="00AF1EF3" w14:paraId="770EB05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9B56DF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41</w:t>
            </w:r>
          </w:p>
        </w:tc>
        <w:tc>
          <w:tcPr>
            <w:tcW w:w="3735" w:type="dxa"/>
            <w:tcBorders>
              <w:top w:val="nil"/>
              <w:left w:val="nil"/>
              <w:bottom w:val="single" w:sz="4" w:space="0" w:color="auto"/>
              <w:right w:val="single" w:sz="4" w:space="0" w:color="auto"/>
            </w:tcBorders>
            <w:shd w:val="clear" w:color="auto" w:fill="auto"/>
            <w:noWrap/>
            <w:vAlign w:val="center"/>
            <w:hideMark/>
          </w:tcPr>
          <w:p w14:paraId="004946A6" w14:textId="26E55A05"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628099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Commence of Entity’s Reorganization</w:t>
            </w:r>
          </w:p>
        </w:tc>
        <w:tc>
          <w:tcPr>
            <w:tcW w:w="810" w:type="dxa"/>
            <w:tcBorders>
              <w:top w:val="nil"/>
              <w:left w:val="nil"/>
              <w:bottom w:val="single" w:sz="4" w:space="0" w:color="auto"/>
              <w:right w:val="single" w:sz="4" w:space="0" w:color="auto"/>
            </w:tcBorders>
            <w:shd w:val="clear" w:color="auto" w:fill="auto"/>
            <w:noWrap/>
            <w:vAlign w:val="center"/>
            <w:hideMark/>
          </w:tcPr>
          <w:p w14:paraId="190419E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D61ADE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75948C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74A89E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199744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p>
        </w:tc>
      </w:tr>
      <w:tr w:rsidR="00AF1EF3" w:rsidRPr="00AF1EF3" w14:paraId="600BBB5B"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98EFC2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42</w:t>
            </w:r>
          </w:p>
        </w:tc>
        <w:tc>
          <w:tcPr>
            <w:tcW w:w="3735" w:type="dxa"/>
            <w:tcBorders>
              <w:top w:val="nil"/>
              <w:left w:val="nil"/>
              <w:bottom w:val="single" w:sz="4" w:space="0" w:color="auto"/>
              <w:right w:val="single" w:sz="4" w:space="0" w:color="auto"/>
            </w:tcBorders>
            <w:shd w:val="clear" w:color="auto" w:fill="auto"/>
            <w:noWrap/>
            <w:vAlign w:val="center"/>
            <w:hideMark/>
          </w:tcPr>
          <w:p w14:paraId="4D6D2D2D" w14:textId="76B9F00E"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Agency of Pub</w:t>
            </w:r>
            <w:r w:rsidR="00D0186C">
              <w:rPr>
                <w:rFonts w:ascii="Arial" w:eastAsia="Times New Roman" w:hAnsi="Arial" w:cs="Arial"/>
                <w:color w:val="000000"/>
                <w:sz w:val="20"/>
                <w:szCs w:val="20"/>
              </w:rPr>
              <w:t xml:space="preserve">lic Registry </w:t>
            </w:r>
          </w:p>
        </w:tc>
        <w:tc>
          <w:tcPr>
            <w:tcW w:w="5220" w:type="dxa"/>
            <w:tcBorders>
              <w:top w:val="nil"/>
              <w:left w:val="nil"/>
              <w:bottom w:val="single" w:sz="4" w:space="0" w:color="auto"/>
              <w:right w:val="single" w:sz="4" w:space="0" w:color="auto"/>
            </w:tcBorders>
            <w:shd w:val="clear" w:color="auto" w:fill="auto"/>
            <w:vAlign w:val="center"/>
            <w:hideMark/>
          </w:tcPr>
          <w:p w14:paraId="706B079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Correction of a Technical Defect in the Registry of Entrepreneurial and Non-entrepreneurial (non-commercial) Legal Entities</w:t>
            </w:r>
          </w:p>
        </w:tc>
        <w:tc>
          <w:tcPr>
            <w:tcW w:w="810" w:type="dxa"/>
            <w:tcBorders>
              <w:top w:val="nil"/>
              <w:left w:val="nil"/>
              <w:bottom w:val="single" w:sz="4" w:space="0" w:color="auto"/>
              <w:right w:val="single" w:sz="4" w:space="0" w:color="auto"/>
            </w:tcBorders>
            <w:shd w:val="clear" w:color="auto" w:fill="auto"/>
            <w:noWrap/>
            <w:vAlign w:val="center"/>
            <w:hideMark/>
          </w:tcPr>
          <w:p w14:paraId="550F097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CEA08F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965FE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8CF7C1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AD8F3B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22</w:t>
            </w:r>
          </w:p>
        </w:tc>
      </w:tr>
      <w:tr w:rsidR="00AF1EF3" w:rsidRPr="00AF1EF3" w14:paraId="1392F90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D1F6B2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43</w:t>
            </w:r>
          </w:p>
        </w:tc>
        <w:tc>
          <w:tcPr>
            <w:tcW w:w="3735" w:type="dxa"/>
            <w:tcBorders>
              <w:top w:val="nil"/>
              <w:left w:val="nil"/>
              <w:bottom w:val="single" w:sz="4" w:space="0" w:color="auto"/>
              <w:right w:val="single" w:sz="4" w:space="0" w:color="auto"/>
            </w:tcBorders>
            <w:shd w:val="clear" w:color="auto" w:fill="auto"/>
            <w:noWrap/>
            <w:vAlign w:val="center"/>
            <w:hideMark/>
          </w:tcPr>
          <w:p w14:paraId="795E6984" w14:textId="3BD6494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602EF8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Termination of the Liquidation Process</w:t>
            </w:r>
          </w:p>
        </w:tc>
        <w:tc>
          <w:tcPr>
            <w:tcW w:w="810" w:type="dxa"/>
            <w:tcBorders>
              <w:top w:val="nil"/>
              <w:left w:val="nil"/>
              <w:bottom w:val="single" w:sz="4" w:space="0" w:color="auto"/>
              <w:right w:val="single" w:sz="4" w:space="0" w:color="auto"/>
            </w:tcBorders>
            <w:shd w:val="clear" w:color="auto" w:fill="auto"/>
            <w:noWrap/>
            <w:vAlign w:val="center"/>
            <w:hideMark/>
          </w:tcPr>
          <w:p w14:paraId="29ACE52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8DF65A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D4B8DC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68A405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0D4176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r>
      <w:tr w:rsidR="00AF1EF3" w:rsidRPr="00AF1EF3" w14:paraId="140F6ED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867578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44</w:t>
            </w:r>
          </w:p>
        </w:tc>
        <w:tc>
          <w:tcPr>
            <w:tcW w:w="3735" w:type="dxa"/>
            <w:tcBorders>
              <w:top w:val="nil"/>
              <w:left w:val="nil"/>
              <w:bottom w:val="single" w:sz="4" w:space="0" w:color="auto"/>
              <w:right w:val="single" w:sz="4" w:space="0" w:color="auto"/>
            </w:tcBorders>
            <w:shd w:val="clear" w:color="auto" w:fill="auto"/>
            <w:noWrap/>
            <w:vAlign w:val="center"/>
            <w:hideMark/>
          </w:tcPr>
          <w:p w14:paraId="7F95D0C6" w14:textId="236BD0BD"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1772A00"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Search for Applications of Entrepreneurs/Legal Entities</w:t>
            </w:r>
          </w:p>
        </w:tc>
        <w:tc>
          <w:tcPr>
            <w:tcW w:w="810" w:type="dxa"/>
            <w:tcBorders>
              <w:top w:val="nil"/>
              <w:left w:val="nil"/>
              <w:bottom w:val="single" w:sz="4" w:space="0" w:color="auto"/>
              <w:right w:val="single" w:sz="4" w:space="0" w:color="auto"/>
            </w:tcBorders>
            <w:shd w:val="clear" w:color="auto" w:fill="auto"/>
            <w:noWrap/>
            <w:vAlign w:val="center"/>
            <w:hideMark/>
          </w:tcPr>
          <w:p w14:paraId="4393156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CA8A3E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CA4911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05ECD7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FFC1070" w14:textId="1EFF5806"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816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949</w:t>
            </w:r>
          </w:p>
        </w:tc>
      </w:tr>
      <w:tr w:rsidR="00AF1EF3" w:rsidRPr="00AF1EF3" w14:paraId="36B6E164"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F1CAB7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45</w:t>
            </w:r>
          </w:p>
        </w:tc>
        <w:tc>
          <w:tcPr>
            <w:tcW w:w="3735" w:type="dxa"/>
            <w:tcBorders>
              <w:top w:val="nil"/>
              <w:left w:val="nil"/>
              <w:bottom w:val="single" w:sz="4" w:space="0" w:color="auto"/>
              <w:right w:val="single" w:sz="4" w:space="0" w:color="auto"/>
            </w:tcBorders>
            <w:shd w:val="clear" w:color="auto" w:fill="auto"/>
            <w:noWrap/>
            <w:vAlign w:val="center"/>
            <w:hideMark/>
          </w:tcPr>
          <w:p w14:paraId="79E9C665" w14:textId="41CCE773"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86D0150"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Entrepreneurial Registry Extract (Unauthorized)</w:t>
            </w:r>
          </w:p>
        </w:tc>
        <w:tc>
          <w:tcPr>
            <w:tcW w:w="810" w:type="dxa"/>
            <w:tcBorders>
              <w:top w:val="nil"/>
              <w:left w:val="nil"/>
              <w:bottom w:val="single" w:sz="4" w:space="0" w:color="auto"/>
              <w:right w:val="single" w:sz="4" w:space="0" w:color="auto"/>
            </w:tcBorders>
            <w:shd w:val="clear" w:color="auto" w:fill="auto"/>
            <w:noWrap/>
            <w:vAlign w:val="center"/>
            <w:hideMark/>
          </w:tcPr>
          <w:p w14:paraId="28D80DD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397B84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E85B7C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AE8901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6ED3FD6" w14:textId="7796BC4F"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78</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144</w:t>
            </w:r>
          </w:p>
        </w:tc>
      </w:tr>
      <w:tr w:rsidR="00AF1EF3" w:rsidRPr="00AF1EF3" w14:paraId="52F773F6"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0F17B5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46</w:t>
            </w:r>
          </w:p>
        </w:tc>
        <w:tc>
          <w:tcPr>
            <w:tcW w:w="3735" w:type="dxa"/>
            <w:tcBorders>
              <w:top w:val="nil"/>
              <w:left w:val="nil"/>
              <w:bottom w:val="single" w:sz="4" w:space="0" w:color="auto"/>
              <w:right w:val="single" w:sz="4" w:space="0" w:color="auto"/>
            </w:tcBorders>
            <w:shd w:val="clear" w:color="auto" w:fill="auto"/>
            <w:noWrap/>
            <w:vAlign w:val="center"/>
            <w:hideMark/>
          </w:tcPr>
          <w:p w14:paraId="6B15936B" w14:textId="6479E34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Agency of Pu</w:t>
            </w:r>
            <w:r w:rsidR="00D0186C">
              <w:rPr>
                <w:rFonts w:ascii="Arial" w:eastAsia="Times New Roman" w:hAnsi="Arial" w:cs="Arial"/>
                <w:color w:val="000000"/>
                <w:sz w:val="20"/>
                <w:szCs w:val="20"/>
              </w:rPr>
              <w:t xml:space="preserve">blic Registry </w:t>
            </w:r>
          </w:p>
        </w:tc>
        <w:tc>
          <w:tcPr>
            <w:tcW w:w="5220" w:type="dxa"/>
            <w:tcBorders>
              <w:top w:val="nil"/>
              <w:left w:val="nil"/>
              <w:bottom w:val="single" w:sz="4" w:space="0" w:color="auto"/>
              <w:right w:val="single" w:sz="4" w:space="0" w:color="auto"/>
            </w:tcBorders>
            <w:shd w:val="clear" w:color="auto" w:fill="auto"/>
            <w:vAlign w:val="center"/>
            <w:hideMark/>
          </w:tcPr>
          <w:p w14:paraId="35C54F6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Correction of Technical Defects in the Registered Data (unauthorized)</w:t>
            </w:r>
          </w:p>
        </w:tc>
        <w:tc>
          <w:tcPr>
            <w:tcW w:w="810" w:type="dxa"/>
            <w:tcBorders>
              <w:top w:val="nil"/>
              <w:left w:val="nil"/>
              <w:bottom w:val="single" w:sz="4" w:space="0" w:color="auto"/>
              <w:right w:val="single" w:sz="4" w:space="0" w:color="auto"/>
            </w:tcBorders>
            <w:shd w:val="clear" w:color="auto" w:fill="auto"/>
            <w:noWrap/>
            <w:vAlign w:val="center"/>
            <w:hideMark/>
          </w:tcPr>
          <w:p w14:paraId="6D8413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EDB1A5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68E159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3DFB65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8634268" w14:textId="44E09A92"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215</w:t>
            </w:r>
          </w:p>
        </w:tc>
      </w:tr>
      <w:tr w:rsidR="00AF1EF3" w:rsidRPr="00AF1EF3" w14:paraId="45F5F5DF"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A28789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lastRenderedPageBreak/>
              <w:t>47</w:t>
            </w:r>
          </w:p>
        </w:tc>
        <w:tc>
          <w:tcPr>
            <w:tcW w:w="3735" w:type="dxa"/>
            <w:tcBorders>
              <w:top w:val="nil"/>
              <w:left w:val="nil"/>
              <w:bottom w:val="single" w:sz="4" w:space="0" w:color="auto"/>
              <w:right w:val="single" w:sz="4" w:space="0" w:color="auto"/>
            </w:tcBorders>
            <w:shd w:val="clear" w:color="auto" w:fill="auto"/>
            <w:noWrap/>
            <w:vAlign w:val="center"/>
            <w:hideMark/>
          </w:tcPr>
          <w:p w14:paraId="7DA6F29F" w14:textId="2B8BC66D"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8B6BFC4"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Reorganization/Liquidation</w:t>
            </w:r>
          </w:p>
        </w:tc>
        <w:tc>
          <w:tcPr>
            <w:tcW w:w="810" w:type="dxa"/>
            <w:tcBorders>
              <w:top w:val="nil"/>
              <w:left w:val="nil"/>
              <w:bottom w:val="single" w:sz="4" w:space="0" w:color="auto"/>
              <w:right w:val="single" w:sz="4" w:space="0" w:color="auto"/>
            </w:tcBorders>
            <w:shd w:val="clear" w:color="auto" w:fill="auto"/>
            <w:noWrap/>
            <w:vAlign w:val="center"/>
            <w:hideMark/>
          </w:tcPr>
          <w:p w14:paraId="65E77B5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C74DC0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A2AD82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8B4477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72733A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762</w:t>
            </w:r>
          </w:p>
        </w:tc>
      </w:tr>
      <w:tr w:rsidR="00AF1EF3" w:rsidRPr="00AF1EF3" w14:paraId="35CEA68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7E6422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48</w:t>
            </w:r>
          </w:p>
        </w:tc>
        <w:tc>
          <w:tcPr>
            <w:tcW w:w="3735" w:type="dxa"/>
            <w:tcBorders>
              <w:top w:val="nil"/>
              <w:left w:val="nil"/>
              <w:bottom w:val="single" w:sz="4" w:space="0" w:color="auto"/>
              <w:right w:val="single" w:sz="4" w:space="0" w:color="auto"/>
            </w:tcBorders>
            <w:shd w:val="clear" w:color="auto" w:fill="auto"/>
            <w:noWrap/>
            <w:vAlign w:val="center"/>
            <w:hideMark/>
          </w:tcPr>
          <w:p w14:paraId="2785B435" w14:textId="647330CF"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F5F126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Shares</w:t>
            </w:r>
          </w:p>
        </w:tc>
        <w:tc>
          <w:tcPr>
            <w:tcW w:w="810" w:type="dxa"/>
            <w:tcBorders>
              <w:top w:val="nil"/>
              <w:left w:val="nil"/>
              <w:bottom w:val="single" w:sz="4" w:space="0" w:color="auto"/>
              <w:right w:val="single" w:sz="4" w:space="0" w:color="auto"/>
            </w:tcBorders>
            <w:shd w:val="clear" w:color="auto" w:fill="auto"/>
            <w:noWrap/>
            <w:vAlign w:val="center"/>
            <w:hideMark/>
          </w:tcPr>
          <w:p w14:paraId="0D518EE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CE4D29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16FE96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D5A32F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862150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350</w:t>
            </w:r>
          </w:p>
        </w:tc>
      </w:tr>
      <w:tr w:rsidR="00AF1EF3" w:rsidRPr="00AF1EF3" w14:paraId="634A4C52"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3D69CB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49</w:t>
            </w:r>
          </w:p>
        </w:tc>
        <w:tc>
          <w:tcPr>
            <w:tcW w:w="3735" w:type="dxa"/>
            <w:tcBorders>
              <w:top w:val="nil"/>
              <w:left w:val="nil"/>
              <w:bottom w:val="single" w:sz="4" w:space="0" w:color="auto"/>
              <w:right w:val="single" w:sz="4" w:space="0" w:color="auto"/>
            </w:tcBorders>
            <w:shd w:val="clear" w:color="auto" w:fill="auto"/>
            <w:noWrap/>
            <w:vAlign w:val="center"/>
            <w:hideMark/>
          </w:tcPr>
          <w:p w14:paraId="6B463FD7" w14:textId="36E4B9B3"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10BF98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entity’s e-mail address/phone number/address different from the legal address</w:t>
            </w:r>
          </w:p>
        </w:tc>
        <w:tc>
          <w:tcPr>
            <w:tcW w:w="810" w:type="dxa"/>
            <w:tcBorders>
              <w:top w:val="nil"/>
              <w:left w:val="nil"/>
              <w:bottom w:val="single" w:sz="4" w:space="0" w:color="auto"/>
              <w:right w:val="single" w:sz="4" w:space="0" w:color="auto"/>
            </w:tcBorders>
            <w:shd w:val="clear" w:color="auto" w:fill="auto"/>
            <w:noWrap/>
            <w:vAlign w:val="center"/>
            <w:hideMark/>
          </w:tcPr>
          <w:p w14:paraId="437011B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D63C43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76B3C2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7EFC3F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43EAB9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18</w:t>
            </w:r>
          </w:p>
        </w:tc>
      </w:tr>
      <w:tr w:rsidR="00AF1EF3" w:rsidRPr="00AF1EF3" w14:paraId="41DA6C38"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45EDF0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50</w:t>
            </w:r>
          </w:p>
        </w:tc>
        <w:tc>
          <w:tcPr>
            <w:tcW w:w="3735" w:type="dxa"/>
            <w:tcBorders>
              <w:top w:val="nil"/>
              <w:left w:val="nil"/>
              <w:bottom w:val="single" w:sz="4" w:space="0" w:color="auto"/>
              <w:right w:val="single" w:sz="4" w:space="0" w:color="auto"/>
            </w:tcBorders>
            <w:shd w:val="clear" w:color="auto" w:fill="auto"/>
            <w:noWrap/>
            <w:vAlign w:val="center"/>
            <w:hideMark/>
          </w:tcPr>
          <w:p w14:paraId="369EBEF9" w14:textId="5A52476C"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3112F7A"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Right to Lien on Shares</w:t>
            </w:r>
          </w:p>
        </w:tc>
        <w:tc>
          <w:tcPr>
            <w:tcW w:w="810" w:type="dxa"/>
            <w:tcBorders>
              <w:top w:val="nil"/>
              <w:left w:val="nil"/>
              <w:bottom w:val="single" w:sz="4" w:space="0" w:color="auto"/>
              <w:right w:val="single" w:sz="4" w:space="0" w:color="auto"/>
            </w:tcBorders>
            <w:shd w:val="clear" w:color="auto" w:fill="auto"/>
            <w:noWrap/>
            <w:vAlign w:val="center"/>
            <w:hideMark/>
          </w:tcPr>
          <w:p w14:paraId="455706B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6A907C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D9B31D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5D487F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57197D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p>
        </w:tc>
      </w:tr>
      <w:tr w:rsidR="00AF1EF3" w:rsidRPr="00AF1EF3" w14:paraId="6EA31E1B"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3766FC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51</w:t>
            </w:r>
          </w:p>
        </w:tc>
        <w:tc>
          <w:tcPr>
            <w:tcW w:w="3735" w:type="dxa"/>
            <w:tcBorders>
              <w:top w:val="nil"/>
              <w:left w:val="nil"/>
              <w:bottom w:val="single" w:sz="4" w:space="0" w:color="auto"/>
              <w:right w:val="single" w:sz="4" w:space="0" w:color="auto"/>
            </w:tcBorders>
            <w:shd w:val="clear" w:color="auto" w:fill="auto"/>
            <w:noWrap/>
            <w:vAlign w:val="center"/>
            <w:hideMark/>
          </w:tcPr>
          <w:p w14:paraId="21AAA0B9" w14:textId="6697A754"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w:t>
            </w:r>
            <w:r w:rsidR="00D0186C">
              <w:rPr>
                <w:rFonts w:ascii="Arial" w:eastAsia="Times New Roman" w:hAnsi="Arial" w:cs="Arial"/>
                <w:color w:val="000000"/>
                <w:sz w:val="20"/>
                <w:szCs w:val="20"/>
              </w:rPr>
              <w:t xml:space="preserve">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9E4B00D"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Commence of Entity’s Liquidation</w:t>
            </w:r>
          </w:p>
        </w:tc>
        <w:tc>
          <w:tcPr>
            <w:tcW w:w="810" w:type="dxa"/>
            <w:tcBorders>
              <w:top w:val="nil"/>
              <w:left w:val="nil"/>
              <w:bottom w:val="single" w:sz="4" w:space="0" w:color="auto"/>
              <w:right w:val="single" w:sz="4" w:space="0" w:color="auto"/>
            </w:tcBorders>
            <w:shd w:val="clear" w:color="auto" w:fill="auto"/>
            <w:noWrap/>
            <w:vAlign w:val="center"/>
            <w:hideMark/>
          </w:tcPr>
          <w:p w14:paraId="4542AA3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98871A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27D92B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672A8B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7C012E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p>
        </w:tc>
      </w:tr>
      <w:tr w:rsidR="00AF1EF3" w:rsidRPr="00AF1EF3" w14:paraId="3B23B47B"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2C6F65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52</w:t>
            </w:r>
          </w:p>
        </w:tc>
        <w:tc>
          <w:tcPr>
            <w:tcW w:w="3735" w:type="dxa"/>
            <w:tcBorders>
              <w:top w:val="nil"/>
              <w:left w:val="nil"/>
              <w:bottom w:val="single" w:sz="4" w:space="0" w:color="auto"/>
              <w:right w:val="single" w:sz="4" w:space="0" w:color="auto"/>
            </w:tcBorders>
            <w:shd w:val="clear" w:color="auto" w:fill="auto"/>
            <w:noWrap/>
            <w:vAlign w:val="center"/>
            <w:hideMark/>
          </w:tcPr>
          <w:p w14:paraId="25E5E756" w14:textId="5BECC353"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FE8A5C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Reorganization of the Entity</w:t>
            </w:r>
          </w:p>
        </w:tc>
        <w:tc>
          <w:tcPr>
            <w:tcW w:w="810" w:type="dxa"/>
            <w:tcBorders>
              <w:top w:val="nil"/>
              <w:left w:val="nil"/>
              <w:bottom w:val="single" w:sz="4" w:space="0" w:color="auto"/>
              <w:right w:val="single" w:sz="4" w:space="0" w:color="auto"/>
            </w:tcBorders>
            <w:shd w:val="clear" w:color="auto" w:fill="auto"/>
            <w:noWrap/>
            <w:vAlign w:val="center"/>
            <w:hideMark/>
          </w:tcPr>
          <w:p w14:paraId="1B2BFA5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12EAC3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690F1E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19CE87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B8DD4A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p>
        </w:tc>
      </w:tr>
      <w:tr w:rsidR="00AF1EF3" w:rsidRPr="00AF1EF3" w14:paraId="6AC6E70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3CF93F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53</w:t>
            </w:r>
          </w:p>
        </w:tc>
        <w:tc>
          <w:tcPr>
            <w:tcW w:w="3735" w:type="dxa"/>
            <w:tcBorders>
              <w:top w:val="nil"/>
              <w:left w:val="nil"/>
              <w:bottom w:val="single" w:sz="4" w:space="0" w:color="auto"/>
              <w:right w:val="single" w:sz="4" w:space="0" w:color="auto"/>
            </w:tcBorders>
            <w:shd w:val="clear" w:color="auto" w:fill="auto"/>
            <w:noWrap/>
            <w:vAlign w:val="center"/>
            <w:hideMark/>
          </w:tcPr>
          <w:p w14:paraId="2D6B8CC6" w14:textId="2CE8E15B"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20443F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Renewal of the Extract on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48AF87B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0F6211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D5F5BB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E4F8EA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D211F9F" w14:textId="6CC32AC4"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326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355</w:t>
            </w:r>
          </w:p>
        </w:tc>
      </w:tr>
      <w:tr w:rsidR="00AF1EF3" w:rsidRPr="00AF1EF3" w14:paraId="6FEF5FE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B99262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54</w:t>
            </w:r>
          </w:p>
        </w:tc>
        <w:tc>
          <w:tcPr>
            <w:tcW w:w="3735" w:type="dxa"/>
            <w:tcBorders>
              <w:top w:val="nil"/>
              <w:left w:val="nil"/>
              <w:bottom w:val="single" w:sz="4" w:space="0" w:color="auto"/>
              <w:right w:val="single" w:sz="4" w:space="0" w:color="auto"/>
            </w:tcBorders>
            <w:shd w:val="clear" w:color="auto" w:fill="auto"/>
            <w:noWrap/>
            <w:vAlign w:val="center"/>
            <w:hideMark/>
          </w:tcPr>
          <w:p w14:paraId="6D5A35EE" w14:textId="71B343A8"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noWrap/>
            <w:vAlign w:val="center"/>
            <w:hideMark/>
          </w:tcPr>
          <w:p w14:paraId="38D3E479"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Consent to Registration of Individual property</w:t>
            </w:r>
          </w:p>
        </w:tc>
        <w:tc>
          <w:tcPr>
            <w:tcW w:w="810" w:type="dxa"/>
            <w:tcBorders>
              <w:top w:val="nil"/>
              <w:left w:val="nil"/>
              <w:bottom w:val="single" w:sz="4" w:space="0" w:color="auto"/>
              <w:right w:val="single" w:sz="4" w:space="0" w:color="auto"/>
            </w:tcBorders>
            <w:shd w:val="clear" w:color="auto" w:fill="auto"/>
            <w:noWrap/>
            <w:vAlign w:val="center"/>
            <w:hideMark/>
          </w:tcPr>
          <w:p w14:paraId="33F0B6E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4A641B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933FC5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A64A74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271B9B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p>
        </w:tc>
      </w:tr>
      <w:tr w:rsidR="00AF1EF3" w:rsidRPr="00AF1EF3" w14:paraId="226CD71E"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D3FDFE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55</w:t>
            </w:r>
          </w:p>
        </w:tc>
        <w:tc>
          <w:tcPr>
            <w:tcW w:w="3735" w:type="dxa"/>
            <w:tcBorders>
              <w:top w:val="nil"/>
              <w:left w:val="nil"/>
              <w:bottom w:val="single" w:sz="4" w:space="0" w:color="auto"/>
              <w:right w:val="single" w:sz="4" w:space="0" w:color="auto"/>
            </w:tcBorders>
            <w:shd w:val="clear" w:color="auto" w:fill="auto"/>
            <w:noWrap/>
            <w:vAlign w:val="center"/>
            <w:hideMark/>
          </w:tcPr>
          <w:p w14:paraId="267CEABF" w14:textId="3AF8E4A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1466EB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Registry of Mortgage/building Right on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2612275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17C0BA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ED8A1D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7C6C06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ED0FC5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109</w:t>
            </w:r>
          </w:p>
        </w:tc>
      </w:tr>
      <w:tr w:rsidR="00AF1EF3" w:rsidRPr="00AF1EF3" w14:paraId="6920CB14"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485610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56</w:t>
            </w:r>
          </w:p>
        </w:tc>
        <w:tc>
          <w:tcPr>
            <w:tcW w:w="3735" w:type="dxa"/>
            <w:tcBorders>
              <w:top w:val="nil"/>
              <w:left w:val="nil"/>
              <w:bottom w:val="single" w:sz="4" w:space="0" w:color="auto"/>
              <w:right w:val="single" w:sz="4" w:space="0" w:color="auto"/>
            </w:tcBorders>
            <w:shd w:val="clear" w:color="auto" w:fill="auto"/>
            <w:noWrap/>
            <w:vAlign w:val="center"/>
            <w:hideMark/>
          </w:tcPr>
          <w:p w14:paraId="4BE74BAA" w14:textId="3EFBE6C1"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34E8C9B"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Consent to Property Registration and Changes in the Registration Records</w:t>
            </w:r>
          </w:p>
        </w:tc>
        <w:tc>
          <w:tcPr>
            <w:tcW w:w="810" w:type="dxa"/>
            <w:tcBorders>
              <w:top w:val="nil"/>
              <w:left w:val="nil"/>
              <w:bottom w:val="single" w:sz="4" w:space="0" w:color="auto"/>
              <w:right w:val="single" w:sz="4" w:space="0" w:color="auto"/>
            </w:tcBorders>
            <w:shd w:val="clear" w:color="auto" w:fill="auto"/>
            <w:noWrap/>
            <w:vAlign w:val="center"/>
            <w:hideMark/>
          </w:tcPr>
          <w:p w14:paraId="7774D39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7E684C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17FA75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944B76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C3C1C9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w:t>
            </w:r>
          </w:p>
        </w:tc>
      </w:tr>
      <w:tr w:rsidR="00AF1EF3" w:rsidRPr="00AF1EF3" w14:paraId="29E7A4BE"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A1BA76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57</w:t>
            </w:r>
          </w:p>
        </w:tc>
        <w:tc>
          <w:tcPr>
            <w:tcW w:w="3735" w:type="dxa"/>
            <w:tcBorders>
              <w:top w:val="nil"/>
              <w:left w:val="nil"/>
              <w:bottom w:val="single" w:sz="4" w:space="0" w:color="auto"/>
              <w:right w:val="single" w:sz="4" w:space="0" w:color="auto"/>
            </w:tcBorders>
            <w:shd w:val="clear" w:color="auto" w:fill="auto"/>
            <w:noWrap/>
            <w:vAlign w:val="center"/>
            <w:hideMark/>
          </w:tcPr>
          <w:p w14:paraId="01F17B1A" w14:textId="34063FBE"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80C4AC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a Sequestration/Prohibition </w:t>
            </w:r>
          </w:p>
        </w:tc>
        <w:tc>
          <w:tcPr>
            <w:tcW w:w="810" w:type="dxa"/>
            <w:tcBorders>
              <w:top w:val="nil"/>
              <w:left w:val="nil"/>
              <w:bottom w:val="single" w:sz="4" w:space="0" w:color="auto"/>
              <w:right w:val="single" w:sz="4" w:space="0" w:color="auto"/>
            </w:tcBorders>
            <w:shd w:val="clear" w:color="auto" w:fill="auto"/>
            <w:noWrap/>
            <w:vAlign w:val="center"/>
            <w:hideMark/>
          </w:tcPr>
          <w:p w14:paraId="7A9D357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C1A100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EE5635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121AEA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435AAD6" w14:textId="164C9C03"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262</w:t>
            </w:r>
          </w:p>
        </w:tc>
      </w:tr>
      <w:tr w:rsidR="00AF1EF3" w:rsidRPr="00AF1EF3" w14:paraId="7E254E54"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6A7CE1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58</w:t>
            </w:r>
          </w:p>
        </w:tc>
        <w:tc>
          <w:tcPr>
            <w:tcW w:w="3735" w:type="dxa"/>
            <w:tcBorders>
              <w:top w:val="nil"/>
              <w:left w:val="nil"/>
              <w:bottom w:val="single" w:sz="4" w:space="0" w:color="auto"/>
              <w:right w:val="single" w:sz="4" w:space="0" w:color="auto"/>
            </w:tcBorders>
            <w:shd w:val="clear" w:color="auto" w:fill="auto"/>
            <w:noWrap/>
            <w:vAlign w:val="center"/>
            <w:hideMark/>
          </w:tcPr>
          <w:p w14:paraId="5E9908C3" w14:textId="1200AE60"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FF20F9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Ownership of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744CB2C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D743CF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F54799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6C8B0B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C2FBAF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711</w:t>
            </w:r>
          </w:p>
        </w:tc>
      </w:tr>
      <w:tr w:rsidR="00AF1EF3" w:rsidRPr="00AF1EF3" w14:paraId="18A78D7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83AE53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59</w:t>
            </w:r>
          </w:p>
        </w:tc>
        <w:tc>
          <w:tcPr>
            <w:tcW w:w="3735" w:type="dxa"/>
            <w:tcBorders>
              <w:top w:val="nil"/>
              <w:left w:val="nil"/>
              <w:bottom w:val="single" w:sz="4" w:space="0" w:color="auto"/>
              <w:right w:val="single" w:sz="4" w:space="0" w:color="auto"/>
            </w:tcBorders>
            <w:shd w:val="clear" w:color="auto" w:fill="auto"/>
            <w:noWrap/>
            <w:vAlign w:val="center"/>
            <w:hideMark/>
          </w:tcPr>
          <w:p w14:paraId="0678AD87" w14:textId="6D4DF4B6"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5EA5C43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Lease/sublease Right on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186590A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B6C32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0CB404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06DB10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B2DD74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134</w:t>
            </w:r>
          </w:p>
        </w:tc>
      </w:tr>
      <w:tr w:rsidR="00AF1EF3" w:rsidRPr="00AF1EF3" w14:paraId="7626134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EE9DDB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60</w:t>
            </w:r>
          </w:p>
        </w:tc>
        <w:tc>
          <w:tcPr>
            <w:tcW w:w="3735" w:type="dxa"/>
            <w:tcBorders>
              <w:top w:val="nil"/>
              <w:left w:val="nil"/>
              <w:bottom w:val="single" w:sz="4" w:space="0" w:color="auto"/>
              <w:right w:val="single" w:sz="4" w:space="0" w:color="auto"/>
            </w:tcBorders>
            <w:shd w:val="clear" w:color="auto" w:fill="auto"/>
            <w:noWrap/>
            <w:vAlign w:val="center"/>
            <w:hideMark/>
          </w:tcPr>
          <w:p w14:paraId="1CEAF7F8" w14:textId="5C0FF936"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D3793C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Primary Registration of Ownership of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582CF2F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F72A8A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CBCF93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8B1980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02352A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653</w:t>
            </w:r>
          </w:p>
        </w:tc>
      </w:tr>
      <w:tr w:rsidR="00AF1EF3" w:rsidRPr="00AF1EF3" w14:paraId="5751C624"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DBF53E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61</w:t>
            </w:r>
          </w:p>
        </w:tc>
        <w:tc>
          <w:tcPr>
            <w:tcW w:w="3735" w:type="dxa"/>
            <w:tcBorders>
              <w:top w:val="nil"/>
              <w:left w:val="nil"/>
              <w:bottom w:val="single" w:sz="4" w:space="0" w:color="auto"/>
              <w:right w:val="single" w:sz="4" w:space="0" w:color="auto"/>
            </w:tcBorders>
            <w:shd w:val="clear" w:color="auto" w:fill="auto"/>
            <w:noWrap/>
            <w:vAlign w:val="center"/>
            <w:hideMark/>
          </w:tcPr>
          <w:p w14:paraId="2001AF97" w14:textId="68C83DB3"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BB9E6F4"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Change/Formation of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25DE1A3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49FDE3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141D771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96F932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86C8C5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562</w:t>
            </w:r>
          </w:p>
        </w:tc>
      </w:tr>
      <w:tr w:rsidR="00AF1EF3" w:rsidRPr="00AF1EF3" w14:paraId="142A4906"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72B44A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62</w:t>
            </w:r>
          </w:p>
        </w:tc>
        <w:tc>
          <w:tcPr>
            <w:tcW w:w="3735" w:type="dxa"/>
            <w:tcBorders>
              <w:top w:val="nil"/>
              <w:left w:val="nil"/>
              <w:bottom w:val="single" w:sz="4" w:space="0" w:color="auto"/>
              <w:right w:val="single" w:sz="4" w:space="0" w:color="auto"/>
            </w:tcBorders>
            <w:shd w:val="clear" w:color="auto" w:fill="auto"/>
            <w:noWrap/>
            <w:vAlign w:val="center"/>
            <w:hideMark/>
          </w:tcPr>
          <w:p w14:paraId="51F63C0C" w14:textId="7B09E42D"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6E6A6FCC"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Rent/Sublease Right on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044FE45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7F7A19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1FE07D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97FF74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D3F659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14</w:t>
            </w:r>
          </w:p>
        </w:tc>
      </w:tr>
      <w:tr w:rsidR="00AF1EF3" w:rsidRPr="00AF1EF3" w14:paraId="25D1ECF4"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54030D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63</w:t>
            </w:r>
          </w:p>
        </w:tc>
        <w:tc>
          <w:tcPr>
            <w:tcW w:w="3735" w:type="dxa"/>
            <w:tcBorders>
              <w:top w:val="nil"/>
              <w:left w:val="nil"/>
              <w:bottom w:val="single" w:sz="4" w:space="0" w:color="auto"/>
              <w:right w:val="single" w:sz="4" w:space="0" w:color="auto"/>
            </w:tcBorders>
            <w:shd w:val="clear" w:color="auto" w:fill="auto"/>
            <w:noWrap/>
            <w:vAlign w:val="center"/>
            <w:hideMark/>
          </w:tcPr>
          <w:p w14:paraId="7A9F6546" w14:textId="641E3705"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FFD2A3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Immovable Property Under Construction</w:t>
            </w:r>
          </w:p>
        </w:tc>
        <w:tc>
          <w:tcPr>
            <w:tcW w:w="810" w:type="dxa"/>
            <w:tcBorders>
              <w:top w:val="nil"/>
              <w:left w:val="nil"/>
              <w:bottom w:val="single" w:sz="4" w:space="0" w:color="auto"/>
              <w:right w:val="single" w:sz="4" w:space="0" w:color="auto"/>
            </w:tcBorders>
            <w:shd w:val="clear" w:color="auto" w:fill="auto"/>
            <w:noWrap/>
            <w:vAlign w:val="center"/>
            <w:hideMark/>
          </w:tcPr>
          <w:p w14:paraId="3E49362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9AF5C8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77D38C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9F8EC3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D89AD7F" w14:textId="1409EDD8"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254</w:t>
            </w:r>
          </w:p>
        </w:tc>
      </w:tr>
      <w:tr w:rsidR="00AF1EF3" w:rsidRPr="00AF1EF3" w14:paraId="25C9FEB0"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17C246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64</w:t>
            </w:r>
          </w:p>
        </w:tc>
        <w:tc>
          <w:tcPr>
            <w:tcW w:w="3735" w:type="dxa"/>
            <w:tcBorders>
              <w:top w:val="nil"/>
              <w:left w:val="nil"/>
              <w:bottom w:val="single" w:sz="4" w:space="0" w:color="auto"/>
              <w:right w:val="single" w:sz="4" w:space="0" w:color="auto"/>
            </w:tcBorders>
            <w:shd w:val="clear" w:color="auto" w:fill="auto"/>
            <w:noWrap/>
            <w:vAlign w:val="center"/>
            <w:hideMark/>
          </w:tcPr>
          <w:p w14:paraId="128C91FB" w14:textId="68711392"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5C8FD8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the Origin of the Obligation related to Ownership Rights</w:t>
            </w:r>
          </w:p>
        </w:tc>
        <w:tc>
          <w:tcPr>
            <w:tcW w:w="810" w:type="dxa"/>
            <w:tcBorders>
              <w:top w:val="nil"/>
              <w:left w:val="nil"/>
              <w:bottom w:val="single" w:sz="4" w:space="0" w:color="auto"/>
              <w:right w:val="single" w:sz="4" w:space="0" w:color="auto"/>
            </w:tcBorders>
            <w:shd w:val="clear" w:color="auto" w:fill="auto"/>
            <w:noWrap/>
            <w:vAlign w:val="center"/>
            <w:hideMark/>
          </w:tcPr>
          <w:p w14:paraId="7AB259D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72CE3E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02FA5E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EFD57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8202F7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70</w:t>
            </w:r>
          </w:p>
        </w:tc>
      </w:tr>
      <w:tr w:rsidR="00AF1EF3" w:rsidRPr="00AF1EF3" w14:paraId="24BBF413"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3C759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65</w:t>
            </w:r>
          </w:p>
        </w:tc>
        <w:tc>
          <w:tcPr>
            <w:tcW w:w="3735" w:type="dxa"/>
            <w:tcBorders>
              <w:top w:val="nil"/>
              <w:left w:val="nil"/>
              <w:bottom w:val="single" w:sz="4" w:space="0" w:color="auto"/>
              <w:right w:val="single" w:sz="4" w:space="0" w:color="auto"/>
            </w:tcBorders>
            <w:shd w:val="clear" w:color="auto" w:fill="auto"/>
            <w:noWrap/>
            <w:vAlign w:val="center"/>
            <w:hideMark/>
          </w:tcPr>
          <w:p w14:paraId="1777D88E" w14:textId="49A3EA7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6BBB89FD"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Systematic and Sporadic Registration of Rights to Plots of Land</w:t>
            </w:r>
          </w:p>
        </w:tc>
        <w:tc>
          <w:tcPr>
            <w:tcW w:w="810" w:type="dxa"/>
            <w:tcBorders>
              <w:top w:val="nil"/>
              <w:left w:val="nil"/>
              <w:bottom w:val="single" w:sz="4" w:space="0" w:color="auto"/>
              <w:right w:val="single" w:sz="4" w:space="0" w:color="auto"/>
            </w:tcBorders>
            <w:shd w:val="clear" w:color="auto" w:fill="auto"/>
            <w:noWrap/>
            <w:vAlign w:val="center"/>
            <w:hideMark/>
          </w:tcPr>
          <w:p w14:paraId="14A996E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90F46F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A22D8F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5EA1DA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1813431" w14:textId="5BF62746"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317</w:t>
            </w:r>
          </w:p>
        </w:tc>
      </w:tr>
      <w:tr w:rsidR="00AF1EF3" w:rsidRPr="00AF1EF3" w14:paraId="373470C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98F403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66</w:t>
            </w:r>
          </w:p>
        </w:tc>
        <w:tc>
          <w:tcPr>
            <w:tcW w:w="3735" w:type="dxa"/>
            <w:tcBorders>
              <w:top w:val="nil"/>
              <w:left w:val="nil"/>
              <w:bottom w:val="single" w:sz="4" w:space="0" w:color="auto"/>
              <w:right w:val="single" w:sz="4" w:space="0" w:color="auto"/>
            </w:tcBorders>
            <w:shd w:val="clear" w:color="auto" w:fill="auto"/>
            <w:noWrap/>
            <w:vAlign w:val="center"/>
            <w:hideMark/>
          </w:tcPr>
          <w:p w14:paraId="679E4F9F" w14:textId="7EA6D8C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F616CF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Leasing Right/Lend of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179E104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5E357C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1DAA201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29CF25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A089B2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r>
      <w:tr w:rsidR="00AF1EF3" w:rsidRPr="00AF1EF3" w14:paraId="5D49BF64"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D7147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67</w:t>
            </w:r>
          </w:p>
        </w:tc>
        <w:tc>
          <w:tcPr>
            <w:tcW w:w="3735" w:type="dxa"/>
            <w:tcBorders>
              <w:top w:val="nil"/>
              <w:left w:val="nil"/>
              <w:bottom w:val="single" w:sz="4" w:space="0" w:color="auto"/>
              <w:right w:val="single" w:sz="4" w:space="0" w:color="auto"/>
            </w:tcBorders>
            <w:shd w:val="clear" w:color="auto" w:fill="auto"/>
            <w:noWrap/>
            <w:vAlign w:val="center"/>
            <w:hideMark/>
          </w:tcPr>
          <w:p w14:paraId="633A51A8" w14:textId="2B71822C"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F5B8E3F"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Search for Applications in the real estate Registry</w:t>
            </w:r>
          </w:p>
        </w:tc>
        <w:tc>
          <w:tcPr>
            <w:tcW w:w="810" w:type="dxa"/>
            <w:tcBorders>
              <w:top w:val="nil"/>
              <w:left w:val="nil"/>
              <w:bottom w:val="single" w:sz="4" w:space="0" w:color="auto"/>
              <w:right w:val="single" w:sz="4" w:space="0" w:color="auto"/>
            </w:tcBorders>
            <w:shd w:val="clear" w:color="auto" w:fill="auto"/>
            <w:noWrap/>
            <w:vAlign w:val="center"/>
            <w:hideMark/>
          </w:tcPr>
          <w:p w14:paraId="066CD62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860C37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337FE5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624C2A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B4BFD85" w14:textId="70E4AA3D"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791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654</w:t>
            </w:r>
          </w:p>
        </w:tc>
      </w:tr>
      <w:tr w:rsidR="00AF1EF3" w:rsidRPr="00AF1EF3" w14:paraId="21C1EC13"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4044B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lastRenderedPageBreak/>
              <w:t>68</w:t>
            </w:r>
          </w:p>
        </w:tc>
        <w:tc>
          <w:tcPr>
            <w:tcW w:w="3735" w:type="dxa"/>
            <w:tcBorders>
              <w:top w:val="nil"/>
              <w:left w:val="nil"/>
              <w:bottom w:val="single" w:sz="4" w:space="0" w:color="auto"/>
              <w:right w:val="single" w:sz="4" w:space="0" w:color="auto"/>
            </w:tcBorders>
            <w:shd w:val="clear" w:color="auto" w:fill="auto"/>
            <w:noWrap/>
            <w:vAlign w:val="center"/>
            <w:hideMark/>
          </w:tcPr>
          <w:p w14:paraId="4998A460" w14:textId="3A9A3525"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FE6E1CB"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Registry of Tax lien/Mortgage/Sequestration</w:t>
            </w:r>
          </w:p>
        </w:tc>
        <w:tc>
          <w:tcPr>
            <w:tcW w:w="810" w:type="dxa"/>
            <w:tcBorders>
              <w:top w:val="nil"/>
              <w:left w:val="nil"/>
              <w:bottom w:val="single" w:sz="4" w:space="0" w:color="auto"/>
              <w:right w:val="single" w:sz="4" w:space="0" w:color="auto"/>
            </w:tcBorders>
            <w:shd w:val="clear" w:color="auto" w:fill="auto"/>
            <w:noWrap/>
            <w:vAlign w:val="center"/>
            <w:hideMark/>
          </w:tcPr>
          <w:p w14:paraId="577130A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C64D6C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390752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7EAF90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C5FC980" w14:textId="0F63C865"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261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362</w:t>
            </w:r>
          </w:p>
        </w:tc>
      </w:tr>
      <w:tr w:rsidR="00AF1EF3" w:rsidRPr="00AF1EF3" w14:paraId="2A34945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78A4DB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69</w:t>
            </w:r>
          </w:p>
        </w:tc>
        <w:tc>
          <w:tcPr>
            <w:tcW w:w="3735" w:type="dxa"/>
            <w:tcBorders>
              <w:top w:val="nil"/>
              <w:left w:val="nil"/>
              <w:bottom w:val="single" w:sz="4" w:space="0" w:color="auto"/>
              <w:right w:val="single" w:sz="4" w:space="0" w:color="auto"/>
            </w:tcBorders>
            <w:shd w:val="clear" w:color="auto" w:fill="auto"/>
            <w:noWrap/>
            <w:vAlign w:val="center"/>
            <w:hideMark/>
          </w:tcPr>
          <w:p w14:paraId="7FD399B9" w14:textId="6E19388D"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3BD5C4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from the Technical Accounting Archive</w:t>
            </w:r>
          </w:p>
        </w:tc>
        <w:tc>
          <w:tcPr>
            <w:tcW w:w="810" w:type="dxa"/>
            <w:tcBorders>
              <w:top w:val="nil"/>
              <w:left w:val="nil"/>
              <w:bottom w:val="single" w:sz="4" w:space="0" w:color="auto"/>
              <w:right w:val="single" w:sz="4" w:space="0" w:color="auto"/>
            </w:tcBorders>
            <w:shd w:val="clear" w:color="auto" w:fill="auto"/>
            <w:noWrap/>
            <w:vAlign w:val="center"/>
            <w:hideMark/>
          </w:tcPr>
          <w:p w14:paraId="4289ABE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694282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CD5A1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A8F9E9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2C3522E" w14:textId="020B8344"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150</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352</w:t>
            </w:r>
          </w:p>
        </w:tc>
      </w:tr>
      <w:tr w:rsidR="00AF1EF3" w:rsidRPr="00AF1EF3" w14:paraId="2574202A"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E2AA69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70</w:t>
            </w:r>
          </w:p>
        </w:tc>
        <w:tc>
          <w:tcPr>
            <w:tcW w:w="3735" w:type="dxa"/>
            <w:tcBorders>
              <w:top w:val="nil"/>
              <w:left w:val="nil"/>
              <w:bottom w:val="single" w:sz="4" w:space="0" w:color="auto"/>
              <w:right w:val="single" w:sz="4" w:space="0" w:color="auto"/>
            </w:tcBorders>
            <w:shd w:val="clear" w:color="auto" w:fill="auto"/>
            <w:noWrap/>
            <w:vAlign w:val="center"/>
            <w:hideMark/>
          </w:tcPr>
          <w:p w14:paraId="0545CD6B" w14:textId="589B78E6"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61E63E30"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Search for Application in the Registry of Tax Lien/Mortgage/sequestration</w:t>
            </w:r>
          </w:p>
        </w:tc>
        <w:tc>
          <w:tcPr>
            <w:tcW w:w="810" w:type="dxa"/>
            <w:tcBorders>
              <w:top w:val="nil"/>
              <w:left w:val="nil"/>
              <w:bottom w:val="single" w:sz="4" w:space="0" w:color="auto"/>
              <w:right w:val="single" w:sz="4" w:space="0" w:color="auto"/>
            </w:tcBorders>
            <w:shd w:val="clear" w:color="auto" w:fill="auto"/>
            <w:noWrap/>
            <w:vAlign w:val="center"/>
            <w:hideMark/>
          </w:tcPr>
          <w:p w14:paraId="58EC99B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7D2F3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2E1C64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A7FF0E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498B5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106646</w:t>
            </w:r>
          </w:p>
        </w:tc>
      </w:tr>
      <w:tr w:rsidR="00AF1EF3" w:rsidRPr="00AF1EF3" w14:paraId="11591A2F"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302B9A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71</w:t>
            </w:r>
          </w:p>
        </w:tc>
        <w:tc>
          <w:tcPr>
            <w:tcW w:w="3735" w:type="dxa"/>
            <w:tcBorders>
              <w:top w:val="nil"/>
              <w:left w:val="nil"/>
              <w:bottom w:val="single" w:sz="4" w:space="0" w:color="auto"/>
              <w:right w:val="single" w:sz="4" w:space="0" w:color="auto"/>
            </w:tcBorders>
            <w:shd w:val="clear" w:color="auto" w:fill="auto"/>
            <w:noWrap/>
            <w:vAlign w:val="center"/>
            <w:hideMark/>
          </w:tcPr>
          <w:p w14:paraId="4A98558A" w14:textId="65F27738"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5116794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 xml:space="preserve">Preparation of Cadastral Plans </w:t>
            </w:r>
          </w:p>
        </w:tc>
        <w:tc>
          <w:tcPr>
            <w:tcW w:w="810" w:type="dxa"/>
            <w:tcBorders>
              <w:top w:val="nil"/>
              <w:left w:val="nil"/>
              <w:bottom w:val="single" w:sz="4" w:space="0" w:color="auto"/>
              <w:right w:val="single" w:sz="4" w:space="0" w:color="auto"/>
            </w:tcBorders>
            <w:shd w:val="clear" w:color="auto" w:fill="auto"/>
            <w:noWrap/>
            <w:vAlign w:val="center"/>
            <w:hideMark/>
          </w:tcPr>
          <w:p w14:paraId="66388DE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2A9F98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DD71CA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073976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D84F935" w14:textId="0EB78081"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44</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440</w:t>
            </w:r>
          </w:p>
        </w:tc>
      </w:tr>
      <w:tr w:rsidR="00AF1EF3" w:rsidRPr="00AF1EF3" w14:paraId="6F56B7D6"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24E2BD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72</w:t>
            </w:r>
          </w:p>
        </w:tc>
        <w:tc>
          <w:tcPr>
            <w:tcW w:w="3735" w:type="dxa"/>
            <w:tcBorders>
              <w:top w:val="nil"/>
              <w:left w:val="nil"/>
              <w:bottom w:val="single" w:sz="4" w:space="0" w:color="auto"/>
              <w:right w:val="single" w:sz="4" w:space="0" w:color="auto"/>
            </w:tcBorders>
            <w:shd w:val="clear" w:color="auto" w:fill="auto"/>
            <w:noWrap/>
            <w:vAlign w:val="center"/>
            <w:hideMark/>
          </w:tcPr>
          <w:p w14:paraId="2BF44B0B" w14:textId="72D7681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55EFB57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Certificate of Public-law Restriction</w:t>
            </w:r>
          </w:p>
        </w:tc>
        <w:tc>
          <w:tcPr>
            <w:tcW w:w="810" w:type="dxa"/>
            <w:tcBorders>
              <w:top w:val="nil"/>
              <w:left w:val="nil"/>
              <w:bottom w:val="single" w:sz="4" w:space="0" w:color="auto"/>
              <w:right w:val="single" w:sz="4" w:space="0" w:color="auto"/>
            </w:tcBorders>
            <w:shd w:val="clear" w:color="auto" w:fill="auto"/>
            <w:noWrap/>
            <w:vAlign w:val="center"/>
            <w:hideMark/>
          </w:tcPr>
          <w:p w14:paraId="6811999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63DAC9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711FC7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80E0C4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DFA1DD1" w14:textId="30C97C34"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384</w:t>
            </w:r>
          </w:p>
        </w:tc>
      </w:tr>
      <w:tr w:rsidR="00AF1EF3" w:rsidRPr="00AF1EF3" w14:paraId="13CED3B0"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CD76F9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73</w:t>
            </w:r>
          </w:p>
        </w:tc>
        <w:tc>
          <w:tcPr>
            <w:tcW w:w="3735" w:type="dxa"/>
            <w:tcBorders>
              <w:top w:val="nil"/>
              <w:left w:val="nil"/>
              <w:bottom w:val="single" w:sz="4" w:space="0" w:color="auto"/>
              <w:right w:val="single" w:sz="4" w:space="0" w:color="auto"/>
            </w:tcBorders>
            <w:shd w:val="clear" w:color="auto" w:fill="auto"/>
            <w:noWrap/>
            <w:vAlign w:val="center"/>
            <w:hideMark/>
          </w:tcPr>
          <w:p w14:paraId="1FE0245C" w14:textId="39BA32E2"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4DF9BAF"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Correction of a Technical Defect of the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4164869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88CAFD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8439D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4EC1D6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13044DE" w14:textId="3CAEAF3B"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29</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441</w:t>
            </w:r>
          </w:p>
        </w:tc>
      </w:tr>
      <w:tr w:rsidR="00AF1EF3" w:rsidRPr="00AF1EF3" w14:paraId="1EBBC4C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09BD50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74</w:t>
            </w:r>
          </w:p>
        </w:tc>
        <w:tc>
          <w:tcPr>
            <w:tcW w:w="3735" w:type="dxa"/>
            <w:tcBorders>
              <w:top w:val="nil"/>
              <w:left w:val="nil"/>
              <w:bottom w:val="single" w:sz="4" w:space="0" w:color="auto"/>
              <w:right w:val="single" w:sz="4" w:space="0" w:color="auto"/>
            </w:tcBorders>
            <w:shd w:val="clear" w:color="auto" w:fill="auto"/>
            <w:noWrap/>
            <w:vAlign w:val="center"/>
            <w:hideMark/>
          </w:tcPr>
          <w:p w14:paraId="7547B844" w14:textId="03E73B49"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5B750349"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Tax Lien/Mortgage Rights</w:t>
            </w:r>
          </w:p>
        </w:tc>
        <w:tc>
          <w:tcPr>
            <w:tcW w:w="810" w:type="dxa"/>
            <w:tcBorders>
              <w:top w:val="nil"/>
              <w:left w:val="nil"/>
              <w:bottom w:val="single" w:sz="4" w:space="0" w:color="auto"/>
              <w:right w:val="single" w:sz="4" w:space="0" w:color="auto"/>
            </w:tcBorders>
            <w:shd w:val="clear" w:color="auto" w:fill="auto"/>
            <w:noWrap/>
            <w:vAlign w:val="center"/>
            <w:hideMark/>
          </w:tcPr>
          <w:p w14:paraId="330BF33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C7D795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4A3DC1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D3F12B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7BE688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5540</w:t>
            </w:r>
          </w:p>
        </w:tc>
      </w:tr>
      <w:tr w:rsidR="00AF1EF3" w:rsidRPr="00AF1EF3" w14:paraId="4CB81320"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479BF3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75</w:t>
            </w:r>
          </w:p>
        </w:tc>
        <w:tc>
          <w:tcPr>
            <w:tcW w:w="3735" w:type="dxa"/>
            <w:tcBorders>
              <w:top w:val="nil"/>
              <w:left w:val="nil"/>
              <w:bottom w:val="single" w:sz="4" w:space="0" w:color="auto"/>
              <w:right w:val="single" w:sz="4" w:space="0" w:color="auto"/>
            </w:tcBorders>
            <w:shd w:val="clear" w:color="auto" w:fill="auto"/>
            <w:noWrap/>
            <w:vAlign w:val="center"/>
            <w:hideMark/>
          </w:tcPr>
          <w:p w14:paraId="6DA8A905" w14:textId="409BF7DF"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Agency of Public Regis</w:t>
            </w:r>
            <w:r w:rsidR="00D0186C">
              <w:rPr>
                <w:rFonts w:ascii="Arial" w:eastAsia="Times New Roman" w:hAnsi="Arial" w:cs="Arial"/>
                <w:color w:val="000000"/>
                <w:sz w:val="20"/>
                <w:szCs w:val="20"/>
              </w:rPr>
              <w:t xml:space="preserve">try </w:t>
            </w:r>
          </w:p>
        </w:tc>
        <w:tc>
          <w:tcPr>
            <w:tcW w:w="5220" w:type="dxa"/>
            <w:tcBorders>
              <w:top w:val="nil"/>
              <w:left w:val="nil"/>
              <w:bottom w:val="single" w:sz="4" w:space="0" w:color="auto"/>
              <w:right w:val="single" w:sz="4" w:space="0" w:color="auto"/>
            </w:tcBorders>
            <w:shd w:val="clear" w:color="auto" w:fill="auto"/>
            <w:vAlign w:val="center"/>
            <w:hideMark/>
          </w:tcPr>
          <w:p w14:paraId="7A69061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Mortgage/Leasing Registry</w:t>
            </w:r>
          </w:p>
        </w:tc>
        <w:tc>
          <w:tcPr>
            <w:tcW w:w="810" w:type="dxa"/>
            <w:tcBorders>
              <w:top w:val="nil"/>
              <w:left w:val="nil"/>
              <w:bottom w:val="single" w:sz="4" w:space="0" w:color="auto"/>
              <w:right w:val="single" w:sz="4" w:space="0" w:color="auto"/>
            </w:tcBorders>
            <w:shd w:val="clear" w:color="auto" w:fill="auto"/>
            <w:noWrap/>
            <w:vAlign w:val="center"/>
            <w:hideMark/>
          </w:tcPr>
          <w:p w14:paraId="2A1AD80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2DF39C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8B82C9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C9421A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9DCF538" w14:textId="14854A32"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043</w:t>
            </w:r>
          </w:p>
        </w:tc>
      </w:tr>
      <w:tr w:rsidR="00AF1EF3" w:rsidRPr="00AF1EF3" w14:paraId="44A82653"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CC28BC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76</w:t>
            </w:r>
          </w:p>
        </w:tc>
        <w:tc>
          <w:tcPr>
            <w:tcW w:w="3735" w:type="dxa"/>
            <w:tcBorders>
              <w:top w:val="nil"/>
              <w:left w:val="nil"/>
              <w:bottom w:val="single" w:sz="4" w:space="0" w:color="auto"/>
              <w:right w:val="single" w:sz="4" w:space="0" w:color="auto"/>
            </w:tcBorders>
            <w:shd w:val="clear" w:color="auto" w:fill="auto"/>
            <w:noWrap/>
            <w:vAlign w:val="center"/>
            <w:hideMark/>
          </w:tcPr>
          <w:p w14:paraId="5E79A411" w14:textId="7FA259DC"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B97F84A"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Samples of Documents to be Submitted for Registration in the Public Registry</w:t>
            </w:r>
          </w:p>
        </w:tc>
        <w:tc>
          <w:tcPr>
            <w:tcW w:w="810" w:type="dxa"/>
            <w:tcBorders>
              <w:top w:val="nil"/>
              <w:left w:val="nil"/>
              <w:bottom w:val="single" w:sz="4" w:space="0" w:color="auto"/>
              <w:right w:val="single" w:sz="4" w:space="0" w:color="auto"/>
            </w:tcBorders>
            <w:shd w:val="clear" w:color="auto" w:fill="auto"/>
            <w:noWrap/>
            <w:vAlign w:val="center"/>
            <w:hideMark/>
          </w:tcPr>
          <w:p w14:paraId="101D201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8654A9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0EBE8E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552185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97DA823" w14:textId="587C18E2"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962</w:t>
            </w:r>
          </w:p>
        </w:tc>
      </w:tr>
      <w:tr w:rsidR="00AF1EF3" w:rsidRPr="00AF1EF3" w14:paraId="09B3C56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1D30F4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77</w:t>
            </w:r>
          </w:p>
        </w:tc>
        <w:tc>
          <w:tcPr>
            <w:tcW w:w="3735" w:type="dxa"/>
            <w:tcBorders>
              <w:top w:val="nil"/>
              <w:left w:val="nil"/>
              <w:bottom w:val="single" w:sz="4" w:space="0" w:color="auto"/>
              <w:right w:val="single" w:sz="4" w:space="0" w:color="auto"/>
            </w:tcBorders>
            <w:shd w:val="clear" w:color="auto" w:fill="auto"/>
            <w:noWrap/>
            <w:vAlign w:val="center"/>
            <w:hideMark/>
          </w:tcPr>
          <w:p w14:paraId="18FECBF3" w14:textId="4457921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1E2EDF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Public-law Restriction</w:t>
            </w:r>
          </w:p>
        </w:tc>
        <w:tc>
          <w:tcPr>
            <w:tcW w:w="810" w:type="dxa"/>
            <w:tcBorders>
              <w:top w:val="nil"/>
              <w:left w:val="nil"/>
              <w:bottom w:val="single" w:sz="4" w:space="0" w:color="auto"/>
              <w:right w:val="single" w:sz="4" w:space="0" w:color="auto"/>
            </w:tcBorders>
            <w:shd w:val="clear" w:color="auto" w:fill="auto"/>
            <w:noWrap/>
            <w:vAlign w:val="center"/>
            <w:hideMark/>
          </w:tcPr>
          <w:p w14:paraId="79D0E30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DA2F88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026758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E77348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E27D8C4" w14:textId="2BD38333"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458</w:t>
            </w:r>
          </w:p>
        </w:tc>
      </w:tr>
      <w:tr w:rsidR="00AF1EF3" w:rsidRPr="00AF1EF3" w14:paraId="249C5607"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0A9A19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78</w:t>
            </w:r>
          </w:p>
        </w:tc>
        <w:tc>
          <w:tcPr>
            <w:tcW w:w="3735" w:type="dxa"/>
            <w:tcBorders>
              <w:top w:val="nil"/>
              <w:left w:val="nil"/>
              <w:bottom w:val="single" w:sz="4" w:space="0" w:color="auto"/>
              <w:right w:val="single" w:sz="4" w:space="0" w:color="auto"/>
            </w:tcBorders>
            <w:shd w:val="clear" w:color="auto" w:fill="auto"/>
            <w:noWrap/>
            <w:vAlign w:val="center"/>
            <w:hideMark/>
          </w:tcPr>
          <w:p w14:paraId="16A80FA5" w14:textId="2A8E61A2"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86CE9DC"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Immovable Property of the Individual</w:t>
            </w:r>
          </w:p>
        </w:tc>
        <w:tc>
          <w:tcPr>
            <w:tcW w:w="810" w:type="dxa"/>
            <w:tcBorders>
              <w:top w:val="nil"/>
              <w:left w:val="nil"/>
              <w:bottom w:val="single" w:sz="4" w:space="0" w:color="auto"/>
              <w:right w:val="single" w:sz="4" w:space="0" w:color="auto"/>
            </w:tcBorders>
            <w:shd w:val="clear" w:color="auto" w:fill="auto"/>
            <w:noWrap/>
            <w:vAlign w:val="center"/>
            <w:hideMark/>
          </w:tcPr>
          <w:p w14:paraId="15546A4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27CDE1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B61AF3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D8C938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5053A5A" w14:textId="6C5D00FC"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357</w:t>
            </w:r>
          </w:p>
        </w:tc>
      </w:tr>
      <w:tr w:rsidR="00AF1EF3" w:rsidRPr="00AF1EF3" w14:paraId="391F6E2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C9D216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79</w:t>
            </w:r>
          </w:p>
        </w:tc>
        <w:tc>
          <w:tcPr>
            <w:tcW w:w="3735" w:type="dxa"/>
            <w:tcBorders>
              <w:top w:val="nil"/>
              <w:left w:val="nil"/>
              <w:bottom w:val="single" w:sz="4" w:space="0" w:color="auto"/>
              <w:right w:val="single" w:sz="4" w:space="0" w:color="auto"/>
            </w:tcBorders>
            <w:shd w:val="clear" w:color="auto" w:fill="auto"/>
            <w:noWrap/>
            <w:vAlign w:val="center"/>
            <w:hideMark/>
          </w:tcPr>
          <w:p w14:paraId="53169A72" w14:textId="5D2D8A9D"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52FEC3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Cadastral Map (electronic version)</w:t>
            </w:r>
          </w:p>
        </w:tc>
        <w:tc>
          <w:tcPr>
            <w:tcW w:w="810" w:type="dxa"/>
            <w:tcBorders>
              <w:top w:val="nil"/>
              <w:left w:val="nil"/>
              <w:bottom w:val="single" w:sz="4" w:space="0" w:color="auto"/>
              <w:right w:val="single" w:sz="4" w:space="0" w:color="auto"/>
            </w:tcBorders>
            <w:shd w:val="clear" w:color="auto" w:fill="auto"/>
            <w:noWrap/>
            <w:vAlign w:val="center"/>
            <w:hideMark/>
          </w:tcPr>
          <w:p w14:paraId="3A84F96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A60C9F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E30277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8672FA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99B6285" w14:textId="46FBABFF"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031</w:t>
            </w:r>
          </w:p>
        </w:tc>
      </w:tr>
      <w:tr w:rsidR="00AF1EF3" w:rsidRPr="00AF1EF3" w14:paraId="5BD0CE45"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D1558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80</w:t>
            </w:r>
          </w:p>
        </w:tc>
        <w:tc>
          <w:tcPr>
            <w:tcW w:w="3735" w:type="dxa"/>
            <w:tcBorders>
              <w:top w:val="nil"/>
              <w:left w:val="nil"/>
              <w:bottom w:val="single" w:sz="4" w:space="0" w:color="auto"/>
              <w:right w:val="single" w:sz="4" w:space="0" w:color="auto"/>
            </w:tcBorders>
            <w:shd w:val="clear" w:color="auto" w:fill="auto"/>
            <w:noWrap/>
            <w:vAlign w:val="center"/>
            <w:hideMark/>
          </w:tcPr>
          <w:p w14:paraId="4ACA54C9" w14:textId="1E9B76C5"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Agency of Public Reg</w:t>
            </w:r>
            <w:r w:rsidR="00D0186C">
              <w:rPr>
                <w:rFonts w:ascii="Arial" w:eastAsia="Times New Roman" w:hAnsi="Arial" w:cs="Arial"/>
                <w:color w:val="000000"/>
                <w:sz w:val="20"/>
                <w:szCs w:val="20"/>
              </w:rPr>
              <w:t xml:space="preserve">istry </w:t>
            </w:r>
          </w:p>
        </w:tc>
        <w:tc>
          <w:tcPr>
            <w:tcW w:w="5220" w:type="dxa"/>
            <w:tcBorders>
              <w:top w:val="nil"/>
              <w:left w:val="nil"/>
              <w:bottom w:val="single" w:sz="4" w:space="0" w:color="auto"/>
              <w:right w:val="single" w:sz="4" w:space="0" w:color="auto"/>
            </w:tcBorders>
            <w:shd w:val="clear" w:color="auto" w:fill="auto"/>
            <w:vAlign w:val="center"/>
            <w:hideMark/>
          </w:tcPr>
          <w:p w14:paraId="4F2386D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copies of Archival Documents kept in the Archives of the Public Registry</w:t>
            </w:r>
          </w:p>
        </w:tc>
        <w:tc>
          <w:tcPr>
            <w:tcW w:w="810" w:type="dxa"/>
            <w:tcBorders>
              <w:top w:val="nil"/>
              <w:left w:val="nil"/>
              <w:bottom w:val="single" w:sz="4" w:space="0" w:color="auto"/>
              <w:right w:val="single" w:sz="4" w:space="0" w:color="auto"/>
            </w:tcBorders>
            <w:shd w:val="clear" w:color="auto" w:fill="auto"/>
            <w:noWrap/>
            <w:vAlign w:val="center"/>
            <w:hideMark/>
          </w:tcPr>
          <w:p w14:paraId="20F8246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A99051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B6436D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E99A66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790DF3D" w14:textId="40023791"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235</w:t>
            </w:r>
          </w:p>
        </w:tc>
      </w:tr>
      <w:tr w:rsidR="00AF1EF3" w:rsidRPr="00AF1EF3" w14:paraId="1282F3B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486263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81</w:t>
            </w:r>
          </w:p>
        </w:tc>
        <w:tc>
          <w:tcPr>
            <w:tcW w:w="3735" w:type="dxa"/>
            <w:tcBorders>
              <w:top w:val="nil"/>
              <w:left w:val="nil"/>
              <w:bottom w:val="single" w:sz="4" w:space="0" w:color="auto"/>
              <w:right w:val="single" w:sz="4" w:space="0" w:color="auto"/>
            </w:tcBorders>
            <w:shd w:val="clear" w:color="auto" w:fill="auto"/>
            <w:noWrap/>
            <w:vAlign w:val="center"/>
            <w:hideMark/>
          </w:tcPr>
          <w:p w14:paraId="59754DE5" w14:textId="172285FF"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43A275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data protected in the public registry</w:t>
            </w:r>
          </w:p>
        </w:tc>
        <w:tc>
          <w:tcPr>
            <w:tcW w:w="810" w:type="dxa"/>
            <w:tcBorders>
              <w:top w:val="nil"/>
              <w:left w:val="nil"/>
              <w:bottom w:val="single" w:sz="4" w:space="0" w:color="auto"/>
              <w:right w:val="single" w:sz="4" w:space="0" w:color="auto"/>
            </w:tcBorders>
            <w:shd w:val="clear" w:color="auto" w:fill="auto"/>
            <w:noWrap/>
            <w:vAlign w:val="center"/>
            <w:hideMark/>
          </w:tcPr>
          <w:p w14:paraId="460392E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226F25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B2BF8A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0EFF57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0A8B05E" w14:textId="301A9F0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293</w:t>
            </w:r>
          </w:p>
        </w:tc>
      </w:tr>
      <w:tr w:rsidR="00AF1EF3" w:rsidRPr="00AF1EF3" w14:paraId="6A78180A"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4CBBCB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82</w:t>
            </w:r>
          </w:p>
        </w:tc>
        <w:tc>
          <w:tcPr>
            <w:tcW w:w="3735" w:type="dxa"/>
            <w:tcBorders>
              <w:top w:val="nil"/>
              <w:left w:val="nil"/>
              <w:bottom w:val="single" w:sz="4" w:space="0" w:color="auto"/>
              <w:right w:val="single" w:sz="4" w:space="0" w:color="auto"/>
            </w:tcBorders>
            <w:shd w:val="clear" w:color="auto" w:fill="auto"/>
            <w:noWrap/>
            <w:vAlign w:val="center"/>
            <w:hideMark/>
          </w:tcPr>
          <w:p w14:paraId="5713BC81" w14:textId="227B4CCC"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B337CA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Mortgage/Leasing Excerpt</w:t>
            </w:r>
          </w:p>
        </w:tc>
        <w:tc>
          <w:tcPr>
            <w:tcW w:w="810" w:type="dxa"/>
            <w:tcBorders>
              <w:top w:val="nil"/>
              <w:left w:val="nil"/>
              <w:bottom w:val="single" w:sz="4" w:space="0" w:color="auto"/>
              <w:right w:val="single" w:sz="4" w:space="0" w:color="auto"/>
            </w:tcBorders>
            <w:shd w:val="clear" w:color="auto" w:fill="auto"/>
            <w:noWrap/>
            <w:vAlign w:val="center"/>
            <w:hideMark/>
          </w:tcPr>
          <w:p w14:paraId="7141D9B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649895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E27667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892A7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D21F31B" w14:textId="085391DC"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484</w:t>
            </w:r>
          </w:p>
        </w:tc>
      </w:tr>
      <w:tr w:rsidR="00AF1EF3" w:rsidRPr="00AF1EF3" w14:paraId="5DD6EAF0"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C3F318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83</w:t>
            </w:r>
          </w:p>
        </w:tc>
        <w:tc>
          <w:tcPr>
            <w:tcW w:w="3735" w:type="dxa"/>
            <w:tcBorders>
              <w:top w:val="nil"/>
              <w:left w:val="nil"/>
              <w:bottom w:val="single" w:sz="4" w:space="0" w:color="auto"/>
              <w:right w:val="single" w:sz="4" w:space="0" w:color="auto"/>
            </w:tcBorders>
            <w:shd w:val="clear" w:color="auto" w:fill="auto"/>
            <w:noWrap/>
            <w:vAlign w:val="center"/>
            <w:hideMark/>
          </w:tcPr>
          <w:p w14:paraId="3F5C6947" w14:textId="37C6FDD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573FA31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Orthophoto (digital)</w:t>
            </w:r>
          </w:p>
        </w:tc>
        <w:tc>
          <w:tcPr>
            <w:tcW w:w="810" w:type="dxa"/>
            <w:tcBorders>
              <w:top w:val="nil"/>
              <w:left w:val="nil"/>
              <w:bottom w:val="single" w:sz="4" w:space="0" w:color="auto"/>
              <w:right w:val="single" w:sz="4" w:space="0" w:color="auto"/>
            </w:tcBorders>
            <w:shd w:val="clear" w:color="auto" w:fill="auto"/>
            <w:noWrap/>
            <w:vAlign w:val="center"/>
            <w:hideMark/>
          </w:tcPr>
          <w:p w14:paraId="3F6031B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861536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8C9D9F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2BC4F2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D360E7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288</w:t>
            </w:r>
          </w:p>
        </w:tc>
      </w:tr>
      <w:tr w:rsidR="00AF1EF3" w:rsidRPr="00AF1EF3" w14:paraId="17CBB66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8FFD9F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84</w:t>
            </w:r>
          </w:p>
        </w:tc>
        <w:tc>
          <w:tcPr>
            <w:tcW w:w="3735" w:type="dxa"/>
            <w:tcBorders>
              <w:top w:val="nil"/>
              <w:left w:val="nil"/>
              <w:bottom w:val="single" w:sz="4" w:space="0" w:color="auto"/>
              <w:right w:val="single" w:sz="4" w:space="0" w:color="auto"/>
            </w:tcBorders>
            <w:shd w:val="clear" w:color="auto" w:fill="auto"/>
            <w:noWrap/>
            <w:vAlign w:val="center"/>
            <w:hideMark/>
          </w:tcPr>
          <w:p w14:paraId="2A5AD930" w14:textId="2221A754"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A4AE033"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Cadastral Maps (hard-copy)</w:t>
            </w:r>
          </w:p>
        </w:tc>
        <w:tc>
          <w:tcPr>
            <w:tcW w:w="810" w:type="dxa"/>
            <w:tcBorders>
              <w:top w:val="nil"/>
              <w:left w:val="nil"/>
              <w:bottom w:val="single" w:sz="4" w:space="0" w:color="auto"/>
              <w:right w:val="single" w:sz="4" w:space="0" w:color="auto"/>
            </w:tcBorders>
            <w:shd w:val="clear" w:color="auto" w:fill="auto"/>
            <w:noWrap/>
            <w:vAlign w:val="center"/>
            <w:hideMark/>
          </w:tcPr>
          <w:p w14:paraId="2587F59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BE5A5C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416A4A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3B78C2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389C808" w14:textId="090F4EE3"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034</w:t>
            </w:r>
          </w:p>
        </w:tc>
      </w:tr>
      <w:tr w:rsidR="00AF1EF3" w:rsidRPr="00AF1EF3" w14:paraId="67999DC0"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D21123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85</w:t>
            </w:r>
          </w:p>
        </w:tc>
        <w:tc>
          <w:tcPr>
            <w:tcW w:w="3735" w:type="dxa"/>
            <w:tcBorders>
              <w:top w:val="nil"/>
              <w:left w:val="nil"/>
              <w:bottom w:val="single" w:sz="4" w:space="0" w:color="auto"/>
              <w:right w:val="single" w:sz="4" w:space="0" w:color="auto"/>
            </w:tcBorders>
            <w:shd w:val="clear" w:color="auto" w:fill="auto"/>
            <w:noWrap/>
            <w:vAlign w:val="center"/>
            <w:hideMark/>
          </w:tcPr>
          <w:p w14:paraId="78C4936E" w14:textId="7661D2BB"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Agency of Public Re</w:t>
            </w:r>
            <w:r w:rsidR="00D0186C">
              <w:rPr>
                <w:rFonts w:ascii="Arial" w:eastAsia="Times New Roman" w:hAnsi="Arial" w:cs="Arial"/>
                <w:color w:val="000000"/>
                <w:sz w:val="20"/>
                <w:szCs w:val="20"/>
              </w:rPr>
              <w:t xml:space="preserve">gistry </w:t>
            </w:r>
          </w:p>
        </w:tc>
        <w:tc>
          <w:tcPr>
            <w:tcW w:w="5220" w:type="dxa"/>
            <w:tcBorders>
              <w:top w:val="nil"/>
              <w:left w:val="nil"/>
              <w:bottom w:val="single" w:sz="4" w:space="0" w:color="auto"/>
              <w:right w:val="single" w:sz="4" w:space="0" w:color="auto"/>
            </w:tcBorders>
            <w:shd w:val="clear" w:color="auto" w:fill="auto"/>
            <w:vAlign w:val="center"/>
            <w:hideMark/>
          </w:tcPr>
          <w:p w14:paraId="2858DFD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Data Protected in the Public Registry (according to drawing)</w:t>
            </w:r>
          </w:p>
        </w:tc>
        <w:tc>
          <w:tcPr>
            <w:tcW w:w="810" w:type="dxa"/>
            <w:tcBorders>
              <w:top w:val="nil"/>
              <w:left w:val="nil"/>
              <w:bottom w:val="single" w:sz="4" w:space="0" w:color="auto"/>
              <w:right w:val="single" w:sz="4" w:space="0" w:color="auto"/>
            </w:tcBorders>
            <w:shd w:val="clear" w:color="auto" w:fill="auto"/>
            <w:noWrap/>
            <w:vAlign w:val="center"/>
            <w:hideMark/>
          </w:tcPr>
          <w:p w14:paraId="749119B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D93978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2291C8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E38B5C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0A2260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934</w:t>
            </w:r>
          </w:p>
        </w:tc>
      </w:tr>
      <w:tr w:rsidR="00AF1EF3" w:rsidRPr="00AF1EF3" w14:paraId="720EBA2F"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B45CC5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86</w:t>
            </w:r>
          </w:p>
        </w:tc>
        <w:tc>
          <w:tcPr>
            <w:tcW w:w="3735" w:type="dxa"/>
            <w:tcBorders>
              <w:top w:val="nil"/>
              <w:left w:val="nil"/>
              <w:bottom w:val="single" w:sz="4" w:space="0" w:color="auto"/>
              <w:right w:val="single" w:sz="4" w:space="0" w:color="auto"/>
            </w:tcBorders>
            <w:shd w:val="clear" w:color="auto" w:fill="auto"/>
            <w:noWrap/>
            <w:vAlign w:val="center"/>
            <w:hideMark/>
          </w:tcPr>
          <w:p w14:paraId="0FBCA84E" w14:textId="658A9351"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5391807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On Land Category</w:t>
            </w:r>
          </w:p>
        </w:tc>
        <w:tc>
          <w:tcPr>
            <w:tcW w:w="810" w:type="dxa"/>
            <w:tcBorders>
              <w:top w:val="nil"/>
              <w:left w:val="nil"/>
              <w:bottom w:val="single" w:sz="4" w:space="0" w:color="auto"/>
              <w:right w:val="single" w:sz="4" w:space="0" w:color="auto"/>
            </w:tcBorders>
            <w:shd w:val="clear" w:color="auto" w:fill="auto"/>
            <w:noWrap/>
            <w:vAlign w:val="center"/>
            <w:hideMark/>
          </w:tcPr>
          <w:p w14:paraId="0FFB388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3B4ED0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EF54EA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3D6355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BC9A6B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881</w:t>
            </w:r>
          </w:p>
        </w:tc>
      </w:tr>
      <w:tr w:rsidR="00AF1EF3" w:rsidRPr="00AF1EF3" w14:paraId="2B391147"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A09A43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87</w:t>
            </w:r>
          </w:p>
        </w:tc>
        <w:tc>
          <w:tcPr>
            <w:tcW w:w="3735" w:type="dxa"/>
            <w:tcBorders>
              <w:top w:val="nil"/>
              <w:left w:val="nil"/>
              <w:bottom w:val="single" w:sz="4" w:space="0" w:color="auto"/>
              <w:right w:val="single" w:sz="4" w:space="0" w:color="auto"/>
            </w:tcBorders>
            <w:shd w:val="clear" w:color="auto" w:fill="auto"/>
            <w:noWrap/>
            <w:vAlign w:val="center"/>
            <w:hideMark/>
          </w:tcPr>
          <w:p w14:paraId="1EEED271" w14:textId="5FFEA000"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B0BEC74"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the Legal Status of the Immovable Property - to obtain the Certificate of Inheritance</w:t>
            </w:r>
          </w:p>
        </w:tc>
        <w:tc>
          <w:tcPr>
            <w:tcW w:w="810" w:type="dxa"/>
            <w:tcBorders>
              <w:top w:val="nil"/>
              <w:left w:val="nil"/>
              <w:bottom w:val="single" w:sz="4" w:space="0" w:color="auto"/>
              <w:right w:val="single" w:sz="4" w:space="0" w:color="auto"/>
            </w:tcBorders>
            <w:shd w:val="clear" w:color="auto" w:fill="auto"/>
            <w:noWrap/>
            <w:vAlign w:val="center"/>
            <w:hideMark/>
          </w:tcPr>
          <w:p w14:paraId="237AE8D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D4383F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22B02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6F9E28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B74CF1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671</w:t>
            </w:r>
          </w:p>
        </w:tc>
      </w:tr>
      <w:tr w:rsidR="00AF1EF3" w:rsidRPr="00AF1EF3" w14:paraId="6ED062A9"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758908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88</w:t>
            </w:r>
          </w:p>
        </w:tc>
        <w:tc>
          <w:tcPr>
            <w:tcW w:w="3735" w:type="dxa"/>
            <w:tcBorders>
              <w:top w:val="nil"/>
              <w:left w:val="nil"/>
              <w:bottom w:val="single" w:sz="4" w:space="0" w:color="auto"/>
              <w:right w:val="single" w:sz="4" w:space="0" w:color="auto"/>
            </w:tcBorders>
            <w:shd w:val="clear" w:color="auto" w:fill="auto"/>
            <w:noWrap/>
            <w:vAlign w:val="center"/>
            <w:hideMark/>
          </w:tcPr>
          <w:p w14:paraId="2BAE8788" w14:textId="146C8403"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61922E1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on Assigning a number to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40001A3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EFA068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8D9F18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C141C5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A8F197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242</w:t>
            </w:r>
          </w:p>
        </w:tc>
      </w:tr>
      <w:tr w:rsidR="00AF1EF3" w:rsidRPr="00AF1EF3" w14:paraId="26FA2B2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B65E05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lastRenderedPageBreak/>
              <w:t>89</w:t>
            </w:r>
          </w:p>
        </w:tc>
        <w:tc>
          <w:tcPr>
            <w:tcW w:w="3735" w:type="dxa"/>
            <w:tcBorders>
              <w:top w:val="nil"/>
              <w:left w:val="nil"/>
              <w:bottom w:val="single" w:sz="4" w:space="0" w:color="auto"/>
              <w:right w:val="single" w:sz="4" w:space="0" w:color="auto"/>
            </w:tcBorders>
            <w:shd w:val="clear" w:color="auto" w:fill="auto"/>
            <w:noWrap/>
            <w:vAlign w:val="center"/>
            <w:hideMark/>
          </w:tcPr>
          <w:p w14:paraId="1E5C0F4C" w14:textId="03C7EEC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CC39819"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Orthophoto (hard-copy)</w:t>
            </w:r>
          </w:p>
        </w:tc>
        <w:tc>
          <w:tcPr>
            <w:tcW w:w="810" w:type="dxa"/>
            <w:tcBorders>
              <w:top w:val="nil"/>
              <w:left w:val="nil"/>
              <w:bottom w:val="single" w:sz="4" w:space="0" w:color="auto"/>
              <w:right w:val="single" w:sz="4" w:space="0" w:color="auto"/>
            </w:tcBorders>
            <w:shd w:val="clear" w:color="auto" w:fill="auto"/>
            <w:noWrap/>
            <w:vAlign w:val="center"/>
            <w:hideMark/>
          </w:tcPr>
          <w:p w14:paraId="06AEC77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A278FB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AC0B3F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DC436B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B74B2B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150</w:t>
            </w:r>
          </w:p>
        </w:tc>
      </w:tr>
      <w:tr w:rsidR="00AF1EF3" w:rsidRPr="00AF1EF3" w14:paraId="6D2CA263"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656EC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90</w:t>
            </w:r>
          </w:p>
        </w:tc>
        <w:tc>
          <w:tcPr>
            <w:tcW w:w="3735" w:type="dxa"/>
            <w:tcBorders>
              <w:top w:val="nil"/>
              <w:left w:val="nil"/>
              <w:bottom w:val="single" w:sz="4" w:space="0" w:color="auto"/>
              <w:right w:val="single" w:sz="4" w:space="0" w:color="auto"/>
            </w:tcBorders>
            <w:shd w:val="clear" w:color="auto" w:fill="auto"/>
            <w:noWrap/>
            <w:vAlign w:val="center"/>
            <w:hideMark/>
          </w:tcPr>
          <w:p w14:paraId="2FA9DFD3" w14:textId="6BEB3EAE"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2FC713A"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Information to be submitted to the Tax Authority</w:t>
            </w:r>
          </w:p>
        </w:tc>
        <w:tc>
          <w:tcPr>
            <w:tcW w:w="810" w:type="dxa"/>
            <w:tcBorders>
              <w:top w:val="nil"/>
              <w:left w:val="nil"/>
              <w:bottom w:val="single" w:sz="4" w:space="0" w:color="auto"/>
              <w:right w:val="single" w:sz="4" w:space="0" w:color="auto"/>
            </w:tcBorders>
            <w:shd w:val="clear" w:color="auto" w:fill="auto"/>
            <w:noWrap/>
            <w:vAlign w:val="center"/>
            <w:hideMark/>
          </w:tcPr>
          <w:p w14:paraId="4990942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A90DDC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299294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8D1910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AB5027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192</w:t>
            </w:r>
          </w:p>
        </w:tc>
      </w:tr>
      <w:tr w:rsidR="00AF1EF3" w:rsidRPr="00AF1EF3" w14:paraId="27F8DE99"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45EA64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91</w:t>
            </w:r>
          </w:p>
        </w:tc>
        <w:tc>
          <w:tcPr>
            <w:tcW w:w="3735" w:type="dxa"/>
            <w:tcBorders>
              <w:top w:val="nil"/>
              <w:left w:val="nil"/>
              <w:bottom w:val="single" w:sz="4" w:space="0" w:color="auto"/>
              <w:right w:val="single" w:sz="4" w:space="0" w:color="auto"/>
            </w:tcBorders>
            <w:shd w:val="clear" w:color="auto" w:fill="auto"/>
            <w:noWrap/>
            <w:vAlign w:val="center"/>
            <w:hideMark/>
          </w:tcPr>
          <w:p w14:paraId="1E1DC471" w14:textId="6B86D81F"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705E3F0"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Easement Right on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3806539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5C0B25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C87D86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285C4D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0DDCC7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19</w:t>
            </w:r>
          </w:p>
        </w:tc>
      </w:tr>
      <w:tr w:rsidR="00AF1EF3" w:rsidRPr="00AF1EF3" w14:paraId="7B3A6011"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1805B5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92</w:t>
            </w:r>
          </w:p>
        </w:tc>
        <w:tc>
          <w:tcPr>
            <w:tcW w:w="3735" w:type="dxa"/>
            <w:tcBorders>
              <w:top w:val="nil"/>
              <w:left w:val="nil"/>
              <w:bottom w:val="single" w:sz="4" w:space="0" w:color="auto"/>
              <w:right w:val="single" w:sz="4" w:space="0" w:color="auto"/>
            </w:tcBorders>
            <w:shd w:val="clear" w:color="auto" w:fill="auto"/>
            <w:noWrap/>
            <w:vAlign w:val="center"/>
            <w:hideMark/>
          </w:tcPr>
          <w:p w14:paraId="043DD914" w14:textId="31435138"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53BD830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Pre-registration of Rights on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28583DD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C4957F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4BF958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4D8929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37BB0C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220</w:t>
            </w:r>
          </w:p>
        </w:tc>
      </w:tr>
      <w:tr w:rsidR="00AF1EF3" w:rsidRPr="00AF1EF3" w14:paraId="042F28DE"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98463D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93</w:t>
            </w:r>
          </w:p>
        </w:tc>
        <w:tc>
          <w:tcPr>
            <w:tcW w:w="3735" w:type="dxa"/>
            <w:tcBorders>
              <w:top w:val="nil"/>
              <w:left w:val="nil"/>
              <w:bottom w:val="single" w:sz="4" w:space="0" w:color="auto"/>
              <w:right w:val="single" w:sz="4" w:space="0" w:color="auto"/>
            </w:tcBorders>
            <w:shd w:val="clear" w:color="auto" w:fill="auto"/>
            <w:noWrap/>
            <w:vAlign w:val="center"/>
            <w:hideMark/>
          </w:tcPr>
          <w:p w14:paraId="36F6E5BB" w14:textId="64BBC8E1"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8D7FA5F"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Immovable Property - Copying the extract</w:t>
            </w:r>
          </w:p>
        </w:tc>
        <w:tc>
          <w:tcPr>
            <w:tcW w:w="810" w:type="dxa"/>
            <w:tcBorders>
              <w:top w:val="nil"/>
              <w:left w:val="nil"/>
              <w:bottom w:val="single" w:sz="4" w:space="0" w:color="auto"/>
              <w:right w:val="single" w:sz="4" w:space="0" w:color="auto"/>
            </w:tcBorders>
            <w:shd w:val="clear" w:color="auto" w:fill="auto"/>
            <w:noWrap/>
            <w:vAlign w:val="center"/>
            <w:hideMark/>
          </w:tcPr>
          <w:p w14:paraId="50ACD44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15839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09092D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55E1F0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6D8BF49" w14:textId="2B52032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634</w:t>
            </w:r>
          </w:p>
        </w:tc>
      </w:tr>
      <w:tr w:rsidR="00AF1EF3" w:rsidRPr="00AF1EF3" w14:paraId="4F248E38" w14:textId="77777777" w:rsidTr="00C231D1">
        <w:trPr>
          <w:trHeight w:val="50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03F7B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94</w:t>
            </w:r>
          </w:p>
        </w:tc>
        <w:tc>
          <w:tcPr>
            <w:tcW w:w="3735" w:type="dxa"/>
            <w:tcBorders>
              <w:top w:val="nil"/>
              <w:left w:val="nil"/>
              <w:bottom w:val="single" w:sz="4" w:space="0" w:color="auto"/>
              <w:right w:val="single" w:sz="4" w:space="0" w:color="auto"/>
            </w:tcBorders>
            <w:shd w:val="clear" w:color="auto" w:fill="auto"/>
            <w:noWrap/>
            <w:vAlign w:val="center"/>
            <w:hideMark/>
          </w:tcPr>
          <w:p w14:paraId="3E7F44AB" w14:textId="596ED49F"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37A323B" w14:textId="795A26DD" w:rsidR="00AF1EF3" w:rsidRPr="00AF1EF3" w:rsidRDefault="00C231D1" w:rsidP="00C231D1">
            <w:pPr>
              <w:rPr>
                <w:rFonts w:ascii="Arial" w:eastAsia="Times New Roman" w:hAnsi="Arial" w:cs="Arial"/>
                <w:sz w:val="20"/>
                <w:szCs w:val="20"/>
              </w:rPr>
            </w:pPr>
            <w:r w:rsidRPr="00C231D1">
              <w:rPr>
                <w:rFonts w:ascii="Arial" w:eastAsia="Times New Roman" w:hAnsi="Arial" w:cs="Arial"/>
                <w:sz w:val="20"/>
                <w:szCs w:val="20"/>
              </w:rPr>
              <w:t>Registration of a lifelong maintenance on an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71E5E0A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AE8D4C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1382D1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327825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DBEE35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r>
      <w:tr w:rsidR="00AF1EF3" w:rsidRPr="00AF1EF3" w14:paraId="014736A7"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870DFD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95</w:t>
            </w:r>
          </w:p>
        </w:tc>
        <w:tc>
          <w:tcPr>
            <w:tcW w:w="3735" w:type="dxa"/>
            <w:tcBorders>
              <w:top w:val="nil"/>
              <w:left w:val="nil"/>
              <w:bottom w:val="single" w:sz="4" w:space="0" w:color="auto"/>
              <w:right w:val="single" w:sz="4" w:space="0" w:color="auto"/>
            </w:tcBorders>
            <w:shd w:val="clear" w:color="auto" w:fill="auto"/>
            <w:noWrap/>
            <w:vAlign w:val="center"/>
            <w:hideMark/>
          </w:tcPr>
          <w:p w14:paraId="2D494C93" w14:textId="22E90D60"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00B5FB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Correction of a Technical Defect in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7F63F82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933AFA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EE5AE0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C50E8C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6FFE02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193</w:t>
            </w:r>
          </w:p>
        </w:tc>
      </w:tr>
      <w:tr w:rsidR="00AF1EF3" w:rsidRPr="00AF1EF3" w14:paraId="72833FEF"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408492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96</w:t>
            </w:r>
          </w:p>
        </w:tc>
        <w:tc>
          <w:tcPr>
            <w:tcW w:w="3735" w:type="dxa"/>
            <w:tcBorders>
              <w:top w:val="nil"/>
              <w:left w:val="nil"/>
              <w:bottom w:val="single" w:sz="4" w:space="0" w:color="auto"/>
              <w:right w:val="single" w:sz="4" w:space="0" w:color="auto"/>
            </w:tcBorders>
            <w:shd w:val="clear" w:color="auto" w:fill="auto"/>
            <w:noWrap/>
            <w:vAlign w:val="center"/>
            <w:hideMark/>
          </w:tcPr>
          <w:p w14:paraId="6CEB6EFA" w14:textId="24143E02"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F0D644C"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an Extract and a Cadastral Plan</w:t>
            </w:r>
          </w:p>
        </w:tc>
        <w:tc>
          <w:tcPr>
            <w:tcW w:w="810" w:type="dxa"/>
            <w:tcBorders>
              <w:top w:val="nil"/>
              <w:left w:val="nil"/>
              <w:bottom w:val="single" w:sz="4" w:space="0" w:color="auto"/>
              <w:right w:val="single" w:sz="4" w:space="0" w:color="auto"/>
            </w:tcBorders>
            <w:shd w:val="clear" w:color="auto" w:fill="auto"/>
            <w:noWrap/>
            <w:vAlign w:val="center"/>
            <w:hideMark/>
          </w:tcPr>
          <w:p w14:paraId="5FCD700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74FB42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7BE2BE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5A8306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0561C2A" w14:textId="044FBAD9"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003</w:t>
            </w:r>
          </w:p>
        </w:tc>
      </w:tr>
      <w:tr w:rsidR="00AF1EF3" w:rsidRPr="00AF1EF3" w14:paraId="2E412A6B"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038BB5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97</w:t>
            </w:r>
          </w:p>
        </w:tc>
        <w:tc>
          <w:tcPr>
            <w:tcW w:w="3735" w:type="dxa"/>
            <w:tcBorders>
              <w:top w:val="nil"/>
              <w:left w:val="nil"/>
              <w:bottom w:val="single" w:sz="4" w:space="0" w:color="auto"/>
              <w:right w:val="single" w:sz="4" w:space="0" w:color="auto"/>
            </w:tcBorders>
            <w:shd w:val="clear" w:color="auto" w:fill="auto"/>
            <w:noWrap/>
            <w:vAlign w:val="center"/>
            <w:hideMark/>
          </w:tcPr>
          <w:p w14:paraId="0B78F59F" w14:textId="6597BDA1"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A737A87" w14:textId="2C736DC0" w:rsidR="00AF1EF3" w:rsidRPr="00AF1EF3" w:rsidRDefault="00C231D1" w:rsidP="00AF1EF3">
            <w:pPr>
              <w:rPr>
                <w:rFonts w:ascii="Arial" w:eastAsia="Times New Roman" w:hAnsi="Arial" w:cs="Arial"/>
                <w:sz w:val="20"/>
                <w:szCs w:val="20"/>
              </w:rPr>
            </w:pPr>
            <w:r w:rsidRPr="00C231D1">
              <w:rPr>
                <w:rFonts w:ascii="Arial" w:eastAsia="Times New Roman" w:hAnsi="Arial" w:cs="Arial"/>
                <w:sz w:val="20"/>
                <w:szCs w:val="20"/>
              </w:rPr>
              <w:t>Agreement note on servitude agreement for state property</w:t>
            </w:r>
          </w:p>
        </w:tc>
        <w:tc>
          <w:tcPr>
            <w:tcW w:w="810" w:type="dxa"/>
            <w:tcBorders>
              <w:top w:val="nil"/>
              <w:left w:val="nil"/>
              <w:bottom w:val="single" w:sz="4" w:space="0" w:color="auto"/>
              <w:right w:val="single" w:sz="4" w:space="0" w:color="auto"/>
            </w:tcBorders>
            <w:shd w:val="clear" w:color="auto" w:fill="auto"/>
            <w:noWrap/>
            <w:vAlign w:val="center"/>
            <w:hideMark/>
          </w:tcPr>
          <w:p w14:paraId="7B30557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84CDBC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79837D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5A2DEB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446E16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w:t>
            </w:r>
          </w:p>
        </w:tc>
      </w:tr>
      <w:tr w:rsidR="00AF1EF3" w:rsidRPr="00AF1EF3" w14:paraId="1D6FCF82"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5051F1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98</w:t>
            </w:r>
          </w:p>
        </w:tc>
        <w:tc>
          <w:tcPr>
            <w:tcW w:w="3735" w:type="dxa"/>
            <w:tcBorders>
              <w:top w:val="nil"/>
              <w:left w:val="nil"/>
              <w:bottom w:val="single" w:sz="4" w:space="0" w:color="auto"/>
              <w:right w:val="single" w:sz="4" w:space="0" w:color="auto"/>
            </w:tcBorders>
            <w:shd w:val="clear" w:color="auto" w:fill="auto"/>
            <w:noWrap/>
            <w:vAlign w:val="center"/>
            <w:hideMark/>
          </w:tcPr>
          <w:p w14:paraId="0086957E" w14:textId="43BACEE4"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621B7F9"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Linear building</w:t>
            </w:r>
          </w:p>
        </w:tc>
        <w:tc>
          <w:tcPr>
            <w:tcW w:w="810" w:type="dxa"/>
            <w:tcBorders>
              <w:top w:val="nil"/>
              <w:left w:val="nil"/>
              <w:bottom w:val="single" w:sz="4" w:space="0" w:color="auto"/>
              <w:right w:val="single" w:sz="4" w:space="0" w:color="auto"/>
            </w:tcBorders>
            <w:shd w:val="clear" w:color="auto" w:fill="auto"/>
            <w:noWrap/>
            <w:vAlign w:val="center"/>
            <w:hideMark/>
          </w:tcPr>
          <w:p w14:paraId="169BA3F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BED741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F8ACBB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AB67BB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5B4A02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p>
        </w:tc>
      </w:tr>
      <w:tr w:rsidR="00AF1EF3" w:rsidRPr="00AF1EF3" w14:paraId="445A6F7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578669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99</w:t>
            </w:r>
          </w:p>
        </w:tc>
        <w:tc>
          <w:tcPr>
            <w:tcW w:w="3735" w:type="dxa"/>
            <w:tcBorders>
              <w:top w:val="nil"/>
              <w:left w:val="nil"/>
              <w:bottom w:val="single" w:sz="4" w:space="0" w:color="auto"/>
              <w:right w:val="single" w:sz="4" w:space="0" w:color="auto"/>
            </w:tcBorders>
            <w:shd w:val="clear" w:color="auto" w:fill="auto"/>
            <w:noWrap/>
            <w:vAlign w:val="center"/>
            <w:hideMark/>
          </w:tcPr>
          <w:p w14:paraId="5703DFA8" w14:textId="422F85C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AA80A1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a Right based on a Court Act</w:t>
            </w:r>
          </w:p>
        </w:tc>
        <w:tc>
          <w:tcPr>
            <w:tcW w:w="810" w:type="dxa"/>
            <w:tcBorders>
              <w:top w:val="nil"/>
              <w:left w:val="nil"/>
              <w:bottom w:val="single" w:sz="4" w:space="0" w:color="auto"/>
              <w:right w:val="single" w:sz="4" w:space="0" w:color="auto"/>
            </w:tcBorders>
            <w:shd w:val="clear" w:color="auto" w:fill="auto"/>
            <w:noWrap/>
            <w:vAlign w:val="center"/>
            <w:hideMark/>
          </w:tcPr>
          <w:p w14:paraId="2B98214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6422DA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3DD959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6BF9CD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FF1A52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28</w:t>
            </w:r>
          </w:p>
        </w:tc>
      </w:tr>
      <w:tr w:rsidR="00AF1EF3" w:rsidRPr="00AF1EF3" w14:paraId="3D58DA0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C73D47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100</w:t>
            </w:r>
          </w:p>
        </w:tc>
        <w:tc>
          <w:tcPr>
            <w:tcW w:w="3735" w:type="dxa"/>
            <w:tcBorders>
              <w:top w:val="nil"/>
              <w:left w:val="nil"/>
              <w:bottom w:val="single" w:sz="4" w:space="0" w:color="auto"/>
              <w:right w:val="single" w:sz="4" w:space="0" w:color="auto"/>
            </w:tcBorders>
            <w:shd w:val="clear" w:color="auto" w:fill="auto"/>
            <w:noWrap/>
            <w:vAlign w:val="center"/>
            <w:hideMark/>
          </w:tcPr>
          <w:p w14:paraId="62AAD310" w14:textId="284187BA"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E6FF3FD"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Consent to Property Registration, Changes in the Registration Records</w:t>
            </w:r>
          </w:p>
        </w:tc>
        <w:tc>
          <w:tcPr>
            <w:tcW w:w="810" w:type="dxa"/>
            <w:tcBorders>
              <w:top w:val="nil"/>
              <w:left w:val="nil"/>
              <w:bottom w:val="single" w:sz="4" w:space="0" w:color="auto"/>
              <w:right w:val="single" w:sz="4" w:space="0" w:color="auto"/>
            </w:tcBorders>
            <w:shd w:val="clear" w:color="auto" w:fill="auto"/>
            <w:noWrap/>
            <w:vAlign w:val="center"/>
            <w:hideMark/>
          </w:tcPr>
          <w:p w14:paraId="37F00F5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F88918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543F8F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BB28DB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BF3A6F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14</w:t>
            </w:r>
          </w:p>
        </w:tc>
      </w:tr>
      <w:tr w:rsidR="00AF1EF3" w:rsidRPr="00AF1EF3" w14:paraId="43CBFD08"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4B1DE6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101</w:t>
            </w:r>
          </w:p>
        </w:tc>
        <w:tc>
          <w:tcPr>
            <w:tcW w:w="3735" w:type="dxa"/>
            <w:tcBorders>
              <w:top w:val="nil"/>
              <w:left w:val="nil"/>
              <w:bottom w:val="single" w:sz="4" w:space="0" w:color="auto"/>
              <w:right w:val="single" w:sz="4" w:space="0" w:color="auto"/>
            </w:tcBorders>
            <w:shd w:val="clear" w:color="auto" w:fill="auto"/>
            <w:noWrap/>
            <w:vAlign w:val="center"/>
            <w:hideMark/>
          </w:tcPr>
          <w:p w14:paraId="06AE8378" w14:textId="346E3C04"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w:t>
            </w:r>
            <w:r w:rsidR="00D0186C">
              <w:rPr>
                <w:rFonts w:ascii="Arial" w:eastAsia="Times New Roman" w:hAnsi="Arial" w:cs="Arial"/>
                <w:color w:val="000000"/>
                <w:sz w:val="20"/>
                <w:szCs w:val="20"/>
              </w:rPr>
              <w:t xml:space="preserve">Public Registry </w:t>
            </w:r>
          </w:p>
        </w:tc>
        <w:tc>
          <w:tcPr>
            <w:tcW w:w="5220" w:type="dxa"/>
            <w:tcBorders>
              <w:top w:val="nil"/>
              <w:left w:val="nil"/>
              <w:bottom w:val="single" w:sz="4" w:space="0" w:color="auto"/>
              <w:right w:val="single" w:sz="4" w:space="0" w:color="auto"/>
            </w:tcBorders>
            <w:shd w:val="clear" w:color="auto" w:fill="auto"/>
            <w:vAlign w:val="center"/>
            <w:hideMark/>
          </w:tcPr>
          <w:p w14:paraId="6FF648D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Termination of Lien on Shares</w:t>
            </w:r>
          </w:p>
        </w:tc>
        <w:tc>
          <w:tcPr>
            <w:tcW w:w="810" w:type="dxa"/>
            <w:tcBorders>
              <w:top w:val="nil"/>
              <w:left w:val="nil"/>
              <w:bottom w:val="single" w:sz="4" w:space="0" w:color="auto"/>
              <w:right w:val="single" w:sz="4" w:space="0" w:color="auto"/>
            </w:tcBorders>
            <w:shd w:val="clear" w:color="auto" w:fill="auto"/>
            <w:noWrap/>
            <w:vAlign w:val="center"/>
            <w:hideMark/>
          </w:tcPr>
          <w:p w14:paraId="56554D6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188290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F9B215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D5A4BE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C20077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w:t>
            </w:r>
          </w:p>
        </w:tc>
      </w:tr>
      <w:tr w:rsidR="00AF1EF3" w:rsidRPr="00AF1EF3" w14:paraId="792C6C4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3B705B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102</w:t>
            </w:r>
          </w:p>
        </w:tc>
        <w:tc>
          <w:tcPr>
            <w:tcW w:w="3735" w:type="dxa"/>
            <w:tcBorders>
              <w:top w:val="nil"/>
              <w:left w:val="nil"/>
              <w:bottom w:val="single" w:sz="4" w:space="0" w:color="auto"/>
              <w:right w:val="single" w:sz="4" w:space="0" w:color="auto"/>
            </w:tcBorders>
            <w:shd w:val="clear" w:color="auto" w:fill="auto"/>
            <w:noWrap/>
            <w:vAlign w:val="center"/>
            <w:hideMark/>
          </w:tcPr>
          <w:p w14:paraId="1F62B684" w14:textId="3B091E68"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9009D8D"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Initiation of Insolvency Proceedings (bankruptcy, rehabilitation)</w:t>
            </w:r>
          </w:p>
        </w:tc>
        <w:tc>
          <w:tcPr>
            <w:tcW w:w="810" w:type="dxa"/>
            <w:tcBorders>
              <w:top w:val="nil"/>
              <w:left w:val="nil"/>
              <w:bottom w:val="single" w:sz="4" w:space="0" w:color="auto"/>
              <w:right w:val="single" w:sz="4" w:space="0" w:color="auto"/>
            </w:tcBorders>
            <w:shd w:val="clear" w:color="auto" w:fill="auto"/>
            <w:noWrap/>
            <w:vAlign w:val="center"/>
            <w:hideMark/>
          </w:tcPr>
          <w:p w14:paraId="17A8FB8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8C5FA3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E1D65E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8DB18C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85327D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p>
        </w:tc>
      </w:tr>
      <w:tr w:rsidR="00AF1EF3" w:rsidRPr="00AF1EF3" w14:paraId="762EC4A9"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8438FD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103</w:t>
            </w:r>
          </w:p>
        </w:tc>
        <w:tc>
          <w:tcPr>
            <w:tcW w:w="3735" w:type="dxa"/>
            <w:tcBorders>
              <w:top w:val="nil"/>
              <w:left w:val="nil"/>
              <w:bottom w:val="single" w:sz="4" w:space="0" w:color="auto"/>
              <w:right w:val="single" w:sz="4" w:space="0" w:color="auto"/>
            </w:tcBorders>
            <w:shd w:val="clear" w:color="auto" w:fill="auto"/>
            <w:noWrap/>
            <w:vAlign w:val="center"/>
            <w:hideMark/>
          </w:tcPr>
          <w:p w14:paraId="12F27BEF" w14:textId="23EB4A51"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B893C3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Confidentiality of Public Information</w:t>
            </w:r>
          </w:p>
        </w:tc>
        <w:tc>
          <w:tcPr>
            <w:tcW w:w="810" w:type="dxa"/>
            <w:tcBorders>
              <w:top w:val="nil"/>
              <w:left w:val="nil"/>
              <w:bottom w:val="single" w:sz="4" w:space="0" w:color="auto"/>
              <w:right w:val="single" w:sz="4" w:space="0" w:color="auto"/>
            </w:tcBorders>
            <w:shd w:val="clear" w:color="auto" w:fill="auto"/>
            <w:noWrap/>
            <w:vAlign w:val="center"/>
            <w:hideMark/>
          </w:tcPr>
          <w:p w14:paraId="5AD7F34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99BE66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CE28C1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A25B25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338695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r>
      <w:tr w:rsidR="00AF1EF3" w:rsidRPr="00AF1EF3" w14:paraId="3D48F8C6"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B3B8A3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104</w:t>
            </w:r>
          </w:p>
        </w:tc>
        <w:tc>
          <w:tcPr>
            <w:tcW w:w="3735" w:type="dxa"/>
            <w:tcBorders>
              <w:top w:val="nil"/>
              <w:left w:val="nil"/>
              <w:bottom w:val="single" w:sz="4" w:space="0" w:color="auto"/>
              <w:right w:val="single" w:sz="4" w:space="0" w:color="auto"/>
            </w:tcBorders>
            <w:shd w:val="clear" w:color="auto" w:fill="auto"/>
            <w:noWrap/>
            <w:vAlign w:val="center"/>
            <w:hideMark/>
          </w:tcPr>
          <w:p w14:paraId="363265E1" w14:textId="438EB99F"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w:t>
            </w:r>
            <w:r w:rsidR="00D0186C">
              <w:rPr>
                <w:rFonts w:ascii="Arial" w:eastAsia="Times New Roman" w:hAnsi="Arial" w:cs="Arial"/>
                <w:color w:val="000000"/>
                <w:sz w:val="20"/>
                <w:szCs w:val="20"/>
              </w:rPr>
              <w:t xml:space="preserve">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67B32FE" w14:textId="1F1A1321" w:rsidR="00AF1EF3" w:rsidRPr="00AF1EF3" w:rsidRDefault="00C231D1" w:rsidP="00AF1EF3">
            <w:pPr>
              <w:rPr>
                <w:rFonts w:ascii="Arial" w:eastAsia="Times New Roman" w:hAnsi="Arial" w:cs="Arial"/>
                <w:sz w:val="20"/>
                <w:szCs w:val="20"/>
              </w:rPr>
            </w:pPr>
            <w:r w:rsidRPr="00C231D1">
              <w:rPr>
                <w:rFonts w:ascii="Arial" w:eastAsia="Times New Roman" w:hAnsi="Arial" w:cs="Arial"/>
                <w:sz w:val="20"/>
                <w:szCs w:val="20"/>
              </w:rPr>
              <w:t>Registration of Right to Ownership on Immovable Property</w:t>
            </w:r>
          </w:p>
        </w:tc>
        <w:tc>
          <w:tcPr>
            <w:tcW w:w="810" w:type="dxa"/>
            <w:tcBorders>
              <w:top w:val="nil"/>
              <w:left w:val="nil"/>
              <w:bottom w:val="single" w:sz="4" w:space="0" w:color="auto"/>
              <w:right w:val="single" w:sz="4" w:space="0" w:color="auto"/>
            </w:tcBorders>
            <w:shd w:val="clear" w:color="auto" w:fill="auto"/>
            <w:noWrap/>
            <w:vAlign w:val="center"/>
            <w:hideMark/>
          </w:tcPr>
          <w:p w14:paraId="7F60145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3F90DD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493FE6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C9318A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225556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r>
      <w:tr w:rsidR="00AF1EF3" w:rsidRPr="00AF1EF3" w14:paraId="454AB8A7"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37CA6E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105</w:t>
            </w:r>
          </w:p>
        </w:tc>
        <w:tc>
          <w:tcPr>
            <w:tcW w:w="3735" w:type="dxa"/>
            <w:tcBorders>
              <w:top w:val="nil"/>
              <w:left w:val="nil"/>
              <w:bottom w:val="single" w:sz="4" w:space="0" w:color="auto"/>
              <w:right w:val="single" w:sz="4" w:space="0" w:color="auto"/>
            </w:tcBorders>
            <w:shd w:val="clear" w:color="auto" w:fill="auto"/>
            <w:vAlign w:val="center"/>
            <w:hideMark/>
          </w:tcPr>
          <w:p w14:paraId="501C1076"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Agency of Nuclear and Radiation Safety</w:t>
            </w:r>
          </w:p>
        </w:tc>
        <w:tc>
          <w:tcPr>
            <w:tcW w:w="5220" w:type="dxa"/>
            <w:tcBorders>
              <w:top w:val="nil"/>
              <w:left w:val="nil"/>
              <w:bottom w:val="single" w:sz="4" w:space="0" w:color="auto"/>
              <w:right w:val="single" w:sz="4" w:space="0" w:color="auto"/>
            </w:tcBorders>
            <w:shd w:val="clear" w:color="auto" w:fill="auto"/>
            <w:vAlign w:val="center"/>
            <w:hideMark/>
          </w:tcPr>
          <w:p w14:paraId="5FB0543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License for Nuclear and Radiation Activities</w:t>
            </w:r>
          </w:p>
        </w:tc>
        <w:tc>
          <w:tcPr>
            <w:tcW w:w="810" w:type="dxa"/>
            <w:tcBorders>
              <w:top w:val="nil"/>
              <w:left w:val="nil"/>
              <w:bottom w:val="single" w:sz="4" w:space="0" w:color="auto"/>
              <w:right w:val="single" w:sz="4" w:space="0" w:color="auto"/>
            </w:tcBorders>
            <w:shd w:val="clear" w:color="auto" w:fill="auto"/>
            <w:noWrap/>
            <w:vAlign w:val="center"/>
            <w:hideMark/>
          </w:tcPr>
          <w:p w14:paraId="0A9B713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266</w:t>
            </w:r>
          </w:p>
        </w:tc>
        <w:tc>
          <w:tcPr>
            <w:tcW w:w="810" w:type="dxa"/>
            <w:tcBorders>
              <w:top w:val="nil"/>
              <w:left w:val="nil"/>
              <w:bottom w:val="single" w:sz="4" w:space="0" w:color="auto"/>
              <w:right w:val="single" w:sz="4" w:space="0" w:color="auto"/>
            </w:tcBorders>
            <w:shd w:val="clear" w:color="auto" w:fill="auto"/>
            <w:noWrap/>
            <w:vAlign w:val="center"/>
            <w:hideMark/>
          </w:tcPr>
          <w:p w14:paraId="0852028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439</w:t>
            </w:r>
          </w:p>
        </w:tc>
        <w:tc>
          <w:tcPr>
            <w:tcW w:w="720" w:type="dxa"/>
            <w:tcBorders>
              <w:top w:val="nil"/>
              <w:left w:val="nil"/>
              <w:bottom w:val="single" w:sz="4" w:space="0" w:color="auto"/>
              <w:right w:val="single" w:sz="4" w:space="0" w:color="auto"/>
            </w:tcBorders>
            <w:shd w:val="clear" w:color="auto" w:fill="auto"/>
            <w:noWrap/>
            <w:vAlign w:val="center"/>
            <w:hideMark/>
          </w:tcPr>
          <w:p w14:paraId="4D3892F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499</w:t>
            </w:r>
          </w:p>
        </w:tc>
        <w:tc>
          <w:tcPr>
            <w:tcW w:w="900" w:type="dxa"/>
            <w:tcBorders>
              <w:top w:val="nil"/>
              <w:left w:val="nil"/>
              <w:bottom w:val="single" w:sz="4" w:space="0" w:color="auto"/>
              <w:right w:val="single" w:sz="4" w:space="0" w:color="auto"/>
            </w:tcBorders>
            <w:shd w:val="clear" w:color="auto" w:fill="auto"/>
            <w:noWrap/>
            <w:vAlign w:val="center"/>
            <w:hideMark/>
          </w:tcPr>
          <w:p w14:paraId="0E6B135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628</w:t>
            </w:r>
          </w:p>
        </w:tc>
        <w:tc>
          <w:tcPr>
            <w:tcW w:w="1170" w:type="dxa"/>
            <w:tcBorders>
              <w:top w:val="nil"/>
              <w:left w:val="nil"/>
              <w:bottom w:val="single" w:sz="4" w:space="0" w:color="auto"/>
              <w:right w:val="single" w:sz="4" w:space="0" w:color="auto"/>
            </w:tcBorders>
            <w:shd w:val="clear" w:color="auto" w:fill="auto"/>
            <w:noWrap/>
            <w:vAlign w:val="center"/>
            <w:hideMark/>
          </w:tcPr>
          <w:p w14:paraId="3CD1522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513</w:t>
            </w:r>
          </w:p>
        </w:tc>
      </w:tr>
      <w:tr w:rsidR="00AF1EF3" w:rsidRPr="00AF1EF3" w14:paraId="5DAF7270"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E9AC7D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106</w:t>
            </w:r>
          </w:p>
        </w:tc>
        <w:tc>
          <w:tcPr>
            <w:tcW w:w="3735" w:type="dxa"/>
            <w:tcBorders>
              <w:top w:val="nil"/>
              <w:left w:val="nil"/>
              <w:bottom w:val="single" w:sz="4" w:space="0" w:color="auto"/>
              <w:right w:val="single" w:sz="4" w:space="0" w:color="auto"/>
            </w:tcBorders>
            <w:shd w:val="clear" w:color="auto" w:fill="auto"/>
            <w:vAlign w:val="center"/>
            <w:hideMark/>
          </w:tcPr>
          <w:p w14:paraId="72F26A6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Agency of Nuclear and Radiation Safety</w:t>
            </w:r>
          </w:p>
        </w:tc>
        <w:tc>
          <w:tcPr>
            <w:tcW w:w="5220" w:type="dxa"/>
            <w:tcBorders>
              <w:top w:val="nil"/>
              <w:left w:val="nil"/>
              <w:bottom w:val="single" w:sz="4" w:space="0" w:color="auto"/>
              <w:right w:val="single" w:sz="4" w:space="0" w:color="auto"/>
            </w:tcBorders>
            <w:shd w:val="clear" w:color="auto" w:fill="auto"/>
            <w:vAlign w:val="center"/>
            <w:hideMark/>
          </w:tcPr>
          <w:p w14:paraId="58E8308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Reporting on Compliance with the License Conditions for Nuclear and Radiation Activities</w:t>
            </w:r>
          </w:p>
        </w:tc>
        <w:tc>
          <w:tcPr>
            <w:tcW w:w="810" w:type="dxa"/>
            <w:tcBorders>
              <w:top w:val="nil"/>
              <w:left w:val="nil"/>
              <w:bottom w:val="single" w:sz="4" w:space="0" w:color="auto"/>
              <w:right w:val="single" w:sz="4" w:space="0" w:color="auto"/>
            </w:tcBorders>
            <w:shd w:val="clear" w:color="auto" w:fill="auto"/>
            <w:noWrap/>
            <w:vAlign w:val="center"/>
            <w:hideMark/>
          </w:tcPr>
          <w:p w14:paraId="5E9A9F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653</w:t>
            </w:r>
          </w:p>
        </w:tc>
        <w:tc>
          <w:tcPr>
            <w:tcW w:w="810" w:type="dxa"/>
            <w:tcBorders>
              <w:top w:val="nil"/>
              <w:left w:val="nil"/>
              <w:bottom w:val="single" w:sz="4" w:space="0" w:color="auto"/>
              <w:right w:val="single" w:sz="4" w:space="0" w:color="auto"/>
            </w:tcBorders>
            <w:shd w:val="clear" w:color="auto" w:fill="auto"/>
            <w:noWrap/>
            <w:vAlign w:val="center"/>
            <w:hideMark/>
          </w:tcPr>
          <w:p w14:paraId="6CF3753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802</w:t>
            </w:r>
          </w:p>
        </w:tc>
        <w:tc>
          <w:tcPr>
            <w:tcW w:w="720" w:type="dxa"/>
            <w:tcBorders>
              <w:top w:val="nil"/>
              <w:left w:val="nil"/>
              <w:bottom w:val="single" w:sz="4" w:space="0" w:color="auto"/>
              <w:right w:val="single" w:sz="4" w:space="0" w:color="auto"/>
            </w:tcBorders>
            <w:shd w:val="clear" w:color="auto" w:fill="auto"/>
            <w:noWrap/>
            <w:vAlign w:val="center"/>
            <w:hideMark/>
          </w:tcPr>
          <w:p w14:paraId="52E4A4F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769</w:t>
            </w:r>
          </w:p>
        </w:tc>
        <w:tc>
          <w:tcPr>
            <w:tcW w:w="900" w:type="dxa"/>
            <w:tcBorders>
              <w:top w:val="nil"/>
              <w:left w:val="nil"/>
              <w:bottom w:val="single" w:sz="4" w:space="0" w:color="auto"/>
              <w:right w:val="single" w:sz="4" w:space="0" w:color="auto"/>
            </w:tcBorders>
            <w:shd w:val="clear" w:color="auto" w:fill="auto"/>
            <w:noWrap/>
            <w:vAlign w:val="center"/>
            <w:hideMark/>
          </w:tcPr>
          <w:p w14:paraId="28992D1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788</w:t>
            </w:r>
          </w:p>
        </w:tc>
        <w:tc>
          <w:tcPr>
            <w:tcW w:w="1170" w:type="dxa"/>
            <w:tcBorders>
              <w:top w:val="nil"/>
              <w:left w:val="nil"/>
              <w:bottom w:val="single" w:sz="4" w:space="0" w:color="auto"/>
              <w:right w:val="single" w:sz="4" w:space="0" w:color="auto"/>
            </w:tcBorders>
            <w:shd w:val="clear" w:color="auto" w:fill="auto"/>
            <w:noWrap/>
            <w:vAlign w:val="center"/>
            <w:hideMark/>
          </w:tcPr>
          <w:p w14:paraId="176375E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761</w:t>
            </w:r>
          </w:p>
        </w:tc>
      </w:tr>
      <w:tr w:rsidR="00AF1EF3" w:rsidRPr="00AF1EF3" w14:paraId="315265C0"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EC62A2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107</w:t>
            </w:r>
          </w:p>
        </w:tc>
        <w:tc>
          <w:tcPr>
            <w:tcW w:w="3735" w:type="dxa"/>
            <w:tcBorders>
              <w:top w:val="nil"/>
              <w:left w:val="nil"/>
              <w:bottom w:val="single" w:sz="4" w:space="0" w:color="auto"/>
              <w:right w:val="single" w:sz="4" w:space="0" w:color="auto"/>
            </w:tcBorders>
            <w:shd w:val="clear" w:color="auto" w:fill="auto"/>
            <w:vAlign w:val="center"/>
            <w:hideMark/>
          </w:tcPr>
          <w:p w14:paraId="034AD5A3"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Agency of Nuclear and Radiation Safety</w:t>
            </w:r>
          </w:p>
        </w:tc>
        <w:tc>
          <w:tcPr>
            <w:tcW w:w="5220" w:type="dxa"/>
            <w:tcBorders>
              <w:top w:val="nil"/>
              <w:left w:val="nil"/>
              <w:bottom w:val="single" w:sz="4" w:space="0" w:color="auto"/>
              <w:right w:val="single" w:sz="4" w:space="0" w:color="auto"/>
            </w:tcBorders>
            <w:shd w:val="clear" w:color="auto" w:fill="auto"/>
            <w:vAlign w:val="center"/>
            <w:hideMark/>
          </w:tcPr>
          <w:p w14:paraId="68F270A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Permits for Nuclear and Radiation Activities</w:t>
            </w:r>
          </w:p>
        </w:tc>
        <w:tc>
          <w:tcPr>
            <w:tcW w:w="810" w:type="dxa"/>
            <w:tcBorders>
              <w:top w:val="nil"/>
              <w:left w:val="nil"/>
              <w:bottom w:val="single" w:sz="4" w:space="0" w:color="auto"/>
              <w:right w:val="single" w:sz="4" w:space="0" w:color="auto"/>
            </w:tcBorders>
            <w:shd w:val="clear" w:color="auto" w:fill="auto"/>
            <w:noWrap/>
            <w:vAlign w:val="center"/>
            <w:hideMark/>
          </w:tcPr>
          <w:p w14:paraId="37D9B25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59B3FA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99</w:t>
            </w:r>
          </w:p>
        </w:tc>
        <w:tc>
          <w:tcPr>
            <w:tcW w:w="720" w:type="dxa"/>
            <w:tcBorders>
              <w:top w:val="nil"/>
              <w:left w:val="nil"/>
              <w:bottom w:val="single" w:sz="4" w:space="0" w:color="auto"/>
              <w:right w:val="single" w:sz="4" w:space="0" w:color="auto"/>
            </w:tcBorders>
            <w:shd w:val="clear" w:color="auto" w:fill="auto"/>
            <w:noWrap/>
            <w:vAlign w:val="center"/>
            <w:hideMark/>
          </w:tcPr>
          <w:p w14:paraId="1FE6665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143</w:t>
            </w:r>
          </w:p>
        </w:tc>
        <w:tc>
          <w:tcPr>
            <w:tcW w:w="900" w:type="dxa"/>
            <w:tcBorders>
              <w:top w:val="nil"/>
              <w:left w:val="nil"/>
              <w:bottom w:val="single" w:sz="4" w:space="0" w:color="auto"/>
              <w:right w:val="single" w:sz="4" w:space="0" w:color="auto"/>
            </w:tcBorders>
            <w:shd w:val="clear" w:color="auto" w:fill="auto"/>
            <w:noWrap/>
            <w:vAlign w:val="center"/>
            <w:hideMark/>
          </w:tcPr>
          <w:p w14:paraId="64F06AD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75</w:t>
            </w:r>
          </w:p>
        </w:tc>
        <w:tc>
          <w:tcPr>
            <w:tcW w:w="1170" w:type="dxa"/>
            <w:tcBorders>
              <w:top w:val="nil"/>
              <w:left w:val="nil"/>
              <w:bottom w:val="single" w:sz="4" w:space="0" w:color="auto"/>
              <w:right w:val="single" w:sz="4" w:space="0" w:color="auto"/>
            </w:tcBorders>
            <w:shd w:val="clear" w:color="auto" w:fill="auto"/>
            <w:noWrap/>
            <w:vAlign w:val="center"/>
            <w:hideMark/>
          </w:tcPr>
          <w:p w14:paraId="7640DC5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68</w:t>
            </w:r>
          </w:p>
        </w:tc>
      </w:tr>
      <w:tr w:rsidR="00AF1EF3" w:rsidRPr="00AF1EF3" w14:paraId="4C5376D0" w14:textId="77777777" w:rsidTr="00B86F59">
        <w:trPr>
          <w:trHeight w:val="9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11656B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lastRenderedPageBreak/>
              <w:t>108</w:t>
            </w:r>
          </w:p>
        </w:tc>
        <w:tc>
          <w:tcPr>
            <w:tcW w:w="3735" w:type="dxa"/>
            <w:tcBorders>
              <w:top w:val="nil"/>
              <w:left w:val="nil"/>
              <w:bottom w:val="single" w:sz="4" w:space="0" w:color="auto"/>
              <w:right w:val="single" w:sz="4" w:space="0" w:color="auto"/>
            </w:tcBorders>
            <w:shd w:val="clear" w:color="auto" w:fill="auto"/>
            <w:vAlign w:val="center"/>
            <w:hideMark/>
          </w:tcPr>
          <w:p w14:paraId="110A37ED" w14:textId="7C75977E"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D</w:t>
            </w:r>
            <w:r w:rsidR="00D0186C">
              <w:rPr>
                <w:rFonts w:ascii="Arial" w:eastAsia="Times New Roman" w:hAnsi="Arial" w:cs="Arial"/>
                <w:color w:val="000000"/>
                <w:sz w:val="20"/>
                <w:szCs w:val="20"/>
              </w:rPr>
              <w:t>ata Exchange Agency / Digital Go</w:t>
            </w:r>
            <w:r w:rsidRPr="00AF1EF3">
              <w:rPr>
                <w:rFonts w:ascii="Arial" w:eastAsia="Times New Roman" w:hAnsi="Arial" w:cs="Arial"/>
                <w:color w:val="000000"/>
                <w:sz w:val="20"/>
                <w:szCs w:val="20"/>
              </w:rPr>
              <w:t>vernance Agency</w:t>
            </w:r>
          </w:p>
        </w:tc>
        <w:tc>
          <w:tcPr>
            <w:tcW w:w="5220" w:type="dxa"/>
            <w:tcBorders>
              <w:top w:val="nil"/>
              <w:left w:val="nil"/>
              <w:bottom w:val="single" w:sz="4" w:space="0" w:color="auto"/>
              <w:right w:val="single" w:sz="4" w:space="0" w:color="auto"/>
            </w:tcBorders>
            <w:shd w:val="clear" w:color="auto" w:fill="auto"/>
            <w:vAlign w:val="center"/>
            <w:hideMark/>
          </w:tcPr>
          <w:p w14:paraId="5010397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Delivery of the e-document</w:t>
            </w:r>
          </w:p>
        </w:tc>
        <w:tc>
          <w:tcPr>
            <w:tcW w:w="810" w:type="dxa"/>
            <w:tcBorders>
              <w:top w:val="nil"/>
              <w:left w:val="nil"/>
              <w:bottom w:val="single" w:sz="4" w:space="0" w:color="auto"/>
              <w:right w:val="single" w:sz="4" w:space="0" w:color="auto"/>
            </w:tcBorders>
            <w:shd w:val="clear" w:color="auto" w:fill="auto"/>
            <w:noWrap/>
            <w:vAlign w:val="center"/>
            <w:hideMark/>
          </w:tcPr>
          <w:p w14:paraId="1979772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3DDD73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096E32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79423A8" w14:textId="01BFDBD8"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906</w:t>
            </w:r>
          </w:p>
        </w:tc>
        <w:tc>
          <w:tcPr>
            <w:tcW w:w="1170" w:type="dxa"/>
            <w:tcBorders>
              <w:top w:val="nil"/>
              <w:left w:val="nil"/>
              <w:bottom w:val="single" w:sz="4" w:space="0" w:color="auto"/>
              <w:right w:val="single" w:sz="4" w:space="0" w:color="auto"/>
            </w:tcBorders>
            <w:shd w:val="clear" w:color="auto" w:fill="auto"/>
            <w:noWrap/>
            <w:vAlign w:val="center"/>
            <w:hideMark/>
          </w:tcPr>
          <w:p w14:paraId="1928C67D" w14:textId="3861AC1C"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671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592</w:t>
            </w:r>
          </w:p>
        </w:tc>
      </w:tr>
      <w:tr w:rsidR="00AF1EF3" w:rsidRPr="00AF1EF3" w14:paraId="1C0CD403"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901D56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109</w:t>
            </w:r>
          </w:p>
        </w:tc>
        <w:tc>
          <w:tcPr>
            <w:tcW w:w="3735" w:type="dxa"/>
            <w:tcBorders>
              <w:top w:val="nil"/>
              <w:left w:val="nil"/>
              <w:bottom w:val="single" w:sz="4" w:space="0" w:color="auto"/>
              <w:right w:val="single" w:sz="4" w:space="0" w:color="auto"/>
            </w:tcBorders>
            <w:shd w:val="clear" w:color="auto" w:fill="auto"/>
            <w:vAlign w:val="center"/>
            <w:hideMark/>
          </w:tcPr>
          <w:p w14:paraId="16643047"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Bureau of Enforcement </w:t>
            </w:r>
          </w:p>
        </w:tc>
        <w:tc>
          <w:tcPr>
            <w:tcW w:w="5220" w:type="dxa"/>
            <w:tcBorders>
              <w:top w:val="nil"/>
              <w:left w:val="nil"/>
              <w:bottom w:val="single" w:sz="4" w:space="0" w:color="auto"/>
              <w:right w:val="single" w:sz="4" w:space="0" w:color="auto"/>
            </w:tcBorders>
            <w:shd w:val="clear" w:color="auto" w:fill="auto"/>
            <w:vAlign w:val="center"/>
            <w:hideMark/>
          </w:tcPr>
          <w:p w14:paraId="1C9CCA3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Debtor Registry</w:t>
            </w:r>
          </w:p>
        </w:tc>
        <w:tc>
          <w:tcPr>
            <w:tcW w:w="810" w:type="dxa"/>
            <w:tcBorders>
              <w:top w:val="nil"/>
              <w:left w:val="nil"/>
              <w:bottom w:val="single" w:sz="4" w:space="0" w:color="auto"/>
              <w:right w:val="single" w:sz="4" w:space="0" w:color="auto"/>
            </w:tcBorders>
            <w:shd w:val="clear" w:color="auto" w:fill="auto"/>
            <w:noWrap/>
            <w:vAlign w:val="center"/>
            <w:hideMark/>
          </w:tcPr>
          <w:p w14:paraId="46058EB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E4014C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B6A3F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620906C" w14:textId="2BD84D98"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20</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391</w:t>
            </w:r>
          </w:p>
        </w:tc>
        <w:tc>
          <w:tcPr>
            <w:tcW w:w="1170" w:type="dxa"/>
            <w:tcBorders>
              <w:top w:val="nil"/>
              <w:left w:val="nil"/>
              <w:bottom w:val="single" w:sz="4" w:space="0" w:color="auto"/>
              <w:right w:val="single" w:sz="4" w:space="0" w:color="auto"/>
            </w:tcBorders>
            <w:shd w:val="clear" w:color="auto" w:fill="auto"/>
            <w:noWrap/>
            <w:vAlign w:val="center"/>
            <w:hideMark/>
          </w:tcPr>
          <w:p w14:paraId="7A514D3B" w14:textId="16148252"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621</w:t>
            </w:r>
          </w:p>
        </w:tc>
      </w:tr>
      <w:tr w:rsidR="00AF1EF3" w:rsidRPr="00AF1EF3" w14:paraId="0624EDAA"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32E291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110</w:t>
            </w:r>
          </w:p>
        </w:tc>
        <w:tc>
          <w:tcPr>
            <w:tcW w:w="3735" w:type="dxa"/>
            <w:tcBorders>
              <w:top w:val="nil"/>
              <w:left w:val="nil"/>
              <w:bottom w:val="single" w:sz="4" w:space="0" w:color="auto"/>
              <w:right w:val="single" w:sz="4" w:space="0" w:color="auto"/>
            </w:tcBorders>
            <w:shd w:val="clear" w:color="auto" w:fill="auto"/>
            <w:vAlign w:val="center"/>
            <w:hideMark/>
          </w:tcPr>
          <w:p w14:paraId="0CEA50F0"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Bureau of Enforcement </w:t>
            </w:r>
          </w:p>
        </w:tc>
        <w:tc>
          <w:tcPr>
            <w:tcW w:w="5220" w:type="dxa"/>
            <w:tcBorders>
              <w:top w:val="nil"/>
              <w:left w:val="nil"/>
              <w:bottom w:val="single" w:sz="4" w:space="0" w:color="auto"/>
              <w:right w:val="single" w:sz="4" w:space="0" w:color="auto"/>
            </w:tcBorders>
            <w:shd w:val="clear" w:color="auto" w:fill="auto"/>
            <w:vAlign w:val="center"/>
            <w:hideMark/>
          </w:tcPr>
          <w:p w14:paraId="142FBFE9"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Search Debtor Registry</w:t>
            </w:r>
          </w:p>
        </w:tc>
        <w:tc>
          <w:tcPr>
            <w:tcW w:w="810" w:type="dxa"/>
            <w:tcBorders>
              <w:top w:val="nil"/>
              <w:left w:val="nil"/>
              <w:bottom w:val="single" w:sz="4" w:space="0" w:color="auto"/>
              <w:right w:val="single" w:sz="4" w:space="0" w:color="auto"/>
            </w:tcBorders>
            <w:shd w:val="clear" w:color="auto" w:fill="auto"/>
            <w:noWrap/>
            <w:vAlign w:val="center"/>
            <w:hideMark/>
          </w:tcPr>
          <w:p w14:paraId="06E2146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A3492B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DEC9F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9A0FD51" w14:textId="242596D6"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273</w:t>
            </w:r>
          </w:p>
        </w:tc>
        <w:tc>
          <w:tcPr>
            <w:tcW w:w="1170" w:type="dxa"/>
            <w:tcBorders>
              <w:top w:val="nil"/>
              <w:left w:val="nil"/>
              <w:bottom w:val="single" w:sz="4" w:space="0" w:color="auto"/>
              <w:right w:val="single" w:sz="4" w:space="0" w:color="auto"/>
            </w:tcBorders>
            <w:shd w:val="clear" w:color="auto" w:fill="auto"/>
            <w:noWrap/>
            <w:vAlign w:val="center"/>
            <w:hideMark/>
          </w:tcPr>
          <w:p w14:paraId="7022E7D6" w14:textId="511868AE"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335</w:t>
            </w:r>
          </w:p>
        </w:tc>
      </w:tr>
      <w:tr w:rsidR="00AF1EF3" w:rsidRPr="00AF1EF3" w14:paraId="7C064F6F"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BE3C0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111</w:t>
            </w:r>
          </w:p>
        </w:tc>
        <w:tc>
          <w:tcPr>
            <w:tcW w:w="3735" w:type="dxa"/>
            <w:tcBorders>
              <w:top w:val="nil"/>
              <w:left w:val="nil"/>
              <w:bottom w:val="single" w:sz="4" w:space="0" w:color="auto"/>
              <w:right w:val="single" w:sz="4" w:space="0" w:color="auto"/>
            </w:tcBorders>
            <w:shd w:val="clear" w:color="auto" w:fill="auto"/>
            <w:noWrap/>
            <w:vAlign w:val="bottom"/>
            <w:hideMark/>
          </w:tcPr>
          <w:p w14:paraId="0A124F10"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Georgian National Energy and Water Supply Regulatory Commission </w:t>
            </w:r>
          </w:p>
        </w:tc>
        <w:tc>
          <w:tcPr>
            <w:tcW w:w="5220" w:type="dxa"/>
            <w:tcBorders>
              <w:top w:val="nil"/>
              <w:left w:val="nil"/>
              <w:bottom w:val="single" w:sz="4" w:space="0" w:color="auto"/>
              <w:right w:val="single" w:sz="4" w:space="0" w:color="auto"/>
            </w:tcBorders>
            <w:shd w:val="clear" w:color="auto" w:fill="auto"/>
            <w:vAlign w:val="center"/>
            <w:hideMark/>
          </w:tcPr>
          <w:p w14:paraId="7B6FBCDA"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Consent to carry out Network Work</w:t>
            </w:r>
          </w:p>
        </w:tc>
        <w:tc>
          <w:tcPr>
            <w:tcW w:w="810" w:type="dxa"/>
            <w:tcBorders>
              <w:top w:val="nil"/>
              <w:left w:val="nil"/>
              <w:bottom w:val="single" w:sz="4" w:space="0" w:color="auto"/>
              <w:right w:val="single" w:sz="4" w:space="0" w:color="auto"/>
            </w:tcBorders>
            <w:shd w:val="clear" w:color="auto" w:fill="auto"/>
            <w:noWrap/>
            <w:vAlign w:val="center"/>
            <w:hideMark/>
          </w:tcPr>
          <w:p w14:paraId="08ACDF3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AFB5F7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88B7F4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A9E8F4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FEA5687" w14:textId="3074CC5B"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615</w:t>
            </w:r>
          </w:p>
        </w:tc>
      </w:tr>
      <w:tr w:rsidR="00AF1EF3" w:rsidRPr="00AF1EF3" w14:paraId="1827FEE7"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9223FB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112</w:t>
            </w:r>
          </w:p>
        </w:tc>
        <w:tc>
          <w:tcPr>
            <w:tcW w:w="3735" w:type="dxa"/>
            <w:tcBorders>
              <w:top w:val="nil"/>
              <w:left w:val="nil"/>
              <w:bottom w:val="single" w:sz="4" w:space="0" w:color="auto"/>
              <w:right w:val="single" w:sz="4" w:space="0" w:color="auto"/>
            </w:tcBorders>
            <w:shd w:val="clear" w:color="auto" w:fill="auto"/>
            <w:noWrap/>
            <w:vAlign w:val="center"/>
            <w:hideMark/>
          </w:tcPr>
          <w:p w14:paraId="51F37359"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39D00B1"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Economic Activity</w:t>
            </w:r>
          </w:p>
        </w:tc>
        <w:tc>
          <w:tcPr>
            <w:tcW w:w="810" w:type="dxa"/>
            <w:tcBorders>
              <w:top w:val="nil"/>
              <w:left w:val="nil"/>
              <w:bottom w:val="single" w:sz="4" w:space="0" w:color="auto"/>
              <w:right w:val="single" w:sz="4" w:space="0" w:color="auto"/>
            </w:tcBorders>
            <w:shd w:val="clear" w:color="auto" w:fill="auto"/>
            <w:noWrap/>
            <w:vAlign w:val="center"/>
            <w:hideMark/>
          </w:tcPr>
          <w:p w14:paraId="3930343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950A28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578393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037A57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11D44A0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442</w:t>
            </w:r>
          </w:p>
        </w:tc>
      </w:tr>
      <w:tr w:rsidR="00AF1EF3" w:rsidRPr="00AF1EF3" w14:paraId="33DBD86E"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6AA50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113</w:t>
            </w:r>
          </w:p>
        </w:tc>
        <w:tc>
          <w:tcPr>
            <w:tcW w:w="3735" w:type="dxa"/>
            <w:tcBorders>
              <w:top w:val="nil"/>
              <w:left w:val="nil"/>
              <w:bottom w:val="single" w:sz="4" w:space="0" w:color="auto"/>
              <w:right w:val="single" w:sz="4" w:space="0" w:color="auto"/>
            </w:tcBorders>
            <w:shd w:val="clear" w:color="auto" w:fill="auto"/>
            <w:noWrap/>
            <w:vAlign w:val="center"/>
            <w:hideMark/>
          </w:tcPr>
          <w:p w14:paraId="0349F7D4"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47B5444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Extension of the Registration Period for the Registered Data on Economic Activities</w:t>
            </w:r>
          </w:p>
        </w:tc>
        <w:tc>
          <w:tcPr>
            <w:tcW w:w="810" w:type="dxa"/>
            <w:tcBorders>
              <w:top w:val="nil"/>
              <w:left w:val="nil"/>
              <w:bottom w:val="single" w:sz="4" w:space="0" w:color="auto"/>
              <w:right w:val="single" w:sz="4" w:space="0" w:color="auto"/>
            </w:tcBorders>
            <w:shd w:val="clear" w:color="auto" w:fill="auto"/>
            <w:noWrap/>
            <w:vAlign w:val="center"/>
            <w:hideMark/>
          </w:tcPr>
          <w:p w14:paraId="10091D7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8BCBF5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C0452C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CE879A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1D8FE1F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216</w:t>
            </w:r>
          </w:p>
        </w:tc>
      </w:tr>
      <w:tr w:rsidR="00AF1EF3" w:rsidRPr="00AF1EF3" w14:paraId="6B2E3D1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40AD3C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114</w:t>
            </w:r>
          </w:p>
        </w:tc>
        <w:tc>
          <w:tcPr>
            <w:tcW w:w="3735" w:type="dxa"/>
            <w:tcBorders>
              <w:top w:val="nil"/>
              <w:left w:val="nil"/>
              <w:bottom w:val="single" w:sz="4" w:space="0" w:color="auto"/>
              <w:right w:val="single" w:sz="4" w:space="0" w:color="auto"/>
            </w:tcBorders>
            <w:shd w:val="clear" w:color="auto" w:fill="auto"/>
            <w:noWrap/>
            <w:vAlign w:val="center"/>
            <w:hideMark/>
          </w:tcPr>
          <w:p w14:paraId="7E6BF8C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F34931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Preparation of an Extract from the Registry of Economic Activities</w:t>
            </w:r>
          </w:p>
        </w:tc>
        <w:tc>
          <w:tcPr>
            <w:tcW w:w="810" w:type="dxa"/>
            <w:tcBorders>
              <w:top w:val="nil"/>
              <w:left w:val="nil"/>
              <w:bottom w:val="single" w:sz="4" w:space="0" w:color="auto"/>
              <w:right w:val="single" w:sz="4" w:space="0" w:color="auto"/>
            </w:tcBorders>
            <w:shd w:val="clear" w:color="auto" w:fill="auto"/>
            <w:noWrap/>
            <w:vAlign w:val="center"/>
            <w:hideMark/>
          </w:tcPr>
          <w:p w14:paraId="6EFB78E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059FB7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7105A3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9610DD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0B5C337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48</w:t>
            </w:r>
          </w:p>
        </w:tc>
      </w:tr>
      <w:tr w:rsidR="00AF1EF3" w:rsidRPr="00AF1EF3" w14:paraId="7854539A"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7EA2FF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115</w:t>
            </w:r>
          </w:p>
        </w:tc>
        <w:tc>
          <w:tcPr>
            <w:tcW w:w="3735" w:type="dxa"/>
            <w:tcBorders>
              <w:top w:val="nil"/>
              <w:left w:val="nil"/>
              <w:bottom w:val="single" w:sz="4" w:space="0" w:color="auto"/>
              <w:right w:val="single" w:sz="4" w:space="0" w:color="auto"/>
            </w:tcBorders>
            <w:shd w:val="clear" w:color="auto" w:fill="auto"/>
            <w:noWrap/>
            <w:vAlign w:val="center"/>
            <w:hideMark/>
          </w:tcPr>
          <w:p w14:paraId="1E3EC869"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699B280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Retrieval of the Information from the Registry of Economic Activities</w:t>
            </w:r>
          </w:p>
        </w:tc>
        <w:tc>
          <w:tcPr>
            <w:tcW w:w="810" w:type="dxa"/>
            <w:tcBorders>
              <w:top w:val="nil"/>
              <w:left w:val="nil"/>
              <w:bottom w:val="single" w:sz="4" w:space="0" w:color="auto"/>
              <w:right w:val="single" w:sz="4" w:space="0" w:color="auto"/>
            </w:tcBorders>
            <w:shd w:val="clear" w:color="auto" w:fill="auto"/>
            <w:noWrap/>
            <w:vAlign w:val="center"/>
            <w:hideMark/>
          </w:tcPr>
          <w:p w14:paraId="005B841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1E811C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EFE86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56BDCB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65FEBAE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p>
        </w:tc>
      </w:tr>
      <w:tr w:rsidR="00AF1EF3" w:rsidRPr="00AF1EF3" w14:paraId="3A879AC9"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618438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116</w:t>
            </w:r>
          </w:p>
        </w:tc>
        <w:tc>
          <w:tcPr>
            <w:tcW w:w="3735" w:type="dxa"/>
            <w:tcBorders>
              <w:top w:val="nil"/>
              <w:left w:val="nil"/>
              <w:bottom w:val="single" w:sz="4" w:space="0" w:color="auto"/>
              <w:right w:val="single" w:sz="4" w:space="0" w:color="auto"/>
            </w:tcBorders>
            <w:shd w:val="clear" w:color="auto" w:fill="auto"/>
            <w:noWrap/>
            <w:vAlign w:val="center"/>
            <w:hideMark/>
          </w:tcPr>
          <w:p w14:paraId="7BE3E410"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0B13F5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Correction of a Technical Defect in the Registry of Economic Activities</w:t>
            </w:r>
          </w:p>
        </w:tc>
        <w:tc>
          <w:tcPr>
            <w:tcW w:w="810" w:type="dxa"/>
            <w:tcBorders>
              <w:top w:val="nil"/>
              <w:left w:val="nil"/>
              <w:bottom w:val="single" w:sz="4" w:space="0" w:color="auto"/>
              <w:right w:val="single" w:sz="4" w:space="0" w:color="auto"/>
            </w:tcBorders>
            <w:shd w:val="clear" w:color="auto" w:fill="auto"/>
            <w:noWrap/>
            <w:vAlign w:val="center"/>
            <w:hideMark/>
          </w:tcPr>
          <w:p w14:paraId="5AD7941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B592C1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6FC6FB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D570D7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6FAC280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4</w:t>
            </w:r>
          </w:p>
        </w:tc>
      </w:tr>
      <w:tr w:rsidR="00AF1EF3" w:rsidRPr="00AF1EF3" w14:paraId="1BDB3214"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F49E49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117</w:t>
            </w:r>
          </w:p>
        </w:tc>
        <w:tc>
          <w:tcPr>
            <w:tcW w:w="3735" w:type="dxa"/>
            <w:tcBorders>
              <w:top w:val="nil"/>
              <w:left w:val="nil"/>
              <w:bottom w:val="single" w:sz="4" w:space="0" w:color="auto"/>
              <w:right w:val="single" w:sz="4" w:space="0" w:color="auto"/>
            </w:tcBorders>
            <w:shd w:val="clear" w:color="auto" w:fill="auto"/>
            <w:noWrap/>
            <w:vAlign w:val="center"/>
            <w:hideMark/>
          </w:tcPr>
          <w:p w14:paraId="50D25675"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304BA0F2"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Registration of Amendments in the Registered Data of Economic Activity</w:t>
            </w:r>
          </w:p>
        </w:tc>
        <w:tc>
          <w:tcPr>
            <w:tcW w:w="810" w:type="dxa"/>
            <w:tcBorders>
              <w:top w:val="nil"/>
              <w:left w:val="nil"/>
              <w:bottom w:val="single" w:sz="4" w:space="0" w:color="auto"/>
              <w:right w:val="single" w:sz="4" w:space="0" w:color="auto"/>
            </w:tcBorders>
            <w:shd w:val="clear" w:color="auto" w:fill="auto"/>
            <w:noWrap/>
            <w:vAlign w:val="center"/>
            <w:hideMark/>
          </w:tcPr>
          <w:p w14:paraId="606A209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6271B91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3FD69EF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79C597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34221DB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77</w:t>
            </w:r>
          </w:p>
        </w:tc>
      </w:tr>
      <w:tr w:rsidR="00AF1EF3" w:rsidRPr="00AF1EF3" w14:paraId="78B2FA4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31CE40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118</w:t>
            </w:r>
          </w:p>
        </w:tc>
        <w:tc>
          <w:tcPr>
            <w:tcW w:w="3735" w:type="dxa"/>
            <w:tcBorders>
              <w:top w:val="nil"/>
              <w:left w:val="nil"/>
              <w:bottom w:val="single" w:sz="4" w:space="0" w:color="auto"/>
              <w:right w:val="single" w:sz="4" w:space="0" w:color="auto"/>
            </w:tcBorders>
            <w:shd w:val="clear" w:color="auto" w:fill="auto"/>
            <w:noWrap/>
            <w:vAlign w:val="center"/>
            <w:hideMark/>
          </w:tcPr>
          <w:p w14:paraId="46640A27"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06E64374"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Cancellation of Registration in the Registry of Economic Activities</w:t>
            </w:r>
          </w:p>
        </w:tc>
        <w:tc>
          <w:tcPr>
            <w:tcW w:w="810" w:type="dxa"/>
            <w:tcBorders>
              <w:top w:val="nil"/>
              <w:left w:val="nil"/>
              <w:bottom w:val="single" w:sz="4" w:space="0" w:color="auto"/>
              <w:right w:val="single" w:sz="4" w:space="0" w:color="auto"/>
            </w:tcBorders>
            <w:shd w:val="clear" w:color="auto" w:fill="auto"/>
            <w:noWrap/>
            <w:vAlign w:val="center"/>
            <w:hideMark/>
          </w:tcPr>
          <w:p w14:paraId="4AB65EF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166929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71332D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691C5C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15D708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p>
        </w:tc>
      </w:tr>
      <w:tr w:rsidR="00AF1EF3" w:rsidRPr="00AF1EF3" w14:paraId="0BCFB073"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39679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119</w:t>
            </w:r>
          </w:p>
        </w:tc>
        <w:tc>
          <w:tcPr>
            <w:tcW w:w="3735" w:type="dxa"/>
            <w:tcBorders>
              <w:top w:val="nil"/>
              <w:left w:val="nil"/>
              <w:bottom w:val="single" w:sz="4" w:space="0" w:color="auto"/>
              <w:right w:val="single" w:sz="4" w:space="0" w:color="auto"/>
            </w:tcBorders>
            <w:shd w:val="clear" w:color="auto" w:fill="auto"/>
            <w:noWrap/>
            <w:vAlign w:val="center"/>
            <w:hideMark/>
          </w:tcPr>
          <w:p w14:paraId="0646F3FB"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6B0A908A"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Search for Applications in the Registry of Economic Activities</w:t>
            </w:r>
          </w:p>
        </w:tc>
        <w:tc>
          <w:tcPr>
            <w:tcW w:w="810" w:type="dxa"/>
            <w:tcBorders>
              <w:top w:val="nil"/>
              <w:left w:val="nil"/>
              <w:bottom w:val="single" w:sz="4" w:space="0" w:color="auto"/>
              <w:right w:val="single" w:sz="4" w:space="0" w:color="auto"/>
            </w:tcBorders>
            <w:shd w:val="clear" w:color="auto" w:fill="auto"/>
            <w:noWrap/>
            <w:vAlign w:val="center"/>
            <w:hideMark/>
          </w:tcPr>
          <w:p w14:paraId="0F57EC5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B131A0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6DA568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1359C8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0C1F48D" w14:textId="0BD07D2D"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87</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870</w:t>
            </w:r>
          </w:p>
        </w:tc>
      </w:tr>
      <w:tr w:rsidR="00AF1EF3" w:rsidRPr="00AF1EF3" w14:paraId="69D1CDC9"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9B0DC7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120</w:t>
            </w:r>
          </w:p>
        </w:tc>
        <w:tc>
          <w:tcPr>
            <w:tcW w:w="3735" w:type="dxa"/>
            <w:tcBorders>
              <w:top w:val="nil"/>
              <w:left w:val="nil"/>
              <w:bottom w:val="single" w:sz="4" w:space="0" w:color="auto"/>
              <w:right w:val="single" w:sz="4" w:space="0" w:color="auto"/>
            </w:tcBorders>
            <w:shd w:val="clear" w:color="auto" w:fill="auto"/>
            <w:noWrap/>
            <w:vAlign w:val="center"/>
            <w:hideMark/>
          </w:tcPr>
          <w:p w14:paraId="5107371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1CD885F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Registering Types and Codes of Compulsory Economic Activity</w:t>
            </w:r>
          </w:p>
        </w:tc>
        <w:tc>
          <w:tcPr>
            <w:tcW w:w="810" w:type="dxa"/>
            <w:tcBorders>
              <w:top w:val="nil"/>
              <w:left w:val="nil"/>
              <w:bottom w:val="single" w:sz="4" w:space="0" w:color="auto"/>
              <w:right w:val="single" w:sz="4" w:space="0" w:color="auto"/>
            </w:tcBorders>
            <w:shd w:val="clear" w:color="auto" w:fill="auto"/>
            <w:noWrap/>
            <w:vAlign w:val="center"/>
            <w:hideMark/>
          </w:tcPr>
          <w:p w14:paraId="3997C85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EEE991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274B4A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242DFE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A938E9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p>
        </w:tc>
      </w:tr>
      <w:tr w:rsidR="00AF1EF3" w:rsidRPr="00AF1EF3" w14:paraId="146F7B0F" w14:textId="77777777" w:rsidTr="00B86F59">
        <w:trPr>
          <w:trHeight w:val="9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0D078D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121</w:t>
            </w:r>
          </w:p>
        </w:tc>
        <w:tc>
          <w:tcPr>
            <w:tcW w:w="3735" w:type="dxa"/>
            <w:tcBorders>
              <w:top w:val="nil"/>
              <w:left w:val="nil"/>
              <w:bottom w:val="single" w:sz="4" w:space="0" w:color="auto"/>
              <w:right w:val="single" w:sz="4" w:space="0" w:color="auto"/>
            </w:tcBorders>
            <w:shd w:val="clear" w:color="auto" w:fill="auto"/>
            <w:vAlign w:val="center"/>
            <w:hideMark/>
          </w:tcPr>
          <w:p w14:paraId="48B82A91"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Center for Educational Quality Enhancement</w:t>
            </w:r>
          </w:p>
        </w:tc>
        <w:tc>
          <w:tcPr>
            <w:tcW w:w="5220" w:type="dxa"/>
            <w:tcBorders>
              <w:top w:val="nil"/>
              <w:left w:val="nil"/>
              <w:bottom w:val="single" w:sz="4" w:space="0" w:color="auto"/>
              <w:right w:val="single" w:sz="4" w:space="0" w:color="auto"/>
            </w:tcBorders>
            <w:shd w:val="clear" w:color="auto" w:fill="auto"/>
            <w:vAlign w:val="center"/>
            <w:hideMark/>
          </w:tcPr>
          <w:p w14:paraId="5C45D670"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Confirmation of the Authenticity of Educational Documents Issued in Georgia</w:t>
            </w:r>
          </w:p>
        </w:tc>
        <w:tc>
          <w:tcPr>
            <w:tcW w:w="810" w:type="dxa"/>
            <w:tcBorders>
              <w:top w:val="nil"/>
              <w:left w:val="nil"/>
              <w:bottom w:val="single" w:sz="4" w:space="0" w:color="auto"/>
              <w:right w:val="single" w:sz="4" w:space="0" w:color="auto"/>
            </w:tcBorders>
            <w:shd w:val="clear" w:color="auto" w:fill="auto"/>
            <w:noWrap/>
            <w:vAlign w:val="center"/>
            <w:hideMark/>
          </w:tcPr>
          <w:p w14:paraId="7E4077C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A3F04A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EA13BF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A86B51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CDE3A4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8</w:t>
            </w:r>
          </w:p>
        </w:tc>
      </w:tr>
      <w:tr w:rsidR="00AF1EF3" w:rsidRPr="00AF1EF3" w14:paraId="60884484" w14:textId="77777777" w:rsidTr="00B86F59">
        <w:trPr>
          <w:trHeight w:val="9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3D0B52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lastRenderedPageBreak/>
              <w:t>122</w:t>
            </w:r>
          </w:p>
        </w:tc>
        <w:tc>
          <w:tcPr>
            <w:tcW w:w="3735" w:type="dxa"/>
            <w:tcBorders>
              <w:top w:val="nil"/>
              <w:left w:val="nil"/>
              <w:bottom w:val="single" w:sz="4" w:space="0" w:color="auto"/>
              <w:right w:val="single" w:sz="4" w:space="0" w:color="auto"/>
            </w:tcBorders>
            <w:shd w:val="clear" w:color="auto" w:fill="auto"/>
            <w:vAlign w:val="center"/>
            <w:hideMark/>
          </w:tcPr>
          <w:p w14:paraId="48C3918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Center for Educational Quality Enhancement</w:t>
            </w:r>
          </w:p>
        </w:tc>
        <w:tc>
          <w:tcPr>
            <w:tcW w:w="5220" w:type="dxa"/>
            <w:tcBorders>
              <w:top w:val="nil"/>
              <w:left w:val="nil"/>
              <w:bottom w:val="single" w:sz="4" w:space="0" w:color="auto"/>
              <w:right w:val="single" w:sz="4" w:space="0" w:color="auto"/>
            </w:tcBorders>
            <w:shd w:val="clear" w:color="auto" w:fill="auto"/>
            <w:vAlign w:val="center"/>
            <w:hideMark/>
          </w:tcPr>
          <w:p w14:paraId="11B2F6DC"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Recognition of the Education Received Abroad</w:t>
            </w:r>
          </w:p>
        </w:tc>
        <w:tc>
          <w:tcPr>
            <w:tcW w:w="810" w:type="dxa"/>
            <w:tcBorders>
              <w:top w:val="nil"/>
              <w:left w:val="nil"/>
              <w:bottom w:val="single" w:sz="4" w:space="0" w:color="auto"/>
              <w:right w:val="single" w:sz="4" w:space="0" w:color="auto"/>
            </w:tcBorders>
            <w:shd w:val="clear" w:color="auto" w:fill="auto"/>
            <w:noWrap/>
            <w:vAlign w:val="center"/>
            <w:hideMark/>
          </w:tcPr>
          <w:p w14:paraId="19B5115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267120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72B145E"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AB9501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242321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6</w:t>
            </w:r>
          </w:p>
        </w:tc>
      </w:tr>
      <w:tr w:rsidR="00AF1EF3" w:rsidRPr="00AF1EF3" w14:paraId="0B01D8B2" w14:textId="77777777" w:rsidTr="00B86F59">
        <w:trPr>
          <w:trHeight w:val="9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6B96394"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123</w:t>
            </w:r>
          </w:p>
        </w:tc>
        <w:tc>
          <w:tcPr>
            <w:tcW w:w="3735" w:type="dxa"/>
            <w:tcBorders>
              <w:top w:val="nil"/>
              <w:left w:val="nil"/>
              <w:bottom w:val="single" w:sz="4" w:space="0" w:color="auto"/>
              <w:right w:val="single" w:sz="4" w:space="0" w:color="auto"/>
            </w:tcBorders>
            <w:shd w:val="clear" w:color="auto" w:fill="auto"/>
            <w:vAlign w:val="center"/>
            <w:hideMark/>
          </w:tcPr>
          <w:p w14:paraId="712E069F"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Center for Educational Quality Enhancement</w:t>
            </w:r>
          </w:p>
        </w:tc>
        <w:tc>
          <w:tcPr>
            <w:tcW w:w="5220" w:type="dxa"/>
            <w:tcBorders>
              <w:top w:val="nil"/>
              <w:left w:val="nil"/>
              <w:bottom w:val="single" w:sz="4" w:space="0" w:color="auto"/>
              <w:right w:val="single" w:sz="4" w:space="0" w:color="auto"/>
            </w:tcBorders>
            <w:shd w:val="clear" w:color="auto" w:fill="auto"/>
            <w:vAlign w:val="center"/>
            <w:hideMark/>
          </w:tcPr>
          <w:p w14:paraId="0DC0E425"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Book a visit to the National Center for Educational Quality Enhancement</w:t>
            </w:r>
          </w:p>
        </w:tc>
        <w:tc>
          <w:tcPr>
            <w:tcW w:w="810" w:type="dxa"/>
            <w:tcBorders>
              <w:top w:val="nil"/>
              <w:left w:val="nil"/>
              <w:bottom w:val="single" w:sz="4" w:space="0" w:color="auto"/>
              <w:right w:val="single" w:sz="4" w:space="0" w:color="auto"/>
            </w:tcBorders>
            <w:shd w:val="clear" w:color="auto" w:fill="auto"/>
            <w:noWrap/>
            <w:vAlign w:val="center"/>
            <w:hideMark/>
          </w:tcPr>
          <w:p w14:paraId="3BFD25F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9A5B23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4B1F69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A4EC5C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B05DD26" w14:textId="4D535BEA"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531</w:t>
            </w:r>
          </w:p>
        </w:tc>
      </w:tr>
      <w:tr w:rsidR="00AF1EF3" w:rsidRPr="00AF1EF3" w14:paraId="2145C8CE"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0E2C8A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124</w:t>
            </w:r>
          </w:p>
        </w:tc>
        <w:tc>
          <w:tcPr>
            <w:tcW w:w="3735" w:type="dxa"/>
            <w:tcBorders>
              <w:top w:val="nil"/>
              <w:left w:val="nil"/>
              <w:bottom w:val="single" w:sz="4" w:space="0" w:color="auto"/>
              <w:right w:val="single" w:sz="4" w:space="0" w:color="auto"/>
            </w:tcBorders>
            <w:shd w:val="clear" w:color="auto" w:fill="auto"/>
            <w:vAlign w:val="center"/>
            <w:hideMark/>
          </w:tcPr>
          <w:p w14:paraId="7737A984"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Notary Chamber of Georgia</w:t>
            </w:r>
          </w:p>
        </w:tc>
        <w:tc>
          <w:tcPr>
            <w:tcW w:w="5220" w:type="dxa"/>
            <w:tcBorders>
              <w:top w:val="nil"/>
              <w:left w:val="nil"/>
              <w:bottom w:val="single" w:sz="4" w:space="0" w:color="auto"/>
              <w:right w:val="single" w:sz="4" w:space="0" w:color="auto"/>
            </w:tcBorders>
            <w:shd w:val="clear" w:color="auto" w:fill="auto"/>
            <w:vAlign w:val="center"/>
            <w:hideMark/>
          </w:tcPr>
          <w:p w14:paraId="2D6F35C6"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Electronic Register of Notarial Actions</w:t>
            </w:r>
          </w:p>
        </w:tc>
        <w:tc>
          <w:tcPr>
            <w:tcW w:w="810" w:type="dxa"/>
            <w:tcBorders>
              <w:top w:val="nil"/>
              <w:left w:val="nil"/>
              <w:bottom w:val="single" w:sz="4" w:space="0" w:color="auto"/>
              <w:right w:val="single" w:sz="4" w:space="0" w:color="auto"/>
            </w:tcBorders>
            <w:shd w:val="clear" w:color="auto" w:fill="auto"/>
            <w:noWrap/>
            <w:vAlign w:val="center"/>
            <w:hideMark/>
          </w:tcPr>
          <w:p w14:paraId="1E6EBA7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8F4DA7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46D387C"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D1CA43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ED3E003" w14:textId="585EF113"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700</w:t>
            </w:r>
          </w:p>
        </w:tc>
      </w:tr>
      <w:tr w:rsidR="00AF1EF3" w:rsidRPr="00AF1EF3" w14:paraId="1E4D1B8A" w14:textId="77777777" w:rsidTr="00B86F59">
        <w:trPr>
          <w:trHeight w:val="6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D35481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125</w:t>
            </w:r>
          </w:p>
        </w:tc>
        <w:tc>
          <w:tcPr>
            <w:tcW w:w="3735" w:type="dxa"/>
            <w:tcBorders>
              <w:top w:val="nil"/>
              <w:left w:val="nil"/>
              <w:bottom w:val="single" w:sz="4" w:space="0" w:color="auto"/>
              <w:right w:val="single" w:sz="4" w:space="0" w:color="auto"/>
            </w:tcBorders>
            <w:shd w:val="clear" w:color="auto" w:fill="auto"/>
            <w:vAlign w:val="center"/>
            <w:hideMark/>
          </w:tcPr>
          <w:p w14:paraId="501BC8F0"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Notary Chamber of Georgia</w:t>
            </w:r>
          </w:p>
        </w:tc>
        <w:tc>
          <w:tcPr>
            <w:tcW w:w="5220" w:type="dxa"/>
            <w:tcBorders>
              <w:top w:val="nil"/>
              <w:left w:val="nil"/>
              <w:bottom w:val="single" w:sz="4" w:space="0" w:color="auto"/>
              <w:right w:val="single" w:sz="4" w:space="0" w:color="auto"/>
            </w:tcBorders>
            <w:shd w:val="clear" w:color="auto" w:fill="auto"/>
            <w:vAlign w:val="center"/>
            <w:hideMark/>
          </w:tcPr>
          <w:p w14:paraId="54F88191"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Inheritance Register</w:t>
            </w:r>
          </w:p>
        </w:tc>
        <w:tc>
          <w:tcPr>
            <w:tcW w:w="810" w:type="dxa"/>
            <w:tcBorders>
              <w:top w:val="nil"/>
              <w:left w:val="nil"/>
              <w:bottom w:val="single" w:sz="4" w:space="0" w:color="auto"/>
              <w:right w:val="single" w:sz="4" w:space="0" w:color="auto"/>
            </w:tcBorders>
            <w:shd w:val="clear" w:color="auto" w:fill="auto"/>
            <w:noWrap/>
            <w:vAlign w:val="center"/>
            <w:hideMark/>
          </w:tcPr>
          <w:p w14:paraId="5C8F847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8D9E5E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A55C7D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7E0D67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790EFD2" w14:textId="11F9FD12"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23</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537</w:t>
            </w:r>
          </w:p>
        </w:tc>
      </w:tr>
      <w:tr w:rsidR="00AF1EF3" w:rsidRPr="00AF1EF3" w14:paraId="12603AD5"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F26453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126</w:t>
            </w:r>
          </w:p>
        </w:tc>
        <w:tc>
          <w:tcPr>
            <w:tcW w:w="3735" w:type="dxa"/>
            <w:tcBorders>
              <w:top w:val="nil"/>
              <w:left w:val="nil"/>
              <w:bottom w:val="single" w:sz="4" w:space="0" w:color="auto"/>
              <w:right w:val="single" w:sz="4" w:space="0" w:color="auto"/>
            </w:tcBorders>
            <w:shd w:val="clear" w:color="auto" w:fill="auto"/>
            <w:vAlign w:val="center"/>
            <w:hideMark/>
          </w:tcPr>
          <w:p w14:paraId="4A3A1EC7"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National Archive</w:t>
            </w:r>
          </w:p>
        </w:tc>
        <w:tc>
          <w:tcPr>
            <w:tcW w:w="5220" w:type="dxa"/>
            <w:tcBorders>
              <w:top w:val="nil"/>
              <w:left w:val="nil"/>
              <w:bottom w:val="single" w:sz="4" w:space="0" w:color="auto"/>
              <w:right w:val="single" w:sz="4" w:space="0" w:color="auto"/>
            </w:tcBorders>
            <w:shd w:val="clear" w:color="auto" w:fill="auto"/>
            <w:vAlign w:val="center"/>
            <w:hideMark/>
          </w:tcPr>
          <w:p w14:paraId="32BBA34B"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National Archives of Georgia</w:t>
            </w:r>
          </w:p>
        </w:tc>
        <w:tc>
          <w:tcPr>
            <w:tcW w:w="810" w:type="dxa"/>
            <w:tcBorders>
              <w:top w:val="nil"/>
              <w:left w:val="nil"/>
              <w:bottom w:val="single" w:sz="4" w:space="0" w:color="auto"/>
              <w:right w:val="single" w:sz="4" w:space="0" w:color="auto"/>
            </w:tcBorders>
            <w:shd w:val="clear" w:color="auto" w:fill="auto"/>
            <w:noWrap/>
            <w:vAlign w:val="center"/>
            <w:hideMark/>
          </w:tcPr>
          <w:p w14:paraId="6374366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C581C8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B4B64B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662F20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CEBEFED" w14:textId="3E6E65F1"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37</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863</w:t>
            </w:r>
          </w:p>
        </w:tc>
      </w:tr>
      <w:tr w:rsidR="00AF1EF3" w:rsidRPr="00AF1EF3" w14:paraId="7FCA289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0BDA7CB"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127</w:t>
            </w:r>
          </w:p>
        </w:tc>
        <w:tc>
          <w:tcPr>
            <w:tcW w:w="3735" w:type="dxa"/>
            <w:tcBorders>
              <w:top w:val="nil"/>
              <w:left w:val="nil"/>
              <w:bottom w:val="single" w:sz="4" w:space="0" w:color="auto"/>
              <w:right w:val="single" w:sz="4" w:space="0" w:color="auto"/>
            </w:tcBorders>
            <w:shd w:val="clear" w:color="auto" w:fill="auto"/>
            <w:noWrap/>
            <w:vAlign w:val="center"/>
            <w:hideMark/>
          </w:tcPr>
          <w:p w14:paraId="56DAC2E1"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21730B0E"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Address Register</w:t>
            </w:r>
          </w:p>
        </w:tc>
        <w:tc>
          <w:tcPr>
            <w:tcW w:w="810" w:type="dxa"/>
            <w:tcBorders>
              <w:top w:val="nil"/>
              <w:left w:val="nil"/>
              <w:bottom w:val="single" w:sz="4" w:space="0" w:color="auto"/>
              <w:right w:val="single" w:sz="4" w:space="0" w:color="auto"/>
            </w:tcBorders>
            <w:shd w:val="clear" w:color="auto" w:fill="auto"/>
            <w:noWrap/>
            <w:vAlign w:val="center"/>
            <w:hideMark/>
          </w:tcPr>
          <w:p w14:paraId="557BDF5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C3402D9"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25DE41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7036AF2"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92A88A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271</w:t>
            </w:r>
          </w:p>
        </w:tc>
      </w:tr>
      <w:tr w:rsidR="00AF1EF3" w:rsidRPr="00AF1EF3" w14:paraId="4E448966"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985121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128</w:t>
            </w:r>
          </w:p>
        </w:tc>
        <w:tc>
          <w:tcPr>
            <w:tcW w:w="3735" w:type="dxa"/>
            <w:tcBorders>
              <w:top w:val="nil"/>
              <w:left w:val="nil"/>
              <w:bottom w:val="single" w:sz="4" w:space="0" w:color="auto"/>
              <w:right w:val="single" w:sz="4" w:space="0" w:color="auto"/>
            </w:tcBorders>
            <w:shd w:val="clear" w:color="auto" w:fill="auto"/>
            <w:noWrap/>
            <w:vAlign w:val="center"/>
            <w:hideMark/>
          </w:tcPr>
          <w:p w14:paraId="5113A3FE"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Agency of Public Registry  </w:t>
            </w:r>
          </w:p>
        </w:tc>
        <w:tc>
          <w:tcPr>
            <w:tcW w:w="5220" w:type="dxa"/>
            <w:tcBorders>
              <w:top w:val="nil"/>
              <w:left w:val="nil"/>
              <w:bottom w:val="single" w:sz="4" w:space="0" w:color="auto"/>
              <w:right w:val="single" w:sz="4" w:space="0" w:color="auto"/>
            </w:tcBorders>
            <w:shd w:val="clear" w:color="auto" w:fill="auto"/>
            <w:vAlign w:val="center"/>
            <w:hideMark/>
          </w:tcPr>
          <w:p w14:paraId="7987247B"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Delivery of documents</w:t>
            </w:r>
          </w:p>
        </w:tc>
        <w:tc>
          <w:tcPr>
            <w:tcW w:w="810" w:type="dxa"/>
            <w:tcBorders>
              <w:top w:val="nil"/>
              <w:left w:val="nil"/>
              <w:bottom w:val="single" w:sz="4" w:space="0" w:color="auto"/>
              <w:right w:val="single" w:sz="4" w:space="0" w:color="auto"/>
            </w:tcBorders>
            <w:shd w:val="clear" w:color="auto" w:fill="auto"/>
            <w:noWrap/>
            <w:vAlign w:val="center"/>
            <w:hideMark/>
          </w:tcPr>
          <w:p w14:paraId="508F816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2C6392C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303822A"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8A547DF"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C2FBD9" w14:textId="2C49B68E"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715</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498</w:t>
            </w:r>
          </w:p>
        </w:tc>
      </w:tr>
      <w:tr w:rsidR="00AF1EF3" w:rsidRPr="00AF1EF3" w14:paraId="449B92DC"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657F88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129</w:t>
            </w:r>
          </w:p>
        </w:tc>
        <w:tc>
          <w:tcPr>
            <w:tcW w:w="3735" w:type="dxa"/>
            <w:tcBorders>
              <w:top w:val="nil"/>
              <w:left w:val="nil"/>
              <w:bottom w:val="single" w:sz="4" w:space="0" w:color="auto"/>
              <w:right w:val="single" w:sz="4" w:space="0" w:color="auto"/>
            </w:tcBorders>
            <w:shd w:val="clear" w:color="auto" w:fill="auto"/>
            <w:noWrap/>
            <w:vAlign w:val="center"/>
            <w:hideMark/>
          </w:tcPr>
          <w:p w14:paraId="67E63127"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PSDA</w:t>
            </w:r>
          </w:p>
        </w:tc>
        <w:tc>
          <w:tcPr>
            <w:tcW w:w="5220" w:type="dxa"/>
            <w:tcBorders>
              <w:top w:val="nil"/>
              <w:left w:val="nil"/>
              <w:bottom w:val="single" w:sz="4" w:space="0" w:color="auto"/>
              <w:right w:val="single" w:sz="4" w:space="0" w:color="auto"/>
            </w:tcBorders>
            <w:shd w:val="clear" w:color="auto" w:fill="auto"/>
            <w:vAlign w:val="center"/>
            <w:hideMark/>
          </w:tcPr>
          <w:p w14:paraId="04F88468"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Delivery of documents</w:t>
            </w:r>
          </w:p>
        </w:tc>
        <w:tc>
          <w:tcPr>
            <w:tcW w:w="810" w:type="dxa"/>
            <w:tcBorders>
              <w:top w:val="nil"/>
              <w:left w:val="nil"/>
              <w:bottom w:val="single" w:sz="4" w:space="0" w:color="auto"/>
              <w:right w:val="single" w:sz="4" w:space="0" w:color="auto"/>
            </w:tcBorders>
            <w:shd w:val="clear" w:color="auto" w:fill="auto"/>
            <w:noWrap/>
            <w:vAlign w:val="center"/>
            <w:hideMark/>
          </w:tcPr>
          <w:p w14:paraId="4CFC3816"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3008793"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465DD53D"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8CA5FE7"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vMerge/>
            <w:tcBorders>
              <w:top w:val="nil"/>
              <w:left w:val="single" w:sz="4" w:space="0" w:color="auto"/>
              <w:bottom w:val="single" w:sz="4" w:space="0" w:color="auto"/>
              <w:right w:val="single" w:sz="4" w:space="0" w:color="auto"/>
            </w:tcBorders>
            <w:vAlign w:val="center"/>
            <w:hideMark/>
          </w:tcPr>
          <w:p w14:paraId="26CDEA20" w14:textId="77777777" w:rsidR="00AF1EF3" w:rsidRPr="00AF1EF3" w:rsidRDefault="00AF1EF3" w:rsidP="00AF1EF3">
            <w:pPr>
              <w:rPr>
                <w:rFonts w:ascii="Arial" w:eastAsia="Times New Roman" w:hAnsi="Arial" w:cs="Arial"/>
                <w:color w:val="000000"/>
                <w:sz w:val="20"/>
                <w:szCs w:val="20"/>
              </w:rPr>
            </w:pPr>
          </w:p>
        </w:tc>
      </w:tr>
      <w:tr w:rsidR="00AF1EF3" w:rsidRPr="00AF1EF3" w14:paraId="157AC7D8"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F5DD578"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130</w:t>
            </w:r>
          </w:p>
        </w:tc>
        <w:tc>
          <w:tcPr>
            <w:tcW w:w="3735" w:type="dxa"/>
            <w:tcBorders>
              <w:top w:val="nil"/>
              <w:left w:val="nil"/>
              <w:bottom w:val="single" w:sz="4" w:space="0" w:color="auto"/>
              <w:right w:val="single" w:sz="4" w:space="0" w:color="auto"/>
            </w:tcBorders>
            <w:shd w:val="clear" w:color="auto" w:fill="auto"/>
            <w:noWrap/>
            <w:vAlign w:val="center"/>
            <w:hideMark/>
          </w:tcPr>
          <w:p w14:paraId="6DD3245F"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Community Centers</w:t>
            </w:r>
          </w:p>
        </w:tc>
        <w:tc>
          <w:tcPr>
            <w:tcW w:w="5220" w:type="dxa"/>
            <w:tcBorders>
              <w:top w:val="nil"/>
              <w:left w:val="nil"/>
              <w:bottom w:val="single" w:sz="4" w:space="0" w:color="auto"/>
              <w:right w:val="single" w:sz="4" w:space="0" w:color="auto"/>
            </w:tcBorders>
            <w:shd w:val="clear" w:color="auto" w:fill="auto"/>
            <w:vAlign w:val="center"/>
            <w:hideMark/>
          </w:tcPr>
          <w:p w14:paraId="5827512A"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7618D73"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747C62C5"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2E6124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F58319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5735B19" w14:textId="22ED1D8F"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136</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827</w:t>
            </w:r>
          </w:p>
        </w:tc>
      </w:tr>
      <w:tr w:rsidR="00AF1EF3" w:rsidRPr="00AF1EF3" w14:paraId="5E9CB56F"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2516351"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131</w:t>
            </w:r>
          </w:p>
        </w:tc>
        <w:tc>
          <w:tcPr>
            <w:tcW w:w="3735" w:type="dxa"/>
            <w:tcBorders>
              <w:top w:val="nil"/>
              <w:left w:val="nil"/>
              <w:bottom w:val="single" w:sz="4" w:space="0" w:color="auto"/>
              <w:right w:val="single" w:sz="4" w:space="0" w:color="auto"/>
            </w:tcBorders>
            <w:shd w:val="clear" w:color="auto" w:fill="auto"/>
            <w:noWrap/>
            <w:vAlign w:val="center"/>
            <w:hideMark/>
          </w:tcPr>
          <w:p w14:paraId="275BD69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Public Service Hall</w:t>
            </w:r>
          </w:p>
        </w:tc>
        <w:tc>
          <w:tcPr>
            <w:tcW w:w="5220" w:type="dxa"/>
            <w:tcBorders>
              <w:top w:val="nil"/>
              <w:left w:val="nil"/>
              <w:bottom w:val="single" w:sz="4" w:space="0" w:color="auto"/>
              <w:right w:val="single" w:sz="4" w:space="0" w:color="auto"/>
            </w:tcBorders>
            <w:shd w:val="clear" w:color="auto" w:fill="auto"/>
            <w:vAlign w:val="center"/>
            <w:hideMark/>
          </w:tcPr>
          <w:p w14:paraId="09445997"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E2DBD90"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5BCE10A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B60F018"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0E7890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7FE5B8" w14:textId="28EEDBE1"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957</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206</w:t>
            </w:r>
          </w:p>
        </w:tc>
      </w:tr>
      <w:tr w:rsidR="00AF1EF3" w:rsidRPr="00AF1EF3" w14:paraId="462B4DB3"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CE94B40"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132</w:t>
            </w:r>
          </w:p>
        </w:tc>
        <w:tc>
          <w:tcPr>
            <w:tcW w:w="3735" w:type="dxa"/>
            <w:tcBorders>
              <w:top w:val="nil"/>
              <w:left w:val="nil"/>
              <w:bottom w:val="single" w:sz="4" w:space="0" w:color="auto"/>
              <w:right w:val="single" w:sz="4" w:space="0" w:color="auto"/>
            </w:tcBorders>
            <w:shd w:val="clear" w:color="auto" w:fill="auto"/>
            <w:noWrap/>
            <w:vAlign w:val="center"/>
            <w:hideMark/>
          </w:tcPr>
          <w:p w14:paraId="5CF8AD9D"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xml:space="preserve">National Bureau of Enforcement </w:t>
            </w:r>
          </w:p>
        </w:tc>
        <w:tc>
          <w:tcPr>
            <w:tcW w:w="5220" w:type="dxa"/>
            <w:tcBorders>
              <w:top w:val="nil"/>
              <w:left w:val="nil"/>
              <w:bottom w:val="single" w:sz="4" w:space="0" w:color="auto"/>
              <w:right w:val="single" w:sz="4" w:space="0" w:color="auto"/>
            </w:tcBorders>
            <w:shd w:val="clear" w:color="auto" w:fill="auto"/>
            <w:vAlign w:val="center"/>
            <w:hideMark/>
          </w:tcPr>
          <w:p w14:paraId="4B29584B"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C2D238B"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3AB94D5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71D98F4C"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25B3E63"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vMerge/>
            <w:tcBorders>
              <w:top w:val="nil"/>
              <w:left w:val="single" w:sz="4" w:space="0" w:color="auto"/>
              <w:bottom w:val="single" w:sz="4" w:space="0" w:color="auto"/>
              <w:right w:val="single" w:sz="4" w:space="0" w:color="auto"/>
            </w:tcBorders>
            <w:vAlign w:val="center"/>
            <w:hideMark/>
          </w:tcPr>
          <w:p w14:paraId="41752578" w14:textId="77777777" w:rsidR="00AF1EF3" w:rsidRPr="00AF1EF3" w:rsidRDefault="00AF1EF3" w:rsidP="00AF1EF3">
            <w:pPr>
              <w:rPr>
                <w:rFonts w:ascii="Arial" w:eastAsia="Times New Roman" w:hAnsi="Arial" w:cs="Arial"/>
                <w:color w:val="000000"/>
                <w:sz w:val="20"/>
                <w:szCs w:val="20"/>
              </w:rPr>
            </w:pPr>
          </w:p>
        </w:tc>
      </w:tr>
      <w:tr w:rsidR="00AF1EF3" w:rsidRPr="00AF1EF3" w14:paraId="4A5F1AFD" w14:textId="77777777" w:rsidTr="00B86F59">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650B575" w14:textId="7777777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133</w:t>
            </w:r>
          </w:p>
        </w:tc>
        <w:tc>
          <w:tcPr>
            <w:tcW w:w="3735" w:type="dxa"/>
            <w:tcBorders>
              <w:top w:val="nil"/>
              <w:left w:val="nil"/>
              <w:bottom w:val="single" w:sz="4" w:space="0" w:color="auto"/>
              <w:right w:val="single" w:sz="4" w:space="0" w:color="auto"/>
            </w:tcBorders>
            <w:shd w:val="clear" w:color="auto" w:fill="auto"/>
            <w:noWrap/>
            <w:vAlign w:val="center"/>
            <w:hideMark/>
          </w:tcPr>
          <w:p w14:paraId="614DEC6B" w14:textId="77777777" w:rsidR="00AF1EF3" w:rsidRPr="00AF1EF3" w:rsidRDefault="00AF1EF3" w:rsidP="00AF1EF3">
            <w:pPr>
              <w:rPr>
                <w:rFonts w:ascii="Arial" w:eastAsia="Times New Roman" w:hAnsi="Arial" w:cs="Arial"/>
                <w:color w:val="000000"/>
                <w:sz w:val="20"/>
                <w:szCs w:val="20"/>
              </w:rPr>
            </w:pPr>
            <w:proofErr w:type="spellStart"/>
            <w:r w:rsidRPr="00AF1EF3">
              <w:rPr>
                <w:rFonts w:ascii="Arial" w:eastAsia="Times New Roman" w:hAnsi="Arial" w:cs="Arial"/>
                <w:color w:val="000000"/>
                <w:sz w:val="20"/>
                <w:szCs w:val="20"/>
              </w:rPr>
              <w:t>Magti</w:t>
            </w:r>
            <w:proofErr w:type="spellEnd"/>
          </w:p>
        </w:tc>
        <w:tc>
          <w:tcPr>
            <w:tcW w:w="5220" w:type="dxa"/>
            <w:tcBorders>
              <w:top w:val="nil"/>
              <w:left w:val="nil"/>
              <w:bottom w:val="single" w:sz="4" w:space="0" w:color="auto"/>
              <w:right w:val="single" w:sz="4" w:space="0" w:color="auto"/>
            </w:tcBorders>
            <w:shd w:val="clear" w:color="auto" w:fill="auto"/>
            <w:vAlign w:val="center"/>
            <w:hideMark/>
          </w:tcPr>
          <w:p w14:paraId="0573B771" w14:textId="77777777" w:rsidR="00AF1EF3" w:rsidRPr="00AF1EF3" w:rsidRDefault="00AF1EF3" w:rsidP="00AF1EF3">
            <w:pPr>
              <w:rPr>
                <w:rFonts w:ascii="Arial" w:eastAsia="Times New Roman" w:hAnsi="Arial" w:cs="Arial"/>
                <w:sz w:val="20"/>
                <w:szCs w:val="20"/>
              </w:rPr>
            </w:pPr>
            <w:r w:rsidRPr="00AF1EF3">
              <w:rPr>
                <w:rFonts w:ascii="Arial" w:eastAsia="Times New Roman" w:hAnsi="Arial" w:cs="Arial"/>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4351131D"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185707B2"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5DCEE811"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5A9BB0D" w14:textId="77777777" w:rsidR="00AF1EF3" w:rsidRPr="00AF1EF3" w:rsidRDefault="00AF1EF3" w:rsidP="00AF1EF3">
            <w:pPr>
              <w:rPr>
                <w:rFonts w:ascii="Arial" w:eastAsia="Times New Roman" w:hAnsi="Arial" w:cs="Arial"/>
                <w:color w:val="000000"/>
                <w:sz w:val="20"/>
                <w:szCs w:val="20"/>
              </w:rPr>
            </w:pPr>
            <w:r w:rsidRPr="00AF1EF3">
              <w:rPr>
                <w:rFonts w:ascii="Arial" w:eastAsia="Times New Roman" w:hAnsi="Arial"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B79CA9F" w14:textId="6E760527" w:rsidR="00AF1EF3" w:rsidRPr="00AF1EF3" w:rsidRDefault="00AF1EF3" w:rsidP="00AF1EF3">
            <w:pPr>
              <w:jc w:val="center"/>
              <w:rPr>
                <w:rFonts w:ascii="Arial" w:eastAsia="Times New Roman" w:hAnsi="Arial" w:cs="Arial"/>
                <w:color w:val="000000"/>
                <w:sz w:val="20"/>
                <w:szCs w:val="20"/>
              </w:rPr>
            </w:pPr>
            <w:r w:rsidRPr="00AF1EF3">
              <w:rPr>
                <w:rFonts w:ascii="Arial" w:eastAsia="Times New Roman" w:hAnsi="Arial" w:cs="Arial"/>
                <w:color w:val="000000"/>
                <w:sz w:val="20"/>
                <w:szCs w:val="20"/>
              </w:rPr>
              <w:t>5</w:t>
            </w:r>
            <w:r w:rsidR="00B86F59">
              <w:rPr>
                <w:rFonts w:ascii="Arial" w:eastAsia="Times New Roman" w:hAnsi="Arial" w:cs="Arial"/>
                <w:color w:val="000000"/>
                <w:sz w:val="20"/>
                <w:szCs w:val="20"/>
              </w:rPr>
              <w:t>,</w:t>
            </w:r>
            <w:r w:rsidRPr="00AF1EF3">
              <w:rPr>
                <w:rFonts w:ascii="Arial" w:eastAsia="Times New Roman" w:hAnsi="Arial" w:cs="Arial"/>
                <w:color w:val="000000"/>
                <w:sz w:val="20"/>
                <w:szCs w:val="20"/>
              </w:rPr>
              <w:t>569</w:t>
            </w:r>
          </w:p>
        </w:tc>
      </w:tr>
    </w:tbl>
    <w:p w14:paraId="0544CCAE" w14:textId="77777777" w:rsidR="00AF1EF3" w:rsidRPr="00AF1EF3" w:rsidRDefault="00AF1EF3" w:rsidP="00AF1EF3"/>
    <w:p w14:paraId="53CBB279" w14:textId="77777777" w:rsidR="00AF1EF3" w:rsidRPr="00CB28F6" w:rsidRDefault="00AF1EF3" w:rsidP="00812932">
      <w:pPr>
        <w:jc w:val="center"/>
        <w:rPr>
          <w:rFonts w:ascii="Lora" w:hAnsi="Lora" w:cs="Arial"/>
          <w:sz w:val="22"/>
          <w:szCs w:val="22"/>
          <w:lang w:val="en-GB"/>
        </w:rPr>
      </w:pPr>
    </w:p>
    <w:p w14:paraId="522759E7" w14:textId="77777777" w:rsidR="00812932" w:rsidRDefault="00812932" w:rsidP="00B943FD">
      <w:pPr>
        <w:sectPr w:rsidR="00812932" w:rsidSect="0075164F">
          <w:headerReference w:type="even" r:id="rId27"/>
          <w:headerReference w:type="default" r:id="rId28"/>
          <w:footerReference w:type="even" r:id="rId29"/>
          <w:footerReference w:type="default" r:id="rId30"/>
          <w:pgSz w:w="16840" w:h="11910" w:orient="landscape"/>
          <w:pgMar w:top="1080" w:right="1080" w:bottom="1080" w:left="1080" w:header="720" w:footer="720" w:gutter="0"/>
          <w:cols w:space="720" w:equalWidth="0">
            <w:col w:w="14840"/>
          </w:cols>
          <w:noEndnote/>
        </w:sectPr>
      </w:pPr>
    </w:p>
    <w:p w14:paraId="4B31F1D3" w14:textId="01953BBB" w:rsidR="00F0269B" w:rsidRDefault="00B670BD" w:rsidP="00FE2D51">
      <w:pPr>
        <w:pStyle w:val="Heading1"/>
      </w:pPr>
      <w:bookmarkStart w:id="62" w:name="_Toc478138894"/>
      <w:r>
        <w:lastRenderedPageBreak/>
        <w:t>Annex M</w:t>
      </w:r>
      <w:r w:rsidR="00802807">
        <w:t>:</w:t>
      </w:r>
      <w:r w:rsidR="00802807">
        <w:tab/>
      </w:r>
      <w:r w:rsidR="00EF01FF">
        <w:t>Budget Performance by Outcome, by Year and Totals</w:t>
      </w:r>
      <w:bookmarkEnd w:id="62"/>
    </w:p>
    <w:p w14:paraId="705F4C35" w14:textId="77777777" w:rsidR="004769F4" w:rsidRDefault="004769F4" w:rsidP="00FE2D51"/>
    <w:p w14:paraId="12FB8152" w14:textId="33453F30" w:rsidR="004769F4" w:rsidRPr="0011457C" w:rsidRDefault="0011457C" w:rsidP="00FE2D51">
      <w:pPr>
        <w:rPr>
          <w:rFonts w:ascii="Arial" w:hAnsi="Arial" w:cs="Arial"/>
          <w:i/>
          <w:sz w:val="22"/>
          <w:szCs w:val="22"/>
        </w:rPr>
      </w:pPr>
      <w:r>
        <w:rPr>
          <w:rFonts w:ascii="Arial" w:hAnsi="Arial" w:cs="Arial"/>
          <w:i/>
          <w:sz w:val="22"/>
          <w:szCs w:val="22"/>
        </w:rPr>
        <w:t>As of 31 December 2020</w:t>
      </w:r>
    </w:p>
    <w:tbl>
      <w:tblPr>
        <w:tblW w:w="0" w:type="auto"/>
        <w:tblLook w:val="04A0" w:firstRow="1" w:lastRow="0" w:firstColumn="1" w:lastColumn="0" w:noHBand="0" w:noVBand="1"/>
      </w:tblPr>
      <w:tblGrid>
        <w:gridCol w:w="3463"/>
        <w:gridCol w:w="970"/>
        <w:gridCol w:w="956"/>
        <w:gridCol w:w="986"/>
        <w:gridCol w:w="756"/>
        <w:gridCol w:w="1037"/>
        <w:gridCol w:w="1119"/>
        <w:gridCol w:w="970"/>
        <w:gridCol w:w="756"/>
        <w:gridCol w:w="1037"/>
        <w:gridCol w:w="1116"/>
        <w:gridCol w:w="986"/>
        <w:gridCol w:w="744"/>
      </w:tblGrid>
      <w:tr w:rsidR="004769F4" w:rsidRPr="007A7F0F" w14:paraId="0DE8174D" w14:textId="77777777" w:rsidTr="00AF1EF3">
        <w:trPr>
          <w:trHeight w:val="20"/>
        </w:trPr>
        <w:tc>
          <w:tcPr>
            <w:tcW w:w="0" w:type="auto"/>
            <w:tcBorders>
              <w:top w:val="single" w:sz="4" w:space="0" w:color="auto"/>
              <w:left w:val="single" w:sz="4" w:space="0" w:color="auto"/>
              <w:bottom w:val="single" w:sz="4" w:space="0" w:color="auto"/>
              <w:right w:val="nil"/>
            </w:tcBorders>
            <w:shd w:val="clear" w:color="000000" w:fill="808080"/>
            <w:noWrap/>
            <w:vAlign w:val="bottom"/>
            <w:hideMark/>
          </w:tcPr>
          <w:p w14:paraId="5E89C4D6" w14:textId="77777777" w:rsidR="004769F4" w:rsidRPr="006A4324" w:rsidRDefault="004769F4" w:rsidP="00AF1EF3">
            <w:pPr>
              <w:rPr>
                <w:rFonts w:ascii="Calibri" w:eastAsia="Times New Roman" w:hAnsi="Calibri" w:cs="Calibri"/>
                <w:noProof/>
                <w:color w:val="FFFFFF"/>
                <w:sz w:val="12"/>
                <w:szCs w:val="12"/>
                <w:lang w:eastAsia="ru-RU"/>
              </w:rPr>
            </w:pPr>
            <w:r w:rsidRPr="006A4324">
              <w:rPr>
                <w:rFonts w:ascii="Calibri" w:eastAsia="Times New Roman" w:hAnsi="Calibri" w:cs="Calibri"/>
                <w:noProof/>
                <w:color w:val="FFFFFF"/>
                <w:sz w:val="12"/>
                <w:szCs w:val="12"/>
                <w:lang w:eastAsia="ru-RU"/>
              </w:rPr>
              <w:t> </w:t>
            </w:r>
          </w:p>
        </w:tc>
        <w:tc>
          <w:tcPr>
            <w:tcW w:w="0" w:type="auto"/>
            <w:gridSpan w:val="3"/>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66512E31"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2016 (July - December)</w:t>
            </w:r>
          </w:p>
        </w:tc>
        <w:tc>
          <w:tcPr>
            <w:tcW w:w="0" w:type="auto"/>
            <w:tcBorders>
              <w:top w:val="single" w:sz="8" w:space="0" w:color="auto"/>
              <w:left w:val="nil"/>
              <w:bottom w:val="single" w:sz="4" w:space="0" w:color="auto"/>
              <w:right w:val="single" w:sz="8" w:space="0" w:color="auto"/>
            </w:tcBorders>
            <w:shd w:val="clear" w:color="000000" w:fill="808080"/>
            <w:noWrap/>
            <w:vAlign w:val="bottom"/>
            <w:hideMark/>
          </w:tcPr>
          <w:p w14:paraId="5365EF95"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w:t>
            </w:r>
          </w:p>
        </w:tc>
        <w:tc>
          <w:tcPr>
            <w:tcW w:w="0" w:type="auto"/>
            <w:gridSpan w:val="4"/>
            <w:tcBorders>
              <w:top w:val="single" w:sz="8" w:space="0" w:color="auto"/>
              <w:left w:val="nil"/>
              <w:bottom w:val="single" w:sz="4" w:space="0" w:color="auto"/>
              <w:right w:val="single" w:sz="8" w:space="0" w:color="000000"/>
            </w:tcBorders>
            <w:shd w:val="clear" w:color="000000" w:fill="808080"/>
            <w:noWrap/>
            <w:vAlign w:val="bottom"/>
            <w:hideMark/>
          </w:tcPr>
          <w:p w14:paraId="08A5028C"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2017</w:t>
            </w:r>
          </w:p>
        </w:tc>
        <w:tc>
          <w:tcPr>
            <w:tcW w:w="0" w:type="auto"/>
            <w:gridSpan w:val="4"/>
            <w:tcBorders>
              <w:top w:val="single" w:sz="8" w:space="0" w:color="auto"/>
              <w:left w:val="nil"/>
              <w:bottom w:val="single" w:sz="4" w:space="0" w:color="auto"/>
              <w:right w:val="single" w:sz="8" w:space="0" w:color="000000"/>
            </w:tcBorders>
            <w:shd w:val="clear" w:color="000000" w:fill="808080"/>
            <w:noWrap/>
            <w:vAlign w:val="bottom"/>
            <w:hideMark/>
          </w:tcPr>
          <w:p w14:paraId="3D5F590D"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2018</w:t>
            </w:r>
          </w:p>
        </w:tc>
      </w:tr>
      <w:tr w:rsidR="004769F4" w:rsidRPr="007A7F0F" w14:paraId="4EE07619" w14:textId="77777777" w:rsidTr="00AF1EF3">
        <w:trPr>
          <w:trHeight w:val="20"/>
        </w:trPr>
        <w:tc>
          <w:tcPr>
            <w:tcW w:w="0" w:type="auto"/>
            <w:tcBorders>
              <w:top w:val="nil"/>
              <w:left w:val="single" w:sz="4" w:space="0" w:color="auto"/>
              <w:bottom w:val="single" w:sz="4" w:space="0" w:color="auto"/>
              <w:right w:val="nil"/>
            </w:tcBorders>
            <w:shd w:val="clear" w:color="000000" w:fill="808080"/>
            <w:noWrap/>
            <w:vAlign w:val="bottom"/>
            <w:hideMark/>
          </w:tcPr>
          <w:p w14:paraId="1BD294B4" w14:textId="77777777" w:rsidR="004769F4" w:rsidRPr="006A4324" w:rsidRDefault="004769F4" w:rsidP="00AF1EF3">
            <w:pPr>
              <w:rPr>
                <w:rFonts w:ascii="Calibri" w:eastAsia="Times New Roman" w:hAnsi="Calibri" w:cs="Calibri"/>
                <w:noProof/>
                <w:color w:val="FFFFFF"/>
                <w:sz w:val="12"/>
                <w:szCs w:val="12"/>
                <w:lang w:eastAsia="ru-RU"/>
              </w:rPr>
            </w:pPr>
            <w:r w:rsidRPr="006A4324">
              <w:rPr>
                <w:rFonts w:ascii="Calibri" w:eastAsia="Times New Roman" w:hAnsi="Calibri" w:cs="Calibri"/>
                <w:noProof/>
                <w:color w:val="FFFFFF"/>
                <w:sz w:val="12"/>
                <w:szCs w:val="12"/>
                <w:lang w:eastAsia="ru-RU"/>
              </w:rPr>
              <w:t> </w:t>
            </w:r>
          </w:p>
        </w:tc>
        <w:tc>
          <w:tcPr>
            <w:tcW w:w="0" w:type="auto"/>
            <w:tcBorders>
              <w:top w:val="nil"/>
              <w:left w:val="single" w:sz="8" w:space="0" w:color="auto"/>
              <w:bottom w:val="single" w:sz="4" w:space="0" w:color="auto"/>
              <w:right w:val="single" w:sz="4" w:space="0" w:color="auto"/>
            </w:tcBorders>
            <w:shd w:val="clear" w:color="000000" w:fill="808080"/>
            <w:vAlign w:val="center"/>
            <w:hideMark/>
          </w:tcPr>
          <w:p w14:paraId="789F8BEA"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Planned budget </w:t>
            </w:r>
          </w:p>
        </w:tc>
        <w:tc>
          <w:tcPr>
            <w:tcW w:w="0" w:type="auto"/>
            <w:tcBorders>
              <w:top w:val="nil"/>
              <w:left w:val="nil"/>
              <w:bottom w:val="single" w:sz="4" w:space="0" w:color="auto"/>
              <w:right w:val="single" w:sz="4" w:space="0" w:color="auto"/>
            </w:tcBorders>
            <w:shd w:val="clear" w:color="000000" w:fill="808080"/>
            <w:vAlign w:val="center"/>
            <w:hideMark/>
          </w:tcPr>
          <w:p w14:paraId="1BC777A3"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Expenditure </w:t>
            </w:r>
          </w:p>
        </w:tc>
        <w:tc>
          <w:tcPr>
            <w:tcW w:w="0" w:type="auto"/>
            <w:tcBorders>
              <w:top w:val="nil"/>
              <w:left w:val="nil"/>
              <w:bottom w:val="single" w:sz="4" w:space="0" w:color="auto"/>
              <w:right w:val="single" w:sz="4" w:space="0" w:color="auto"/>
            </w:tcBorders>
            <w:shd w:val="clear" w:color="000000" w:fill="808080"/>
            <w:vAlign w:val="center"/>
            <w:hideMark/>
          </w:tcPr>
          <w:p w14:paraId="4E4563C8"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Balance </w:t>
            </w:r>
          </w:p>
        </w:tc>
        <w:tc>
          <w:tcPr>
            <w:tcW w:w="0" w:type="auto"/>
            <w:tcBorders>
              <w:top w:val="nil"/>
              <w:left w:val="nil"/>
              <w:bottom w:val="single" w:sz="4" w:space="0" w:color="auto"/>
              <w:right w:val="single" w:sz="8" w:space="0" w:color="auto"/>
            </w:tcBorders>
            <w:shd w:val="clear" w:color="000000" w:fill="808080"/>
            <w:vAlign w:val="center"/>
            <w:hideMark/>
          </w:tcPr>
          <w:p w14:paraId="5711D901"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Execution Rate </w:t>
            </w:r>
          </w:p>
        </w:tc>
        <w:tc>
          <w:tcPr>
            <w:tcW w:w="0" w:type="auto"/>
            <w:tcBorders>
              <w:top w:val="nil"/>
              <w:left w:val="nil"/>
              <w:bottom w:val="single" w:sz="4" w:space="0" w:color="auto"/>
              <w:right w:val="single" w:sz="4" w:space="0" w:color="auto"/>
            </w:tcBorders>
            <w:shd w:val="clear" w:color="000000" w:fill="808080"/>
            <w:vAlign w:val="center"/>
            <w:hideMark/>
          </w:tcPr>
          <w:p w14:paraId="62BEE409"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Planned budget </w:t>
            </w:r>
          </w:p>
        </w:tc>
        <w:tc>
          <w:tcPr>
            <w:tcW w:w="0" w:type="auto"/>
            <w:tcBorders>
              <w:top w:val="nil"/>
              <w:left w:val="nil"/>
              <w:bottom w:val="single" w:sz="4" w:space="0" w:color="auto"/>
              <w:right w:val="single" w:sz="4" w:space="0" w:color="auto"/>
            </w:tcBorders>
            <w:shd w:val="clear" w:color="000000" w:fill="808080"/>
            <w:vAlign w:val="center"/>
            <w:hideMark/>
          </w:tcPr>
          <w:p w14:paraId="503F23F5"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Expenditure </w:t>
            </w:r>
          </w:p>
        </w:tc>
        <w:tc>
          <w:tcPr>
            <w:tcW w:w="0" w:type="auto"/>
            <w:tcBorders>
              <w:top w:val="nil"/>
              <w:left w:val="nil"/>
              <w:bottom w:val="single" w:sz="4" w:space="0" w:color="auto"/>
              <w:right w:val="single" w:sz="4" w:space="0" w:color="auto"/>
            </w:tcBorders>
            <w:shd w:val="clear" w:color="000000" w:fill="808080"/>
            <w:vAlign w:val="center"/>
            <w:hideMark/>
          </w:tcPr>
          <w:p w14:paraId="21533D0E"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Balance </w:t>
            </w:r>
          </w:p>
        </w:tc>
        <w:tc>
          <w:tcPr>
            <w:tcW w:w="0" w:type="auto"/>
            <w:tcBorders>
              <w:top w:val="nil"/>
              <w:left w:val="nil"/>
              <w:bottom w:val="single" w:sz="4" w:space="0" w:color="auto"/>
              <w:right w:val="single" w:sz="8" w:space="0" w:color="auto"/>
            </w:tcBorders>
            <w:shd w:val="clear" w:color="000000" w:fill="808080"/>
            <w:vAlign w:val="center"/>
            <w:hideMark/>
          </w:tcPr>
          <w:p w14:paraId="115A0DC4"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Execution Rate </w:t>
            </w:r>
          </w:p>
        </w:tc>
        <w:tc>
          <w:tcPr>
            <w:tcW w:w="0" w:type="auto"/>
            <w:tcBorders>
              <w:top w:val="nil"/>
              <w:left w:val="nil"/>
              <w:bottom w:val="single" w:sz="4" w:space="0" w:color="auto"/>
              <w:right w:val="single" w:sz="4" w:space="0" w:color="auto"/>
            </w:tcBorders>
            <w:shd w:val="clear" w:color="000000" w:fill="808080"/>
            <w:vAlign w:val="center"/>
            <w:hideMark/>
          </w:tcPr>
          <w:p w14:paraId="46CEDD36"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Planned budget </w:t>
            </w:r>
          </w:p>
        </w:tc>
        <w:tc>
          <w:tcPr>
            <w:tcW w:w="0" w:type="auto"/>
            <w:tcBorders>
              <w:top w:val="nil"/>
              <w:left w:val="nil"/>
              <w:bottom w:val="single" w:sz="4" w:space="0" w:color="auto"/>
              <w:right w:val="single" w:sz="4" w:space="0" w:color="auto"/>
            </w:tcBorders>
            <w:shd w:val="clear" w:color="000000" w:fill="808080"/>
            <w:vAlign w:val="center"/>
            <w:hideMark/>
          </w:tcPr>
          <w:p w14:paraId="090945A0"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Expenditure </w:t>
            </w:r>
          </w:p>
        </w:tc>
        <w:tc>
          <w:tcPr>
            <w:tcW w:w="0" w:type="auto"/>
            <w:tcBorders>
              <w:top w:val="nil"/>
              <w:left w:val="nil"/>
              <w:bottom w:val="single" w:sz="4" w:space="0" w:color="auto"/>
              <w:right w:val="single" w:sz="4" w:space="0" w:color="auto"/>
            </w:tcBorders>
            <w:shd w:val="clear" w:color="000000" w:fill="808080"/>
            <w:vAlign w:val="center"/>
            <w:hideMark/>
          </w:tcPr>
          <w:p w14:paraId="43C0B8E8"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Balance </w:t>
            </w:r>
          </w:p>
        </w:tc>
        <w:tc>
          <w:tcPr>
            <w:tcW w:w="0" w:type="auto"/>
            <w:tcBorders>
              <w:top w:val="nil"/>
              <w:left w:val="nil"/>
              <w:bottom w:val="single" w:sz="4" w:space="0" w:color="auto"/>
              <w:right w:val="single" w:sz="8" w:space="0" w:color="auto"/>
            </w:tcBorders>
            <w:shd w:val="clear" w:color="000000" w:fill="808080"/>
            <w:vAlign w:val="center"/>
            <w:hideMark/>
          </w:tcPr>
          <w:p w14:paraId="53827572" w14:textId="77777777" w:rsidR="004769F4" w:rsidRPr="006A4324" w:rsidRDefault="004769F4" w:rsidP="00AF1EF3">
            <w:pPr>
              <w:rPr>
                <w:rFonts w:ascii="Calibri" w:eastAsia="Times New Roman" w:hAnsi="Calibri" w:cs="Calibri"/>
                <w:noProof/>
                <w:color w:val="FFFFFF"/>
                <w:sz w:val="12"/>
                <w:szCs w:val="12"/>
                <w:lang w:eastAsia="ru-RU"/>
              </w:rPr>
            </w:pPr>
            <w:r w:rsidRPr="006A4324">
              <w:rPr>
                <w:rFonts w:ascii="Calibri" w:eastAsia="Times New Roman" w:hAnsi="Calibri" w:cs="Calibri"/>
                <w:noProof/>
                <w:color w:val="FFFFFF"/>
                <w:sz w:val="12"/>
                <w:szCs w:val="12"/>
                <w:lang w:eastAsia="ru-RU"/>
              </w:rPr>
              <w:t xml:space="preserve">Execution Rate </w:t>
            </w:r>
          </w:p>
        </w:tc>
      </w:tr>
      <w:tr w:rsidR="004769F4" w:rsidRPr="007A7F0F" w14:paraId="5E04F9B4" w14:textId="77777777" w:rsidTr="00AF1EF3">
        <w:trPr>
          <w:trHeight w:val="20"/>
        </w:trPr>
        <w:tc>
          <w:tcPr>
            <w:tcW w:w="0" w:type="auto"/>
            <w:tcBorders>
              <w:top w:val="nil"/>
              <w:left w:val="single" w:sz="4" w:space="0" w:color="auto"/>
              <w:bottom w:val="single" w:sz="4" w:space="0" w:color="auto"/>
              <w:right w:val="nil"/>
            </w:tcBorders>
            <w:shd w:val="clear" w:color="000000" w:fill="D9E1F2"/>
            <w:vAlign w:val="center"/>
            <w:hideMark/>
          </w:tcPr>
          <w:p w14:paraId="141F753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OUTPUT 1. AoG senior staff better prepared to effectively manage (plan and implement) Public Administration Reform as a holistic change management process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5DFF06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B15A4A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5BB98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11E9FFE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90A5AA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D4421B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9CF398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5DDF099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07F06D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436806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9E8095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45BC25D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19CB2FED"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7FEC629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Contractual Services-Companies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8FA39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3836BD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3CDC3D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47DFF98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674C71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906EB1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9769A1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7601529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BCB6C7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60BD40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ED244D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63A7072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172B41E3"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22FA642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Local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ADFEEF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BDFAE0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F235DC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1AD0F65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D87C5D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CBDBF9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66AFE2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61A6291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E8427C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17,500.00 </w:t>
            </w:r>
          </w:p>
        </w:tc>
        <w:tc>
          <w:tcPr>
            <w:tcW w:w="0" w:type="auto"/>
            <w:tcBorders>
              <w:top w:val="nil"/>
              <w:left w:val="nil"/>
              <w:bottom w:val="single" w:sz="4" w:space="0" w:color="auto"/>
              <w:right w:val="single" w:sz="4" w:space="0" w:color="auto"/>
            </w:tcBorders>
            <w:shd w:val="clear" w:color="auto" w:fill="auto"/>
            <w:noWrap/>
            <w:vAlign w:val="bottom"/>
            <w:hideMark/>
          </w:tcPr>
          <w:p w14:paraId="6EF7133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21,550.00 </w:t>
            </w:r>
          </w:p>
        </w:tc>
        <w:tc>
          <w:tcPr>
            <w:tcW w:w="0" w:type="auto"/>
            <w:tcBorders>
              <w:top w:val="nil"/>
              <w:left w:val="nil"/>
              <w:bottom w:val="single" w:sz="4" w:space="0" w:color="auto"/>
              <w:right w:val="single" w:sz="4" w:space="0" w:color="auto"/>
            </w:tcBorders>
            <w:shd w:val="clear" w:color="auto" w:fill="auto"/>
            <w:noWrap/>
            <w:vAlign w:val="bottom"/>
            <w:hideMark/>
          </w:tcPr>
          <w:p w14:paraId="17A95D4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(4,050.00)</w:t>
            </w:r>
          </w:p>
        </w:tc>
        <w:tc>
          <w:tcPr>
            <w:tcW w:w="0" w:type="auto"/>
            <w:tcBorders>
              <w:top w:val="nil"/>
              <w:left w:val="nil"/>
              <w:bottom w:val="single" w:sz="4" w:space="0" w:color="auto"/>
              <w:right w:val="single" w:sz="8" w:space="0" w:color="auto"/>
            </w:tcBorders>
            <w:shd w:val="clear" w:color="auto" w:fill="auto"/>
            <w:noWrap/>
            <w:vAlign w:val="bottom"/>
            <w:hideMark/>
          </w:tcPr>
          <w:p w14:paraId="576D4CE1"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123%</w:t>
            </w:r>
          </w:p>
        </w:tc>
      </w:tr>
      <w:tr w:rsidR="004769F4" w:rsidRPr="007A7F0F" w14:paraId="28D2137B"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718B556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International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957B27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15,000.00 </w:t>
            </w:r>
          </w:p>
        </w:tc>
        <w:tc>
          <w:tcPr>
            <w:tcW w:w="0" w:type="auto"/>
            <w:tcBorders>
              <w:top w:val="nil"/>
              <w:left w:val="nil"/>
              <w:bottom w:val="single" w:sz="4" w:space="0" w:color="auto"/>
              <w:right w:val="single" w:sz="4" w:space="0" w:color="auto"/>
            </w:tcBorders>
            <w:shd w:val="clear" w:color="auto" w:fill="auto"/>
            <w:noWrap/>
            <w:vAlign w:val="bottom"/>
            <w:hideMark/>
          </w:tcPr>
          <w:p w14:paraId="0465A67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22,646.40 </w:t>
            </w:r>
          </w:p>
        </w:tc>
        <w:tc>
          <w:tcPr>
            <w:tcW w:w="0" w:type="auto"/>
            <w:tcBorders>
              <w:top w:val="nil"/>
              <w:left w:val="nil"/>
              <w:bottom w:val="single" w:sz="4" w:space="0" w:color="auto"/>
              <w:right w:val="single" w:sz="4" w:space="0" w:color="auto"/>
            </w:tcBorders>
            <w:shd w:val="clear" w:color="auto" w:fill="auto"/>
            <w:noWrap/>
            <w:vAlign w:val="bottom"/>
            <w:hideMark/>
          </w:tcPr>
          <w:p w14:paraId="4AAF0D8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(7,646.40)</w:t>
            </w:r>
          </w:p>
        </w:tc>
        <w:tc>
          <w:tcPr>
            <w:tcW w:w="0" w:type="auto"/>
            <w:tcBorders>
              <w:top w:val="nil"/>
              <w:left w:val="nil"/>
              <w:bottom w:val="single" w:sz="4" w:space="0" w:color="auto"/>
              <w:right w:val="single" w:sz="8" w:space="0" w:color="auto"/>
            </w:tcBorders>
            <w:shd w:val="clear" w:color="auto" w:fill="auto"/>
            <w:noWrap/>
            <w:vAlign w:val="bottom"/>
            <w:hideMark/>
          </w:tcPr>
          <w:p w14:paraId="38A6AAA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6CEE258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35,000.00 </w:t>
            </w:r>
          </w:p>
        </w:tc>
        <w:tc>
          <w:tcPr>
            <w:tcW w:w="0" w:type="auto"/>
            <w:tcBorders>
              <w:top w:val="nil"/>
              <w:left w:val="nil"/>
              <w:bottom w:val="single" w:sz="4" w:space="0" w:color="auto"/>
              <w:right w:val="single" w:sz="4" w:space="0" w:color="auto"/>
            </w:tcBorders>
            <w:shd w:val="clear" w:color="auto" w:fill="auto"/>
            <w:noWrap/>
            <w:vAlign w:val="bottom"/>
            <w:hideMark/>
          </w:tcPr>
          <w:p w14:paraId="0723A4B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17,143.20 </w:t>
            </w:r>
          </w:p>
        </w:tc>
        <w:tc>
          <w:tcPr>
            <w:tcW w:w="0" w:type="auto"/>
            <w:tcBorders>
              <w:top w:val="nil"/>
              <w:left w:val="nil"/>
              <w:bottom w:val="single" w:sz="4" w:space="0" w:color="auto"/>
              <w:right w:val="single" w:sz="4" w:space="0" w:color="auto"/>
            </w:tcBorders>
            <w:shd w:val="clear" w:color="auto" w:fill="auto"/>
            <w:noWrap/>
            <w:vAlign w:val="bottom"/>
            <w:hideMark/>
          </w:tcPr>
          <w:p w14:paraId="7D7291C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17,856.80 </w:t>
            </w:r>
          </w:p>
        </w:tc>
        <w:tc>
          <w:tcPr>
            <w:tcW w:w="0" w:type="auto"/>
            <w:tcBorders>
              <w:top w:val="nil"/>
              <w:left w:val="nil"/>
              <w:bottom w:val="single" w:sz="4" w:space="0" w:color="auto"/>
              <w:right w:val="single" w:sz="8" w:space="0" w:color="auto"/>
            </w:tcBorders>
            <w:shd w:val="clear" w:color="auto" w:fill="auto"/>
            <w:noWrap/>
            <w:vAlign w:val="bottom"/>
            <w:hideMark/>
          </w:tcPr>
          <w:p w14:paraId="2F4FCAA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14:paraId="231E1B3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159,994.81 </w:t>
            </w:r>
          </w:p>
        </w:tc>
        <w:tc>
          <w:tcPr>
            <w:tcW w:w="0" w:type="auto"/>
            <w:tcBorders>
              <w:top w:val="nil"/>
              <w:left w:val="nil"/>
              <w:bottom w:val="single" w:sz="4" w:space="0" w:color="auto"/>
              <w:right w:val="single" w:sz="4" w:space="0" w:color="auto"/>
            </w:tcBorders>
            <w:shd w:val="clear" w:color="auto" w:fill="auto"/>
            <w:noWrap/>
            <w:vAlign w:val="bottom"/>
            <w:hideMark/>
          </w:tcPr>
          <w:p w14:paraId="55080AA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158,688.74 </w:t>
            </w:r>
          </w:p>
        </w:tc>
        <w:tc>
          <w:tcPr>
            <w:tcW w:w="0" w:type="auto"/>
            <w:tcBorders>
              <w:top w:val="nil"/>
              <w:left w:val="nil"/>
              <w:bottom w:val="single" w:sz="4" w:space="0" w:color="auto"/>
              <w:right w:val="single" w:sz="4" w:space="0" w:color="auto"/>
            </w:tcBorders>
            <w:shd w:val="clear" w:color="auto" w:fill="auto"/>
            <w:noWrap/>
            <w:vAlign w:val="bottom"/>
            <w:hideMark/>
          </w:tcPr>
          <w:p w14:paraId="308E003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1,306.07 </w:t>
            </w:r>
          </w:p>
        </w:tc>
        <w:tc>
          <w:tcPr>
            <w:tcW w:w="0" w:type="auto"/>
            <w:tcBorders>
              <w:top w:val="nil"/>
              <w:left w:val="nil"/>
              <w:bottom w:val="single" w:sz="4" w:space="0" w:color="auto"/>
              <w:right w:val="single" w:sz="8" w:space="0" w:color="auto"/>
            </w:tcBorders>
            <w:shd w:val="clear" w:color="auto" w:fill="auto"/>
            <w:noWrap/>
            <w:vAlign w:val="bottom"/>
            <w:hideMark/>
          </w:tcPr>
          <w:p w14:paraId="52ABEDE4"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99%</w:t>
            </w:r>
          </w:p>
        </w:tc>
      </w:tr>
      <w:tr w:rsidR="004769F4" w:rsidRPr="007A7F0F" w14:paraId="7A1B213F"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1E420C62"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Grants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6E1D60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0DBCC5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B3BEA2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1491750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B43D47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439C00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6891EA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256ACFA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DAE113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9D73E0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17269B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1D4EFBB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63852C81"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7DD7791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Events, conferences, travel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E4C571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1B700E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4AB549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7BD8420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269C9F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86,532.00 </w:t>
            </w:r>
          </w:p>
        </w:tc>
        <w:tc>
          <w:tcPr>
            <w:tcW w:w="0" w:type="auto"/>
            <w:tcBorders>
              <w:top w:val="nil"/>
              <w:left w:val="nil"/>
              <w:bottom w:val="single" w:sz="4" w:space="0" w:color="auto"/>
              <w:right w:val="single" w:sz="4" w:space="0" w:color="auto"/>
            </w:tcBorders>
            <w:shd w:val="clear" w:color="auto" w:fill="auto"/>
            <w:noWrap/>
            <w:vAlign w:val="bottom"/>
            <w:hideMark/>
          </w:tcPr>
          <w:p w14:paraId="1F7667F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64,317.80 </w:t>
            </w:r>
          </w:p>
        </w:tc>
        <w:tc>
          <w:tcPr>
            <w:tcW w:w="0" w:type="auto"/>
            <w:tcBorders>
              <w:top w:val="nil"/>
              <w:left w:val="nil"/>
              <w:bottom w:val="single" w:sz="4" w:space="0" w:color="auto"/>
              <w:right w:val="single" w:sz="4" w:space="0" w:color="auto"/>
            </w:tcBorders>
            <w:shd w:val="clear" w:color="auto" w:fill="auto"/>
            <w:noWrap/>
            <w:vAlign w:val="bottom"/>
            <w:hideMark/>
          </w:tcPr>
          <w:p w14:paraId="1C7E668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22,214.20 </w:t>
            </w:r>
          </w:p>
        </w:tc>
        <w:tc>
          <w:tcPr>
            <w:tcW w:w="0" w:type="auto"/>
            <w:tcBorders>
              <w:top w:val="nil"/>
              <w:left w:val="nil"/>
              <w:bottom w:val="single" w:sz="4" w:space="0" w:color="auto"/>
              <w:right w:val="single" w:sz="8" w:space="0" w:color="auto"/>
            </w:tcBorders>
            <w:shd w:val="clear" w:color="auto" w:fill="auto"/>
            <w:noWrap/>
            <w:vAlign w:val="bottom"/>
            <w:hideMark/>
          </w:tcPr>
          <w:p w14:paraId="382F80E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74%</w:t>
            </w:r>
          </w:p>
        </w:tc>
        <w:tc>
          <w:tcPr>
            <w:tcW w:w="0" w:type="auto"/>
            <w:tcBorders>
              <w:top w:val="nil"/>
              <w:left w:val="nil"/>
              <w:bottom w:val="single" w:sz="4" w:space="0" w:color="auto"/>
              <w:right w:val="single" w:sz="4" w:space="0" w:color="auto"/>
            </w:tcBorders>
            <w:shd w:val="clear" w:color="auto" w:fill="auto"/>
            <w:noWrap/>
            <w:vAlign w:val="bottom"/>
            <w:hideMark/>
          </w:tcPr>
          <w:p w14:paraId="1170616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35,000.00 </w:t>
            </w:r>
          </w:p>
        </w:tc>
        <w:tc>
          <w:tcPr>
            <w:tcW w:w="0" w:type="auto"/>
            <w:tcBorders>
              <w:top w:val="nil"/>
              <w:left w:val="nil"/>
              <w:bottom w:val="single" w:sz="4" w:space="0" w:color="auto"/>
              <w:right w:val="single" w:sz="4" w:space="0" w:color="auto"/>
            </w:tcBorders>
            <w:shd w:val="clear" w:color="auto" w:fill="auto"/>
            <w:noWrap/>
            <w:vAlign w:val="bottom"/>
            <w:hideMark/>
          </w:tcPr>
          <w:p w14:paraId="1F5482B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29,271.86 </w:t>
            </w:r>
          </w:p>
        </w:tc>
        <w:tc>
          <w:tcPr>
            <w:tcW w:w="0" w:type="auto"/>
            <w:tcBorders>
              <w:top w:val="nil"/>
              <w:left w:val="nil"/>
              <w:bottom w:val="single" w:sz="4" w:space="0" w:color="auto"/>
              <w:right w:val="single" w:sz="4" w:space="0" w:color="auto"/>
            </w:tcBorders>
            <w:shd w:val="clear" w:color="auto" w:fill="auto"/>
            <w:noWrap/>
            <w:vAlign w:val="bottom"/>
            <w:hideMark/>
          </w:tcPr>
          <w:p w14:paraId="082723A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5,728.14 </w:t>
            </w:r>
          </w:p>
        </w:tc>
        <w:tc>
          <w:tcPr>
            <w:tcW w:w="0" w:type="auto"/>
            <w:tcBorders>
              <w:top w:val="nil"/>
              <w:left w:val="nil"/>
              <w:bottom w:val="single" w:sz="4" w:space="0" w:color="auto"/>
              <w:right w:val="single" w:sz="8" w:space="0" w:color="auto"/>
            </w:tcBorders>
            <w:shd w:val="clear" w:color="auto" w:fill="auto"/>
            <w:noWrap/>
            <w:vAlign w:val="bottom"/>
            <w:hideMark/>
          </w:tcPr>
          <w:p w14:paraId="608EDB6F"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84%</w:t>
            </w:r>
          </w:p>
        </w:tc>
      </w:tr>
      <w:tr w:rsidR="004769F4" w:rsidRPr="007A7F0F" w14:paraId="5EA82F79" w14:textId="77777777" w:rsidTr="00AF1EF3">
        <w:trPr>
          <w:trHeight w:val="20"/>
        </w:trPr>
        <w:tc>
          <w:tcPr>
            <w:tcW w:w="0" w:type="auto"/>
            <w:tcBorders>
              <w:top w:val="nil"/>
              <w:left w:val="single" w:sz="4" w:space="0" w:color="auto"/>
              <w:bottom w:val="single" w:sz="4" w:space="0" w:color="auto"/>
              <w:right w:val="nil"/>
            </w:tcBorders>
            <w:shd w:val="clear" w:color="000000" w:fill="D9E1F2"/>
            <w:vAlign w:val="center"/>
            <w:hideMark/>
          </w:tcPr>
          <w:p w14:paraId="07094262"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Output Total </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0944643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15,000.00 </w:t>
            </w:r>
          </w:p>
        </w:tc>
        <w:tc>
          <w:tcPr>
            <w:tcW w:w="0" w:type="auto"/>
            <w:tcBorders>
              <w:top w:val="nil"/>
              <w:left w:val="nil"/>
              <w:bottom w:val="single" w:sz="4" w:space="0" w:color="auto"/>
              <w:right w:val="single" w:sz="4" w:space="0" w:color="auto"/>
            </w:tcBorders>
            <w:shd w:val="clear" w:color="000000" w:fill="D9E1F2"/>
            <w:noWrap/>
            <w:vAlign w:val="bottom"/>
            <w:hideMark/>
          </w:tcPr>
          <w:p w14:paraId="1FC4ADA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22,646.40 </w:t>
            </w:r>
          </w:p>
        </w:tc>
        <w:tc>
          <w:tcPr>
            <w:tcW w:w="0" w:type="auto"/>
            <w:tcBorders>
              <w:top w:val="nil"/>
              <w:left w:val="nil"/>
              <w:bottom w:val="single" w:sz="4" w:space="0" w:color="auto"/>
              <w:right w:val="single" w:sz="4" w:space="0" w:color="auto"/>
            </w:tcBorders>
            <w:shd w:val="clear" w:color="000000" w:fill="D9E1F2"/>
            <w:noWrap/>
            <w:vAlign w:val="bottom"/>
            <w:hideMark/>
          </w:tcPr>
          <w:p w14:paraId="5746B13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(7,646.40)</w:t>
            </w:r>
          </w:p>
        </w:tc>
        <w:tc>
          <w:tcPr>
            <w:tcW w:w="0" w:type="auto"/>
            <w:tcBorders>
              <w:top w:val="nil"/>
              <w:left w:val="nil"/>
              <w:bottom w:val="single" w:sz="4" w:space="0" w:color="auto"/>
              <w:right w:val="single" w:sz="8" w:space="0" w:color="auto"/>
            </w:tcBorders>
            <w:shd w:val="clear" w:color="000000" w:fill="D9E1F2"/>
            <w:noWrap/>
            <w:vAlign w:val="bottom"/>
            <w:hideMark/>
          </w:tcPr>
          <w:p w14:paraId="4E08704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151%</w:t>
            </w:r>
          </w:p>
        </w:tc>
        <w:tc>
          <w:tcPr>
            <w:tcW w:w="0" w:type="auto"/>
            <w:tcBorders>
              <w:top w:val="nil"/>
              <w:left w:val="nil"/>
              <w:bottom w:val="single" w:sz="4" w:space="0" w:color="auto"/>
              <w:right w:val="single" w:sz="4" w:space="0" w:color="auto"/>
            </w:tcBorders>
            <w:shd w:val="clear" w:color="000000" w:fill="D9E1F2"/>
            <w:noWrap/>
            <w:vAlign w:val="bottom"/>
            <w:hideMark/>
          </w:tcPr>
          <w:p w14:paraId="34C74415"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121,532.00 </w:t>
            </w:r>
          </w:p>
        </w:tc>
        <w:tc>
          <w:tcPr>
            <w:tcW w:w="0" w:type="auto"/>
            <w:tcBorders>
              <w:top w:val="nil"/>
              <w:left w:val="nil"/>
              <w:bottom w:val="single" w:sz="4" w:space="0" w:color="auto"/>
              <w:right w:val="single" w:sz="4" w:space="0" w:color="auto"/>
            </w:tcBorders>
            <w:shd w:val="clear" w:color="000000" w:fill="D9E1F2"/>
            <w:noWrap/>
            <w:vAlign w:val="bottom"/>
            <w:hideMark/>
          </w:tcPr>
          <w:p w14:paraId="5B8BA4A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81,461.00 </w:t>
            </w:r>
          </w:p>
        </w:tc>
        <w:tc>
          <w:tcPr>
            <w:tcW w:w="0" w:type="auto"/>
            <w:tcBorders>
              <w:top w:val="nil"/>
              <w:left w:val="nil"/>
              <w:bottom w:val="single" w:sz="4" w:space="0" w:color="auto"/>
              <w:right w:val="single" w:sz="4" w:space="0" w:color="auto"/>
            </w:tcBorders>
            <w:shd w:val="clear" w:color="000000" w:fill="D9E1F2"/>
            <w:noWrap/>
            <w:vAlign w:val="bottom"/>
            <w:hideMark/>
          </w:tcPr>
          <w:p w14:paraId="1737ADE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40,071.00 </w:t>
            </w:r>
          </w:p>
        </w:tc>
        <w:tc>
          <w:tcPr>
            <w:tcW w:w="0" w:type="auto"/>
            <w:tcBorders>
              <w:top w:val="nil"/>
              <w:left w:val="nil"/>
              <w:bottom w:val="single" w:sz="4" w:space="0" w:color="auto"/>
              <w:right w:val="single" w:sz="8" w:space="0" w:color="auto"/>
            </w:tcBorders>
            <w:shd w:val="clear" w:color="000000" w:fill="D9E1F2"/>
            <w:noWrap/>
            <w:vAlign w:val="bottom"/>
            <w:hideMark/>
          </w:tcPr>
          <w:p w14:paraId="4E1627B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67%</w:t>
            </w:r>
          </w:p>
        </w:tc>
        <w:tc>
          <w:tcPr>
            <w:tcW w:w="0" w:type="auto"/>
            <w:tcBorders>
              <w:top w:val="nil"/>
              <w:left w:val="nil"/>
              <w:bottom w:val="single" w:sz="4" w:space="0" w:color="auto"/>
              <w:right w:val="single" w:sz="4" w:space="0" w:color="auto"/>
            </w:tcBorders>
            <w:shd w:val="clear" w:color="000000" w:fill="D9E1F2"/>
            <w:noWrap/>
            <w:vAlign w:val="bottom"/>
            <w:hideMark/>
          </w:tcPr>
          <w:p w14:paraId="42FF74C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212,494.81 </w:t>
            </w:r>
          </w:p>
        </w:tc>
        <w:tc>
          <w:tcPr>
            <w:tcW w:w="0" w:type="auto"/>
            <w:tcBorders>
              <w:top w:val="nil"/>
              <w:left w:val="nil"/>
              <w:bottom w:val="single" w:sz="4" w:space="0" w:color="auto"/>
              <w:right w:val="single" w:sz="4" w:space="0" w:color="auto"/>
            </w:tcBorders>
            <w:shd w:val="clear" w:color="000000" w:fill="D9E1F2"/>
            <w:noWrap/>
            <w:vAlign w:val="bottom"/>
            <w:hideMark/>
          </w:tcPr>
          <w:p w14:paraId="5D30889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209,510.60 </w:t>
            </w:r>
          </w:p>
        </w:tc>
        <w:tc>
          <w:tcPr>
            <w:tcW w:w="0" w:type="auto"/>
            <w:tcBorders>
              <w:top w:val="nil"/>
              <w:left w:val="nil"/>
              <w:bottom w:val="single" w:sz="4" w:space="0" w:color="auto"/>
              <w:right w:val="single" w:sz="4" w:space="0" w:color="auto"/>
            </w:tcBorders>
            <w:shd w:val="clear" w:color="000000" w:fill="D9E1F2"/>
            <w:noWrap/>
            <w:vAlign w:val="bottom"/>
            <w:hideMark/>
          </w:tcPr>
          <w:p w14:paraId="29F57BA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2,984.21 </w:t>
            </w:r>
          </w:p>
        </w:tc>
        <w:tc>
          <w:tcPr>
            <w:tcW w:w="0" w:type="auto"/>
            <w:tcBorders>
              <w:top w:val="nil"/>
              <w:left w:val="nil"/>
              <w:bottom w:val="single" w:sz="4" w:space="0" w:color="auto"/>
              <w:right w:val="single" w:sz="8" w:space="0" w:color="auto"/>
            </w:tcBorders>
            <w:shd w:val="clear" w:color="000000" w:fill="D9E1F2"/>
            <w:noWrap/>
            <w:vAlign w:val="bottom"/>
            <w:hideMark/>
          </w:tcPr>
          <w:p w14:paraId="49947062" w14:textId="77777777" w:rsidR="004769F4" w:rsidRPr="006A4324" w:rsidRDefault="004769F4" w:rsidP="00AF1EF3">
            <w:pPr>
              <w:jc w:val="right"/>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99%</w:t>
            </w:r>
          </w:p>
        </w:tc>
      </w:tr>
      <w:tr w:rsidR="004769F4" w:rsidRPr="007A7F0F" w14:paraId="2E20E699" w14:textId="77777777" w:rsidTr="00AF1EF3">
        <w:trPr>
          <w:trHeight w:val="20"/>
        </w:trPr>
        <w:tc>
          <w:tcPr>
            <w:tcW w:w="0" w:type="auto"/>
            <w:tcBorders>
              <w:top w:val="nil"/>
              <w:left w:val="single" w:sz="4" w:space="0" w:color="auto"/>
              <w:bottom w:val="single" w:sz="4" w:space="0" w:color="auto"/>
              <w:right w:val="nil"/>
            </w:tcBorders>
            <w:shd w:val="clear" w:color="000000" w:fill="D9E1F2"/>
            <w:vAlign w:val="center"/>
            <w:hideMark/>
          </w:tcPr>
          <w:p w14:paraId="753226E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200C102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09D3F7D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23D7C6E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-6%</w:t>
            </w:r>
          </w:p>
        </w:tc>
        <w:tc>
          <w:tcPr>
            <w:tcW w:w="0" w:type="auto"/>
            <w:tcBorders>
              <w:top w:val="nil"/>
              <w:left w:val="nil"/>
              <w:bottom w:val="single" w:sz="4" w:space="0" w:color="auto"/>
              <w:right w:val="single" w:sz="8" w:space="0" w:color="auto"/>
            </w:tcBorders>
            <w:shd w:val="clear" w:color="000000" w:fill="D9E1F2"/>
            <w:noWrap/>
            <w:vAlign w:val="bottom"/>
            <w:hideMark/>
          </w:tcPr>
          <w:p w14:paraId="27F55C1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0AD99FB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7%</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59D1EBE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6%</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6553D96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23%</w:t>
            </w:r>
          </w:p>
        </w:tc>
        <w:tc>
          <w:tcPr>
            <w:tcW w:w="0" w:type="auto"/>
            <w:tcBorders>
              <w:top w:val="nil"/>
              <w:left w:val="nil"/>
              <w:bottom w:val="single" w:sz="4" w:space="0" w:color="auto"/>
              <w:right w:val="single" w:sz="8" w:space="0" w:color="auto"/>
            </w:tcBorders>
            <w:shd w:val="clear" w:color="000000" w:fill="D9E1F2"/>
            <w:noWrap/>
            <w:vAlign w:val="bottom"/>
            <w:hideMark/>
          </w:tcPr>
          <w:p w14:paraId="5CC73D9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293DF5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13%</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5DECF47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14%</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666C22F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w:t>
            </w:r>
          </w:p>
        </w:tc>
        <w:tc>
          <w:tcPr>
            <w:tcW w:w="0" w:type="auto"/>
            <w:tcBorders>
              <w:top w:val="nil"/>
              <w:left w:val="nil"/>
              <w:bottom w:val="single" w:sz="4" w:space="0" w:color="auto"/>
              <w:right w:val="single" w:sz="8" w:space="0" w:color="auto"/>
            </w:tcBorders>
            <w:shd w:val="clear" w:color="000000" w:fill="D9E1F2"/>
            <w:noWrap/>
            <w:vAlign w:val="bottom"/>
            <w:hideMark/>
          </w:tcPr>
          <w:p w14:paraId="5D876455"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2FA31DAD" w14:textId="77777777" w:rsidTr="00AF1EF3">
        <w:trPr>
          <w:trHeight w:val="20"/>
        </w:trPr>
        <w:tc>
          <w:tcPr>
            <w:tcW w:w="0" w:type="auto"/>
            <w:tcBorders>
              <w:top w:val="nil"/>
              <w:left w:val="single" w:sz="4" w:space="0" w:color="auto"/>
              <w:bottom w:val="single" w:sz="4" w:space="0" w:color="auto"/>
              <w:right w:val="nil"/>
            </w:tcBorders>
            <w:shd w:val="clear" w:color="000000" w:fill="FCE4D6"/>
            <w:vAlign w:val="center"/>
            <w:hideMark/>
          </w:tcPr>
          <w:p w14:paraId="3F3B4DA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OUTPUT 2. Professional civil service recruited and trained to unified standards, and can protect itself against malpractice and arbitrary decisions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1DEF5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474560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E15B1A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714C017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BE22BB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EB40FE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CD2030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7FCA164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6C6791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721322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F8E4CE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3129E78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5DA58407"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1FB6393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Contractual Services-Companies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CBD8B6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E99F6D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3A04D3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67BECAA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D72931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F8181F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663CBC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2D8E66F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B10F65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193,827.53 </w:t>
            </w:r>
          </w:p>
        </w:tc>
        <w:tc>
          <w:tcPr>
            <w:tcW w:w="0" w:type="auto"/>
            <w:tcBorders>
              <w:top w:val="nil"/>
              <w:left w:val="nil"/>
              <w:bottom w:val="single" w:sz="4" w:space="0" w:color="auto"/>
              <w:right w:val="single" w:sz="4" w:space="0" w:color="auto"/>
            </w:tcBorders>
            <w:shd w:val="clear" w:color="auto" w:fill="auto"/>
            <w:noWrap/>
            <w:vAlign w:val="bottom"/>
            <w:hideMark/>
          </w:tcPr>
          <w:p w14:paraId="64C7FF1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127,789.00 </w:t>
            </w:r>
          </w:p>
        </w:tc>
        <w:tc>
          <w:tcPr>
            <w:tcW w:w="0" w:type="auto"/>
            <w:tcBorders>
              <w:top w:val="nil"/>
              <w:left w:val="nil"/>
              <w:bottom w:val="single" w:sz="4" w:space="0" w:color="auto"/>
              <w:right w:val="single" w:sz="4" w:space="0" w:color="auto"/>
            </w:tcBorders>
            <w:shd w:val="clear" w:color="auto" w:fill="auto"/>
            <w:noWrap/>
            <w:vAlign w:val="bottom"/>
            <w:hideMark/>
          </w:tcPr>
          <w:p w14:paraId="6791DCC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66,038.53 </w:t>
            </w:r>
          </w:p>
        </w:tc>
        <w:tc>
          <w:tcPr>
            <w:tcW w:w="0" w:type="auto"/>
            <w:tcBorders>
              <w:top w:val="nil"/>
              <w:left w:val="nil"/>
              <w:bottom w:val="single" w:sz="4" w:space="0" w:color="auto"/>
              <w:right w:val="single" w:sz="8" w:space="0" w:color="auto"/>
            </w:tcBorders>
            <w:shd w:val="clear" w:color="auto" w:fill="auto"/>
            <w:noWrap/>
            <w:vAlign w:val="bottom"/>
            <w:hideMark/>
          </w:tcPr>
          <w:p w14:paraId="61CF02A6"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66%</w:t>
            </w:r>
          </w:p>
        </w:tc>
      </w:tr>
      <w:tr w:rsidR="004769F4" w:rsidRPr="007A7F0F" w14:paraId="17B477B8"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31C6E5B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Local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66BFB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ED6D35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2755E2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5BA90F6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FC1909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130,400.73 </w:t>
            </w:r>
          </w:p>
        </w:tc>
        <w:tc>
          <w:tcPr>
            <w:tcW w:w="0" w:type="auto"/>
            <w:tcBorders>
              <w:top w:val="nil"/>
              <w:left w:val="nil"/>
              <w:bottom w:val="single" w:sz="4" w:space="0" w:color="auto"/>
              <w:right w:val="single" w:sz="4" w:space="0" w:color="auto"/>
            </w:tcBorders>
            <w:shd w:val="clear" w:color="auto" w:fill="auto"/>
            <w:noWrap/>
            <w:vAlign w:val="bottom"/>
            <w:hideMark/>
          </w:tcPr>
          <w:p w14:paraId="3FD5532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117,236.00 </w:t>
            </w:r>
          </w:p>
        </w:tc>
        <w:tc>
          <w:tcPr>
            <w:tcW w:w="0" w:type="auto"/>
            <w:tcBorders>
              <w:top w:val="nil"/>
              <w:left w:val="nil"/>
              <w:bottom w:val="single" w:sz="4" w:space="0" w:color="auto"/>
              <w:right w:val="single" w:sz="4" w:space="0" w:color="auto"/>
            </w:tcBorders>
            <w:shd w:val="clear" w:color="auto" w:fill="auto"/>
            <w:noWrap/>
            <w:vAlign w:val="bottom"/>
            <w:hideMark/>
          </w:tcPr>
          <w:p w14:paraId="75E354D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13,164.73 </w:t>
            </w:r>
          </w:p>
        </w:tc>
        <w:tc>
          <w:tcPr>
            <w:tcW w:w="0" w:type="auto"/>
            <w:tcBorders>
              <w:top w:val="nil"/>
              <w:left w:val="nil"/>
              <w:bottom w:val="single" w:sz="4" w:space="0" w:color="auto"/>
              <w:right w:val="single" w:sz="8" w:space="0" w:color="auto"/>
            </w:tcBorders>
            <w:shd w:val="clear" w:color="auto" w:fill="auto"/>
            <w:noWrap/>
            <w:vAlign w:val="bottom"/>
            <w:hideMark/>
          </w:tcPr>
          <w:p w14:paraId="2D3A578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90%</w:t>
            </w:r>
          </w:p>
        </w:tc>
        <w:tc>
          <w:tcPr>
            <w:tcW w:w="0" w:type="auto"/>
            <w:tcBorders>
              <w:top w:val="nil"/>
              <w:left w:val="nil"/>
              <w:bottom w:val="single" w:sz="4" w:space="0" w:color="auto"/>
              <w:right w:val="single" w:sz="4" w:space="0" w:color="auto"/>
            </w:tcBorders>
            <w:shd w:val="clear" w:color="auto" w:fill="auto"/>
            <w:noWrap/>
            <w:vAlign w:val="bottom"/>
            <w:hideMark/>
          </w:tcPr>
          <w:p w14:paraId="323CC27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204,500.00 </w:t>
            </w:r>
          </w:p>
        </w:tc>
        <w:tc>
          <w:tcPr>
            <w:tcW w:w="0" w:type="auto"/>
            <w:tcBorders>
              <w:top w:val="nil"/>
              <w:left w:val="nil"/>
              <w:bottom w:val="single" w:sz="4" w:space="0" w:color="auto"/>
              <w:right w:val="single" w:sz="4" w:space="0" w:color="auto"/>
            </w:tcBorders>
            <w:shd w:val="clear" w:color="auto" w:fill="auto"/>
            <w:noWrap/>
            <w:vAlign w:val="bottom"/>
            <w:hideMark/>
          </w:tcPr>
          <w:p w14:paraId="5FFD22B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112,023.00 </w:t>
            </w:r>
          </w:p>
        </w:tc>
        <w:tc>
          <w:tcPr>
            <w:tcW w:w="0" w:type="auto"/>
            <w:tcBorders>
              <w:top w:val="nil"/>
              <w:left w:val="nil"/>
              <w:bottom w:val="single" w:sz="4" w:space="0" w:color="auto"/>
              <w:right w:val="single" w:sz="4" w:space="0" w:color="auto"/>
            </w:tcBorders>
            <w:shd w:val="clear" w:color="auto" w:fill="auto"/>
            <w:noWrap/>
            <w:vAlign w:val="bottom"/>
            <w:hideMark/>
          </w:tcPr>
          <w:p w14:paraId="0D29143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92,477.00 </w:t>
            </w:r>
          </w:p>
        </w:tc>
        <w:tc>
          <w:tcPr>
            <w:tcW w:w="0" w:type="auto"/>
            <w:tcBorders>
              <w:top w:val="nil"/>
              <w:left w:val="nil"/>
              <w:bottom w:val="single" w:sz="4" w:space="0" w:color="auto"/>
              <w:right w:val="single" w:sz="8" w:space="0" w:color="auto"/>
            </w:tcBorders>
            <w:shd w:val="clear" w:color="auto" w:fill="auto"/>
            <w:noWrap/>
            <w:vAlign w:val="bottom"/>
            <w:hideMark/>
          </w:tcPr>
          <w:p w14:paraId="7BF8ED4C"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55%</w:t>
            </w:r>
          </w:p>
        </w:tc>
      </w:tr>
      <w:tr w:rsidR="004769F4" w:rsidRPr="007A7F0F" w14:paraId="491B65D2"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0161921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International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2EDB7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16,973.00 </w:t>
            </w:r>
          </w:p>
        </w:tc>
        <w:tc>
          <w:tcPr>
            <w:tcW w:w="0" w:type="auto"/>
            <w:tcBorders>
              <w:top w:val="nil"/>
              <w:left w:val="nil"/>
              <w:bottom w:val="single" w:sz="4" w:space="0" w:color="auto"/>
              <w:right w:val="single" w:sz="4" w:space="0" w:color="auto"/>
            </w:tcBorders>
            <w:shd w:val="clear" w:color="auto" w:fill="auto"/>
            <w:noWrap/>
            <w:vAlign w:val="bottom"/>
            <w:hideMark/>
          </w:tcPr>
          <w:p w14:paraId="7BA747C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6,950.00 </w:t>
            </w:r>
          </w:p>
        </w:tc>
        <w:tc>
          <w:tcPr>
            <w:tcW w:w="0" w:type="auto"/>
            <w:tcBorders>
              <w:top w:val="nil"/>
              <w:left w:val="nil"/>
              <w:bottom w:val="single" w:sz="4" w:space="0" w:color="auto"/>
              <w:right w:val="single" w:sz="4" w:space="0" w:color="auto"/>
            </w:tcBorders>
            <w:shd w:val="clear" w:color="auto" w:fill="auto"/>
            <w:noWrap/>
            <w:vAlign w:val="bottom"/>
            <w:hideMark/>
          </w:tcPr>
          <w:p w14:paraId="5B790B1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10,023.00 </w:t>
            </w:r>
          </w:p>
        </w:tc>
        <w:tc>
          <w:tcPr>
            <w:tcW w:w="0" w:type="auto"/>
            <w:tcBorders>
              <w:top w:val="nil"/>
              <w:left w:val="nil"/>
              <w:bottom w:val="single" w:sz="4" w:space="0" w:color="auto"/>
              <w:right w:val="single" w:sz="8" w:space="0" w:color="auto"/>
            </w:tcBorders>
            <w:shd w:val="clear" w:color="auto" w:fill="auto"/>
            <w:noWrap/>
            <w:vAlign w:val="bottom"/>
            <w:hideMark/>
          </w:tcPr>
          <w:p w14:paraId="4DAC8F7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14:paraId="70095F1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108,500.00 </w:t>
            </w:r>
          </w:p>
        </w:tc>
        <w:tc>
          <w:tcPr>
            <w:tcW w:w="0" w:type="auto"/>
            <w:tcBorders>
              <w:top w:val="nil"/>
              <w:left w:val="nil"/>
              <w:bottom w:val="single" w:sz="4" w:space="0" w:color="auto"/>
              <w:right w:val="single" w:sz="4" w:space="0" w:color="auto"/>
            </w:tcBorders>
            <w:shd w:val="clear" w:color="auto" w:fill="auto"/>
            <w:noWrap/>
            <w:vAlign w:val="bottom"/>
            <w:hideMark/>
          </w:tcPr>
          <w:p w14:paraId="3292B7E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119,199.00 </w:t>
            </w:r>
          </w:p>
        </w:tc>
        <w:tc>
          <w:tcPr>
            <w:tcW w:w="0" w:type="auto"/>
            <w:tcBorders>
              <w:top w:val="nil"/>
              <w:left w:val="nil"/>
              <w:bottom w:val="single" w:sz="4" w:space="0" w:color="auto"/>
              <w:right w:val="single" w:sz="4" w:space="0" w:color="auto"/>
            </w:tcBorders>
            <w:shd w:val="clear" w:color="auto" w:fill="auto"/>
            <w:noWrap/>
            <w:vAlign w:val="bottom"/>
            <w:hideMark/>
          </w:tcPr>
          <w:p w14:paraId="41A6B13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(10,699.00)</w:t>
            </w:r>
          </w:p>
        </w:tc>
        <w:tc>
          <w:tcPr>
            <w:tcW w:w="0" w:type="auto"/>
            <w:tcBorders>
              <w:top w:val="nil"/>
              <w:left w:val="nil"/>
              <w:bottom w:val="single" w:sz="4" w:space="0" w:color="auto"/>
              <w:right w:val="single" w:sz="8" w:space="0" w:color="auto"/>
            </w:tcBorders>
            <w:shd w:val="clear" w:color="auto" w:fill="auto"/>
            <w:noWrap/>
            <w:vAlign w:val="bottom"/>
            <w:hideMark/>
          </w:tcPr>
          <w:p w14:paraId="32E9C56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14:paraId="4D46D74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1BCECD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7D6191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2B8C86C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74CE7647"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3B1E07D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A1FF28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6A76DE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02FD00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254C23E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5098DA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240,343.27 </w:t>
            </w:r>
          </w:p>
        </w:tc>
        <w:tc>
          <w:tcPr>
            <w:tcW w:w="0" w:type="auto"/>
            <w:tcBorders>
              <w:top w:val="nil"/>
              <w:left w:val="nil"/>
              <w:bottom w:val="single" w:sz="4" w:space="0" w:color="auto"/>
              <w:right w:val="single" w:sz="4" w:space="0" w:color="auto"/>
            </w:tcBorders>
            <w:shd w:val="clear" w:color="auto" w:fill="auto"/>
            <w:noWrap/>
            <w:vAlign w:val="bottom"/>
            <w:hideMark/>
          </w:tcPr>
          <w:p w14:paraId="0A8C703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270,147.80 </w:t>
            </w:r>
          </w:p>
        </w:tc>
        <w:tc>
          <w:tcPr>
            <w:tcW w:w="0" w:type="auto"/>
            <w:tcBorders>
              <w:top w:val="nil"/>
              <w:left w:val="nil"/>
              <w:bottom w:val="single" w:sz="4" w:space="0" w:color="auto"/>
              <w:right w:val="single" w:sz="4" w:space="0" w:color="auto"/>
            </w:tcBorders>
            <w:shd w:val="clear" w:color="auto" w:fill="auto"/>
            <w:noWrap/>
            <w:vAlign w:val="bottom"/>
            <w:hideMark/>
          </w:tcPr>
          <w:p w14:paraId="48B92C4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(29,804.53)</w:t>
            </w:r>
          </w:p>
        </w:tc>
        <w:tc>
          <w:tcPr>
            <w:tcW w:w="0" w:type="auto"/>
            <w:tcBorders>
              <w:top w:val="nil"/>
              <w:left w:val="nil"/>
              <w:bottom w:val="single" w:sz="4" w:space="0" w:color="auto"/>
              <w:right w:val="single" w:sz="8" w:space="0" w:color="auto"/>
            </w:tcBorders>
            <w:shd w:val="clear" w:color="auto" w:fill="auto"/>
            <w:noWrap/>
            <w:vAlign w:val="bottom"/>
            <w:hideMark/>
          </w:tcPr>
          <w:p w14:paraId="02E4217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112%</w:t>
            </w:r>
          </w:p>
        </w:tc>
        <w:tc>
          <w:tcPr>
            <w:tcW w:w="0" w:type="auto"/>
            <w:tcBorders>
              <w:top w:val="nil"/>
              <w:left w:val="nil"/>
              <w:bottom w:val="single" w:sz="4" w:space="0" w:color="auto"/>
              <w:right w:val="single" w:sz="4" w:space="0" w:color="auto"/>
            </w:tcBorders>
            <w:shd w:val="clear" w:color="auto" w:fill="auto"/>
            <w:noWrap/>
            <w:vAlign w:val="bottom"/>
            <w:hideMark/>
          </w:tcPr>
          <w:p w14:paraId="04E3C5B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199,500.00 </w:t>
            </w:r>
          </w:p>
        </w:tc>
        <w:tc>
          <w:tcPr>
            <w:tcW w:w="0" w:type="auto"/>
            <w:tcBorders>
              <w:top w:val="nil"/>
              <w:left w:val="nil"/>
              <w:bottom w:val="single" w:sz="4" w:space="0" w:color="auto"/>
              <w:right w:val="single" w:sz="4" w:space="0" w:color="auto"/>
            </w:tcBorders>
            <w:shd w:val="clear" w:color="auto" w:fill="auto"/>
            <w:noWrap/>
            <w:vAlign w:val="bottom"/>
            <w:hideMark/>
          </w:tcPr>
          <w:p w14:paraId="3125CDC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294,801.00 </w:t>
            </w:r>
          </w:p>
        </w:tc>
        <w:tc>
          <w:tcPr>
            <w:tcW w:w="0" w:type="auto"/>
            <w:tcBorders>
              <w:top w:val="nil"/>
              <w:left w:val="nil"/>
              <w:bottom w:val="single" w:sz="4" w:space="0" w:color="auto"/>
              <w:right w:val="single" w:sz="4" w:space="0" w:color="auto"/>
            </w:tcBorders>
            <w:shd w:val="clear" w:color="auto" w:fill="auto"/>
            <w:noWrap/>
            <w:vAlign w:val="bottom"/>
            <w:hideMark/>
          </w:tcPr>
          <w:p w14:paraId="1253841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(95,301.00)</w:t>
            </w:r>
          </w:p>
        </w:tc>
        <w:tc>
          <w:tcPr>
            <w:tcW w:w="0" w:type="auto"/>
            <w:tcBorders>
              <w:top w:val="nil"/>
              <w:left w:val="nil"/>
              <w:bottom w:val="single" w:sz="4" w:space="0" w:color="auto"/>
              <w:right w:val="single" w:sz="8" w:space="0" w:color="auto"/>
            </w:tcBorders>
            <w:shd w:val="clear" w:color="auto" w:fill="auto"/>
            <w:noWrap/>
            <w:vAlign w:val="bottom"/>
            <w:hideMark/>
          </w:tcPr>
          <w:p w14:paraId="28FFB4F9"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148%</w:t>
            </w:r>
          </w:p>
        </w:tc>
      </w:tr>
      <w:tr w:rsidR="004769F4" w:rsidRPr="007A7F0F" w14:paraId="4ED5F239"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2F9C84B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Events, conferences, travel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29CD0A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4FC6A0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27CA1E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525CE60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0F167B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184,938.00 </w:t>
            </w:r>
          </w:p>
        </w:tc>
        <w:tc>
          <w:tcPr>
            <w:tcW w:w="0" w:type="auto"/>
            <w:tcBorders>
              <w:top w:val="nil"/>
              <w:left w:val="nil"/>
              <w:bottom w:val="single" w:sz="4" w:space="0" w:color="auto"/>
              <w:right w:val="single" w:sz="4" w:space="0" w:color="auto"/>
            </w:tcBorders>
            <w:shd w:val="clear" w:color="auto" w:fill="auto"/>
            <w:noWrap/>
            <w:vAlign w:val="bottom"/>
            <w:hideMark/>
          </w:tcPr>
          <w:p w14:paraId="5824DB2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210,152.20 </w:t>
            </w:r>
          </w:p>
        </w:tc>
        <w:tc>
          <w:tcPr>
            <w:tcW w:w="0" w:type="auto"/>
            <w:tcBorders>
              <w:top w:val="nil"/>
              <w:left w:val="nil"/>
              <w:bottom w:val="single" w:sz="4" w:space="0" w:color="auto"/>
              <w:right w:val="single" w:sz="4" w:space="0" w:color="auto"/>
            </w:tcBorders>
            <w:shd w:val="clear" w:color="auto" w:fill="auto"/>
            <w:noWrap/>
            <w:vAlign w:val="bottom"/>
            <w:hideMark/>
          </w:tcPr>
          <w:p w14:paraId="18F7604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(25,214.20)</w:t>
            </w:r>
          </w:p>
        </w:tc>
        <w:tc>
          <w:tcPr>
            <w:tcW w:w="0" w:type="auto"/>
            <w:tcBorders>
              <w:top w:val="nil"/>
              <w:left w:val="nil"/>
              <w:bottom w:val="single" w:sz="4" w:space="0" w:color="auto"/>
              <w:right w:val="single" w:sz="8" w:space="0" w:color="auto"/>
            </w:tcBorders>
            <w:shd w:val="clear" w:color="auto" w:fill="auto"/>
            <w:noWrap/>
            <w:vAlign w:val="bottom"/>
            <w:hideMark/>
          </w:tcPr>
          <w:p w14:paraId="65361F3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114%</w:t>
            </w:r>
          </w:p>
        </w:tc>
        <w:tc>
          <w:tcPr>
            <w:tcW w:w="0" w:type="auto"/>
            <w:tcBorders>
              <w:top w:val="nil"/>
              <w:left w:val="nil"/>
              <w:bottom w:val="single" w:sz="4" w:space="0" w:color="auto"/>
              <w:right w:val="single" w:sz="4" w:space="0" w:color="auto"/>
            </w:tcBorders>
            <w:shd w:val="clear" w:color="auto" w:fill="auto"/>
            <w:noWrap/>
            <w:vAlign w:val="bottom"/>
            <w:hideMark/>
          </w:tcPr>
          <w:p w14:paraId="6859935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85,500.00 </w:t>
            </w:r>
          </w:p>
        </w:tc>
        <w:tc>
          <w:tcPr>
            <w:tcW w:w="0" w:type="auto"/>
            <w:tcBorders>
              <w:top w:val="nil"/>
              <w:left w:val="nil"/>
              <w:bottom w:val="single" w:sz="4" w:space="0" w:color="auto"/>
              <w:right w:val="single" w:sz="4" w:space="0" w:color="auto"/>
            </w:tcBorders>
            <w:shd w:val="clear" w:color="auto" w:fill="auto"/>
            <w:noWrap/>
            <w:vAlign w:val="bottom"/>
            <w:hideMark/>
          </w:tcPr>
          <w:p w14:paraId="4F76808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82,869.56 </w:t>
            </w:r>
          </w:p>
        </w:tc>
        <w:tc>
          <w:tcPr>
            <w:tcW w:w="0" w:type="auto"/>
            <w:tcBorders>
              <w:top w:val="nil"/>
              <w:left w:val="nil"/>
              <w:bottom w:val="single" w:sz="4" w:space="0" w:color="auto"/>
              <w:right w:val="single" w:sz="4" w:space="0" w:color="auto"/>
            </w:tcBorders>
            <w:shd w:val="clear" w:color="auto" w:fill="auto"/>
            <w:noWrap/>
            <w:vAlign w:val="bottom"/>
            <w:hideMark/>
          </w:tcPr>
          <w:p w14:paraId="102E2BB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2,630.44 </w:t>
            </w:r>
          </w:p>
        </w:tc>
        <w:tc>
          <w:tcPr>
            <w:tcW w:w="0" w:type="auto"/>
            <w:tcBorders>
              <w:top w:val="nil"/>
              <w:left w:val="nil"/>
              <w:bottom w:val="single" w:sz="4" w:space="0" w:color="auto"/>
              <w:right w:val="single" w:sz="8" w:space="0" w:color="auto"/>
            </w:tcBorders>
            <w:shd w:val="clear" w:color="auto" w:fill="auto"/>
            <w:noWrap/>
            <w:vAlign w:val="bottom"/>
            <w:hideMark/>
          </w:tcPr>
          <w:p w14:paraId="564FCF70"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97%</w:t>
            </w:r>
          </w:p>
        </w:tc>
      </w:tr>
      <w:tr w:rsidR="004769F4" w:rsidRPr="007A7F0F" w14:paraId="5E06E77F" w14:textId="77777777" w:rsidTr="00AF1EF3">
        <w:trPr>
          <w:trHeight w:val="20"/>
        </w:trPr>
        <w:tc>
          <w:tcPr>
            <w:tcW w:w="0" w:type="auto"/>
            <w:tcBorders>
              <w:top w:val="nil"/>
              <w:left w:val="single" w:sz="4" w:space="0" w:color="auto"/>
              <w:bottom w:val="single" w:sz="4" w:space="0" w:color="auto"/>
              <w:right w:val="nil"/>
            </w:tcBorders>
            <w:shd w:val="clear" w:color="000000" w:fill="FCE4D6"/>
            <w:vAlign w:val="center"/>
            <w:hideMark/>
          </w:tcPr>
          <w:p w14:paraId="00BA5C3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Output Total </w:t>
            </w:r>
          </w:p>
        </w:tc>
        <w:tc>
          <w:tcPr>
            <w:tcW w:w="0" w:type="auto"/>
            <w:tcBorders>
              <w:top w:val="nil"/>
              <w:left w:val="single" w:sz="8" w:space="0" w:color="auto"/>
              <w:bottom w:val="single" w:sz="4" w:space="0" w:color="auto"/>
              <w:right w:val="single" w:sz="4" w:space="0" w:color="auto"/>
            </w:tcBorders>
            <w:shd w:val="clear" w:color="000000" w:fill="FCE4D6"/>
            <w:noWrap/>
            <w:vAlign w:val="bottom"/>
            <w:hideMark/>
          </w:tcPr>
          <w:p w14:paraId="086F4AF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16,973.00 </w:t>
            </w:r>
          </w:p>
        </w:tc>
        <w:tc>
          <w:tcPr>
            <w:tcW w:w="0" w:type="auto"/>
            <w:tcBorders>
              <w:top w:val="nil"/>
              <w:left w:val="nil"/>
              <w:bottom w:val="single" w:sz="4" w:space="0" w:color="auto"/>
              <w:right w:val="single" w:sz="4" w:space="0" w:color="auto"/>
            </w:tcBorders>
            <w:shd w:val="clear" w:color="000000" w:fill="FCE4D6"/>
            <w:noWrap/>
            <w:vAlign w:val="bottom"/>
            <w:hideMark/>
          </w:tcPr>
          <w:p w14:paraId="309CDCE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6,950.00 </w:t>
            </w:r>
          </w:p>
        </w:tc>
        <w:tc>
          <w:tcPr>
            <w:tcW w:w="0" w:type="auto"/>
            <w:tcBorders>
              <w:top w:val="nil"/>
              <w:left w:val="nil"/>
              <w:bottom w:val="single" w:sz="4" w:space="0" w:color="auto"/>
              <w:right w:val="single" w:sz="4" w:space="0" w:color="auto"/>
            </w:tcBorders>
            <w:shd w:val="clear" w:color="000000" w:fill="FCE4D6"/>
            <w:noWrap/>
            <w:vAlign w:val="bottom"/>
            <w:hideMark/>
          </w:tcPr>
          <w:p w14:paraId="0CD334B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10,023.00 </w:t>
            </w:r>
          </w:p>
        </w:tc>
        <w:tc>
          <w:tcPr>
            <w:tcW w:w="0" w:type="auto"/>
            <w:tcBorders>
              <w:top w:val="nil"/>
              <w:left w:val="nil"/>
              <w:bottom w:val="single" w:sz="4" w:space="0" w:color="auto"/>
              <w:right w:val="single" w:sz="8" w:space="0" w:color="auto"/>
            </w:tcBorders>
            <w:shd w:val="clear" w:color="000000" w:fill="FCE4D6"/>
            <w:noWrap/>
            <w:vAlign w:val="bottom"/>
            <w:hideMark/>
          </w:tcPr>
          <w:p w14:paraId="1D9B1C4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41%</w:t>
            </w:r>
          </w:p>
        </w:tc>
        <w:tc>
          <w:tcPr>
            <w:tcW w:w="0" w:type="auto"/>
            <w:tcBorders>
              <w:top w:val="nil"/>
              <w:left w:val="nil"/>
              <w:bottom w:val="single" w:sz="4" w:space="0" w:color="auto"/>
              <w:right w:val="single" w:sz="4" w:space="0" w:color="auto"/>
            </w:tcBorders>
            <w:shd w:val="clear" w:color="000000" w:fill="FCE4D6"/>
            <w:noWrap/>
            <w:vAlign w:val="bottom"/>
            <w:hideMark/>
          </w:tcPr>
          <w:p w14:paraId="62998BC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664,182.00 </w:t>
            </w:r>
          </w:p>
        </w:tc>
        <w:tc>
          <w:tcPr>
            <w:tcW w:w="0" w:type="auto"/>
            <w:tcBorders>
              <w:top w:val="nil"/>
              <w:left w:val="nil"/>
              <w:bottom w:val="single" w:sz="4" w:space="0" w:color="auto"/>
              <w:right w:val="single" w:sz="4" w:space="0" w:color="auto"/>
            </w:tcBorders>
            <w:shd w:val="clear" w:color="000000" w:fill="FCE4D6"/>
            <w:noWrap/>
            <w:vAlign w:val="bottom"/>
            <w:hideMark/>
          </w:tcPr>
          <w:p w14:paraId="3795272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716,735.00 </w:t>
            </w:r>
          </w:p>
        </w:tc>
        <w:tc>
          <w:tcPr>
            <w:tcW w:w="0" w:type="auto"/>
            <w:tcBorders>
              <w:top w:val="nil"/>
              <w:left w:val="nil"/>
              <w:bottom w:val="single" w:sz="4" w:space="0" w:color="auto"/>
              <w:right w:val="single" w:sz="4" w:space="0" w:color="auto"/>
            </w:tcBorders>
            <w:shd w:val="clear" w:color="000000" w:fill="FCE4D6"/>
            <w:noWrap/>
            <w:vAlign w:val="bottom"/>
            <w:hideMark/>
          </w:tcPr>
          <w:p w14:paraId="700BE612"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(52,553.00)</w:t>
            </w:r>
          </w:p>
        </w:tc>
        <w:tc>
          <w:tcPr>
            <w:tcW w:w="0" w:type="auto"/>
            <w:tcBorders>
              <w:top w:val="nil"/>
              <w:left w:val="nil"/>
              <w:bottom w:val="single" w:sz="4" w:space="0" w:color="auto"/>
              <w:right w:val="single" w:sz="8" w:space="0" w:color="auto"/>
            </w:tcBorders>
            <w:shd w:val="clear" w:color="000000" w:fill="FCE4D6"/>
            <w:noWrap/>
            <w:vAlign w:val="bottom"/>
            <w:hideMark/>
          </w:tcPr>
          <w:p w14:paraId="138637C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108%</w:t>
            </w:r>
          </w:p>
        </w:tc>
        <w:tc>
          <w:tcPr>
            <w:tcW w:w="0" w:type="auto"/>
            <w:tcBorders>
              <w:top w:val="nil"/>
              <w:left w:val="nil"/>
              <w:bottom w:val="single" w:sz="4" w:space="0" w:color="auto"/>
              <w:right w:val="single" w:sz="4" w:space="0" w:color="auto"/>
            </w:tcBorders>
            <w:shd w:val="clear" w:color="000000" w:fill="FCE4D6"/>
            <w:noWrap/>
            <w:vAlign w:val="bottom"/>
            <w:hideMark/>
          </w:tcPr>
          <w:p w14:paraId="1F159A4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683,327.53 </w:t>
            </w:r>
          </w:p>
        </w:tc>
        <w:tc>
          <w:tcPr>
            <w:tcW w:w="0" w:type="auto"/>
            <w:tcBorders>
              <w:top w:val="nil"/>
              <w:left w:val="nil"/>
              <w:bottom w:val="single" w:sz="4" w:space="0" w:color="auto"/>
              <w:right w:val="single" w:sz="4" w:space="0" w:color="auto"/>
            </w:tcBorders>
            <w:shd w:val="clear" w:color="000000" w:fill="FCE4D6"/>
            <w:noWrap/>
            <w:vAlign w:val="bottom"/>
            <w:hideMark/>
          </w:tcPr>
          <w:p w14:paraId="1ACCE50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617,482.56 </w:t>
            </w:r>
          </w:p>
        </w:tc>
        <w:tc>
          <w:tcPr>
            <w:tcW w:w="0" w:type="auto"/>
            <w:tcBorders>
              <w:top w:val="nil"/>
              <w:left w:val="nil"/>
              <w:bottom w:val="single" w:sz="4" w:space="0" w:color="auto"/>
              <w:right w:val="single" w:sz="4" w:space="0" w:color="auto"/>
            </w:tcBorders>
            <w:shd w:val="clear" w:color="000000" w:fill="FCE4D6"/>
            <w:noWrap/>
            <w:vAlign w:val="bottom"/>
            <w:hideMark/>
          </w:tcPr>
          <w:p w14:paraId="417BC0D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65,844.97 </w:t>
            </w:r>
          </w:p>
        </w:tc>
        <w:tc>
          <w:tcPr>
            <w:tcW w:w="0" w:type="auto"/>
            <w:tcBorders>
              <w:top w:val="nil"/>
              <w:left w:val="nil"/>
              <w:bottom w:val="single" w:sz="4" w:space="0" w:color="auto"/>
              <w:right w:val="single" w:sz="8" w:space="0" w:color="auto"/>
            </w:tcBorders>
            <w:shd w:val="clear" w:color="000000" w:fill="FCE4D6"/>
            <w:noWrap/>
            <w:vAlign w:val="bottom"/>
            <w:hideMark/>
          </w:tcPr>
          <w:p w14:paraId="43A2F7BD" w14:textId="77777777" w:rsidR="004769F4" w:rsidRPr="006A4324" w:rsidRDefault="004769F4" w:rsidP="00AF1EF3">
            <w:pPr>
              <w:jc w:val="right"/>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90%</w:t>
            </w:r>
          </w:p>
        </w:tc>
      </w:tr>
      <w:tr w:rsidR="004769F4" w:rsidRPr="007A7F0F" w14:paraId="14793F6C" w14:textId="77777777" w:rsidTr="00AF1EF3">
        <w:trPr>
          <w:trHeight w:val="20"/>
        </w:trPr>
        <w:tc>
          <w:tcPr>
            <w:tcW w:w="0" w:type="auto"/>
            <w:tcBorders>
              <w:top w:val="nil"/>
              <w:left w:val="single" w:sz="4" w:space="0" w:color="auto"/>
              <w:bottom w:val="single" w:sz="4" w:space="0" w:color="auto"/>
              <w:right w:val="nil"/>
            </w:tcBorders>
            <w:shd w:val="clear" w:color="000000" w:fill="FCE4D6"/>
            <w:vAlign w:val="center"/>
            <w:hideMark/>
          </w:tcPr>
          <w:p w14:paraId="49EBEB2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4" w:space="0" w:color="auto"/>
              <w:bottom w:val="single" w:sz="4" w:space="0" w:color="auto"/>
              <w:right w:val="single" w:sz="4" w:space="0" w:color="auto"/>
            </w:tcBorders>
            <w:shd w:val="clear" w:color="000000" w:fill="FCE4D6"/>
            <w:noWrap/>
            <w:vAlign w:val="bottom"/>
            <w:hideMark/>
          </w:tcPr>
          <w:p w14:paraId="7AA9D05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5%</w:t>
            </w:r>
          </w:p>
        </w:tc>
        <w:tc>
          <w:tcPr>
            <w:tcW w:w="0" w:type="auto"/>
            <w:tcBorders>
              <w:top w:val="nil"/>
              <w:left w:val="nil"/>
              <w:bottom w:val="single" w:sz="4" w:space="0" w:color="auto"/>
              <w:right w:val="single" w:sz="4" w:space="0" w:color="auto"/>
            </w:tcBorders>
            <w:shd w:val="clear" w:color="000000" w:fill="FCE4D6"/>
            <w:noWrap/>
            <w:vAlign w:val="bottom"/>
            <w:hideMark/>
          </w:tcPr>
          <w:p w14:paraId="5FABC11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w:t>
            </w:r>
          </w:p>
        </w:tc>
        <w:tc>
          <w:tcPr>
            <w:tcW w:w="0" w:type="auto"/>
            <w:tcBorders>
              <w:top w:val="nil"/>
              <w:left w:val="nil"/>
              <w:bottom w:val="single" w:sz="4" w:space="0" w:color="auto"/>
              <w:right w:val="single" w:sz="4" w:space="0" w:color="auto"/>
            </w:tcBorders>
            <w:shd w:val="clear" w:color="000000" w:fill="FCE4D6"/>
            <w:noWrap/>
            <w:vAlign w:val="bottom"/>
            <w:hideMark/>
          </w:tcPr>
          <w:p w14:paraId="5B1BCE32"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w:t>
            </w:r>
          </w:p>
        </w:tc>
        <w:tc>
          <w:tcPr>
            <w:tcW w:w="0" w:type="auto"/>
            <w:tcBorders>
              <w:top w:val="nil"/>
              <w:left w:val="nil"/>
              <w:bottom w:val="single" w:sz="4" w:space="0" w:color="auto"/>
              <w:right w:val="single" w:sz="8" w:space="0" w:color="auto"/>
            </w:tcBorders>
            <w:shd w:val="clear" w:color="000000" w:fill="FCE4D6"/>
            <w:noWrap/>
            <w:vAlign w:val="bottom"/>
            <w:hideMark/>
          </w:tcPr>
          <w:p w14:paraId="54C2468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single" w:sz="4" w:space="0" w:color="auto"/>
              <w:bottom w:val="single" w:sz="4" w:space="0" w:color="auto"/>
              <w:right w:val="single" w:sz="4" w:space="0" w:color="auto"/>
            </w:tcBorders>
            <w:shd w:val="clear" w:color="000000" w:fill="FCE4D6"/>
            <w:noWrap/>
            <w:vAlign w:val="bottom"/>
            <w:hideMark/>
          </w:tcPr>
          <w:p w14:paraId="3C17A3B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41%</w:t>
            </w:r>
          </w:p>
        </w:tc>
        <w:tc>
          <w:tcPr>
            <w:tcW w:w="0" w:type="auto"/>
            <w:tcBorders>
              <w:top w:val="nil"/>
              <w:left w:val="nil"/>
              <w:bottom w:val="single" w:sz="4" w:space="0" w:color="auto"/>
              <w:right w:val="single" w:sz="4" w:space="0" w:color="auto"/>
            </w:tcBorders>
            <w:shd w:val="clear" w:color="000000" w:fill="FCE4D6"/>
            <w:noWrap/>
            <w:vAlign w:val="bottom"/>
            <w:hideMark/>
          </w:tcPr>
          <w:p w14:paraId="71F1AAE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49%</w:t>
            </w:r>
          </w:p>
        </w:tc>
        <w:tc>
          <w:tcPr>
            <w:tcW w:w="0" w:type="auto"/>
            <w:tcBorders>
              <w:top w:val="nil"/>
              <w:left w:val="nil"/>
              <w:bottom w:val="single" w:sz="4" w:space="0" w:color="auto"/>
              <w:right w:val="single" w:sz="4" w:space="0" w:color="auto"/>
            </w:tcBorders>
            <w:shd w:val="clear" w:color="000000" w:fill="FCE4D6"/>
            <w:noWrap/>
            <w:vAlign w:val="bottom"/>
            <w:hideMark/>
          </w:tcPr>
          <w:p w14:paraId="5F365BE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-30%</w:t>
            </w:r>
          </w:p>
        </w:tc>
        <w:tc>
          <w:tcPr>
            <w:tcW w:w="0" w:type="auto"/>
            <w:tcBorders>
              <w:top w:val="nil"/>
              <w:left w:val="nil"/>
              <w:bottom w:val="single" w:sz="4" w:space="0" w:color="auto"/>
              <w:right w:val="single" w:sz="8" w:space="0" w:color="auto"/>
            </w:tcBorders>
            <w:shd w:val="clear" w:color="000000" w:fill="FCE4D6"/>
            <w:noWrap/>
            <w:vAlign w:val="bottom"/>
            <w:hideMark/>
          </w:tcPr>
          <w:p w14:paraId="43715E4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single" w:sz="4" w:space="0" w:color="auto"/>
              <w:bottom w:val="single" w:sz="4" w:space="0" w:color="auto"/>
              <w:right w:val="single" w:sz="4" w:space="0" w:color="auto"/>
            </w:tcBorders>
            <w:shd w:val="clear" w:color="000000" w:fill="FCE4D6"/>
            <w:noWrap/>
            <w:vAlign w:val="bottom"/>
            <w:hideMark/>
          </w:tcPr>
          <w:p w14:paraId="6F399E3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41%</w:t>
            </w:r>
          </w:p>
        </w:tc>
        <w:tc>
          <w:tcPr>
            <w:tcW w:w="0" w:type="auto"/>
            <w:tcBorders>
              <w:top w:val="nil"/>
              <w:left w:val="nil"/>
              <w:bottom w:val="single" w:sz="4" w:space="0" w:color="auto"/>
              <w:right w:val="single" w:sz="4" w:space="0" w:color="auto"/>
            </w:tcBorders>
            <w:shd w:val="clear" w:color="000000" w:fill="FCE4D6"/>
            <w:noWrap/>
            <w:vAlign w:val="bottom"/>
            <w:hideMark/>
          </w:tcPr>
          <w:p w14:paraId="107732B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41%</w:t>
            </w:r>
          </w:p>
        </w:tc>
        <w:tc>
          <w:tcPr>
            <w:tcW w:w="0" w:type="auto"/>
            <w:tcBorders>
              <w:top w:val="nil"/>
              <w:left w:val="nil"/>
              <w:bottom w:val="single" w:sz="4" w:space="0" w:color="auto"/>
              <w:right w:val="single" w:sz="4" w:space="0" w:color="auto"/>
            </w:tcBorders>
            <w:shd w:val="clear" w:color="000000" w:fill="FCE4D6"/>
            <w:noWrap/>
            <w:vAlign w:val="bottom"/>
            <w:hideMark/>
          </w:tcPr>
          <w:p w14:paraId="47E2749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37%</w:t>
            </w:r>
          </w:p>
        </w:tc>
        <w:tc>
          <w:tcPr>
            <w:tcW w:w="0" w:type="auto"/>
            <w:tcBorders>
              <w:top w:val="nil"/>
              <w:left w:val="nil"/>
              <w:bottom w:val="single" w:sz="4" w:space="0" w:color="auto"/>
              <w:right w:val="single" w:sz="8" w:space="0" w:color="auto"/>
            </w:tcBorders>
            <w:shd w:val="clear" w:color="000000" w:fill="FCE4D6"/>
            <w:noWrap/>
            <w:vAlign w:val="bottom"/>
            <w:hideMark/>
          </w:tcPr>
          <w:p w14:paraId="55A0CA2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1D7E2BDB" w14:textId="77777777" w:rsidTr="00AF1EF3">
        <w:trPr>
          <w:trHeight w:val="20"/>
        </w:trPr>
        <w:tc>
          <w:tcPr>
            <w:tcW w:w="0" w:type="auto"/>
            <w:tcBorders>
              <w:top w:val="nil"/>
              <w:left w:val="single" w:sz="4" w:space="0" w:color="auto"/>
              <w:bottom w:val="single" w:sz="4" w:space="0" w:color="auto"/>
              <w:right w:val="nil"/>
            </w:tcBorders>
            <w:shd w:val="clear" w:color="000000" w:fill="FFE699"/>
            <w:vAlign w:val="center"/>
            <w:hideMark/>
          </w:tcPr>
          <w:p w14:paraId="0A82DD9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OUTPUT 3  Quality services delivered and innovations planned, based on consistent and replicable methodology, citizens’ needs and feedback consistently integrated into service development</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7C9F8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D0119E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E4B38D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36D050F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0C005A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1A5A84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B3609C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0323056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192BA3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4FE0D7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156B3F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3642031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25BCB271"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0C652C8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Contractual Services-Companies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069105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35,000.00 </w:t>
            </w:r>
          </w:p>
        </w:tc>
        <w:tc>
          <w:tcPr>
            <w:tcW w:w="0" w:type="auto"/>
            <w:tcBorders>
              <w:top w:val="nil"/>
              <w:left w:val="nil"/>
              <w:bottom w:val="single" w:sz="4" w:space="0" w:color="auto"/>
              <w:right w:val="single" w:sz="4" w:space="0" w:color="auto"/>
            </w:tcBorders>
            <w:shd w:val="clear" w:color="auto" w:fill="auto"/>
            <w:noWrap/>
            <w:vAlign w:val="bottom"/>
            <w:hideMark/>
          </w:tcPr>
          <w:p w14:paraId="79A43A9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C685EB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35,000.00 </w:t>
            </w:r>
          </w:p>
        </w:tc>
        <w:tc>
          <w:tcPr>
            <w:tcW w:w="0" w:type="auto"/>
            <w:tcBorders>
              <w:top w:val="nil"/>
              <w:left w:val="nil"/>
              <w:bottom w:val="single" w:sz="4" w:space="0" w:color="auto"/>
              <w:right w:val="single" w:sz="8" w:space="0" w:color="auto"/>
            </w:tcBorders>
            <w:shd w:val="clear" w:color="auto" w:fill="auto"/>
            <w:noWrap/>
            <w:vAlign w:val="bottom"/>
            <w:hideMark/>
          </w:tcPr>
          <w:p w14:paraId="3B0569D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59B955A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617187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F128DA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75D14C9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974C9B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06AA76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6A3F58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3B0E115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11448406"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53165F7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Local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C59E7F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25,546.00 </w:t>
            </w:r>
          </w:p>
        </w:tc>
        <w:tc>
          <w:tcPr>
            <w:tcW w:w="0" w:type="auto"/>
            <w:tcBorders>
              <w:top w:val="nil"/>
              <w:left w:val="nil"/>
              <w:bottom w:val="single" w:sz="4" w:space="0" w:color="auto"/>
              <w:right w:val="single" w:sz="4" w:space="0" w:color="auto"/>
            </w:tcBorders>
            <w:shd w:val="clear" w:color="auto" w:fill="auto"/>
            <w:noWrap/>
            <w:vAlign w:val="bottom"/>
            <w:hideMark/>
          </w:tcPr>
          <w:p w14:paraId="4025F43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23,420.00 </w:t>
            </w:r>
          </w:p>
        </w:tc>
        <w:tc>
          <w:tcPr>
            <w:tcW w:w="0" w:type="auto"/>
            <w:tcBorders>
              <w:top w:val="nil"/>
              <w:left w:val="nil"/>
              <w:bottom w:val="single" w:sz="4" w:space="0" w:color="auto"/>
              <w:right w:val="single" w:sz="4" w:space="0" w:color="auto"/>
            </w:tcBorders>
            <w:shd w:val="clear" w:color="auto" w:fill="auto"/>
            <w:noWrap/>
            <w:vAlign w:val="bottom"/>
            <w:hideMark/>
          </w:tcPr>
          <w:p w14:paraId="0B16758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2,126.00 </w:t>
            </w:r>
          </w:p>
        </w:tc>
        <w:tc>
          <w:tcPr>
            <w:tcW w:w="0" w:type="auto"/>
            <w:tcBorders>
              <w:top w:val="nil"/>
              <w:left w:val="nil"/>
              <w:bottom w:val="single" w:sz="4" w:space="0" w:color="auto"/>
              <w:right w:val="single" w:sz="8" w:space="0" w:color="auto"/>
            </w:tcBorders>
            <w:shd w:val="clear" w:color="auto" w:fill="auto"/>
            <w:noWrap/>
            <w:vAlign w:val="bottom"/>
            <w:hideMark/>
          </w:tcPr>
          <w:p w14:paraId="77A7F24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92%</w:t>
            </w:r>
          </w:p>
        </w:tc>
        <w:tc>
          <w:tcPr>
            <w:tcW w:w="0" w:type="auto"/>
            <w:tcBorders>
              <w:top w:val="nil"/>
              <w:left w:val="nil"/>
              <w:bottom w:val="single" w:sz="4" w:space="0" w:color="auto"/>
              <w:right w:val="single" w:sz="4" w:space="0" w:color="auto"/>
            </w:tcBorders>
            <w:shd w:val="clear" w:color="auto" w:fill="auto"/>
            <w:noWrap/>
            <w:vAlign w:val="bottom"/>
            <w:hideMark/>
          </w:tcPr>
          <w:p w14:paraId="0106115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37,149.17 </w:t>
            </w:r>
          </w:p>
        </w:tc>
        <w:tc>
          <w:tcPr>
            <w:tcW w:w="0" w:type="auto"/>
            <w:tcBorders>
              <w:top w:val="nil"/>
              <w:left w:val="nil"/>
              <w:bottom w:val="single" w:sz="4" w:space="0" w:color="auto"/>
              <w:right w:val="single" w:sz="4" w:space="0" w:color="auto"/>
            </w:tcBorders>
            <w:shd w:val="clear" w:color="auto" w:fill="auto"/>
            <w:noWrap/>
            <w:vAlign w:val="bottom"/>
            <w:hideMark/>
          </w:tcPr>
          <w:p w14:paraId="60D3189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12,712.50 </w:t>
            </w:r>
          </w:p>
        </w:tc>
        <w:tc>
          <w:tcPr>
            <w:tcW w:w="0" w:type="auto"/>
            <w:tcBorders>
              <w:top w:val="nil"/>
              <w:left w:val="nil"/>
              <w:bottom w:val="single" w:sz="4" w:space="0" w:color="auto"/>
              <w:right w:val="single" w:sz="4" w:space="0" w:color="auto"/>
            </w:tcBorders>
            <w:shd w:val="clear" w:color="auto" w:fill="auto"/>
            <w:noWrap/>
            <w:vAlign w:val="bottom"/>
            <w:hideMark/>
          </w:tcPr>
          <w:p w14:paraId="1D62E2E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24,436.67 </w:t>
            </w:r>
          </w:p>
        </w:tc>
        <w:tc>
          <w:tcPr>
            <w:tcW w:w="0" w:type="auto"/>
            <w:tcBorders>
              <w:top w:val="nil"/>
              <w:left w:val="nil"/>
              <w:bottom w:val="single" w:sz="4" w:space="0" w:color="auto"/>
              <w:right w:val="single" w:sz="8" w:space="0" w:color="auto"/>
            </w:tcBorders>
            <w:shd w:val="clear" w:color="auto" w:fill="auto"/>
            <w:noWrap/>
            <w:vAlign w:val="bottom"/>
            <w:hideMark/>
          </w:tcPr>
          <w:p w14:paraId="75A75D8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14:paraId="30BC0B4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96,500.00 </w:t>
            </w:r>
          </w:p>
        </w:tc>
        <w:tc>
          <w:tcPr>
            <w:tcW w:w="0" w:type="auto"/>
            <w:tcBorders>
              <w:top w:val="nil"/>
              <w:left w:val="nil"/>
              <w:bottom w:val="single" w:sz="4" w:space="0" w:color="auto"/>
              <w:right w:val="single" w:sz="4" w:space="0" w:color="auto"/>
            </w:tcBorders>
            <w:shd w:val="clear" w:color="auto" w:fill="auto"/>
            <w:noWrap/>
            <w:vAlign w:val="bottom"/>
            <w:hideMark/>
          </w:tcPr>
          <w:p w14:paraId="3909EA7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65,601.00 </w:t>
            </w:r>
          </w:p>
        </w:tc>
        <w:tc>
          <w:tcPr>
            <w:tcW w:w="0" w:type="auto"/>
            <w:tcBorders>
              <w:top w:val="nil"/>
              <w:left w:val="nil"/>
              <w:bottom w:val="single" w:sz="4" w:space="0" w:color="auto"/>
              <w:right w:val="single" w:sz="4" w:space="0" w:color="auto"/>
            </w:tcBorders>
            <w:shd w:val="clear" w:color="auto" w:fill="auto"/>
            <w:noWrap/>
            <w:vAlign w:val="bottom"/>
            <w:hideMark/>
          </w:tcPr>
          <w:p w14:paraId="4C7526E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30,899.00 </w:t>
            </w:r>
          </w:p>
        </w:tc>
        <w:tc>
          <w:tcPr>
            <w:tcW w:w="0" w:type="auto"/>
            <w:tcBorders>
              <w:top w:val="nil"/>
              <w:left w:val="nil"/>
              <w:bottom w:val="single" w:sz="4" w:space="0" w:color="auto"/>
              <w:right w:val="single" w:sz="8" w:space="0" w:color="auto"/>
            </w:tcBorders>
            <w:shd w:val="clear" w:color="auto" w:fill="auto"/>
            <w:noWrap/>
            <w:vAlign w:val="bottom"/>
            <w:hideMark/>
          </w:tcPr>
          <w:p w14:paraId="456365C8"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68%</w:t>
            </w:r>
          </w:p>
        </w:tc>
      </w:tr>
      <w:tr w:rsidR="004769F4" w:rsidRPr="007A7F0F" w14:paraId="784C5C7C"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0C898FE8"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International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6273D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59,780.00 </w:t>
            </w:r>
          </w:p>
        </w:tc>
        <w:tc>
          <w:tcPr>
            <w:tcW w:w="0" w:type="auto"/>
            <w:tcBorders>
              <w:top w:val="nil"/>
              <w:left w:val="nil"/>
              <w:bottom w:val="single" w:sz="4" w:space="0" w:color="auto"/>
              <w:right w:val="single" w:sz="4" w:space="0" w:color="auto"/>
            </w:tcBorders>
            <w:shd w:val="clear" w:color="auto" w:fill="auto"/>
            <w:noWrap/>
            <w:vAlign w:val="bottom"/>
            <w:hideMark/>
          </w:tcPr>
          <w:p w14:paraId="2002368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FF1A5F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59,780.00 </w:t>
            </w:r>
          </w:p>
        </w:tc>
        <w:tc>
          <w:tcPr>
            <w:tcW w:w="0" w:type="auto"/>
            <w:tcBorders>
              <w:top w:val="nil"/>
              <w:left w:val="nil"/>
              <w:bottom w:val="single" w:sz="4" w:space="0" w:color="auto"/>
              <w:right w:val="single" w:sz="8" w:space="0" w:color="auto"/>
            </w:tcBorders>
            <w:shd w:val="clear" w:color="auto" w:fill="auto"/>
            <w:noWrap/>
            <w:vAlign w:val="bottom"/>
            <w:hideMark/>
          </w:tcPr>
          <w:p w14:paraId="4478C9E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68E750B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171,100.00 </w:t>
            </w:r>
          </w:p>
        </w:tc>
        <w:tc>
          <w:tcPr>
            <w:tcW w:w="0" w:type="auto"/>
            <w:tcBorders>
              <w:top w:val="nil"/>
              <w:left w:val="nil"/>
              <w:bottom w:val="single" w:sz="4" w:space="0" w:color="auto"/>
              <w:right w:val="single" w:sz="4" w:space="0" w:color="auto"/>
            </w:tcBorders>
            <w:shd w:val="clear" w:color="auto" w:fill="auto"/>
            <w:noWrap/>
            <w:vAlign w:val="bottom"/>
            <w:hideMark/>
          </w:tcPr>
          <w:p w14:paraId="0D10E24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89,415.29 </w:t>
            </w:r>
          </w:p>
        </w:tc>
        <w:tc>
          <w:tcPr>
            <w:tcW w:w="0" w:type="auto"/>
            <w:tcBorders>
              <w:top w:val="nil"/>
              <w:left w:val="nil"/>
              <w:bottom w:val="single" w:sz="4" w:space="0" w:color="auto"/>
              <w:right w:val="single" w:sz="4" w:space="0" w:color="auto"/>
            </w:tcBorders>
            <w:shd w:val="clear" w:color="auto" w:fill="auto"/>
            <w:noWrap/>
            <w:vAlign w:val="bottom"/>
            <w:hideMark/>
          </w:tcPr>
          <w:p w14:paraId="5BC5E7E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81,684.71 </w:t>
            </w:r>
          </w:p>
        </w:tc>
        <w:tc>
          <w:tcPr>
            <w:tcW w:w="0" w:type="auto"/>
            <w:tcBorders>
              <w:top w:val="nil"/>
              <w:left w:val="nil"/>
              <w:bottom w:val="single" w:sz="4" w:space="0" w:color="auto"/>
              <w:right w:val="single" w:sz="8" w:space="0" w:color="auto"/>
            </w:tcBorders>
            <w:shd w:val="clear" w:color="auto" w:fill="auto"/>
            <w:noWrap/>
            <w:vAlign w:val="bottom"/>
            <w:hideMark/>
          </w:tcPr>
          <w:p w14:paraId="525D890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52%</w:t>
            </w:r>
          </w:p>
        </w:tc>
        <w:tc>
          <w:tcPr>
            <w:tcW w:w="0" w:type="auto"/>
            <w:tcBorders>
              <w:top w:val="nil"/>
              <w:left w:val="nil"/>
              <w:bottom w:val="single" w:sz="4" w:space="0" w:color="auto"/>
              <w:right w:val="single" w:sz="4" w:space="0" w:color="auto"/>
            </w:tcBorders>
            <w:shd w:val="clear" w:color="auto" w:fill="auto"/>
            <w:noWrap/>
            <w:vAlign w:val="bottom"/>
            <w:hideMark/>
          </w:tcPr>
          <w:p w14:paraId="695E35F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94,683.57 </w:t>
            </w:r>
          </w:p>
        </w:tc>
        <w:tc>
          <w:tcPr>
            <w:tcW w:w="0" w:type="auto"/>
            <w:tcBorders>
              <w:top w:val="nil"/>
              <w:left w:val="nil"/>
              <w:bottom w:val="single" w:sz="4" w:space="0" w:color="auto"/>
              <w:right w:val="single" w:sz="4" w:space="0" w:color="auto"/>
            </w:tcBorders>
            <w:shd w:val="clear" w:color="auto" w:fill="auto"/>
            <w:noWrap/>
            <w:vAlign w:val="bottom"/>
            <w:hideMark/>
          </w:tcPr>
          <w:p w14:paraId="5E494AE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101,465.39 </w:t>
            </w:r>
          </w:p>
        </w:tc>
        <w:tc>
          <w:tcPr>
            <w:tcW w:w="0" w:type="auto"/>
            <w:tcBorders>
              <w:top w:val="nil"/>
              <w:left w:val="nil"/>
              <w:bottom w:val="single" w:sz="4" w:space="0" w:color="auto"/>
              <w:right w:val="single" w:sz="4" w:space="0" w:color="auto"/>
            </w:tcBorders>
            <w:shd w:val="clear" w:color="auto" w:fill="auto"/>
            <w:noWrap/>
            <w:vAlign w:val="bottom"/>
            <w:hideMark/>
          </w:tcPr>
          <w:p w14:paraId="3CCC4C2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(6,781.82)</w:t>
            </w:r>
          </w:p>
        </w:tc>
        <w:tc>
          <w:tcPr>
            <w:tcW w:w="0" w:type="auto"/>
            <w:tcBorders>
              <w:top w:val="nil"/>
              <w:left w:val="nil"/>
              <w:bottom w:val="single" w:sz="4" w:space="0" w:color="auto"/>
              <w:right w:val="single" w:sz="8" w:space="0" w:color="auto"/>
            </w:tcBorders>
            <w:shd w:val="clear" w:color="auto" w:fill="auto"/>
            <w:noWrap/>
            <w:vAlign w:val="bottom"/>
            <w:hideMark/>
          </w:tcPr>
          <w:p w14:paraId="049236C8"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107%</w:t>
            </w:r>
          </w:p>
        </w:tc>
      </w:tr>
      <w:tr w:rsidR="004769F4" w:rsidRPr="007A7F0F" w14:paraId="0C51C432"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24850C5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3732D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3A6DFD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3E509C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14B3E6C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4A8A2C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123,844.80 </w:t>
            </w:r>
          </w:p>
        </w:tc>
        <w:tc>
          <w:tcPr>
            <w:tcW w:w="0" w:type="auto"/>
            <w:tcBorders>
              <w:top w:val="nil"/>
              <w:left w:val="nil"/>
              <w:bottom w:val="single" w:sz="4" w:space="0" w:color="auto"/>
              <w:right w:val="single" w:sz="4" w:space="0" w:color="auto"/>
            </w:tcBorders>
            <w:shd w:val="clear" w:color="auto" w:fill="auto"/>
            <w:noWrap/>
            <w:vAlign w:val="bottom"/>
            <w:hideMark/>
          </w:tcPr>
          <w:p w14:paraId="6479814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155,288.50 </w:t>
            </w:r>
          </w:p>
        </w:tc>
        <w:tc>
          <w:tcPr>
            <w:tcW w:w="0" w:type="auto"/>
            <w:tcBorders>
              <w:top w:val="nil"/>
              <w:left w:val="nil"/>
              <w:bottom w:val="single" w:sz="4" w:space="0" w:color="auto"/>
              <w:right w:val="single" w:sz="4" w:space="0" w:color="auto"/>
            </w:tcBorders>
            <w:shd w:val="clear" w:color="auto" w:fill="auto"/>
            <w:noWrap/>
            <w:vAlign w:val="bottom"/>
            <w:hideMark/>
          </w:tcPr>
          <w:p w14:paraId="2460C06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(31,443.70)</w:t>
            </w:r>
          </w:p>
        </w:tc>
        <w:tc>
          <w:tcPr>
            <w:tcW w:w="0" w:type="auto"/>
            <w:tcBorders>
              <w:top w:val="nil"/>
              <w:left w:val="nil"/>
              <w:bottom w:val="single" w:sz="4" w:space="0" w:color="auto"/>
              <w:right w:val="single" w:sz="8" w:space="0" w:color="auto"/>
            </w:tcBorders>
            <w:shd w:val="clear" w:color="auto" w:fill="auto"/>
            <w:noWrap/>
            <w:vAlign w:val="bottom"/>
            <w:hideMark/>
          </w:tcPr>
          <w:p w14:paraId="2EC314A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125%</w:t>
            </w:r>
          </w:p>
        </w:tc>
        <w:tc>
          <w:tcPr>
            <w:tcW w:w="0" w:type="auto"/>
            <w:tcBorders>
              <w:top w:val="nil"/>
              <w:left w:val="nil"/>
              <w:bottom w:val="single" w:sz="4" w:space="0" w:color="auto"/>
              <w:right w:val="single" w:sz="4" w:space="0" w:color="auto"/>
            </w:tcBorders>
            <w:shd w:val="clear" w:color="auto" w:fill="auto"/>
            <w:noWrap/>
            <w:vAlign w:val="bottom"/>
            <w:hideMark/>
          </w:tcPr>
          <w:p w14:paraId="0CFD0D1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78,709.63 </w:t>
            </w:r>
          </w:p>
        </w:tc>
        <w:tc>
          <w:tcPr>
            <w:tcW w:w="0" w:type="auto"/>
            <w:tcBorders>
              <w:top w:val="nil"/>
              <w:left w:val="nil"/>
              <w:bottom w:val="single" w:sz="4" w:space="0" w:color="auto"/>
              <w:right w:val="single" w:sz="4" w:space="0" w:color="auto"/>
            </w:tcBorders>
            <w:shd w:val="clear" w:color="auto" w:fill="auto"/>
            <w:noWrap/>
            <w:vAlign w:val="bottom"/>
            <w:hideMark/>
          </w:tcPr>
          <w:p w14:paraId="62EBCF7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79,929.00 </w:t>
            </w:r>
          </w:p>
        </w:tc>
        <w:tc>
          <w:tcPr>
            <w:tcW w:w="0" w:type="auto"/>
            <w:tcBorders>
              <w:top w:val="nil"/>
              <w:left w:val="nil"/>
              <w:bottom w:val="single" w:sz="4" w:space="0" w:color="auto"/>
              <w:right w:val="single" w:sz="4" w:space="0" w:color="auto"/>
            </w:tcBorders>
            <w:shd w:val="clear" w:color="auto" w:fill="auto"/>
            <w:noWrap/>
            <w:vAlign w:val="bottom"/>
            <w:hideMark/>
          </w:tcPr>
          <w:p w14:paraId="0B831D9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(1,219.37)</w:t>
            </w:r>
          </w:p>
        </w:tc>
        <w:tc>
          <w:tcPr>
            <w:tcW w:w="0" w:type="auto"/>
            <w:tcBorders>
              <w:top w:val="nil"/>
              <w:left w:val="nil"/>
              <w:bottom w:val="single" w:sz="4" w:space="0" w:color="auto"/>
              <w:right w:val="single" w:sz="8" w:space="0" w:color="auto"/>
            </w:tcBorders>
            <w:shd w:val="clear" w:color="auto" w:fill="auto"/>
            <w:noWrap/>
            <w:vAlign w:val="bottom"/>
            <w:hideMark/>
          </w:tcPr>
          <w:p w14:paraId="4011F787"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102%</w:t>
            </w:r>
          </w:p>
        </w:tc>
      </w:tr>
      <w:tr w:rsidR="004769F4" w:rsidRPr="007A7F0F" w14:paraId="06BBD9D4"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37E076F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Events, conferences, travel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40186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18,200.32 </w:t>
            </w:r>
          </w:p>
        </w:tc>
        <w:tc>
          <w:tcPr>
            <w:tcW w:w="0" w:type="auto"/>
            <w:tcBorders>
              <w:top w:val="nil"/>
              <w:left w:val="nil"/>
              <w:bottom w:val="single" w:sz="4" w:space="0" w:color="auto"/>
              <w:right w:val="single" w:sz="4" w:space="0" w:color="auto"/>
            </w:tcBorders>
            <w:shd w:val="clear" w:color="auto" w:fill="auto"/>
            <w:noWrap/>
            <w:vAlign w:val="bottom"/>
            <w:hideMark/>
          </w:tcPr>
          <w:p w14:paraId="6AF3FB6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CFFB6A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18,200.32 </w:t>
            </w:r>
          </w:p>
        </w:tc>
        <w:tc>
          <w:tcPr>
            <w:tcW w:w="0" w:type="auto"/>
            <w:tcBorders>
              <w:top w:val="nil"/>
              <w:left w:val="nil"/>
              <w:bottom w:val="single" w:sz="4" w:space="0" w:color="auto"/>
              <w:right w:val="single" w:sz="8" w:space="0" w:color="auto"/>
            </w:tcBorders>
            <w:shd w:val="clear" w:color="auto" w:fill="auto"/>
            <w:noWrap/>
            <w:vAlign w:val="bottom"/>
            <w:hideMark/>
          </w:tcPr>
          <w:p w14:paraId="690E9BE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07FBD1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143,322.73 </w:t>
            </w:r>
          </w:p>
        </w:tc>
        <w:tc>
          <w:tcPr>
            <w:tcW w:w="0" w:type="auto"/>
            <w:tcBorders>
              <w:top w:val="nil"/>
              <w:left w:val="nil"/>
              <w:bottom w:val="single" w:sz="4" w:space="0" w:color="auto"/>
              <w:right w:val="single" w:sz="4" w:space="0" w:color="auto"/>
            </w:tcBorders>
            <w:shd w:val="clear" w:color="auto" w:fill="auto"/>
            <w:noWrap/>
            <w:vAlign w:val="bottom"/>
            <w:hideMark/>
          </w:tcPr>
          <w:p w14:paraId="6F8602D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87,601.61 </w:t>
            </w:r>
          </w:p>
        </w:tc>
        <w:tc>
          <w:tcPr>
            <w:tcW w:w="0" w:type="auto"/>
            <w:tcBorders>
              <w:top w:val="nil"/>
              <w:left w:val="nil"/>
              <w:bottom w:val="single" w:sz="4" w:space="0" w:color="auto"/>
              <w:right w:val="single" w:sz="4" w:space="0" w:color="auto"/>
            </w:tcBorders>
            <w:shd w:val="clear" w:color="auto" w:fill="auto"/>
            <w:noWrap/>
            <w:vAlign w:val="bottom"/>
            <w:hideMark/>
          </w:tcPr>
          <w:p w14:paraId="0327796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55,721.12 </w:t>
            </w:r>
          </w:p>
        </w:tc>
        <w:tc>
          <w:tcPr>
            <w:tcW w:w="0" w:type="auto"/>
            <w:tcBorders>
              <w:top w:val="nil"/>
              <w:left w:val="nil"/>
              <w:bottom w:val="single" w:sz="4" w:space="0" w:color="auto"/>
              <w:right w:val="single" w:sz="8" w:space="0" w:color="auto"/>
            </w:tcBorders>
            <w:shd w:val="clear" w:color="auto" w:fill="auto"/>
            <w:noWrap/>
            <w:vAlign w:val="bottom"/>
            <w:hideMark/>
          </w:tcPr>
          <w:p w14:paraId="1C68232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61%</w:t>
            </w:r>
          </w:p>
        </w:tc>
        <w:tc>
          <w:tcPr>
            <w:tcW w:w="0" w:type="auto"/>
            <w:tcBorders>
              <w:top w:val="nil"/>
              <w:left w:val="nil"/>
              <w:bottom w:val="single" w:sz="4" w:space="0" w:color="auto"/>
              <w:right w:val="single" w:sz="4" w:space="0" w:color="auto"/>
            </w:tcBorders>
            <w:shd w:val="clear" w:color="auto" w:fill="auto"/>
            <w:noWrap/>
            <w:vAlign w:val="bottom"/>
            <w:hideMark/>
          </w:tcPr>
          <w:p w14:paraId="621A643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96,000.00 </w:t>
            </w:r>
          </w:p>
        </w:tc>
        <w:tc>
          <w:tcPr>
            <w:tcW w:w="0" w:type="auto"/>
            <w:tcBorders>
              <w:top w:val="nil"/>
              <w:left w:val="nil"/>
              <w:bottom w:val="single" w:sz="4" w:space="0" w:color="auto"/>
              <w:right w:val="single" w:sz="4" w:space="0" w:color="auto"/>
            </w:tcBorders>
            <w:shd w:val="clear" w:color="auto" w:fill="auto"/>
            <w:noWrap/>
            <w:vAlign w:val="bottom"/>
            <w:hideMark/>
          </w:tcPr>
          <w:p w14:paraId="298488C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73,821.61 </w:t>
            </w:r>
          </w:p>
        </w:tc>
        <w:tc>
          <w:tcPr>
            <w:tcW w:w="0" w:type="auto"/>
            <w:tcBorders>
              <w:top w:val="nil"/>
              <w:left w:val="nil"/>
              <w:bottom w:val="single" w:sz="4" w:space="0" w:color="auto"/>
              <w:right w:val="single" w:sz="4" w:space="0" w:color="auto"/>
            </w:tcBorders>
            <w:shd w:val="clear" w:color="auto" w:fill="auto"/>
            <w:noWrap/>
            <w:vAlign w:val="bottom"/>
            <w:hideMark/>
          </w:tcPr>
          <w:p w14:paraId="5C7FDD2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22,178.39 </w:t>
            </w:r>
          </w:p>
        </w:tc>
        <w:tc>
          <w:tcPr>
            <w:tcW w:w="0" w:type="auto"/>
            <w:tcBorders>
              <w:top w:val="nil"/>
              <w:left w:val="nil"/>
              <w:bottom w:val="single" w:sz="4" w:space="0" w:color="auto"/>
              <w:right w:val="single" w:sz="8" w:space="0" w:color="auto"/>
            </w:tcBorders>
            <w:shd w:val="clear" w:color="auto" w:fill="auto"/>
            <w:noWrap/>
            <w:vAlign w:val="bottom"/>
            <w:hideMark/>
          </w:tcPr>
          <w:p w14:paraId="30534CF3"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77%</w:t>
            </w:r>
          </w:p>
        </w:tc>
      </w:tr>
      <w:tr w:rsidR="004769F4" w:rsidRPr="007A7F0F" w14:paraId="7B1B560F" w14:textId="77777777" w:rsidTr="00AF1EF3">
        <w:trPr>
          <w:trHeight w:val="20"/>
        </w:trPr>
        <w:tc>
          <w:tcPr>
            <w:tcW w:w="0" w:type="auto"/>
            <w:tcBorders>
              <w:top w:val="nil"/>
              <w:left w:val="single" w:sz="4" w:space="0" w:color="auto"/>
              <w:bottom w:val="single" w:sz="4" w:space="0" w:color="auto"/>
              <w:right w:val="nil"/>
            </w:tcBorders>
            <w:shd w:val="clear" w:color="000000" w:fill="FFE699"/>
            <w:vAlign w:val="center"/>
            <w:hideMark/>
          </w:tcPr>
          <w:p w14:paraId="6FA03B6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Output Total </w:t>
            </w:r>
          </w:p>
        </w:tc>
        <w:tc>
          <w:tcPr>
            <w:tcW w:w="0" w:type="auto"/>
            <w:tcBorders>
              <w:top w:val="nil"/>
              <w:left w:val="single" w:sz="8" w:space="0" w:color="auto"/>
              <w:bottom w:val="nil"/>
              <w:right w:val="nil"/>
            </w:tcBorders>
            <w:shd w:val="clear" w:color="000000" w:fill="FFE699"/>
            <w:noWrap/>
            <w:vAlign w:val="bottom"/>
            <w:hideMark/>
          </w:tcPr>
          <w:p w14:paraId="7114EB9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138,526.32 </w:t>
            </w:r>
          </w:p>
        </w:tc>
        <w:tc>
          <w:tcPr>
            <w:tcW w:w="0" w:type="auto"/>
            <w:tcBorders>
              <w:top w:val="nil"/>
              <w:left w:val="single" w:sz="4" w:space="0" w:color="auto"/>
              <w:bottom w:val="single" w:sz="4" w:space="0" w:color="auto"/>
              <w:right w:val="single" w:sz="4" w:space="0" w:color="auto"/>
            </w:tcBorders>
            <w:shd w:val="clear" w:color="000000" w:fill="FFE699"/>
            <w:noWrap/>
            <w:vAlign w:val="bottom"/>
            <w:hideMark/>
          </w:tcPr>
          <w:p w14:paraId="4A9FBB3A"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23,420.00 </w:t>
            </w:r>
          </w:p>
        </w:tc>
        <w:tc>
          <w:tcPr>
            <w:tcW w:w="0" w:type="auto"/>
            <w:tcBorders>
              <w:top w:val="nil"/>
              <w:left w:val="nil"/>
              <w:bottom w:val="single" w:sz="4" w:space="0" w:color="auto"/>
              <w:right w:val="single" w:sz="4" w:space="0" w:color="auto"/>
            </w:tcBorders>
            <w:shd w:val="clear" w:color="000000" w:fill="FFE699"/>
            <w:noWrap/>
            <w:vAlign w:val="bottom"/>
            <w:hideMark/>
          </w:tcPr>
          <w:p w14:paraId="6CDE8E2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115,106.32 </w:t>
            </w:r>
          </w:p>
        </w:tc>
        <w:tc>
          <w:tcPr>
            <w:tcW w:w="0" w:type="auto"/>
            <w:tcBorders>
              <w:top w:val="nil"/>
              <w:left w:val="nil"/>
              <w:bottom w:val="single" w:sz="4" w:space="0" w:color="auto"/>
              <w:right w:val="single" w:sz="8" w:space="0" w:color="auto"/>
            </w:tcBorders>
            <w:shd w:val="clear" w:color="000000" w:fill="FFE699"/>
            <w:noWrap/>
            <w:vAlign w:val="bottom"/>
            <w:hideMark/>
          </w:tcPr>
          <w:p w14:paraId="30FFCE6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17%</w:t>
            </w:r>
          </w:p>
        </w:tc>
        <w:tc>
          <w:tcPr>
            <w:tcW w:w="0" w:type="auto"/>
            <w:tcBorders>
              <w:top w:val="nil"/>
              <w:left w:val="nil"/>
              <w:bottom w:val="single" w:sz="4" w:space="0" w:color="auto"/>
              <w:right w:val="single" w:sz="4" w:space="0" w:color="auto"/>
            </w:tcBorders>
            <w:shd w:val="clear" w:color="000000" w:fill="FFE699"/>
            <w:noWrap/>
            <w:vAlign w:val="bottom"/>
            <w:hideMark/>
          </w:tcPr>
          <w:p w14:paraId="609DF84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475,416.70 </w:t>
            </w:r>
          </w:p>
        </w:tc>
        <w:tc>
          <w:tcPr>
            <w:tcW w:w="0" w:type="auto"/>
            <w:tcBorders>
              <w:top w:val="nil"/>
              <w:left w:val="nil"/>
              <w:bottom w:val="single" w:sz="4" w:space="0" w:color="auto"/>
              <w:right w:val="single" w:sz="4" w:space="0" w:color="auto"/>
            </w:tcBorders>
            <w:shd w:val="clear" w:color="000000" w:fill="FFE699"/>
            <w:noWrap/>
            <w:vAlign w:val="bottom"/>
            <w:hideMark/>
          </w:tcPr>
          <w:p w14:paraId="274B3BE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345,017.90 </w:t>
            </w:r>
          </w:p>
        </w:tc>
        <w:tc>
          <w:tcPr>
            <w:tcW w:w="0" w:type="auto"/>
            <w:tcBorders>
              <w:top w:val="nil"/>
              <w:left w:val="nil"/>
              <w:bottom w:val="single" w:sz="4" w:space="0" w:color="auto"/>
              <w:right w:val="single" w:sz="4" w:space="0" w:color="auto"/>
            </w:tcBorders>
            <w:shd w:val="clear" w:color="000000" w:fill="FFE699"/>
            <w:noWrap/>
            <w:vAlign w:val="bottom"/>
            <w:hideMark/>
          </w:tcPr>
          <w:p w14:paraId="0C45BA8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130,398.80 </w:t>
            </w:r>
          </w:p>
        </w:tc>
        <w:tc>
          <w:tcPr>
            <w:tcW w:w="0" w:type="auto"/>
            <w:tcBorders>
              <w:top w:val="nil"/>
              <w:left w:val="nil"/>
              <w:bottom w:val="single" w:sz="4" w:space="0" w:color="auto"/>
              <w:right w:val="single" w:sz="8" w:space="0" w:color="auto"/>
            </w:tcBorders>
            <w:shd w:val="clear" w:color="000000" w:fill="FFE699"/>
            <w:noWrap/>
            <w:vAlign w:val="bottom"/>
            <w:hideMark/>
          </w:tcPr>
          <w:p w14:paraId="6A127E7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73%</w:t>
            </w:r>
          </w:p>
        </w:tc>
        <w:tc>
          <w:tcPr>
            <w:tcW w:w="0" w:type="auto"/>
            <w:tcBorders>
              <w:top w:val="nil"/>
              <w:left w:val="nil"/>
              <w:bottom w:val="single" w:sz="4" w:space="0" w:color="auto"/>
              <w:right w:val="single" w:sz="4" w:space="0" w:color="auto"/>
            </w:tcBorders>
            <w:shd w:val="clear" w:color="000000" w:fill="FFE699"/>
            <w:noWrap/>
            <w:vAlign w:val="bottom"/>
            <w:hideMark/>
          </w:tcPr>
          <w:p w14:paraId="6289E9B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365,893.20 </w:t>
            </w:r>
          </w:p>
        </w:tc>
        <w:tc>
          <w:tcPr>
            <w:tcW w:w="0" w:type="auto"/>
            <w:tcBorders>
              <w:top w:val="nil"/>
              <w:left w:val="nil"/>
              <w:bottom w:val="single" w:sz="4" w:space="0" w:color="auto"/>
              <w:right w:val="single" w:sz="4" w:space="0" w:color="auto"/>
            </w:tcBorders>
            <w:shd w:val="clear" w:color="000000" w:fill="FFE699"/>
            <w:noWrap/>
            <w:vAlign w:val="bottom"/>
            <w:hideMark/>
          </w:tcPr>
          <w:p w14:paraId="5FD775C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320,817.00 </w:t>
            </w:r>
          </w:p>
        </w:tc>
        <w:tc>
          <w:tcPr>
            <w:tcW w:w="0" w:type="auto"/>
            <w:tcBorders>
              <w:top w:val="nil"/>
              <w:left w:val="nil"/>
              <w:bottom w:val="single" w:sz="4" w:space="0" w:color="auto"/>
              <w:right w:val="single" w:sz="4" w:space="0" w:color="auto"/>
            </w:tcBorders>
            <w:shd w:val="clear" w:color="000000" w:fill="FFE699"/>
            <w:noWrap/>
            <w:vAlign w:val="bottom"/>
            <w:hideMark/>
          </w:tcPr>
          <w:p w14:paraId="67CD655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45,076.20 </w:t>
            </w:r>
          </w:p>
        </w:tc>
        <w:tc>
          <w:tcPr>
            <w:tcW w:w="0" w:type="auto"/>
            <w:tcBorders>
              <w:top w:val="nil"/>
              <w:left w:val="nil"/>
              <w:bottom w:val="single" w:sz="4" w:space="0" w:color="auto"/>
              <w:right w:val="single" w:sz="8" w:space="0" w:color="auto"/>
            </w:tcBorders>
            <w:shd w:val="clear" w:color="000000" w:fill="FFE699"/>
            <w:noWrap/>
            <w:vAlign w:val="bottom"/>
            <w:hideMark/>
          </w:tcPr>
          <w:p w14:paraId="4DB6DBCE" w14:textId="77777777" w:rsidR="004769F4" w:rsidRPr="006A4324" w:rsidRDefault="004769F4" w:rsidP="00AF1EF3">
            <w:pPr>
              <w:jc w:val="right"/>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88%</w:t>
            </w:r>
          </w:p>
        </w:tc>
      </w:tr>
      <w:tr w:rsidR="004769F4" w:rsidRPr="007A7F0F" w14:paraId="5EBF5B81" w14:textId="77777777" w:rsidTr="00AF1EF3">
        <w:trPr>
          <w:trHeight w:val="20"/>
        </w:trPr>
        <w:tc>
          <w:tcPr>
            <w:tcW w:w="0" w:type="auto"/>
            <w:tcBorders>
              <w:top w:val="nil"/>
              <w:left w:val="single" w:sz="4" w:space="0" w:color="auto"/>
              <w:bottom w:val="single" w:sz="4" w:space="0" w:color="auto"/>
              <w:right w:val="nil"/>
            </w:tcBorders>
            <w:shd w:val="clear" w:color="000000" w:fill="FFE699"/>
            <w:vAlign w:val="center"/>
            <w:hideMark/>
          </w:tcPr>
          <w:p w14:paraId="62C170B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single" w:sz="4" w:space="0" w:color="auto"/>
              <w:left w:val="single" w:sz="8" w:space="0" w:color="auto"/>
              <w:bottom w:val="single" w:sz="4" w:space="0" w:color="auto"/>
              <w:right w:val="single" w:sz="4" w:space="0" w:color="auto"/>
            </w:tcBorders>
            <w:shd w:val="clear" w:color="000000" w:fill="FFE699"/>
            <w:noWrap/>
            <w:vAlign w:val="bottom"/>
            <w:hideMark/>
          </w:tcPr>
          <w:p w14:paraId="320CF7D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40%</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368DB0A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74BEC89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93%</w:t>
            </w:r>
          </w:p>
        </w:tc>
        <w:tc>
          <w:tcPr>
            <w:tcW w:w="0" w:type="auto"/>
            <w:tcBorders>
              <w:top w:val="nil"/>
              <w:left w:val="nil"/>
              <w:bottom w:val="single" w:sz="4" w:space="0" w:color="auto"/>
              <w:right w:val="single" w:sz="8" w:space="0" w:color="auto"/>
            </w:tcBorders>
            <w:shd w:val="clear" w:color="000000" w:fill="FFE699"/>
            <w:noWrap/>
            <w:vAlign w:val="bottom"/>
            <w:hideMark/>
          </w:tcPr>
          <w:p w14:paraId="56212A9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516C648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29%</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4659A8A5"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24%</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78A7A9B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73%</w:t>
            </w:r>
          </w:p>
        </w:tc>
        <w:tc>
          <w:tcPr>
            <w:tcW w:w="0" w:type="auto"/>
            <w:tcBorders>
              <w:top w:val="nil"/>
              <w:left w:val="nil"/>
              <w:bottom w:val="single" w:sz="4" w:space="0" w:color="auto"/>
              <w:right w:val="single" w:sz="8" w:space="0" w:color="auto"/>
            </w:tcBorders>
            <w:shd w:val="clear" w:color="000000" w:fill="FFE699"/>
            <w:noWrap/>
            <w:vAlign w:val="bottom"/>
            <w:hideMark/>
          </w:tcPr>
          <w:p w14:paraId="5326C14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10D17492"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22%</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4E71CC3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21%</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7EB46F9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26%</w:t>
            </w:r>
          </w:p>
        </w:tc>
        <w:tc>
          <w:tcPr>
            <w:tcW w:w="0" w:type="auto"/>
            <w:tcBorders>
              <w:top w:val="nil"/>
              <w:left w:val="nil"/>
              <w:bottom w:val="single" w:sz="4" w:space="0" w:color="auto"/>
              <w:right w:val="single" w:sz="8" w:space="0" w:color="auto"/>
            </w:tcBorders>
            <w:shd w:val="clear" w:color="000000" w:fill="FFE699"/>
            <w:noWrap/>
            <w:vAlign w:val="bottom"/>
            <w:hideMark/>
          </w:tcPr>
          <w:p w14:paraId="6B2AA9C2"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4EE049E3" w14:textId="77777777" w:rsidTr="00AF1EF3">
        <w:trPr>
          <w:trHeight w:val="20"/>
        </w:trPr>
        <w:tc>
          <w:tcPr>
            <w:tcW w:w="0" w:type="auto"/>
            <w:tcBorders>
              <w:top w:val="nil"/>
              <w:left w:val="single" w:sz="4" w:space="0" w:color="auto"/>
              <w:bottom w:val="single" w:sz="4" w:space="0" w:color="auto"/>
              <w:right w:val="nil"/>
            </w:tcBorders>
            <w:shd w:val="clear" w:color="000000" w:fill="C6E0B4"/>
            <w:vAlign w:val="center"/>
            <w:hideMark/>
          </w:tcPr>
          <w:p w14:paraId="6E265095"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Management and Administration</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EEE537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8051FC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7A1C2F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43C0EF6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BADC17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3E4247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258879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295727F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FA5F73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D09DEC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EB57F4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03E04C6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69FE4E27"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0D7F58F8"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Staff Cost</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984CAD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54,241.00 </w:t>
            </w:r>
          </w:p>
        </w:tc>
        <w:tc>
          <w:tcPr>
            <w:tcW w:w="0" w:type="auto"/>
            <w:tcBorders>
              <w:top w:val="nil"/>
              <w:left w:val="nil"/>
              <w:bottom w:val="single" w:sz="4" w:space="0" w:color="auto"/>
              <w:right w:val="single" w:sz="4" w:space="0" w:color="auto"/>
            </w:tcBorders>
            <w:shd w:val="clear" w:color="auto" w:fill="auto"/>
            <w:noWrap/>
            <w:vAlign w:val="bottom"/>
            <w:hideMark/>
          </w:tcPr>
          <w:p w14:paraId="2667063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36,909.10 </w:t>
            </w:r>
          </w:p>
        </w:tc>
        <w:tc>
          <w:tcPr>
            <w:tcW w:w="0" w:type="auto"/>
            <w:tcBorders>
              <w:top w:val="nil"/>
              <w:left w:val="nil"/>
              <w:bottom w:val="single" w:sz="4" w:space="0" w:color="auto"/>
              <w:right w:val="single" w:sz="4" w:space="0" w:color="auto"/>
            </w:tcBorders>
            <w:shd w:val="clear" w:color="auto" w:fill="auto"/>
            <w:noWrap/>
            <w:vAlign w:val="bottom"/>
            <w:hideMark/>
          </w:tcPr>
          <w:p w14:paraId="5965E02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17,331.90 </w:t>
            </w:r>
          </w:p>
        </w:tc>
        <w:tc>
          <w:tcPr>
            <w:tcW w:w="0" w:type="auto"/>
            <w:tcBorders>
              <w:top w:val="nil"/>
              <w:left w:val="nil"/>
              <w:bottom w:val="single" w:sz="4" w:space="0" w:color="auto"/>
              <w:right w:val="single" w:sz="8" w:space="0" w:color="auto"/>
            </w:tcBorders>
            <w:shd w:val="clear" w:color="auto" w:fill="auto"/>
            <w:noWrap/>
            <w:vAlign w:val="bottom"/>
            <w:hideMark/>
          </w:tcPr>
          <w:p w14:paraId="3454AA7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68%</w:t>
            </w:r>
          </w:p>
        </w:tc>
        <w:tc>
          <w:tcPr>
            <w:tcW w:w="0" w:type="auto"/>
            <w:tcBorders>
              <w:top w:val="nil"/>
              <w:left w:val="nil"/>
              <w:bottom w:val="single" w:sz="4" w:space="0" w:color="auto"/>
              <w:right w:val="single" w:sz="4" w:space="0" w:color="auto"/>
            </w:tcBorders>
            <w:shd w:val="clear" w:color="auto" w:fill="auto"/>
            <w:noWrap/>
            <w:vAlign w:val="bottom"/>
            <w:hideMark/>
          </w:tcPr>
          <w:p w14:paraId="2F1C1B2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165,188.00 </w:t>
            </w:r>
          </w:p>
        </w:tc>
        <w:tc>
          <w:tcPr>
            <w:tcW w:w="0" w:type="auto"/>
            <w:tcBorders>
              <w:top w:val="nil"/>
              <w:left w:val="nil"/>
              <w:bottom w:val="single" w:sz="4" w:space="0" w:color="auto"/>
              <w:right w:val="single" w:sz="4" w:space="0" w:color="auto"/>
            </w:tcBorders>
            <w:shd w:val="clear" w:color="auto" w:fill="auto"/>
            <w:noWrap/>
            <w:vAlign w:val="bottom"/>
            <w:hideMark/>
          </w:tcPr>
          <w:p w14:paraId="6449858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123,858.78 </w:t>
            </w:r>
          </w:p>
        </w:tc>
        <w:tc>
          <w:tcPr>
            <w:tcW w:w="0" w:type="auto"/>
            <w:tcBorders>
              <w:top w:val="nil"/>
              <w:left w:val="nil"/>
              <w:bottom w:val="single" w:sz="4" w:space="0" w:color="auto"/>
              <w:right w:val="single" w:sz="4" w:space="0" w:color="auto"/>
            </w:tcBorders>
            <w:shd w:val="clear" w:color="auto" w:fill="auto"/>
            <w:noWrap/>
            <w:vAlign w:val="bottom"/>
            <w:hideMark/>
          </w:tcPr>
          <w:p w14:paraId="73952D6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41,329.22 </w:t>
            </w:r>
          </w:p>
        </w:tc>
        <w:tc>
          <w:tcPr>
            <w:tcW w:w="0" w:type="auto"/>
            <w:tcBorders>
              <w:top w:val="nil"/>
              <w:left w:val="nil"/>
              <w:bottom w:val="single" w:sz="4" w:space="0" w:color="auto"/>
              <w:right w:val="single" w:sz="8" w:space="0" w:color="auto"/>
            </w:tcBorders>
            <w:shd w:val="clear" w:color="auto" w:fill="auto"/>
            <w:noWrap/>
            <w:vAlign w:val="bottom"/>
            <w:hideMark/>
          </w:tcPr>
          <w:p w14:paraId="3CFC286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75%</w:t>
            </w:r>
          </w:p>
        </w:tc>
        <w:tc>
          <w:tcPr>
            <w:tcW w:w="0" w:type="auto"/>
            <w:tcBorders>
              <w:top w:val="nil"/>
              <w:left w:val="nil"/>
              <w:bottom w:val="single" w:sz="4" w:space="0" w:color="auto"/>
              <w:right w:val="single" w:sz="4" w:space="0" w:color="auto"/>
            </w:tcBorders>
            <w:shd w:val="clear" w:color="auto" w:fill="auto"/>
            <w:noWrap/>
            <w:vAlign w:val="bottom"/>
            <w:hideMark/>
          </w:tcPr>
          <w:p w14:paraId="30A5E83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165,188.00 </w:t>
            </w:r>
          </w:p>
        </w:tc>
        <w:tc>
          <w:tcPr>
            <w:tcW w:w="0" w:type="auto"/>
            <w:tcBorders>
              <w:top w:val="nil"/>
              <w:left w:val="nil"/>
              <w:bottom w:val="single" w:sz="4" w:space="0" w:color="auto"/>
              <w:right w:val="single" w:sz="4" w:space="0" w:color="auto"/>
            </w:tcBorders>
            <w:shd w:val="clear" w:color="auto" w:fill="auto"/>
            <w:noWrap/>
            <w:vAlign w:val="bottom"/>
            <w:hideMark/>
          </w:tcPr>
          <w:p w14:paraId="67CAF4D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156,611.00 </w:t>
            </w:r>
          </w:p>
        </w:tc>
        <w:tc>
          <w:tcPr>
            <w:tcW w:w="0" w:type="auto"/>
            <w:tcBorders>
              <w:top w:val="nil"/>
              <w:left w:val="nil"/>
              <w:bottom w:val="single" w:sz="4" w:space="0" w:color="auto"/>
              <w:right w:val="single" w:sz="4" w:space="0" w:color="auto"/>
            </w:tcBorders>
            <w:shd w:val="clear" w:color="auto" w:fill="auto"/>
            <w:noWrap/>
            <w:vAlign w:val="bottom"/>
            <w:hideMark/>
          </w:tcPr>
          <w:p w14:paraId="70202BB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8,577.00 </w:t>
            </w:r>
          </w:p>
        </w:tc>
        <w:tc>
          <w:tcPr>
            <w:tcW w:w="0" w:type="auto"/>
            <w:tcBorders>
              <w:top w:val="nil"/>
              <w:left w:val="nil"/>
              <w:bottom w:val="single" w:sz="4" w:space="0" w:color="auto"/>
              <w:right w:val="single" w:sz="8" w:space="0" w:color="auto"/>
            </w:tcBorders>
            <w:shd w:val="clear" w:color="auto" w:fill="auto"/>
            <w:noWrap/>
            <w:vAlign w:val="bottom"/>
            <w:hideMark/>
          </w:tcPr>
          <w:p w14:paraId="1D3A8B4A"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95%</w:t>
            </w:r>
          </w:p>
        </w:tc>
      </w:tr>
      <w:tr w:rsidR="004769F4" w:rsidRPr="007A7F0F" w14:paraId="0E609D23"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5C0917D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M&amp;E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3E38B1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71,921.00 </w:t>
            </w:r>
          </w:p>
        </w:tc>
        <w:tc>
          <w:tcPr>
            <w:tcW w:w="0" w:type="auto"/>
            <w:tcBorders>
              <w:top w:val="nil"/>
              <w:left w:val="nil"/>
              <w:bottom w:val="single" w:sz="4" w:space="0" w:color="auto"/>
              <w:right w:val="single" w:sz="4" w:space="0" w:color="auto"/>
            </w:tcBorders>
            <w:shd w:val="clear" w:color="auto" w:fill="auto"/>
            <w:noWrap/>
            <w:vAlign w:val="bottom"/>
            <w:hideMark/>
          </w:tcPr>
          <w:p w14:paraId="2B5C976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76,281.32 </w:t>
            </w:r>
          </w:p>
        </w:tc>
        <w:tc>
          <w:tcPr>
            <w:tcW w:w="0" w:type="auto"/>
            <w:tcBorders>
              <w:top w:val="nil"/>
              <w:left w:val="nil"/>
              <w:bottom w:val="single" w:sz="4" w:space="0" w:color="auto"/>
              <w:right w:val="single" w:sz="4" w:space="0" w:color="auto"/>
            </w:tcBorders>
            <w:shd w:val="clear" w:color="auto" w:fill="auto"/>
            <w:noWrap/>
            <w:vAlign w:val="bottom"/>
            <w:hideMark/>
          </w:tcPr>
          <w:p w14:paraId="1A280E6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(4,360.32)</w:t>
            </w:r>
          </w:p>
        </w:tc>
        <w:tc>
          <w:tcPr>
            <w:tcW w:w="0" w:type="auto"/>
            <w:tcBorders>
              <w:top w:val="nil"/>
              <w:left w:val="nil"/>
              <w:bottom w:val="single" w:sz="4" w:space="0" w:color="auto"/>
              <w:right w:val="single" w:sz="8" w:space="0" w:color="auto"/>
            </w:tcBorders>
            <w:shd w:val="clear" w:color="auto" w:fill="auto"/>
            <w:noWrap/>
            <w:vAlign w:val="bottom"/>
            <w:hideMark/>
          </w:tcPr>
          <w:p w14:paraId="0DBE293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106%</w:t>
            </w:r>
          </w:p>
        </w:tc>
        <w:tc>
          <w:tcPr>
            <w:tcW w:w="0" w:type="auto"/>
            <w:tcBorders>
              <w:top w:val="nil"/>
              <w:left w:val="nil"/>
              <w:bottom w:val="single" w:sz="4" w:space="0" w:color="auto"/>
              <w:right w:val="single" w:sz="4" w:space="0" w:color="auto"/>
            </w:tcBorders>
            <w:shd w:val="clear" w:color="auto" w:fill="auto"/>
            <w:noWrap/>
            <w:vAlign w:val="bottom"/>
            <w:hideMark/>
          </w:tcPr>
          <w:p w14:paraId="533EFC1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25AD10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111FA5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09BDE50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507F5F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82,250.00 </w:t>
            </w:r>
          </w:p>
        </w:tc>
        <w:tc>
          <w:tcPr>
            <w:tcW w:w="0" w:type="auto"/>
            <w:tcBorders>
              <w:top w:val="nil"/>
              <w:left w:val="nil"/>
              <w:bottom w:val="single" w:sz="4" w:space="0" w:color="auto"/>
              <w:right w:val="single" w:sz="4" w:space="0" w:color="auto"/>
            </w:tcBorders>
            <w:shd w:val="clear" w:color="auto" w:fill="auto"/>
            <w:noWrap/>
            <w:vAlign w:val="bottom"/>
            <w:hideMark/>
          </w:tcPr>
          <w:p w14:paraId="2D73D5F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7,855.00 </w:t>
            </w:r>
          </w:p>
        </w:tc>
        <w:tc>
          <w:tcPr>
            <w:tcW w:w="0" w:type="auto"/>
            <w:tcBorders>
              <w:top w:val="nil"/>
              <w:left w:val="nil"/>
              <w:bottom w:val="single" w:sz="4" w:space="0" w:color="auto"/>
              <w:right w:val="single" w:sz="4" w:space="0" w:color="auto"/>
            </w:tcBorders>
            <w:shd w:val="clear" w:color="auto" w:fill="auto"/>
            <w:noWrap/>
            <w:vAlign w:val="bottom"/>
            <w:hideMark/>
          </w:tcPr>
          <w:p w14:paraId="4FE3C79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74,395.00 </w:t>
            </w:r>
          </w:p>
        </w:tc>
        <w:tc>
          <w:tcPr>
            <w:tcW w:w="0" w:type="auto"/>
            <w:tcBorders>
              <w:top w:val="nil"/>
              <w:left w:val="nil"/>
              <w:bottom w:val="single" w:sz="4" w:space="0" w:color="auto"/>
              <w:right w:val="single" w:sz="8" w:space="0" w:color="auto"/>
            </w:tcBorders>
            <w:shd w:val="clear" w:color="auto" w:fill="auto"/>
            <w:noWrap/>
            <w:vAlign w:val="bottom"/>
            <w:hideMark/>
          </w:tcPr>
          <w:p w14:paraId="706C8614"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w:t>
            </w:r>
          </w:p>
        </w:tc>
      </w:tr>
      <w:tr w:rsidR="004769F4" w:rsidRPr="007A7F0F" w14:paraId="60D83FEB"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2B79028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Admin</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C630BC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26,409.35 </w:t>
            </w:r>
          </w:p>
        </w:tc>
        <w:tc>
          <w:tcPr>
            <w:tcW w:w="0" w:type="auto"/>
            <w:tcBorders>
              <w:top w:val="nil"/>
              <w:left w:val="nil"/>
              <w:bottom w:val="single" w:sz="4" w:space="0" w:color="auto"/>
              <w:right w:val="single" w:sz="4" w:space="0" w:color="auto"/>
            </w:tcBorders>
            <w:shd w:val="clear" w:color="auto" w:fill="auto"/>
            <w:noWrap/>
            <w:vAlign w:val="bottom"/>
            <w:hideMark/>
          </w:tcPr>
          <w:p w14:paraId="5EC87CA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42,625.13 </w:t>
            </w:r>
          </w:p>
        </w:tc>
        <w:tc>
          <w:tcPr>
            <w:tcW w:w="0" w:type="auto"/>
            <w:tcBorders>
              <w:top w:val="nil"/>
              <w:left w:val="nil"/>
              <w:bottom w:val="single" w:sz="4" w:space="0" w:color="auto"/>
              <w:right w:val="single" w:sz="4" w:space="0" w:color="auto"/>
            </w:tcBorders>
            <w:shd w:val="clear" w:color="auto" w:fill="auto"/>
            <w:noWrap/>
            <w:vAlign w:val="bottom"/>
            <w:hideMark/>
          </w:tcPr>
          <w:p w14:paraId="4C621F6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(16,215.78)</w:t>
            </w:r>
          </w:p>
        </w:tc>
        <w:tc>
          <w:tcPr>
            <w:tcW w:w="0" w:type="auto"/>
            <w:tcBorders>
              <w:top w:val="nil"/>
              <w:left w:val="nil"/>
              <w:bottom w:val="single" w:sz="4" w:space="0" w:color="auto"/>
              <w:right w:val="single" w:sz="8" w:space="0" w:color="auto"/>
            </w:tcBorders>
            <w:shd w:val="clear" w:color="auto" w:fill="auto"/>
            <w:noWrap/>
            <w:vAlign w:val="bottom"/>
            <w:hideMark/>
          </w:tcPr>
          <w:p w14:paraId="6B5C8AD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161%</w:t>
            </w:r>
          </w:p>
        </w:tc>
        <w:tc>
          <w:tcPr>
            <w:tcW w:w="0" w:type="auto"/>
            <w:tcBorders>
              <w:top w:val="nil"/>
              <w:left w:val="nil"/>
              <w:bottom w:val="single" w:sz="4" w:space="0" w:color="auto"/>
              <w:right w:val="single" w:sz="4" w:space="0" w:color="auto"/>
            </w:tcBorders>
            <w:shd w:val="clear" w:color="auto" w:fill="auto"/>
            <w:noWrap/>
            <w:vAlign w:val="bottom"/>
            <w:hideMark/>
          </w:tcPr>
          <w:p w14:paraId="58481A3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83,762.00 </w:t>
            </w:r>
          </w:p>
        </w:tc>
        <w:tc>
          <w:tcPr>
            <w:tcW w:w="0" w:type="auto"/>
            <w:tcBorders>
              <w:top w:val="nil"/>
              <w:left w:val="nil"/>
              <w:bottom w:val="single" w:sz="4" w:space="0" w:color="auto"/>
              <w:right w:val="single" w:sz="4" w:space="0" w:color="auto"/>
            </w:tcBorders>
            <w:shd w:val="clear" w:color="auto" w:fill="auto"/>
            <w:noWrap/>
            <w:vAlign w:val="bottom"/>
            <w:hideMark/>
          </w:tcPr>
          <w:p w14:paraId="6121EF2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78,458.22 </w:t>
            </w:r>
          </w:p>
        </w:tc>
        <w:tc>
          <w:tcPr>
            <w:tcW w:w="0" w:type="auto"/>
            <w:tcBorders>
              <w:top w:val="nil"/>
              <w:left w:val="nil"/>
              <w:bottom w:val="single" w:sz="4" w:space="0" w:color="auto"/>
              <w:right w:val="single" w:sz="4" w:space="0" w:color="auto"/>
            </w:tcBorders>
            <w:shd w:val="clear" w:color="auto" w:fill="auto"/>
            <w:noWrap/>
            <w:vAlign w:val="bottom"/>
            <w:hideMark/>
          </w:tcPr>
          <w:p w14:paraId="6DE119E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5,303.78 </w:t>
            </w:r>
          </w:p>
        </w:tc>
        <w:tc>
          <w:tcPr>
            <w:tcW w:w="0" w:type="auto"/>
            <w:tcBorders>
              <w:top w:val="nil"/>
              <w:left w:val="nil"/>
              <w:bottom w:val="single" w:sz="4" w:space="0" w:color="auto"/>
              <w:right w:val="single" w:sz="8" w:space="0" w:color="auto"/>
            </w:tcBorders>
            <w:shd w:val="clear" w:color="auto" w:fill="auto"/>
            <w:noWrap/>
            <w:vAlign w:val="bottom"/>
            <w:hideMark/>
          </w:tcPr>
          <w:p w14:paraId="6FAB0E6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94%</w:t>
            </w:r>
          </w:p>
        </w:tc>
        <w:tc>
          <w:tcPr>
            <w:tcW w:w="0" w:type="auto"/>
            <w:tcBorders>
              <w:top w:val="nil"/>
              <w:left w:val="nil"/>
              <w:bottom w:val="single" w:sz="4" w:space="0" w:color="auto"/>
              <w:right w:val="single" w:sz="4" w:space="0" w:color="auto"/>
            </w:tcBorders>
            <w:shd w:val="clear" w:color="auto" w:fill="auto"/>
            <w:noWrap/>
            <w:vAlign w:val="bottom"/>
            <w:hideMark/>
          </w:tcPr>
          <w:p w14:paraId="10555A4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38,497.09 </w:t>
            </w:r>
          </w:p>
        </w:tc>
        <w:tc>
          <w:tcPr>
            <w:tcW w:w="0" w:type="auto"/>
            <w:tcBorders>
              <w:top w:val="nil"/>
              <w:left w:val="nil"/>
              <w:bottom w:val="single" w:sz="4" w:space="0" w:color="auto"/>
              <w:right w:val="single" w:sz="4" w:space="0" w:color="auto"/>
            </w:tcBorders>
            <w:shd w:val="clear" w:color="auto" w:fill="auto"/>
            <w:noWrap/>
            <w:vAlign w:val="bottom"/>
            <w:hideMark/>
          </w:tcPr>
          <w:p w14:paraId="3574C77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71,894.09 </w:t>
            </w:r>
          </w:p>
        </w:tc>
        <w:tc>
          <w:tcPr>
            <w:tcW w:w="0" w:type="auto"/>
            <w:tcBorders>
              <w:top w:val="nil"/>
              <w:left w:val="nil"/>
              <w:bottom w:val="single" w:sz="4" w:space="0" w:color="auto"/>
              <w:right w:val="single" w:sz="4" w:space="0" w:color="auto"/>
            </w:tcBorders>
            <w:shd w:val="clear" w:color="auto" w:fill="auto"/>
            <w:noWrap/>
            <w:vAlign w:val="bottom"/>
            <w:hideMark/>
          </w:tcPr>
          <w:p w14:paraId="5C159F4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(33,397.00)</w:t>
            </w:r>
          </w:p>
        </w:tc>
        <w:tc>
          <w:tcPr>
            <w:tcW w:w="0" w:type="auto"/>
            <w:tcBorders>
              <w:top w:val="nil"/>
              <w:left w:val="nil"/>
              <w:bottom w:val="single" w:sz="4" w:space="0" w:color="auto"/>
              <w:right w:val="single" w:sz="8" w:space="0" w:color="auto"/>
            </w:tcBorders>
            <w:shd w:val="clear" w:color="auto" w:fill="auto"/>
            <w:noWrap/>
            <w:vAlign w:val="bottom"/>
            <w:hideMark/>
          </w:tcPr>
          <w:p w14:paraId="448C990C"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187%</w:t>
            </w:r>
          </w:p>
        </w:tc>
      </w:tr>
      <w:tr w:rsidR="004769F4" w:rsidRPr="007A7F0F" w14:paraId="5379432A" w14:textId="77777777" w:rsidTr="00AF1EF3">
        <w:trPr>
          <w:trHeight w:val="20"/>
        </w:trPr>
        <w:tc>
          <w:tcPr>
            <w:tcW w:w="0" w:type="auto"/>
            <w:tcBorders>
              <w:top w:val="nil"/>
              <w:left w:val="single" w:sz="4" w:space="0" w:color="auto"/>
              <w:bottom w:val="single" w:sz="4" w:space="0" w:color="auto"/>
              <w:right w:val="nil"/>
            </w:tcBorders>
            <w:shd w:val="clear" w:color="000000" w:fill="C6E0B4"/>
            <w:vAlign w:val="center"/>
            <w:hideMark/>
          </w:tcPr>
          <w:p w14:paraId="6318FD0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Management and Administration Total </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50B0BE0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152,571.35 </w:t>
            </w:r>
          </w:p>
        </w:tc>
        <w:tc>
          <w:tcPr>
            <w:tcW w:w="0" w:type="auto"/>
            <w:tcBorders>
              <w:top w:val="nil"/>
              <w:left w:val="nil"/>
              <w:bottom w:val="single" w:sz="4" w:space="0" w:color="auto"/>
              <w:right w:val="single" w:sz="4" w:space="0" w:color="auto"/>
            </w:tcBorders>
            <w:shd w:val="clear" w:color="000000" w:fill="C6E0B4"/>
            <w:noWrap/>
            <w:vAlign w:val="bottom"/>
            <w:hideMark/>
          </w:tcPr>
          <w:p w14:paraId="2776F85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155,815.55 </w:t>
            </w:r>
          </w:p>
        </w:tc>
        <w:tc>
          <w:tcPr>
            <w:tcW w:w="0" w:type="auto"/>
            <w:tcBorders>
              <w:top w:val="nil"/>
              <w:left w:val="nil"/>
              <w:bottom w:val="single" w:sz="4" w:space="0" w:color="auto"/>
              <w:right w:val="single" w:sz="4" w:space="0" w:color="auto"/>
            </w:tcBorders>
            <w:shd w:val="clear" w:color="000000" w:fill="C6E0B4"/>
            <w:noWrap/>
            <w:vAlign w:val="bottom"/>
            <w:hideMark/>
          </w:tcPr>
          <w:p w14:paraId="1A23289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(3,244.20)</w:t>
            </w:r>
          </w:p>
        </w:tc>
        <w:tc>
          <w:tcPr>
            <w:tcW w:w="0" w:type="auto"/>
            <w:tcBorders>
              <w:top w:val="nil"/>
              <w:left w:val="nil"/>
              <w:bottom w:val="single" w:sz="4" w:space="0" w:color="auto"/>
              <w:right w:val="single" w:sz="8" w:space="0" w:color="auto"/>
            </w:tcBorders>
            <w:shd w:val="clear" w:color="000000" w:fill="C6E0B4"/>
            <w:noWrap/>
            <w:vAlign w:val="bottom"/>
            <w:hideMark/>
          </w:tcPr>
          <w:p w14:paraId="51D8AE5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102%</w:t>
            </w:r>
          </w:p>
        </w:tc>
        <w:tc>
          <w:tcPr>
            <w:tcW w:w="0" w:type="auto"/>
            <w:tcBorders>
              <w:top w:val="nil"/>
              <w:left w:val="nil"/>
              <w:bottom w:val="single" w:sz="4" w:space="0" w:color="auto"/>
              <w:right w:val="single" w:sz="4" w:space="0" w:color="auto"/>
            </w:tcBorders>
            <w:shd w:val="clear" w:color="000000" w:fill="C6E0B4"/>
            <w:noWrap/>
            <w:vAlign w:val="bottom"/>
            <w:hideMark/>
          </w:tcPr>
          <w:p w14:paraId="00A489F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248,950.00 </w:t>
            </w:r>
          </w:p>
        </w:tc>
        <w:tc>
          <w:tcPr>
            <w:tcW w:w="0" w:type="auto"/>
            <w:tcBorders>
              <w:top w:val="nil"/>
              <w:left w:val="nil"/>
              <w:bottom w:val="single" w:sz="4" w:space="0" w:color="auto"/>
              <w:right w:val="single" w:sz="4" w:space="0" w:color="auto"/>
            </w:tcBorders>
            <w:shd w:val="clear" w:color="000000" w:fill="C6E0B4"/>
            <w:noWrap/>
            <w:vAlign w:val="bottom"/>
            <w:hideMark/>
          </w:tcPr>
          <w:p w14:paraId="434D53B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202,317.00 </w:t>
            </w:r>
          </w:p>
        </w:tc>
        <w:tc>
          <w:tcPr>
            <w:tcW w:w="0" w:type="auto"/>
            <w:tcBorders>
              <w:top w:val="nil"/>
              <w:left w:val="nil"/>
              <w:bottom w:val="single" w:sz="4" w:space="0" w:color="auto"/>
              <w:right w:val="single" w:sz="4" w:space="0" w:color="auto"/>
            </w:tcBorders>
            <w:shd w:val="clear" w:color="000000" w:fill="C6E0B4"/>
            <w:noWrap/>
            <w:vAlign w:val="bottom"/>
            <w:hideMark/>
          </w:tcPr>
          <w:p w14:paraId="089294C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46,633.00 </w:t>
            </w:r>
          </w:p>
        </w:tc>
        <w:tc>
          <w:tcPr>
            <w:tcW w:w="0" w:type="auto"/>
            <w:tcBorders>
              <w:top w:val="nil"/>
              <w:left w:val="nil"/>
              <w:bottom w:val="single" w:sz="4" w:space="0" w:color="auto"/>
              <w:right w:val="single" w:sz="8" w:space="0" w:color="auto"/>
            </w:tcBorders>
            <w:shd w:val="clear" w:color="000000" w:fill="C6E0B4"/>
            <w:noWrap/>
            <w:vAlign w:val="bottom"/>
            <w:hideMark/>
          </w:tcPr>
          <w:p w14:paraId="7A61E1F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81%</w:t>
            </w:r>
          </w:p>
        </w:tc>
        <w:tc>
          <w:tcPr>
            <w:tcW w:w="0" w:type="auto"/>
            <w:tcBorders>
              <w:top w:val="nil"/>
              <w:left w:val="nil"/>
              <w:bottom w:val="single" w:sz="4" w:space="0" w:color="auto"/>
              <w:right w:val="single" w:sz="4" w:space="0" w:color="auto"/>
            </w:tcBorders>
            <w:shd w:val="clear" w:color="000000" w:fill="C6E0B4"/>
            <w:noWrap/>
            <w:vAlign w:val="bottom"/>
            <w:hideMark/>
          </w:tcPr>
          <w:p w14:paraId="1827AF5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285,935.09 </w:t>
            </w:r>
          </w:p>
        </w:tc>
        <w:tc>
          <w:tcPr>
            <w:tcW w:w="0" w:type="auto"/>
            <w:tcBorders>
              <w:top w:val="nil"/>
              <w:left w:val="nil"/>
              <w:bottom w:val="single" w:sz="4" w:space="0" w:color="auto"/>
              <w:right w:val="single" w:sz="4" w:space="0" w:color="auto"/>
            </w:tcBorders>
            <w:shd w:val="clear" w:color="000000" w:fill="C6E0B4"/>
            <w:noWrap/>
            <w:vAlign w:val="bottom"/>
            <w:hideMark/>
          </w:tcPr>
          <w:p w14:paraId="457F070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236,360.09 </w:t>
            </w:r>
          </w:p>
        </w:tc>
        <w:tc>
          <w:tcPr>
            <w:tcW w:w="0" w:type="auto"/>
            <w:tcBorders>
              <w:top w:val="nil"/>
              <w:left w:val="nil"/>
              <w:bottom w:val="single" w:sz="4" w:space="0" w:color="auto"/>
              <w:right w:val="single" w:sz="4" w:space="0" w:color="auto"/>
            </w:tcBorders>
            <w:shd w:val="clear" w:color="000000" w:fill="C6E0B4"/>
            <w:noWrap/>
            <w:vAlign w:val="bottom"/>
            <w:hideMark/>
          </w:tcPr>
          <w:p w14:paraId="353E8B7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49,575.00 </w:t>
            </w:r>
          </w:p>
        </w:tc>
        <w:tc>
          <w:tcPr>
            <w:tcW w:w="0" w:type="auto"/>
            <w:tcBorders>
              <w:top w:val="nil"/>
              <w:left w:val="nil"/>
              <w:bottom w:val="single" w:sz="4" w:space="0" w:color="auto"/>
              <w:right w:val="single" w:sz="8" w:space="0" w:color="auto"/>
            </w:tcBorders>
            <w:shd w:val="clear" w:color="000000" w:fill="C6E0B4"/>
            <w:noWrap/>
            <w:vAlign w:val="bottom"/>
            <w:hideMark/>
          </w:tcPr>
          <w:p w14:paraId="3B7A075D" w14:textId="77777777" w:rsidR="004769F4" w:rsidRPr="006A4324" w:rsidRDefault="004769F4" w:rsidP="00AF1EF3">
            <w:pPr>
              <w:jc w:val="right"/>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83%</w:t>
            </w:r>
          </w:p>
        </w:tc>
      </w:tr>
      <w:tr w:rsidR="004769F4" w:rsidRPr="007A7F0F" w14:paraId="7BEBAD73" w14:textId="77777777" w:rsidTr="00AF1EF3">
        <w:trPr>
          <w:trHeight w:val="20"/>
        </w:trPr>
        <w:tc>
          <w:tcPr>
            <w:tcW w:w="0" w:type="auto"/>
            <w:tcBorders>
              <w:top w:val="nil"/>
              <w:left w:val="single" w:sz="4" w:space="0" w:color="auto"/>
              <w:bottom w:val="single" w:sz="4" w:space="0" w:color="auto"/>
              <w:right w:val="nil"/>
            </w:tcBorders>
            <w:shd w:val="clear" w:color="000000" w:fill="C6E0B4"/>
            <w:vAlign w:val="center"/>
            <w:hideMark/>
          </w:tcPr>
          <w:p w14:paraId="6E128DE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58DBBDF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44%</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0113E37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69%</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730AC05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w:t>
            </w:r>
          </w:p>
        </w:tc>
        <w:tc>
          <w:tcPr>
            <w:tcW w:w="0" w:type="auto"/>
            <w:tcBorders>
              <w:top w:val="nil"/>
              <w:left w:val="nil"/>
              <w:bottom w:val="single" w:sz="4" w:space="0" w:color="auto"/>
              <w:right w:val="single" w:sz="8" w:space="0" w:color="auto"/>
            </w:tcBorders>
            <w:shd w:val="clear" w:color="000000" w:fill="C6E0B4"/>
            <w:noWrap/>
            <w:vAlign w:val="bottom"/>
            <w:hideMark/>
          </w:tcPr>
          <w:p w14:paraId="7E81E7E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58AB737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15%</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447AA77A"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14%</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3077D31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26%</w:t>
            </w:r>
          </w:p>
        </w:tc>
        <w:tc>
          <w:tcPr>
            <w:tcW w:w="0" w:type="auto"/>
            <w:tcBorders>
              <w:top w:val="nil"/>
              <w:left w:val="nil"/>
              <w:bottom w:val="single" w:sz="4" w:space="0" w:color="auto"/>
              <w:right w:val="single" w:sz="8" w:space="0" w:color="auto"/>
            </w:tcBorders>
            <w:shd w:val="clear" w:color="000000" w:fill="C6E0B4"/>
            <w:noWrap/>
            <w:vAlign w:val="bottom"/>
            <w:hideMark/>
          </w:tcPr>
          <w:p w14:paraId="7FE9855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3CAD946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17%</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6A24056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16%</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02F0C25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28%</w:t>
            </w:r>
          </w:p>
        </w:tc>
        <w:tc>
          <w:tcPr>
            <w:tcW w:w="0" w:type="auto"/>
            <w:tcBorders>
              <w:top w:val="nil"/>
              <w:left w:val="nil"/>
              <w:bottom w:val="single" w:sz="4" w:space="0" w:color="auto"/>
              <w:right w:val="single" w:sz="8" w:space="0" w:color="auto"/>
            </w:tcBorders>
            <w:shd w:val="clear" w:color="000000" w:fill="C6E0B4"/>
            <w:noWrap/>
            <w:vAlign w:val="bottom"/>
            <w:hideMark/>
          </w:tcPr>
          <w:p w14:paraId="695BA59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5DF5464F" w14:textId="77777777" w:rsidTr="00AF1EF3">
        <w:trPr>
          <w:trHeight w:val="20"/>
        </w:trPr>
        <w:tc>
          <w:tcPr>
            <w:tcW w:w="0" w:type="auto"/>
            <w:tcBorders>
              <w:top w:val="nil"/>
              <w:left w:val="single" w:sz="4" w:space="0" w:color="auto"/>
              <w:bottom w:val="single" w:sz="4" w:space="0" w:color="auto"/>
              <w:right w:val="nil"/>
            </w:tcBorders>
            <w:shd w:val="clear" w:color="000000" w:fill="D6DCE4"/>
            <w:vAlign w:val="center"/>
            <w:hideMark/>
          </w:tcPr>
          <w:p w14:paraId="1B6A1CB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Net Total</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DBC5A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323,070.67 </w:t>
            </w:r>
          </w:p>
        </w:tc>
        <w:tc>
          <w:tcPr>
            <w:tcW w:w="0" w:type="auto"/>
            <w:tcBorders>
              <w:top w:val="nil"/>
              <w:left w:val="nil"/>
              <w:bottom w:val="single" w:sz="4" w:space="0" w:color="auto"/>
              <w:right w:val="single" w:sz="4" w:space="0" w:color="auto"/>
            </w:tcBorders>
            <w:shd w:val="clear" w:color="auto" w:fill="auto"/>
            <w:noWrap/>
            <w:vAlign w:val="bottom"/>
            <w:hideMark/>
          </w:tcPr>
          <w:p w14:paraId="1A3BAF6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208,831.95 </w:t>
            </w:r>
          </w:p>
        </w:tc>
        <w:tc>
          <w:tcPr>
            <w:tcW w:w="0" w:type="auto"/>
            <w:tcBorders>
              <w:top w:val="nil"/>
              <w:left w:val="nil"/>
              <w:bottom w:val="single" w:sz="4" w:space="0" w:color="auto"/>
              <w:right w:val="single" w:sz="4" w:space="0" w:color="auto"/>
            </w:tcBorders>
            <w:shd w:val="clear" w:color="auto" w:fill="auto"/>
            <w:noWrap/>
            <w:vAlign w:val="bottom"/>
            <w:hideMark/>
          </w:tcPr>
          <w:p w14:paraId="7EC5D52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114,238.72 </w:t>
            </w:r>
          </w:p>
        </w:tc>
        <w:tc>
          <w:tcPr>
            <w:tcW w:w="0" w:type="auto"/>
            <w:tcBorders>
              <w:top w:val="nil"/>
              <w:left w:val="nil"/>
              <w:bottom w:val="single" w:sz="4" w:space="0" w:color="auto"/>
              <w:right w:val="single" w:sz="8" w:space="0" w:color="auto"/>
            </w:tcBorders>
            <w:shd w:val="clear" w:color="auto" w:fill="auto"/>
            <w:noWrap/>
            <w:vAlign w:val="bottom"/>
            <w:hideMark/>
          </w:tcPr>
          <w:p w14:paraId="068FB40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65%</w:t>
            </w:r>
          </w:p>
        </w:tc>
        <w:tc>
          <w:tcPr>
            <w:tcW w:w="0" w:type="auto"/>
            <w:tcBorders>
              <w:top w:val="nil"/>
              <w:left w:val="nil"/>
              <w:bottom w:val="single" w:sz="4" w:space="0" w:color="auto"/>
              <w:right w:val="single" w:sz="4" w:space="0" w:color="auto"/>
            </w:tcBorders>
            <w:shd w:val="clear" w:color="auto" w:fill="auto"/>
            <w:noWrap/>
            <w:vAlign w:val="bottom"/>
            <w:hideMark/>
          </w:tcPr>
          <w:p w14:paraId="51FA4F7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1,510,080.70 </w:t>
            </w:r>
          </w:p>
        </w:tc>
        <w:tc>
          <w:tcPr>
            <w:tcW w:w="0" w:type="auto"/>
            <w:tcBorders>
              <w:top w:val="nil"/>
              <w:left w:val="nil"/>
              <w:bottom w:val="single" w:sz="4" w:space="0" w:color="auto"/>
              <w:right w:val="single" w:sz="4" w:space="0" w:color="auto"/>
            </w:tcBorders>
            <w:shd w:val="clear" w:color="auto" w:fill="auto"/>
            <w:noWrap/>
            <w:vAlign w:val="bottom"/>
            <w:hideMark/>
          </w:tcPr>
          <w:p w14:paraId="0AC7DA7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1,345,530.90 </w:t>
            </w:r>
          </w:p>
        </w:tc>
        <w:tc>
          <w:tcPr>
            <w:tcW w:w="0" w:type="auto"/>
            <w:tcBorders>
              <w:top w:val="nil"/>
              <w:left w:val="nil"/>
              <w:bottom w:val="single" w:sz="4" w:space="0" w:color="auto"/>
              <w:right w:val="single" w:sz="4" w:space="0" w:color="auto"/>
            </w:tcBorders>
            <w:shd w:val="clear" w:color="auto" w:fill="auto"/>
            <w:noWrap/>
            <w:vAlign w:val="bottom"/>
            <w:hideMark/>
          </w:tcPr>
          <w:p w14:paraId="30156E6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164,549.80 </w:t>
            </w:r>
          </w:p>
        </w:tc>
        <w:tc>
          <w:tcPr>
            <w:tcW w:w="0" w:type="auto"/>
            <w:tcBorders>
              <w:top w:val="nil"/>
              <w:left w:val="nil"/>
              <w:bottom w:val="single" w:sz="4" w:space="0" w:color="auto"/>
              <w:right w:val="single" w:sz="8" w:space="0" w:color="auto"/>
            </w:tcBorders>
            <w:shd w:val="clear" w:color="auto" w:fill="auto"/>
            <w:noWrap/>
            <w:vAlign w:val="bottom"/>
            <w:hideMark/>
          </w:tcPr>
          <w:p w14:paraId="41388D4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89%</w:t>
            </w:r>
          </w:p>
        </w:tc>
        <w:tc>
          <w:tcPr>
            <w:tcW w:w="0" w:type="auto"/>
            <w:tcBorders>
              <w:top w:val="nil"/>
              <w:left w:val="nil"/>
              <w:bottom w:val="single" w:sz="4" w:space="0" w:color="auto"/>
              <w:right w:val="single" w:sz="4" w:space="0" w:color="auto"/>
            </w:tcBorders>
            <w:shd w:val="clear" w:color="auto" w:fill="auto"/>
            <w:noWrap/>
            <w:vAlign w:val="bottom"/>
            <w:hideMark/>
          </w:tcPr>
          <w:p w14:paraId="3191ABC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1,547,650.63 </w:t>
            </w:r>
          </w:p>
        </w:tc>
        <w:tc>
          <w:tcPr>
            <w:tcW w:w="0" w:type="auto"/>
            <w:tcBorders>
              <w:top w:val="nil"/>
              <w:left w:val="nil"/>
              <w:bottom w:val="single" w:sz="4" w:space="0" w:color="auto"/>
              <w:right w:val="single" w:sz="4" w:space="0" w:color="auto"/>
            </w:tcBorders>
            <w:shd w:val="clear" w:color="auto" w:fill="auto"/>
            <w:noWrap/>
            <w:vAlign w:val="bottom"/>
            <w:hideMark/>
          </w:tcPr>
          <w:p w14:paraId="3C788F5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1,384,170.25 </w:t>
            </w:r>
          </w:p>
        </w:tc>
        <w:tc>
          <w:tcPr>
            <w:tcW w:w="0" w:type="auto"/>
            <w:tcBorders>
              <w:top w:val="nil"/>
              <w:left w:val="nil"/>
              <w:bottom w:val="single" w:sz="4" w:space="0" w:color="auto"/>
              <w:right w:val="single" w:sz="4" w:space="0" w:color="auto"/>
            </w:tcBorders>
            <w:shd w:val="clear" w:color="auto" w:fill="auto"/>
            <w:noWrap/>
            <w:vAlign w:val="bottom"/>
            <w:hideMark/>
          </w:tcPr>
          <w:p w14:paraId="7820F65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163,480.38 </w:t>
            </w:r>
          </w:p>
        </w:tc>
        <w:tc>
          <w:tcPr>
            <w:tcW w:w="0" w:type="auto"/>
            <w:tcBorders>
              <w:top w:val="nil"/>
              <w:left w:val="nil"/>
              <w:bottom w:val="single" w:sz="4" w:space="0" w:color="auto"/>
              <w:right w:val="single" w:sz="8" w:space="0" w:color="auto"/>
            </w:tcBorders>
            <w:shd w:val="clear" w:color="auto" w:fill="auto"/>
            <w:noWrap/>
            <w:vAlign w:val="bottom"/>
            <w:hideMark/>
          </w:tcPr>
          <w:p w14:paraId="23967438" w14:textId="77777777" w:rsidR="004769F4" w:rsidRPr="006A4324" w:rsidRDefault="004769F4" w:rsidP="00AF1EF3">
            <w:pPr>
              <w:jc w:val="right"/>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89%</w:t>
            </w:r>
          </w:p>
        </w:tc>
      </w:tr>
      <w:tr w:rsidR="004769F4" w:rsidRPr="007A7F0F" w14:paraId="7BAB1A18"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259726D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Facilities &amp; Administration (8%)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BA777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25,845.65 </w:t>
            </w:r>
          </w:p>
        </w:tc>
        <w:tc>
          <w:tcPr>
            <w:tcW w:w="0" w:type="auto"/>
            <w:tcBorders>
              <w:top w:val="nil"/>
              <w:left w:val="nil"/>
              <w:bottom w:val="single" w:sz="4" w:space="0" w:color="auto"/>
              <w:right w:val="single" w:sz="4" w:space="0" w:color="auto"/>
            </w:tcBorders>
            <w:shd w:val="clear" w:color="auto" w:fill="auto"/>
            <w:noWrap/>
            <w:vAlign w:val="bottom"/>
            <w:hideMark/>
          </w:tcPr>
          <w:p w14:paraId="3685531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16,706.56 </w:t>
            </w:r>
          </w:p>
        </w:tc>
        <w:tc>
          <w:tcPr>
            <w:tcW w:w="0" w:type="auto"/>
            <w:tcBorders>
              <w:top w:val="nil"/>
              <w:left w:val="nil"/>
              <w:bottom w:val="single" w:sz="4" w:space="0" w:color="auto"/>
              <w:right w:val="single" w:sz="4" w:space="0" w:color="auto"/>
            </w:tcBorders>
            <w:shd w:val="clear" w:color="auto" w:fill="auto"/>
            <w:noWrap/>
            <w:vAlign w:val="bottom"/>
            <w:hideMark/>
          </w:tcPr>
          <w:p w14:paraId="33D16AC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9,139.10 </w:t>
            </w:r>
          </w:p>
        </w:tc>
        <w:tc>
          <w:tcPr>
            <w:tcW w:w="0" w:type="auto"/>
            <w:tcBorders>
              <w:top w:val="nil"/>
              <w:left w:val="nil"/>
              <w:bottom w:val="single" w:sz="4" w:space="0" w:color="auto"/>
              <w:right w:val="single" w:sz="8" w:space="0" w:color="auto"/>
            </w:tcBorders>
            <w:shd w:val="clear" w:color="auto" w:fill="auto"/>
            <w:noWrap/>
            <w:vAlign w:val="bottom"/>
            <w:hideMark/>
          </w:tcPr>
          <w:p w14:paraId="03FB255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65%</w:t>
            </w:r>
          </w:p>
        </w:tc>
        <w:tc>
          <w:tcPr>
            <w:tcW w:w="0" w:type="auto"/>
            <w:tcBorders>
              <w:top w:val="nil"/>
              <w:left w:val="nil"/>
              <w:bottom w:val="single" w:sz="4" w:space="0" w:color="auto"/>
              <w:right w:val="single" w:sz="4" w:space="0" w:color="auto"/>
            </w:tcBorders>
            <w:shd w:val="clear" w:color="auto" w:fill="auto"/>
            <w:noWrap/>
            <w:vAlign w:val="bottom"/>
            <w:hideMark/>
          </w:tcPr>
          <w:p w14:paraId="54D3956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120,806.46 </w:t>
            </w:r>
          </w:p>
        </w:tc>
        <w:tc>
          <w:tcPr>
            <w:tcW w:w="0" w:type="auto"/>
            <w:tcBorders>
              <w:top w:val="nil"/>
              <w:left w:val="nil"/>
              <w:bottom w:val="single" w:sz="4" w:space="0" w:color="auto"/>
              <w:right w:val="single" w:sz="4" w:space="0" w:color="auto"/>
            </w:tcBorders>
            <w:shd w:val="clear" w:color="auto" w:fill="auto"/>
            <w:noWrap/>
            <w:vAlign w:val="bottom"/>
            <w:hideMark/>
          </w:tcPr>
          <w:p w14:paraId="541674D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107,642.47 </w:t>
            </w:r>
          </w:p>
        </w:tc>
        <w:tc>
          <w:tcPr>
            <w:tcW w:w="0" w:type="auto"/>
            <w:tcBorders>
              <w:top w:val="nil"/>
              <w:left w:val="nil"/>
              <w:bottom w:val="single" w:sz="4" w:space="0" w:color="auto"/>
              <w:right w:val="single" w:sz="4" w:space="0" w:color="auto"/>
            </w:tcBorders>
            <w:shd w:val="clear" w:color="auto" w:fill="auto"/>
            <w:noWrap/>
            <w:vAlign w:val="bottom"/>
            <w:hideMark/>
          </w:tcPr>
          <w:p w14:paraId="7C8E3F3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13,163.98 </w:t>
            </w:r>
          </w:p>
        </w:tc>
        <w:tc>
          <w:tcPr>
            <w:tcW w:w="0" w:type="auto"/>
            <w:tcBorders>
              <w:top w:val="nil"/>
              <w:left w:val="nil"/>
              <w:bottom w:val="single" w:sz="4" w:space="0" w:color="auto"/>
              <w:right w:val="single" w:sz="8" w:space="0" w:color="auto"/>
            </w:tcBorders>
            <w:shd w:val="clear" w:color="auto" w:fill="auto"/>
            <w:noWrap/>
            <w:vAlign w:val="bottom"/>
            <w:hideMark/>
          </w:tcPr>
          <w:p w14:paraId="781B0CC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89%</w:t>
            </w:r>
          </w:p>
        </w:tc>
        <w:tc>
          <w:tcPr>
            <w:tcW w:w="0" w:type="auto"/>
            <w:tcBorders>
              <w:top w:val="nil"/>
              <w:left w:val="nil"/>
              <w:bottom w:val="single" w:sz="4" w:space="0" w:color="auto"/>
              <w:right w:val="single" w:sz="4" w:space="0" w:color="auto"/>
            </w:tcBorders>
            <w:shd w:val="clear" w:color="auto" w:fill="auto"/>
            <w:noWrap/>
            <w:vAlign w:val="bottom"/>
            <w:hideMark/>
          </w:tcPr>
          <w:p w14:paraId="40C5D6F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123,812.05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D526F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110,733.62 </w:t>
            </w:r>
          </w:p>
        </w:tc>
        <w:tc>
          <w:tcPr>
            <w:tcW w:w="0" w:type="auto"/>
            <w:tcBorders>
              <w:top w:val="nil"/>
              <w:left w:val="nil"/>
              <w:bottom w:val="single" w:sz="4" w:space="0" w:color="auto"/>
              <w:right w:val="single" w:sz="4" w:space="0" w:color="auto"/>
            </w:tcBorders>
            <w:shd w:val="clear" w:color="auto" w:fill="auto"/>
            <w:noWrap/>
            <w:vAlign w:val="bottom"/>
            <w:hideMark/>
          </w:tcPr>
          <w:p w14:paraId="0C43912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13,078.43 </w:t>
            </w:r>
          </w:p>
        </w:tc>
        <w:tc>
          <w:tcPr>
            <w:tcW w:w="0" w:type="auto"/>
            <w:tcBorders>
              <w:top w:val="nil"/>
              <w:left w:val="nil"/>
              <w:bottom w:val="single" w:sz="4" w:space="0" w:color="auto"/>
              <w:right w:val="single" w:sz="8" w:space="0" w:color="auto"/>
            </w:tcBorders>
            <w:shd w:val="clear" w:color="auto" w:fill="auto"/>
            <w:noWrap/>
            <w:vAlign w:val="bottom"/>
            <w:hideMark/>
          </w:tcPr>
          <w:p w14:paraId="1724D925" w14:textId="77777777" w:rsidR="004769F4" w:rsidRPr="006A4324" w:rsidRDefault="004769F4" w:rsidP="00AF1EF3">
            <w:pPr>
              <w:jc w:val="right"/>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89%</w:t>
            </w:r>
          </w:p>
        </w:tc>
      </w:tr>
      <w:tr w:rsidR="004769F4" w:rsidRPr="007A7F0F" w14:paraId="51743854" w14:textId="77777777" w:rsidTr="00AF1EF3">
        <w:trPr>
          <w:trHeight w:val="20"/>
        </w:trPr>
        <w:tc>
          <w:tcPr>
            <w:tcW w:w="0" w:type="auto"/>
            <w:tcBorders>
              <w:top w:val="nil"/>
              <w:left w:val="single" w:sz="4" w:space="0" w:color="auto"/>
              <w:bottom w:val="nil"/>
              <w:right w:val="nil"/>
            </w:tcBorders>
            <w:shd w:val="clear" w:color="auto" w:fill="auto"/>
            <w:vAlign w:val="center"/>
            <w:hideMark/>
          </w:tcPr>
          <w:p w14:paraId="6E15155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8" w:space="0" w:color="auto"/>
              <w:bottom w:val="nil"/>
              <w:right w:val="single" w:sz="4" w:space="0" w:color="auto"/>
            </w:tcBorders>
            <w:shd w:val="clear" w:color="auto" w:fill="auto"/>
            <w:noWrap/>
            <w:vAlign w:val="bottom"/>
            <w:hideMark/>
          </w:tcPr>
          <w:p w14:paraId="39E1CF7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26E15FC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2F25053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nil"/>
              <w:bottom w:val="nil"/>
              <w:right w:val="single" w:sz="8" w:space="0" w:color="auto"/>
            </w:tcBorders>
            <w:shd w:val="clear" w:color="auto" w:fill="auto"/>
            <w:noWrap/>
            <w:vAlign w:val="bottom"/>
            <w:hideMark/>
          </w:tcPr>
          <w:p w14:paraId="3A456B8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nil"/>
              <w:right w:val="single" w:sz="4" w:space="0" w:color="auto"/>
            </w:tcBorders>
            <w:shd w:val="clear" w:color="auto" w:fill="auto"/>
            <w:noWrap/>
            <w:vAlign w:val="bottom"/>
            <w:hideMark/>
          </w:tcPr>
          <w:p w14:paraId="143B6A3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4665CA9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4A1904A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nil"/>
              <w:bottom w:val="nil"/>
              <w:right w:val="single" w:sz="8" w:space="0" w:color="auto"/>
            </w:tcBorders>
            <w:shd w:val="clear" w:color="auto" w:fill="auto"/>
            <w:noWrap/>
            <w:vAlign w:val="bottom"/>
            <w:hideMark/>
          </w:tcPr>
          <w:p w14:paraId="3CD53F2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nil"/>
              <w:right w:val="single" w:sz="4" w:space="0" w:color="auto"/>
            </w:tcBorders>
            <w:shd w:val="clear" w:color="auto" w:fill="auto"/>
            <w:noWrap/>
            <w:vAlign w:val="bottom"/>
            <w:hideMark/>
          </w:tcPr>
          <w:p w14:paraId="5BE5BBD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1764628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0123AD3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nil"/>
              <w:bottom w:val="nil"/>
              <w:right w:val="single" w:sz="8" w:space="0" w:color="auto"/>
            </w:tcBorders>
            <w:shd w:val="clear" w:color="auto" w:fill="auto"/>
            <w:noWrap/>
            <w:vAlign w:val="bottom"/>
            <w:hideMark/>
          </w:tcPr>
          <w:p w14:paraId="50B8828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5AAE2DD1" w14:textId="77777777" w:rsidTr="00AF1EF3">
        <w:trPr>
          <w:trHeight w:val="20"/>
        </w:trPr>
        <w:tc>
          <w:tcPr>
            <w:tcW w:w="0" w:type="auto"/>
            <w:tcBorders>
              <w:top w:val="single" w:sz="4" w:space="0" w:color="auto"/>
              <w:left w:val="single" w:sz="4" w:space="0" w:color="auto"/>
              <w:bottom w:val="nil"/>
              <w:right w:val="nil"/>
            </w:tcBorders>
            <w:shd w:val="clear" w:color="000000" w:fill="D6DCE4"/>
            <w:vAlign w:val="center"/>
            <w:hideMark/>
          </w:tcPr>
          <w:p w14:paraId="72A1D82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Grand Total</w:t>
            </w:r>
          </w:p>
        </w:tc>
        <w:tc>
          <w:tcPr>
            <w:tcW w:w="0" w:type="auto"/>
            <w:tcBorders>
              <w:top w:val="single" w:sz="4" w:space="0" w:color="auto"/>
              <w:left w:val="single" w:sz="8" w:space="0" w:color="auto"/>
              <w:bottom w:val="nil"/>
              <w:right w:val="single" w:sz="4" w:space="0" w:color="auto"/>
            </w:tcBorders>
            <w:shd w:val="clear" w:color="000000" w:fill="D6DCE4"/>
            <w:noWrap/>
            <w:vAlign w:val="bottom"/>
            <w:hideMark/>
          </w:tcPr>
          <w:p w14:paraId="45EEA17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348,916.32 </w:t>
            </w:r>
          </w:p>
        </w:tc>
        <w:tc>
          <w:tcPr>
            <w:tcW w:w="0" w:type="auto"/>
            <w:tcBorders>
              <w:top w:val="single" w:sz="4" w:space="0" w:color="auto"/>
              <w:left w:val="nil"/>
              <w:bottom w:val="nil"/>
              <w:right w:val="single" w:sz="4" w:space="0" w:color="auto"/>
            </w:tcBorders>
            <w:shd w:val="clear" w:color="000000" w:fill="D6DCE4"/>
            <w:noWrap/>
            <w:vAlign w:val="bottom"/>
            <w:hideMark/>
          </w:tcPr>
          <w:p w14:paraId="6EB4525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225,538.51 </w:t>
            </w:r>
          </w:p>
        </w:tc>
        <w:tc>
          <w:tcPr>
            <w:tcW w:w="0" w:type="auto"/>
            <w:tcBorders>
              <w:top w:val="single" w:sz="4" w:space="0" w:color="auto"/>
              <w:left w:val="nil"/>
              <w:bottom w:val="nil"/>
              <w:right w:val="single" w:sz="4" w:space="0" w:color="auto"/>
            </w:tcBorders>
            <w:shd w:val="clear" w:color="000000" w:fill="D6DCE4"/>
            <w:noWrap/>
            <w:vAlign w:val="bottom"/>
            <w:hideMark/>
          </w:tcPr>
          <w:p w14:paraId="16C7380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123,377.82 </w:t>
            </w:r>
          </w:p>
        </w:tc>
        <w:tc>
          <w:tcPr>
            <w:tcW w:w="0" w:type="auto"/>
            <w:tcBorders>
              <w:top w:val="single" w:sz="4" w:space="0" w:color="auto"/>
              <w:left w:val="nil"/>
              <w:bottom w:val="nil"/>
              <w:right w:val="single" w:sz="8" w:space="0" w:color="auto"/>
            </w:tcBorders>
            <w:shd w:val="clear" w:color="000000" w:fill="D6DCE4"/>
            <w:noWrap/>
            <w:vAlign w:val="bottom"/>
            <w:hideMark/>
          </w:tcPr>
          <w:p w14:paraId="73BD6AB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65%</w:t>
            </w:r>
          </w:p>
        </w:tc>
        <w:tc>
          <w:tcPr>
            <w:tcW w:w="0" w:type="auto"/>
            <w:tcBorders>
              <w:top w:val="single" w:sz="4" w:space="0" w:color="auto"/>
              <w:left w:val="nil"/>
              <w:bottom w:val="nil"/>
              <w:right w:val="single" w:sz="4" w:space="0" w:color="auto"/>
            </w:tcBorders>
            <w:shd w:val="clear" w:color="000000" w:fill="D6DCE4"/>
            <w:noWrap/>
            <w:vAlign w:val="bottom"/>
            <w:hideMark/>
          </w:tcPr>
          <w:p w14:paraId="44B4BAB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1,630,887.16 </w:t>
            </w:r>
          </w:p>
        </w:tc>
        <w:tc>
          <w:tcPr>
            <w:tcW w:w="0" w:type="auto"/>
            <w:tcBorders>
              <w:top w:val="single" w:sz="4" w:space="0" w:color="auto"/>
              <w:left w:val="nil"/>
              <w:bottom w:val="nil"/>
              <w:right w:val="single" w:sz="4" w:space="0" w:color="auto"/>
            </w:tcBorders>
            <w:shd w:val="clear" w:color="000000" w:fill="D6DCE4"/>
            <w:noWrap/>
            <w:vAlign w:val="bottom"/>
            <w:hideMark/>
          </w:tcPr>
          <w:p w14:paraId="646BC13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1,453,173.37 </w:t>
            </w:r>
          </w:p>
        </w:tc>
        <w:tc>
          <w:tcPr>
            <w:tcW w:w="0" w:type="auto"/>
            <w:tcBorders>
              <w:top w:val="single" w:sz="4" w:space="0" w:color="auto"/>
              <w:left w:val="nil"/>
              <w:bottom w:val="nil"/>
              <w:right w:val="single" w:sz="4" w:space="0" w:color="auto"/>
            </w:tcBorders>
            <w:shd w:val="clear" w:color="000000" w:fill="D6DCE4"/>
            <w:noWrap/>
            <w:vAlign w:val="bottom"/>
            <w:hideMark/>
          </w:tcPr>
          <w:p w14:paraId="14E13B4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177,713.78 </w:t>
            </w:r>
          </w:p>
        </w:tc>
        <w:tc>
          <w:tcPr>
            <w:tcW w:w="0" w:type="auto"/>
            <w:tcBorders>
              <w:top w:val="single" w:sz="4" w:space="0" w:color="auto"/>
              <w:left w:val="nil"/>
              <w:bottom w:val="nil"/>
              <w:right w:val="single" w:sz="8" w:space="0" w:color="auto"/>
            </w:tcBorders>
            <w:shd w:val="clear" w:color="000000" w:fill="D6DCE4"/>
            <w:noWrap/>
            <w:vAlign w:val="bottom"/>
            <w:hideMark/>
          </w:tcPr>
          <w:p w14:paraId="1FAC88E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89%</w:t>
            </w:r>
          </w:p>
        </w:tc>
        <w:tc>
          <w:tcPr>
            <w:tcW w:w="0" w:type="auto"/>
            <w:tcBorders>
              <w:top w:val="single" w:sz="4" w:space="0" w:color="auto"/>
              <w:left w:val="nil"/>
              <w:bottom w:val="nil"/>
              <w:right w:val="single" w:sz="4" w:space="0" w:color="auto"/>
            </w:tcBorders>
            <w:shd w:val="clear" w:color="000000" w:fill="D6DCE4"/>
            <w:noWrap/>
            <w:vAlign w:val="bottom"/>
            <w:hideMark/>
          </w:tcPr>
          <w:p w14:paraId="390E06C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1,671,462.68 </w:t>
            </w:r>
          </w:p>
        </w:tc>
        <w:tc>
          <w:tcPr>
            <w:tcW w:w="0" w:type="auto"/>
            <w:tcBorders>
              <w:top w:val="single" w:sz="4" w:space="0" w:color="auto"/>
              <w:left w:val="nil"/>
              <w:bottom w:val="nil"/>
              <w:right w:val="single" w:sz="4" w:space="0" w:color="auto"/>
            </w:tcBorders>
            <w:shd w:val="clear" w:color="000000" w:fill="D6DCE4"/>
            <w:noWrap/>
            <w:vAlign w:val="bottom"/>
            <w:hideMark/>
          </w:tcPr>
          <w:p w14:paraId="6A25C9F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1,494,903.87 </w:t>
            </w:r>
          </w:p>
        </w:tc>
        <w:tc>
          <w:tcPr>
            <w:tcW w:w="0" w:type="auto"/>
            <w:tcBorders>
              <w:top w:val="single" w:sz="4" w:space="0" w:color="auto"/>
              <w:left w:val="nil"/>
              <w:bottom w:val="nil"/>
              <w:right w:val="single" w:sz="4" w:space="0" w:color="auto"/>
            </w:tcBorders>
            <w:shd w:val="clear" w:color="000000" w:fill="D6DCE4"/>
            <w:noWrap/>
            <w:vAlign w:val="bottom"/>
            <w:hideMark/>
          </w:tcPr>
          <w:p w14:paraId="46C2F1B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176,558.81 </w:t>
            </w:r>
          </w:p>
        </w:tc>
        <w:tc>
          <w:tcPr>
            <w:tcW w:w="0" w:type="auto"/>
            <w:tcBorders>
              <w:top w:val="single" w:sz="4" w:space="0" w:color="auto"/>
              <w:left w:val="nil"/>
              <w:bottom w:val="nil"/>
              <w:right w:val="single" w:sz="8" w:space="0" w:color="auto"/>
            </w:tcBorders>
            <w:shd w:val="clear" w:color="000000" w:fill="D6DCE4"/>
            <w:noWrap/>
            <w:vAlign w:val="bottom"/>
            <w:hideMark/>
          </w:tcPr>
          <w:p w14:paraId="3FC098AE" w14:textId="77777777" w:rsidR="004769F4" w:rsidRPr="006A4324" w:rsidRDefault="004769F4" w:rsidP="00AF1EF3">
            <w:pPr>
              <w:jc w:val="right"/>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89%</w:t>
            </w:r>
          </w:p>
        </w:tc>
      </w:tr>
      <w:tr w:rsidR="004769F4" w:rsidRPr="007A7F0F" w14:paraId="5F739671" w14:textId="77777777" w:rsidTr="00AF1EF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720864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Grand Total as per actual received</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5CBA24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501DC49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10B377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5C621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12C089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7152427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7BCD0FF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4E997A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06B81F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659F3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09A13E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1FAD96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bl>
    <w:p w14:paraId="54275108" w14:textId="77777777" w:rsidR="004769F4" w:rsidRDefault="004769F4" w:rsidP="00FE2D51"/>
    <w:p w14:paraId="704CEB2A" w14:textId="77777777" w:rsidR="004769F4" w:rsidRDefault="004769F4" w:rsidP="00FE2D51"/>
    <w:p w14:paraId="244026AA" w14:textId="77777777" w:rsidR="004769F4" w:rsidRDefault="004769F4" w:rsidP="00FE2D51"/>
    <w:p w14:paraId="4C1808B8" w14:textId="693D8906" w:rsidR="00D00890" w:rsidRDefault="00D00890">
      <w:r>
        <w:br w:type="page"/>
      </w:r>
    </w:p>
    <w:p w14:paraId="78BEA17D" w14:textId="77777777" w:rsidR="004769F4" w:rsidRDefault="004769F4" w:rsidP="00FE2D51"/>
    <w:p w14:paraId="51136730" w14:textId="77777777" w:rsidR="004769F4" w:rsidRDefault="004769F4" w:rsidP="00FE2D51"/>
    <w:tbl>
      <w:tblPr>
        <w:tblW w:w="0" w:type="auto"/>
        <w:tblLook w:val="04A0" w:firstRow="1" w:lastRow="0" w:firstColumn="1" w:lastColumn="0" w:noHBand="0" w:noVBand="1"/>
      </w:tblPr>
      <w:tblGrid>
        <w:gridCol w:w="2334"/>
        <w:gridCol w:w="1064"/>
        <w:gridCol w:w="1035"/>
        <w:gridCol w:w="986"/>
        <w:gridCol w:w="719"/>
        <w:gridCol w:w="1103"/>
        <w:gridCol w:w="1064"/>
        <w:gridCol w:w="986"/>
        <w:gridCol w:w="719"/>
        <w:gridCol w:w="1102"/>
        <w:gridCol w:w="1435"/>
        <w:gridCol w:w="1107"/>
        <w:gridCol w:w="1242"/>
      </w:tblGrid>
      <w:tr w:rsidR="004769F4" w:rsidRPr="007A7F0F" w14:paraId="12D8E992" w14:textId="77777777" w:rsidTr="00AF1EF3">
        <w:trPr>
          <w:trHeight w:val="20"/>
        </w:trPr>
        <w:tc>
          <w:tcPr>
            <w:tcW w:w="0" w:type="auto"/>
            <w:tcBorders>
              <w:top w:val="single" w:sz="4" w:space="0" w:color="auto"/>
              <w:left w:val="single" w:sz="4" w:space="0" w:color="auto"/>
              <w:bottom w:val="single" w:sz="4" w:space="0" w:color="auto"/>
              <w:right w:val="nil"/>
            </w:tcBorders>
            <w:shd w:val="clear" w:color="000000" w:fill="808080"/>
            <w:noWrap/>
            <w:vAlign w:val="bottom"/>
            <w:hideMark/>
          </w:tcPr>
          <w:p w14:paraId="28DEBA5E" w14:textId="77777777" w:rsidR="004769F4" w:rsidRPr="006A4324" w:rsidRDefault="004769F4" w:rsidP="00AF1EF3">
            <w:pPr>
              <w:rPr>
                <w:rFonts w:ascii="Calibri" w:eastAsia="Times New Roman" w:hAnsi="Calibri" w:cs="Calibri"/>
                <w:noProof/>
                <w:color w:val="FFFFFF"/>
                <w:sz w:val="12"/>
                <w:szCs w:val="12"/>
                <w:lang w:eastAsia="ru-RU"/>
              </w:rPr>
            </w:pPr>
            <w:r w:rsidRPr="006A4324">
              <w:rPr>
                <w:rFonts w:ascii="Calibri" w:eastAsia="Times New Roman" w:hAnsi="Calibri" w:cs="Calibri"/>
                <w:noProof/>
                <w:color w:val="FFFFFF"/>
                <w:sz w:val="12"/>
                <w:szCs w:val="12"/>
                <w:lang w:eastAsia="ru-RU"/>
              </w:rPr>
              <w:t> </w:t>
            </w:r>
          </w:p>
        </w:tc>
        <w:tc>
          <w:tcPr>
            <w:tcW w:w="0" w:type="auto"/>
            <w:gridSpan w:val="4"/>
            <w:tcBorders>
              <w:top w:val="single" w:sz="8" w:space="0" w:color="auto"/>
              <w:left w:val="single" w:sz="8" w:space="0" w:color="auto"/>
              <w:bottom w:val="nil"/>
              <w:right w:val="single" w:sz="8" w:space="0" w:color="000000"/>
            </w:tcBorders>
            <w:shd w:val="clear" w:color="000000" w:fill="808080"/>
            <w:noWrap/>
            <w:vAlign w:val="bottom"/>
            <w:hideMark/>
          </w:tcPr>
          <w:p w14:paraId="03A062D2"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2019</w:t>
            </w:r>
          </w:p>
        </w:tc>
        <w:tc>
          <w:tcPr>
            <w:tcW w:w="0" w:type="auto"/>
            <w:gridSpan w:val="4"/>
            <w:tcBorders>
              <w:top w:val="single" w:sz="8" w:space="0" w:color="auto"/>
              <w:left w:val="nil"/>
              <w:bottom w:val="single" w:sz="4" w:space="0" w:color="auto"/>
              <w:right w:val="single" w:sz="8" w:space="0" w:color="000000"/>
            </w:tcBorders>
            <w:shd w:val="clear" w:color="000000" w:fill="808080"/>
            <w:noWrap/>
            <w:vAlign w:val="bottom"/>
            <w:hideMark/>
          </w:tcPr>
          <w:p w14:paraId="3AFBCE62"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2020</w:t>
            </w:r>
          </w:p>
        </w:tc>
        <w:tc>
          <w:tcPr>
            <w:tcW w:w="0" w:type="auto"/>
            <w:vMerge w:val="restart"/>
            <w:tcBorders>
              <w:top w:val="single" w:sz="4" w:space="0" w:color="auto"/>
              <w:left w:val="nil"/>
              <w:bottom w:val="single" w:sz="4" w:space="0" w:color="auto"/>
              <w:right w:val="single" w:sz="4" w:space="0" w:color="auto"/>
            </w:tcBorders>
            <w:shd w:val="clear" w:color="000000" w:fill="808080"/>
            <w:noWrap/>
            <w:vAlign w:val="center"/>
            <w:hideMark/>
          </w:tcPr>
          <w:p w14:paraId="69295300"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Total Planned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1621930"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Total Expenditures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B6D3FBF"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Total Balance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9335F3A"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Total Execution Rate</w:t>
            </w:r>
          </w:p>
        </w:tc>
      </w:tr>
      <w:tr w:rsidR="004769F4" w:rsidRPr="007A7F0F" w14:paraId="5C5FEF3C" w14:textId="77777777" w:rsidTr="00AF1EF3">
        <w:trPr>
          <w:trHeight w:val="20"/>
        </w:trPr>
        <w:tc>
          <w:tcPr>
            <w:tcW w:w="0" w:type="auto"/>
            <w:tcBorders>
              <w:top w:val="nil"/>
              <w:left w:val="single" w:sz="4" w:space="0" w:color="auto"/>
              <w:bottom w:val="single" w:sz="4" w:space="0" w:color="auto"/>
              <w:right w:val="nil"/>
            </w:tcBorders>
            <w:shd w:val="clear" w:color="000000" w:fill="808080"/>
            <w:noWrap/>
            <w:vAlign w:val="bottom"/>
            <w:hideMark/>
          </w:tcPr>
          <w:p w14:paraId="2685540B" w14:textId="77777777" w:rsidR="004769F4" w:rsidRPr="006A4324" w:rsidRDefault="004769F4" w:rsidP="00AF1EF3">
            <w:pPr>
              <w:rPr>
                <w:rFonts w:ascii="Calibri" w:eastAsia="Times New Roman" w:hAnsi="Calibri" w:cs="Calibri"/>
                <w:noProof/>
                <w:color w:val="FFFFFF"/>
                <w:sz w:val="12"/>
                <w:szCs w:val="12"/>
                <w:lang w:eastAsia="ru-RU"/>
              </w:rPr>
            </w:pPr>
            <w:r w:rsidRPr="006A4324">
              <w:rPr>
                <w:rFonts w:ascii="Calibri" w:eastAsia="Times New Roman" w:hAnsi="Calibri" w:cs="Calibri"/>
                <w:noProof/>
                <w:color w:val="FFFFFF"/>
                <w:sz w:val="12"/>
                <w:szCs w:val="12"/>
                <w:lang w:eastAsia="ru-RU"/>
              </w:rPr>
              <w:t> </w:t>
            </w:r>
          </w:p>
        </w:tc>
        <w:tc>
          <w:tcPr>
            <w:tcW w:w="0" w:type="auto"/>
            <w:tcBorders>
              <w:top w:val="single" w:sz="8" w:space="0" w:color="auto"/>
              <w:left w:val="single" w:sz="8" w:space="0" w:color="auto"/>
              <w:bottom w:val="single" w:sz="4" w:space="0" w:color="auto"/>
              <w:right w:val="single" w:sz="4" w:space="0" w:color="auto"/>
            </w:tcBorders>
            <w:shd w:val="clear" w:color="000000" w:fill="808080"/>
            <w:vAlign w:val="center"/>
            <w:hideMark/>
          </w:tcPr>
          <w:p w14:paraId="63F5E0D7"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Planned budget </w:t>
            </w:r>
          </w:p>
        </w:tc>
        <w:tc>
          <w:tcPr>
            <w:tcW w:w="0" w:type="auto"/>
            <w:tcBorders>
              <w:top w:val="single" w:sz="8" w:space="0" w:color="auto"/>
              <w:left w:val="nil"/>
              <w:bottom w:val="single" w:sz="4" w:space="0" w:color="auto"/>
              <w:right w:val="single" w:sz="4" w:space="0" w:color="auto"/>
            </w:tcBorders>
            <w:shd w:val="clear" w:color="000000" w:fill="808080"/>
            <w:vAlign w:val="center"/>
            <w:hideMark/>
          </w:tcPr>
          <w:p w14:paraId="6ABF96CF"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Expenditure </w:t>
            </w:r>
          </w:p>
        </w:tc>
        <w:tc>
          <w:tcPr>
            <w:tcW w:w="0" w:type="auto"/>
            <w:tcBorders>
              <w:top w:val="single" w:sz="8" w:space="0" w:color="auto"/>
              <w:left w:val="nil"/>
              <w:bottom w:val="single" w:sz="4" w:space="0" w:color="auto"/>
              <w:right w:val="single" w:sz="4" w:space="0" w:color="auto"/>
            </w:tcBorders>
            <w:shd w:val="clear" w:color="000000" w:fill="808080"/>
            <w:vAlign w:val="center"/>
            <w:hideMark/>
          </w:tcPr>
          <w:p w14:paraId="530962F5"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Balance </w:t>
            </w:r>
          </w:p>
        </w:tc>
        <w:tc>
          <w:tcPr>
            <w:tcW w:w="0" w:type="auto"/>
            <w:tcBorders>
              <w:top w:val="single" w:sz="8" w:space="0" w:color="auto"/>
              <w:left w:val="nil"/>
              <w:bottom w:val="single" w:sz="4" w:space="0" w:color="auto"/>
              <w:right w:val="single" w:sz="8" w:space="0" w:color="auto"/>
            </w:tcBorders>
            <w:shd w:val="clear" w:color="000000" w:fill="808080"/>
            <w:vAlign w:val="center"/>
            <w:hideMark/>
          </w:tcPr>
          <w:p w14:paraId="2A263017"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Execution Rate </w:t>
            </w:r>
          </w:p>
        </w:tc>
        <w:tc>
          <w:tcPr>
            <w:tcW w:w="0" w:type="auto"/>
            <w:tcBorders>
              <w:top w:val="nil"/>
              <w:left w:val="nil"/>
              <w:bottom w:val="single" w:sz="4" w:space="0" w:color="auto"/>
              <w:right w:val="single" w:sz="4" w:space="0" w:color="auto"/>
            </w:tcBorders>
            <w:shd w:val="clear" w:color="000000" w:fill="808080"/>
            <w:vAlign w:val="center"/>
            <w:hideMark/>
          </w:tcPr>
          <w:p w14:paraId="160FA917"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Planned budget </w:t>
            </w:r>
          </w:p>
        </w:tc>
        <w:tc>
          <w:tcPr>
            <w:tcW w:w="0" w:type="auto"/>
            <w:tcBorders>
              <w:top w:val="nil"/>
              <w:left w:val="nil"/>
              <w:bottom w:val="single" w:sz="4" w:space="0" w:color="auto"/>
              <w:right w:val="single" w:sz="4" w:space="0" w:color="auto"/>
            </w:tcBorders>
            <w:shd w:val="clear" w:color="000000" w:fill="808080"/>
            <w:vAlign w:val="center"/>
            <w:hideMark/>
          </w:tcPr>
          <w:p w14:paraId="71D69CD0" w14:textId="77777777" w:rsidR="004769F4" w:rsidRPr="006A4324" w:rsidRDefault="004769F4" w:rsidP="00AF1EF3">
            <w:pP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 Expenditure </w:t>
            </w:r>
          </w:p>
        </w:tc>
        <w:tc>
          <w:tcPr>
            <w:tcW w:w="0" w:type="auto"/>
            <w:tcBorders>
              <w:top w:val="nil"/>
              <w:left w:val="nil"/>
              <w:bottom w:val="single" w:sz="4" w:space="0" w:color="auto"/>
              <w:right w:val="single" w:sz="4" w:space="0" w:color="auto"/>
            </w:tcBorders>
            <w:shd w:val="clear" w:color="000000" w:fill="808080"/>
            <w:vAlign w:val="center"/>
            <w:hideMark/>
          </w:tcPr>
          <w:p w14:paraId="514AC003"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Balance</w:t>
            </w:r>
          </w:p>
        </w:tc>
        <w:tc>
          <w:tcPr>
            <w:tcW w:w="0" w:type="auto"/>
            <w:tcBorders>
              <w:top w:val="nil"/>
              <w:left w:val="nil"/>
              <w:bottom w:val="single" w:sz="4" w:space="0" w:color="auto"/>
              <w:right w:val="single" w:sz="8" w:space="0" w:color="auto"/>
            </w:tcBorders>
            <w:shd w:val="clear" w:color="000000" w:fill="808080"/>
            <w:vAlign w:val="center"/>
            <w:hideMark/>
          </w:tcPr>
          <w:p w14:paraId="3BB51506" w14:textId="77777777" w:rsidR="004769F4" w:rsidRPr="006A4324" w:rsidRDefault="004769F4" w:rsidP="00AF1EF3">
            <w:pPr>
              <w:jc w:val="center"/>
              <w:rPr>
                <w:rFonts w:ascii="Calibri" w:eastAsia="Times New Roman" w:hAnsi="Calibri" w:cs="Calibri"/>
                <w:b/>
                <w:bCs/>
                <w:noProof/>
                <w:color w:val="FFFFFF"/>
                <w:sz w:val="12"/>
                <w:szCs w:val="12"/>
                <w:lang w:eastAsia="ru-RU"/>
              </w:rPr>
            </w:pPr>
            <w:r w:rsidRPr="006A4324">
              <w:rPr>
                <w:rFonts w:ascii="Calibri" w:eastAsia="Times New Roman" w:hAnsi="Calibri" w:cs="Calibri"/>
                <w:b/>
                <w:bCs/>
                <w:noProof/>
                <w:color w:val="FFFFFF"/>
                <w:sz w:val="12"/>
                <w:szCs w:val="12"/>
                <w:lang w:eastAsia="ru-RU"/>
              </w:rPr>
              <w:t xml:space="preserve">Execution Rate </w:t>
            </w:r>
          </w:p>
        </w:tc>
        <w:tc>
          <w:tcPr>
            <w:tcW w:w="0" w:type="auto"/>
            <w:vMerge/>
            <w:tcBorders>
              <w:top w:val="single" w:sz="4" w:space="0" w:color="auto"/>
              <w:left w:val="nil"/>
              <w:bottom w:val="single" w:sz="4" w:space="0" w:color="auto"/>
              <w:right w:val="single" w:sz="4" w:space="0" w:color="auto"/>
            </w:tcBorders>
            <w:vAlign w:val="center"/>
            <w:hideMark/>
          </w:tcPr>
          <w:p w14:paraId="2CF44A2B" w14:textId="77777777" w:rsidR="004769F4" w:rsidRPr="006A4324" w:rsidRDefault="004769F4" w:rsidP="00AF1EF3">
            <w:pPr>
              <w:rPr>
                <w:rFonts w:ascii="Calibri" w:eastAsia="Times New Roman" w:hAnsi="Calibri" w:cs="Calibri"/>
                <w:b/>
                <w:bCs/>
                <w:noProof/>
                <w:color w:val="FFFFFF"/>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E15EF" w14:textId="77777777" w:rsidR="004769F4" w:rsidRPr="006A4324" w:rsidRDefault="004769F4" w:rsidP="00AF1EF3">
            <w:pPr>
              <w:rPr>
                <w:rFonts w:ascii="Calibri" w:eastAsia="Times New Roman" w:hAnsi="Calibri" w:cs="Calibri"/>
                <w:b/>
                <w:bCs/>
                <w:noProof/>
                <w:color w:val="FFFFFF"/>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C4226" w14:textId="77777777" w:rsidR="004769F4" w:rsidRPr="006A4324" w:rsidRDefault="004769F4" w:rsidP="00AF1EF3">
            <w:pPr>
              <w:rPr>
                <w:rFonts w:ascii="Calibri" w:eastAsia="Times New Roman" w:hAnsi="Calibri" w:cs="Calibri"/>
                <w:b/>
                <w:bCs/>
                <w:noProof/>
                <w:color w:val="FFFFFF"/>
                <w:sz w:val="12"/>
                <w:szCs w:val="1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27ADA" w14:textId="77777777" w:rsidR="004769F4" w:rsidRPr="006A4324" w:rsidRDefault="004769F4" w:rsidP="00AF1EF3">
            <w:pPr>
              <w:rPr>
                <w:rFonts w:ascii="Calibri" w:eastAsia="Times New Roman" w:hAnsi="Calibri" w:cs="Calibri"/>
                <w:b/>
                <w:bCs/>
                <w:noProof/>
                <w:color w:val="FFFFFF"/>
                <w:sz w:val="12"/>
                <w:szCs w:val="12"/>
                <w:lang w:eastAsia="ru-RU"/>
              </w:rPr>
            </w:pPr>
          </w:p>
        </w:tc>
      </w:tr>
      <w:tr w:rsidR="004769F4" w:rsidRPr="007A7F0F" w14:paraId="7B1CE082" w14:textId="77777777" w:rsidTr="00AF1EF3">
        <w:trPr>
          <w:trHeight w:val="20"/>
        </w:trPr>
        <w:tc>
          <w:tcPr>
            <w:tcW w:w="0" w:type="auto"/>
            <w:tcBorders>
              <w:top w:val="nil"/>
              <w:left w:val="single" w:sz="4" w:space="0" w:color="auto"/>
              <w:bottom w:val="single" w:sz="4" w:space="0" w:color="auto"/>
              <w:right w:val="nil"/>
            </w:tcBorders>
            <w:shd w:val="clear" w:color="000000" w:fill="D9E1F2"/>
            <w:vAlign w:val="center"/>
            <w:hideMark/>
          </w:tcPr>
          <w:p w14:paraId="6769BC2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OUTPUT 1. AoG senior staff better prepared to effectively manage (plan and implement) Public Administration Reform as a holistic change management process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E64A29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5BFA84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4A7383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0E250F1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EC1CA0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B6FC64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A1789C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740DA9A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B31559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EAD3C1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6E683E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45F67C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322BB0ED"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1DDDC34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Contractual Services-Companies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9A465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71,961.00 </w:t>
            </w:r>
          </w:p>
        </w:tc>
        <w:tc>
          <w:tcPr>
            <w:tcW w:w="0" w:type="auto"/>
            <w:tcBorders>
              <w:top w:val="nil"/>
              <w:left w:val="nil"/>
              <w:bottom w:val="single" w:sz="4" w:space="0" w:color="auto"/>
              <w:right w:val="single" w:sz="4" w:space="0" w:color="auto"/>
            </w:tcBorders>
            <w:shd w:val="clear" w:color="auto" w:fill="auto"/>
            <w:noWrap/>
            <w:vAlign w:val="bottom"/>
            <w:hideMark/>
          </w:tcPr>
          <w:p w14:paraId="3C89BB5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120,521.67 </w:t>
            </w:r>
          </w:p>
        </w:tc>
        <w:tc>
          <w:tcPr>
            <w:tcW w:w="0" w:type="auto"/>
            <w:tcBorders>
              <w:top w:val="nil"/>
              <w:left w:val="nil"/>
              <w:bottom w:val="single" w:sz="4" w:space="0" w:color="auto"/>
              <w:right w:val="single" w:sz="4" w:space="0" w:color="auto"/>
            </w:tcBorders>
            <w:shd w:val="clear" w:color="auto" w:fill="auto"/>
            <w:noWrap/>
            <w:vAlign w:val="bottom"/>
            <w:hideMark/>
          </w:tcPr>
          <w:p w14:paraId="0AE3FD5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(48,560.67)</w:t>
            </w:r>
          </w:p>
        </w:tc>
        <w:tc>
          <w:tcPr>
            <w:tcW w:w="0" w:type="auto"/>
            <w:tcBorders>
              <w:top w:val="nil"/>
              <w:left w:val="nil"/>
              <w:bottom w:val="single" w:sz="4" w:space="0" w:color="auto"/>
              <w:right w:val="single" w:sz="8" w:space="0" w:color="auto"/>
            </w:tcBorders>
            <w:shd w:val="clear" w:color="auto" w:fill="auto"/>
            <w:noWrap/>
            <w:vAlign w:val="bottom"/>
            <w:hideMark/>
          </w:tcPr>
          <w:p w14:paraId="677B20E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167%</w:t>
            </w:r>
          </w:p>
        </w:tc>
        <w:tc>
          <w:tcPr>
            <w:tcW w:w="0" w:type="auto"/>
            <w:tcBorders>
              <w:top w:val="nil"/>
              <w:left w:val="nil"/>
              <w:bottom w:val="single" w:sz="4" w:space="0" w:color="auto"/>
              <w:right w:val="single" w:sz="4" w:space="0" w:color="auto"/>
            </w:tcBorders>
            <w:shd w:val="clear" w:color="auto" w:fill="auto"/>
            <w:noWrap/>
            <w:vAlign w:val="bottom"/>
            <w:hideMark/>
          </w:tcPr>
          <w:p w14:paraId="79A9915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939672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A375E5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292B36B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9DE5DF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71,961.00 </w:t>
            </w:r>
          </w:p>
        </w:tc>
        <w:tc>
          <w:tcPr>
            <w:tcW w:w="0" w:type="auto"/>
            <w:tcBorders>
              <w:top w:val="nil"/>
              <w:left w:val="nil"/>
              <w:bottom w:val="single" w:sz="4" w:space="0" w:color="auto"/>
              <w:right w:val="single" w:sz="4" w:space="0" w:color="auto"/>
            </w:tcBorders>
            <w:shd w:val="clear" w:color="auto" w:fill="auto"/>
            <w:noWrap/>
            <w:vAlign w:val="bottom"/>
            <w:hideMark/>
          </w:tcPr>
          <w:p w14:paraId="62C7F75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120,521.67 </w:t>
            </w:r>
          </w:p>
        </w:tc>
        <w:tc>
          <w:tcPr>
            <w:tcW w:w="0" w:type="auto"/>
            <w:tcBorders>
              <w:top w:val="nil"/>
              <w:left w:val="nil"/>
              <w:bottom w:val="single" w:sz="4" w:space="0" w:color="auto"/>
              <w:right w:val="single" w:sz="4" w:space="0" w:color="auto"/>
            </w:tcBorders>
            <w:shd w:val="clear" w:color="auto" w:fill="auto"/>
            <w:noWrap/>
            <w:vAlign w:val="bottom"/>
            <w:hideMark/>
          </w:tcPr>
          <w:p w14:paraId="2C68B56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(48,560.67)</w:t>
            </w:r>
          </w:p>
        </w:tc>
        <w:tc>
          <w:tcPr>
            <w:tcW w:w="0" w:type="auto"/>
            <w:tcBorders>
              <w:top w:val="nil"/>
              <w:left w:val="nil"/>
              <w:bottom w:val="single" w:sz="4" w:space="0" w:color="auto"/>
              <w:right w:val="single" w:sz="4" w:space="0" w:color="auto"/>
            </w:tcBorders>
            <w:shd w:val="clear" w:color="auto" w:fill="auto"/>
            <w:noWrap/>
            <w:vAlign w:val="bottom"/>
            <w:hideMark/>
          </w:tcPr>
          <w:p w14:paraId="4802E58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167%</w:t>
            </w:r>
          </w:p>
        </w:tc>
      </w:tr>
      <w:tr w:rsidR="004769F4" w:rsidRPr="007A7F0F" w14:paraId="059D488F"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512F41D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Local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CFEF6A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C4A55E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ACED0A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7B270D4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436282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30,417.01 </w:t>
            </w:r>
          </w:p>
        </w:tc>
        <w:tc>
          <w:tcPr>
            <w:tcW w:w="0" w:type="auto"/>
            <w:tcBorders>
              <w:top w:val="nil"/>
              <w:left w:val="nil"/>
              <w:bottom w:val="single" w:sz="4" w:space="0" w:color="auto"/>
              <w:right w:val="single" w:sz="4" w:space="0" w:color="auto"/>
            </w:tcBorders>
            <w:shd w:val="clear" w:color="auto" w:fill="auto"/>
            <w:noWrap/>
            <w:vAlign w:val="bottom"/>
            <w:hideMark/>
          </w:tcPr>
          <w:p w14:paraId="4CAE35D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27,325.00 </w:t>
            </w:r>
          </w:p>
        </w:tc>
        <w:tc>
          <w:tcPr>
            <w:tcW w:w="0" w:type="auto"/>
            <w:tcBorders>
              <w:top w:val="nil"/>
              <w:left w:val="nil"/>
              <w:bottom w:val="single" w:sz="4" w:space="0" w:color="auto"/>
              <w:right w:val="single" w:sz="4" w:space="0" w:color="auto"/>
            </w:tcBorders>
            <w:shd w:val="clear" w:color="auto" w:fill="auto"/>
            <w:noWrap/>
            <w:vAlign w:val="bottom"/>
            <w:hideMark/>
          </w:tcPr>
          <w:p w14:paraId="5254F16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3,092.01 </w:t>
            </w:r>
          </w:p>
        </w:tc>
        <w:tc>
          <w:tcPr>
            <w:tcW w:w="0" w:type="auto"/>
            <w:tcBorders>
              <w:top w:val="nil"/>
              <w:left w:val="nil"/>
              <w:bottom w:val="single" w:sz="4" w:space="0" w:color="auto"/>
              <w:right w:val="single" w:sz="8" w:space="0" w:color="auto"/>
            </w:tcBorders>
            <w:shd w:val="clear" w:color="auto" w:fill="auto"/>
            <w:noWrap/>
            <w:vAlign w:val="bottom"/>
            <w:hideMark/>
          </w:tcPr>
          <w:p w14:paraId="1FBE6E1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90%</w:t>
            </w:r>
          </w:p>
        </w:tc>
        <w:tc>
          <w:tcPr>
            <w:tcW w:w="0" w:type="auto"/>
            <w:tcBorders>
              <w:top w:val="nil"/>
              <w:left w:val="nil"/>
              <w:bottom w:val="single" w:sz="4" w:space="0" w:color="auto"/>
              <w:right w:val="single" w:sz="4" w:space="0" w:color="auto"/>
            </w:tcBorders>
            <w:shd w:val="clear" w:color="auto" w:fill="auto"/>
            <w:noWrap/>
            <w:vAlign w:val="bottom"/>
            <w:hideMark/>
          </w:tcPr>
          <w:p w14:paraId="67912DA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47,917.01 </w:t>
            </w:r>
          </w:p>
        </w:tc>
        <w:tc>
          <w:tcPr>
            <w:tcW w:w="0" w:type="auto"/>
            <w:tcBorders>
              <w:top w:val="nil"/>
              <w:left w:val="nil"/>
              <w:bottom w:val="single" w:sz="4" w:space="0" w:color="auto"/>
              <w:right w:val="single" w:sz="4" w:space="0" w:color="auto"/>
            </w:tcBorders>
            <w:shd w:val="clear" w:color="auto" w:fill="auto"/>
            <w:noWrap/>
            <w:vAlign w:val="bottom"/>
            <w:hideMark/>
          </w:tcPr>
          <w:p w14:paraId="4790872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48,875.00 </w:t>
            </w:r>
          </w:p>
        </w:tc>
        <w:tc>
          <w:tcPr>
            <w:tcW w:w="0" w:type="auto"/>
            <w:tcBorders>
              <w:top w:val="nil"/>
              <w:left w:val="nil"/>
              <w:bottom w:val="single" w:sz="4" w:space="0" w:color="auto"/>
              <w:right w:val="single" w:sz="4" w:space="0" w:color="auto"/>
            </w:tcBorders>
            <w:shd w:val="clear" w:color="auto" w:fill="auto"/>
            <w:noWrap/>
            <w:vAlign w:val="bottom"/>
            <w:hideMark/>
          </w:tcPr>
          <w:p w14:paraId="0E9EB5B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(957.99)</w:t>
            </w:r>
          </w:p>
        </w:tc>
        <w:tc>
          <w:tcPr>
            <w:tcW w:w="0" w:type="auto"/>
            <w:tcBorders>
              <w:top w:val="nil"/>
              <w:left w:val="nil"/>
              <w:bottom w:val="single" w:sz="4" w:space="0" w:color="auto"/>
              <w:right w:val="single" w:sz="4" w:space="0" w:color="auto"/>
            </w:tcBorders>
            <w:shd w:val="clear" w:color="auto" w:fill="auto"/>
            <w:noWrap/>
            <w:vAlign w:val="bottom"/>
            <w:hideMark/>
          </w:tcPr>
          <w:p w14:paraId="79AD3A2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102%</w:t>
            </w:r>
          </w:p>
        </w:tc>
      </w:tr>
      <w:tr w:rsidR="004769F4" w:rsidRPr="007A7F0F" w14:paraId="37E34AB5"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7DF54D9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International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6AFA50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75,000.00 </w:t>
            </w:r>
          </w:p>
        </w:tc>
        <w:tc>
          <w:tcPr>
            <w:tcW w:w="0" w:type="auto"/>
            <w:tcBorders>
              <w:top w:val="nil"/>
              <w:left w:val="nil"/>
              <w:bottom w:val="single" w:sz="4" w:space="0" w:color="auto"/>
              <w:right w:val="single" w:sz="4" w:space="0" w:color="auto"/>
            </w:tcBorders>
            <w:shd w:val="clear" w:color="auto" w:fill="auto"/>
            <w:noWrap/>
            <w:vAlign w:val="bottom"/>
            <w:hideMark/>
          </w:tcPr>
          <w:p w14:paraId="5B5AD67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97,952.16 </w:t>
            </w:r>
          </w:p>
        </w:tc>
        <w:tc>
          <w:tcPr>
            <w:tcW w:w="0" w:type="auto"/>
            <w:tcBorders>
              <w:top w:val="nil"/>
              <w:left w:val="nil"/>
              <w:bottom w:val="single" w:sz="4" w:space="0" w:color="auto"/>
              <w:right w:val="single" w:sz="4" w:space="0" w:color="auto"/>
            </w:tcBorders>
            <w:shd w:val="clear" w:color="auto" w:fill="auto"/>
            <w:noWrap/>
            <w:vAlign w:val="bottom"/>
            <w:hideMark/>
          </w:tcPr>
          <w:p w14:paraId="46E31DD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(22,952.16)</w:t>
            </w:r>
          </w:p>
        </w:tc>
        <w:tc>
          <w:tcPr>
            <w:tcW w:w="0" w:type="auto"/>
            <w:tcBorders>
              <w:top w:val="nil"/>
              <w:left w:val="nil"/>
              <w:bottom w:val="single" w:sz="4" w:space="0" w:color="auto"/>
              <w:right w:val="single" w:sz="8" w:space="0" w:color="auto"/>
            </w:tcBorders>
            <w:shd w:val="clear" w:color="auto" w:fill="auto"/>
            <w:noWrap/>
            <w:vAlign w:val="bottom"/>
            <w:hideMark/>
          </w:tcPr>
          <w:p w14:paraId="11FC0C2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131%</w:t>
            </w:r>
          </w:p>
        </w:tc>
        <w:tc>
          <w:tcPr>
            <w:tcW w:w="0" w:type="auto"/>
            <w:tcBorders>
              <w:top w:val="nil"/>
              <w:left w:val="nil"/>
              <w:bottom w:val="single" w:sz="4" w:space="0" w:color="auto"/>
              <w:right w:val="single" w:sz="4" w:space="0" w:color="auto"/>
            </w:tcBorders>
            <w:shd w:val="clear" w:color="auto" w:fill="auto"/>
            <w:noWrap/>
            <w:vAlign w:val="bottom"/>
            <w:hideMark/>
          </w:tcPr>
          <w:p w14:paraId="0D6A3E1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8,500.00 </w:t>
            </w:r>
          </w:p>
        </w:tc>
        <w:tc>
          <w:tcPr>
            <w:tcW w:w="0" w:type="auto"/>
            <w:tcBorders>
              <w:top w:val="nil"/>
              <w:left w:val="nil"/>
              <w:bottom w:val="single" w:sz="4" w:space="0" w:color="auto"/>
              <w:right w:val="single" w:sz="4" w:space="0" w:color="auto"/>
            </w:tcBorders>
            <w:shd w:val="clear" w:color="auto" w:fill="auto"/>
            <w:noWrap/>
            <w:vAlign w:val="bottom"/>
            <w:hideMark/>
          </w:tcPr>
          <w:p w14:paraId="3FDC7B4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54,009.00 </w:t>
            </w:r>
          </w:p>
        </w:tc>
        <w:tc>
          <w:tcPr>
            <w:tcW w:w="0" w:type="auto"/>
            <w:tcBorders>
              <w:top w:val="nil"/>
              <w:left w:val="nil"/>
              <w:bottom w:val="single" w:sz="4" w:space="0" w:color="auto"/>
              <w:right w:val="single" w:sz="4" w:space="0" w:color="auto"/>
            </w:tcBorders>
            <w:shd w:val="clear" w:color="auto" w:fill="auto"/>
            <w:noWrap/>
            <w:vAlign w:val="bottom"/>
            <w:hideMark/>
          </w:tcPr>
          <w:p w14:paraId="08722FD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(45,509.00)</w:t>
            </w:r>
          </w:p>
        </w:tc>
        <w:tc>
          <w:tcPr>
            <w:tcW w:w="0" w:type="auto"/>
            <w:tcBorders>
              <w:top w:val="nil"/>
              <w:left w:val="nil"/>
              <w:bottom w:val="single" w:sz="4" w:space="0" w:color="auto"/>
              <w:right w:val="single" w:sz="8" w:space="0" w:color="auto"/>
            </w:tcBorders>
            <w:shd w:val="clear" w:color="auto" w:fill="auto"/>
            <w:noWrap/>
            <w:vAlign w:val="bottom"/>
            <w:hideMark/>
          </w:tcPr>
          <w:p w14:paraId="1FA2AEF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635%</w:t>
            </w:r>
          </w:p>
        </w:tc>
        <w:tc>
          <w:tcPr>
            <w:tcW w:w="0" w:type="auto"/>
            <w:tcBorders>
              <w:top w:val="nil"/>
              <w:left w:val="nil"/>
              <w:bottom w:val="single" w:sz="4" w:space="0" w:color="auto"/>
              <w:right w:val="single" w:sz="4" w:space="0" w:color="auto"/>
            </w:tcBorders>
            <w:shd w:val="clear" w:color="auto" w:fill="auto"/>
            <w:noWrap/>
            <w:vAlign w:val="bottom"/>
            <w:hideMark/>
          </w:tcPr>
          <w:p w14:paraId="3F1EFB5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293,494.81 </w:t>
            </w:r>
          </w:p>
        </w:tc>
        <w:tc>
          <w:tcPr>
            <w:tcW w:w="0" w:type="auto"/>
            <w:tcBorders>
              <w:top w:val="nil"/>
              <w:left w:val="nil"/>
              <w:bottom w:val="single" w:sz="4" w:space="0" w:color="auto"/>
              <w:right w:val="single" w:sz="4" w:space="0" w:color="auto"/>
            </w:tcBorders>
            <w:shd w:val="clear" w:color="auto" w:fill="auto"/>
            <w:noWrap/>
            <w:vAlign w:val="bottom"/>
            <w:hideMark/>
          </w:tcPr>
          <w:p w14:paraId="229E237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350,439.50 </w:t>
            </w:r>
          </w:p>
        </w:tc>
        <w:tc>
          <w:tcPr>
            <w:tcW w:w="0" w:type="auto"/>
            <w:tcBorders>
              <w:top w:val="nil"/>
              <w:left w:val="nil"/>
              <w:bottom w:val="single" w:sz="4" w:space="0" w:color="auto"/>
              <w:right w:val="single" w:sz="4" w:space="0" w:color="auto"/>
            </w:tcBorders>
            <w:shd w:val="clear" w:color="auto" w:fill="auto"/>
            <w:noWrap/>
            <w:vAlign w:val="bottom"/>
            <w:hideMark/>
          </w:tcPr>
          <w:p w14:paraId="27C419D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(56,944.69)</w:t>
            </w:r>
          </w:p>
        </w:tc>
        <w:tc>
          <w:tcPr>
            <w:tcW w:w="0" w:type="auto"/>
            <w:tcBorders>
              <w:top w:val="nil"/>
              <w:left w:val="nil"/>
              <w:bottom w:val="single" w:sz="4" w:space="0" w:color="auto"/>
              <w:right w:val="single" w:sz="4" w:space="0" w:color="auto"/>
            </w:tcBorders>
            <w:shd w:val="clear" w:color="auto" w:fill="auto"/>
            <w:noWrap/>
            <w:vAlign w:val="bottom"/>
            <w:hideMark/>
          </w:tcPr>
          <w:p w14:paraId="291F7BF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119%</w:t>
            </w:r>
          </w:p>
        </w:tc>
      </w:tr>
      <w:tr w:rsidR="004769F4" w:rsidRPr="007A7F0F" w14:paraId="076BAF00"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25B5E06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Grants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6E1F9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45,403.12 </w:t>
            </w:r>
          </w:p>
        </w:tc>
        <w:tc>
          <w:tcPr>
            <w:tcW w:w="0" w:type="auto"/>
            <w:tcBorders>
              <w:top w:val="nil"/>
              <w:left w:val="nil"/>
              <w:bottom w:val="single" w:sz="4" w:space="0" w:color="auto"/>
              <w:right w:val="single" w:sz="4" w:space="0" w:color="auto"/>
            </w:tcBorders>
            <w:shd w:val="clear" w:color="auto" w:fill="auto"/>
            <w:noWrap/>
            <w:vAlign w:val="bottom"/>
            <w:hideMark/>
          </w:tcPr>
          <w:p w14:paraId="14BFA83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52,064.17 </w:t>
            </w:r>
          </w:p>
        </w:tc>
        <w:tc>
          <w:tcPr>
            <w:tcW w:w="0" w:type="auto"/>
            <w:tcBorders>
              <w:top w:val="nil"/>
              <w:left w:val="nil"/>
              <w:bottom w:val="single" w:sz="4" w:space="0" w:color="auto"/>
              <w:right w:val="single" w:sz="4" w:space="0" w:color="auto"/>
            </w:tcBorders>
            <w:shd w:val="clear" w:color="auto" w:fill="auto"/>
            <w:noWrap/>
            <w:vAlign w:val="bottom"/>
            <w:hideMark/>
          </w:tcPr>
          <w:p w14:paraId="17A5528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(6,661.05)</w:t>
            </w:r>
          </w:p>
        </w:tc>
        <w:tc>
          <w:tcPr>
            <w:tcW w:w="0" w:type="auto"/>
            <w:tcBorders>
              <w:top w:val="nil"/>
              <w:left w:val="nil"/>
              <w:bottom w:val="single" w:sz="4" w:space="0" w:color="auto"/>
              <w:right w:val="single" w:sz="8" w:space="0" w:color="auto"/>
            </w:tcBorders>
            <w:shd w:val="clear" w:color="auto" w:fill="auto"/>
            <w:noWrap/>
            <w:vAlign w:val="bottom"/>
            <w:hideMark/>
          </w:tcPr>
          <w:p w14:paraId="3C5C956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115%</w:t>
            </w:r>
          </w:p>
        </w:tc>
        <w:tc>
          <w:tcPr>
            <w:tcW w:w="0" w:type="auto"/>
            <w:tcBorders>
              <w:top w:val="nil"/>
              <w:left w:val="nil"/>
              <w:bottom w:val="single" w:sz="4" w:space="0" w:color="auto"/>
              <w:right w:val="single" w:sz="4" w:space="0" w:color="auto"/>
            </w:tcBorders>
            <w:shd w:val="clear" w:color="auto" w:fill="auto"/>
            <w:noWrap/>
            <w:vAlign w:val="bottom"/>
            <w:hideMark/>
          </w:tcPr>
          <w:p w14:paraId="46DC9AB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100,964.00 </w:t>
            </w:r>
          </w:p>
        </w:tc>
        <w:tc>
          <w:tcPr>
            <w:tcW w:w="0" w:type="auto"/>
            <w:tcBorders>
              <w:top w:val="nil"/>
              <w:left w:val="nil"/>
              <w:bottom w:val="single" w:sz="4" w:space="0" w:color="auto"/>
              <w:right w:val="single" w:sz="4" w:space="0" w:color="auto"/>
            </w:tcBorders>
            <w:shd w:val="clear" w:color="auto" w:fill="auto"/>
            <w:noWrap/>
            <w:vAlign w:val="bottom"/>
            <w:hideMark/>
          </w:tcPr>
          <w:p w14:paraId="182903F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96,535.00 </w:t>
            </w:r>
          </w:p>
        </w:tc>
        <w:tc>
          <w:tcPr>
            <w:tcW w:w="0" w:type="auto"/>
            <w:tcBorders>
              <w:top w:val="nil"/>
              <w:left w:val="nil"/>
              <w:bottom w:val="single" w:sz="4" w:space="0" w:color="auto"/>
              <w:right w:val="single" w:sz="4" w:space="0" w:color="auto"/>
            </w:tcBorders>
            <w:shd w:val="clear" w:color="auto" w:fill="auto"/>
            <w:noWrap/>
            <w:vAlign w:val="bottom"/>
            <w:hideMark/>
          </w:tcPr>
          <w:p w14:paraId="788A53F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4,429.00 </w:t>
            </w:r>
          </w:p>
        </w:tc>
        <w:tc>
          <w:tcPr>
            <w:tcW w:w="0" w:type="auto"/>
            <w:tcBorders>
              <w:top w:val="nil"/>
              <w:left w:val="nil"/>
              <w:bottom w:val="single" w:sz="4" w:space="0" w:color="auto"/>
              <w:right w:val="single" w:sz="8" w:space="0" w:color="auto"/>
            </w:tcBorders>
            <w:shd w:val="clear" w:color="auto" w:fill="auto"/>
            <w:noWrap/>
            <w:vAlign w:val="bottom"/>
            <w:hideMark/>
          </w:tcPr>
          <w:p w14:paraId="6DC3921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14:paraId="02C7EC6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146,367.12 </w:t>
            </w:r>
          </w:p>
        </w:tc>
        <w:tc>
          <w:tcPr>
            <w:tcW w:w="0" w:type="auto"/>
            <w:tcBorders>
              <w:top w:val="nil"/>
              <w:left w:val="nil"/>
              <w:bottom w:val="single" w:sz="4" w:space="0" w:color="auto"/>
              <w:right w:val="single" w:sz="4" w:space="0" w:color="auto"/>
            </w:tcBorders>
            <w:shd w:val="clear" w:color="auto" w:fill="auto"/>
            <w:noWrap/>
            <w:vAlign w:val="bottom"/>
            <w:hideMark/>
          </w:tcPr>
          <w:p w14:paraId="4AC4C48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148,599.17 </w:t>
            </w:r>
          </w:p>
        </w:tc>
        <w:tc>
          <w:tcPr>
            <w:tcW w:w="0" w:type="auto"/>
            <w:tcBorders>
              <w:top w:val="nil"/>
              <w:left w:val="nil"/>
              <w:bottom w:val="single" w:sz="4" w:space="0" w:color="auto"/>
              <w:right w:val="single" w:sz="4" w:space="0" w:color="auto"/>
            </w:tcBorders>
            <w:shd w:val="clear" w:color="auto" w:fill="auto"/>
            <w:noWrap/>
            <w:vAlign w:val="bottom"/>
            <w:hideMark/>
          </w:tcPr>
          <w:p w14:paraId="79B3F66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(2,232.05)</w:t>
            </w:r>
          </w:p>
        </w:tc>
        <w:tc>
          <w:tcPr>
            <w:tcW w:w="0" w:type="auto"/>
            <w:tcBorders>
              <w:top w:val="nil"/>
              <w:left w:val="nil"/>
              <w:bottom w:val="single" w:sz="4" w:space="0" w:color="auto"/>
              <w:right w:val="single" w:sz="4" w:space="0" w:color="auto"/>
            </w:tcBorders>
            <w:shd w:val="clear" w:color="auto" w:fill="auto"/>
            <w:noWrap/>
            <w:vAlign w:val="bottom"/>
            <w:hideMark/>
          </w:tcPr>
          <w:p w14:paraId="08001D2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102%</w:t>
            </w:r>
          </w:p>
        </w:tc>
      </w:tr>
      <w:tr w:rsidR="004769F4" w:rsidRPr="007A7F0F" w14:paraId="47BB4724"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4925453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Events, conferences, travel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5DCAA3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10,000.00 </w:t>
            </w:r>
          </w:p>
        </w:tc>
        <w:tc>
          <w:tcPr>
            <w:tcW w:w="0" w:type="auto"/>
            <w:tcBorders>
              <w:top w:val="nil"/>
              <w:left w:val="nil"/>
              <w:bottom w:val="single" w:sz="4" w:space="0" w:color="auto"/>
              <w:right w:val="single" w:sz="4" w:space="0" w:color="auto"/>
            </w:tcBorders>
            <w:shd w:val="clear" w:color="auto" w:fill="auto"/>
            <w:noWrap/>
            <w:vAlign w:val="bottom"/>
            <w:hideMark/>
          </w:tcPr>
          <w:p w14:paraId="6D79EC8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19,628.00 </w:t>
            </w:r>
          </w:p>
        </w:tc>
        <w:tc>
          <w:tcPr>
            <w:tcW w:w="0" w:type="auto"/>
            <w:tcBorders>
              <w:top w:val="nil"/>
              <w:left w:val="nil"/>
              <w:bottom w:val="single" w:sz="4" w:space="0" w:color="auto"/>
              <w:right w:val="single" w:sz="4" w:space="0" w:color="auto"/>
            </w:tcBorders>
            <w:shd w:val="clear" w:color="auto" w:fill="auto"/>
            <w:noWrap/>
            <w:vAlign w:val="bottom"/>
            <w:hideMark/>
          </w:tcPr>
          <w:p w14:paraId="7973988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(9,628.00)</w:t>
            </w:r>
          </w:p>
        </w:tc>
        <w:tc>
          <w:tcPr>
            <w:tcW w:w="0" w:type="auto"/>
            <w:tcBorders>
              <w:top w:val="nil"/>
              <w:left w:val="nil"/>
              <w:bottom w:val="single" w:sz="4" w:space="0" w:color="auto"/>
              <w:right w:val="single" w:sz="8" w:space="0" w:color="auto"/>
            </w:tcBorders>
            <w:shd w:val="clear" w:color="auto" w:fill="auto"/>
            <w:noWrap/>
            <w:vAlign w:val="bottom"/>
            <w:hideMark/>
          </w:tcPr>
          <w:p w14:paraId="62AFA11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196%</w:t>
            </w:r>
          </w:p>
        </w:tc>
        <w:tc>
          <w:tcPr>
            <w:tcW w:w="0" w:type="auto"/>
            <w:tcBorders>
              <w:top w:val="nil"/>
              <w:left w:val="nil"/>
              <w:bottom w:val="single" w:sz="4" w:space="0" w:color="auto"/>
              <w:right w:val="single" w:sz="4" w:space="0" w:color="auto"/>
            </w:tcBorders>
            <w:shd w:val="clear" w:color="auto" w:fill="auto"/>
            <w:noWrap/>
            <w:vAlign w:val="bottom"/>
            <w:hideMark/>
          </w:tcPr>
          <w:p w14:paraId="06C43A7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11,928.00 </w:t>
            </w:r>
          </w:p>
        </w:tc>
        <w:tc>
          <w:tcPr>
            <w:tcW w:w="0" w:type="auto"/>
            <w:tcBorders>
              <w:top w:val="nil"/>
              <w:left w:val="nil"/>
              <w:bottom w:val="single" w:sz="4" w:space="0" w:color="auto"/>
              <w:right w:val="single" w:sz="4" w:space="0" w:color="auto"/>
            </w:tcBorders>
            <w:shd w:val="clear" w:color="auto" w:fill="auto"/>
            <w:noWrap/>
            <w:vAlign w:val="bottom"/>
            <w:hideMark/>
          </w:tcPr>
          <w:p w14:paraId="3104914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16,258.00 </w:t>
            </w:r>
          </w:p>
        </w:tc>
        <w:tc>
          <w:tcPr>
            <w:tcW w:w="0" w:type="auto"/>
            <w:tcBorders>
              <w:top w:val="nil"/>
              <w:left w:val="nil"/>
              <w:bottom w:val="single" w:sz="4" w:space="0" w:color="auto"/>
              <w:right w:val="single" w:sz="4" w:space="0" w:color="auto"/>
            </w:tcBorders>
            <w:shd w:val="clear" w:color="auto" w:fill="auto"/>
            <w:noWrap/>
            <w:vAlign w:val="bottom"/>
            <w:hideMark/>
          </w:tcPr>
          <w:p w14:paraId="1746D9D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(4,330.00)</w:t>
            </w:r>
          </w:p>
        </w:tc>
        <w:tc>
          <w:tcPr>
            <w:tcW w:w="0" w:type="auto"/>
            <w:tcBorders>
              <w:top w:val="nil"/>
              <w:left w:val="nil"/>
              <w:bottom w:val="single" w:sz="4" w:space="0" w:color="auto"/>
              <w:right w:val="single" w:sz="8" w:space="0" w:color="auto"/>
            </w:tcBorders>
            <w:shd w:val="clear" w:color="auto" w:fill="auto"/>
            <w:noWrap/>
            <w:vAlign w:val="bottom"/>
            <w:hideMark/>
          </w:tcPr>
          <w:p w14:paraId="141EEC2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136%</w:t>
            </w:r>
          </w:p>
        </w:tc>
        <w:tc>
          <w:tcPr>
            <w:tcW w:w="0" w:type="auto"/>
            <w:tcBorders>
              <w:top w:val="nil"/>
              <w:left w:val="nil"/>
              <w:bottom w:val="single" w:sz="4" w:space="0" w:color="auto"/>
              <w:right w:val="single" w:sz="4" w:space="0" w:color="auto"/>
            </w:tcBorders>
            <w:shd w:val="clear" w:color="auto" w:fill="auto"/>
            <w:noWrap/>
            <w:vAlign w:val="bottom"/>
            <w:hideMark/>
          </w:tcPr>
          <w:p w14:paraId="0156B47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143,460.00 </w:t>
            </w:r>
          </w:p>
        </w:tc>
        <w:tc>
          <w:tcPr>
            <w:tcW w:w="0" w:type="auto"/>
            <w:tcBorders>
              <w:top w:val="nil"/>
              <w:left w:val="nil"/>
              <w:bottom w:val="single" w:sz="4" w:space="0" w:color="auto"/>
              <w:right w:val="single" w:sz="4" w:space="0" w:color="auto"/>
            </w:tcBorders>
            <w:shd w:val="clear" w:color="auto" w:fill="auto"/>
            <w:noWrap/>
            <w:vAlign w:val="bottom"/>
            <w:hideMark/>
          </w:tcPr>
          <w:p w14:paraId="76551AD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129,475.66 </w:t>
            </w:r>
          </w:p>
        </w:tc>
        <w:tc>
          <w:tcPr>
            <w:tcW w:w="0" w:type="auto"/>
            <w:tcBorders>
              <w:top w:val="nil"/>
              <w:left w:val="nil"/>
              <w:bottom w:val="single" w:sz="4" w:space="0" w:color="auto"/>
              <w:right w:val="single" w:sz="4" w:space="0" w:color="auto"/>
            </w:tcBorders>
            <w:shd w:val="clear" w:color="auto" w:fill="auto"/>
            <w:noWrap/>
            <w:vAlign w:val="bottom"/>
            <w:hideMark/>
          </w:tcPr>
          <w:p w14:paraId="39F337A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13,984.34 </w:t>
            </w:r>
          </w:p>
        </w:tc>
        <w:tc>
          <w:tcPr>
            <w:tcW w:w="0" w:type="auto"/>
            <w:tcBorders>
              <w:top w:val="nil"/>
              <w:left w:val="nil"/>
              <w:bottom w:val="single" w:sz="4" w:space="0" w:color="auto"/>
              <w:right w:val="single" w:sz="4" w:space="0" w:color="auto"/>
            </w:tcBorders>
            <w:shd w:val="clear" w:color="auto" w:fill="auto"/>
            <w:noWrap/>
            <w:vAlign w:val="bottom"/>
            <w:hideMark/>
          </w:tcPr>
          <w:p w14:paraId="42AB7BD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90%</w:t>
            </w:r>
          </w:p>
        </w:tc>
      </w:tr>
      <w:tr w:rsidR="004769F4" w:rsidRPr="007A7F0F" w14:paraId="0ECB544E" w14:textId="77777777" w:rsidTr="00AF1EF3">
        <w:trPr>
          <w:trHeight w:val="20"/>
        </w:trPr>
        <w:tc>
          <w:tcPr>
            <w:tcW w:w="0" w:type="auto"/>
            <w:tcBorders>
              <w:top w:val="nil"/>
              <w:left w:val="single" w:sz="4" w:space="0" w:color="auto"/>
              <w:bottom w:val="single" w:sz="4" w:space="0" w:color="auto"/>
              <w:right w:val="nil"/>
            </w:tcBorders>
            <w:shd w:val="clear" w:color="000000" w:fill="D9E1F2"/>
            <w:vAlign w:val="center"/>
            <w:hideMark/>
          </w:tcPr>
          <w:p w14:paraId="76A50DF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Output Total </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3515870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202,364.12 </w:t>
            </w:r>
          </w:p>
        </w:tc>
        <w:tc>
          <w:tcPr>
            <w:tcW w:w="0" w:type="auto"/>
            <w:tcBorders>
              <w:top w:val="nil"/>
              <w:left w:val="nil"/>
              <w:bottom w:val="single" w:sz="4" w:space="0" w:color="auto"/>
              <w:right w:val="single" w:sz="4" w:space="0" w:color="auto"/>
            </w:tcBorders>
            <w:shd w:val="clear" w:color="000000" w:fill="D9E1F2"/>
            <w:noWrap/>
            <w:vAlign w:val="bottom"/>
            <w:hideMark/>
          </w:tcPr>
          <w:p w14:paraId="15EB2B7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290,166.00 </w:t>
            </w:r>
          </w:p>
        </w:tc>
        <w:tc>
          <w:tcPr>
            <w:tcW w:w="0" w:type="auto"/>
            <w:tcBorders>
              <w:top w:val="nil"/>
              <w:left w:val="nil"/>
              <w:bottom w:val="single" w:sz="4" w:space="0" w:color="auto"/>
              <w:right w:val="single" w:sz="4" w:space="0" w:color="auto"/>
            </w:tcBorders>
            <w:shd w:val="clear" w:color="000000" w:fill="D9E1F2"/>
            <w:noWrap/>
            <w:vAlign w:val="bottom"/>
            <w:hideMark/>
          </w:tcPr>
          <w:p w14:paraId="79EFF02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(87,801.88)</w:t>
            </w:r>
          </w:p>
        </w:tc>
        <w:tc>
          <w:tcPr>
            <w:tcW w:w="0" w:type="auto"/>
            <w:tcBorders>
              <w:top w:val="nil"/>
              <w:left w:val="nil"/>
              <w:bottom w:val="single" w:sz="4" w:space="0" w:color="auto"/>
              <w:right w:val="single" w:sz="8" w:space="0" w:color="auto"/>
            </w:tcBorders>
            <w:shd w:val="clear" w:color="000000" w:fill="D9E1F2"/>
            <w:noWrap/>
            <w:vAlign w:val="bottom"/>
            <w:hideMark/>
          </w:tcPr>
          <w:p w14:paraId="04DC627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143%</w:t>
            </w:r>
          </w:p>
        </w:tc>
        <w:tc>
          <w:tcPr>
            <w:tcW w:w="0" w:type="auto"/>
            <w:tcBorders>
              <w:top w:val="nil"/>
              <w:left w:val="nil"/>
              <w:bottom w:val="single" w:sz="4" w:space="0" w:color="auto"/>
              <w:right w:val="single" w:sz="4" w:space="0" w:color="auto"/>
            </w:tcBorders>
            <w:shd w:val="clear" w:color="000000" w:fill="D9E1F2"/>
            <w:noWrap/>
            <w:vAlign w:val="bottom"/>
            <w:hideMark/>
          </w:tcPr>
          <w:p w14:paraId="15BAD49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151,809.01 </w:t>
            </w:r>
          </w:p>
        </w:tc>
        <w:tc>
          <w:tcPr>
            <w:tcW w:w="0" w:type="auto"/>
            <w:tcBorders>
              <w:top w:val="nil"/>
              <w:left w:val="nil"/>
              <w:bottom w:val="single" w:sz="4" w:space="0" w:color="auto"/>
              <w:right w:val="single" w:sz="4" w:space="0" w:color="auto"/>
            </w:tcBorders>
            <w:shd w:val="clear" w:color="000000" w:fill="D9E1F2"/>
            <w:noWrap/>
            <w:vAlign w:val="bottom"/>
            <w:hideMark/>
          </w:tcPr>
          <w:p w14:paraId="3B7A5868"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194,127.00 </w:t>
            </w:r>
          </w:p>
        </w:tc>
        <w:tc>
          <w:tcPr>
            <w:tcW w:w="0" w:type="auto"/>
            <w:tcBorders>
              <w:top w:val="nil"/>
              <w:left w:val="nil"/>
              <w:bottom w:val="single" w:sz="4" w:space="0" w:color="auto"/>
              <w:right w:val="single" w:sz="4" w:space="0" w:color="auto"/>
            </w:tcBorders>
            <w:shd w:val="clear" w:color="000000" w:fill="D9E1F2"/>
            <w:noWrap/>
            <w:vAlign w:val="bottom"/>
            <w:hideMark/>
          </w:tcPr>
          <w:p w14:paraId="5F9E666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(42,317.99)</w:t>
            </w:r>
          </w:p>
        </w:tc>
        <w:tc>
          <w:tcPr>
            <w:tcW w:w="0" w:type="auto"/>
            <w:tcBorders>
              <w:top w:val="nil"/>
              <w:left w:val="nil"/>
              <w:bottom w:val="single" w:sz="4" w:space="0" w:color="auto"/>
              <w:right w:val="single" w:sz="8" w:space="0" w:color="auto"/>
            </w:tcBorders>
            <w:shd w:val="clear" w:color="000000" w:fill="D9E1F2"/>
            <w:noWrap/>
            <w:vAlign w:val="bottom"/>
            <w:hideMark/>
          </w:tcPr>
          <w:p w14:paraId="5ACC128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128%</w:t>
            </w:r>
          </w:p>
        </w:tc>
        <w:tc>
          <w:tcPr>
            <w:tcW w:w="0" w:type="auto"/>
            <w:tcBorders>
              <w:top w:val="nil"/>
              <w:left w:val="nil"/>
              <w:bottom w:val="single" w:sz="4" w:space="0" w:color="auto"/>
              <w:right w:val="single" w:sz="4" w:space="0" w:color="auto"/>
            </w:tcBorders>
            <w:shd w:val="clear" w:color="000000" w:fill="D9E1F2"/>
            <w:noWrap/>
            <w:vAlign w:val="bottom"/>
            <w:hideMark/>
          </w:tcPr>
          <w:p w14:paraId="61EEAD7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703,199.94 </w:t>
            </w:r>
          </w:p>
        </w:tc>
        <w:tc>
          <w:tcPr>
            <w:tcW w:w="0" w:type="auto"/>
            <w:tcBorders>
              <w:top w:val="nil"/>
              <w:left w:val="nil"/>
              <w:bottom w:val="single" w:sz="4" w:space="0" w:color="auto"/>
              <w:right w:val="single" w:sz="4" w:space="0" w:color="auto"/>
            </w:tcBorders>
            <w:shd w:val="clear" w:color="000000" w:fill="D9E1F2"/>
            <w:noWrap/>
            <w:vAlign w:val="bottom"/>
            <w:hideMark/>
          </w:tcPr>
          <w:p w14:paraId="1C81767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797,911.00 </w:t>
            </w:r>
          </w:p>
        </w:tc>
        <w:tc>
          <w:tcPr>
            <w:tcW w:w="0" w:type="auto"/>
            <w:tcBorders>
              <w:top w:val="nil"/>
              <w:left w:val="nil"/>
              <w:bottom w:val="single" w:sz="4" w:space="0" w:color="auto"/>
              <w:right w:val="single" w:sz="4" w:space="0" w:color="auto"/>
            </w:tcBorders>
            <w:shd w:val="clear" w:color="000000" w:fill="D9E1F2"/>
            <w:noWrap/>
            <w:vAlign w:val="bottom"/>
            <w:hideMark/>
          </w:tcPr>
          <w:p w14:paraId="2DAA6A9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(94,711.06)</w:t>
            </w:r>
          </w:p>
        </w:tc>
        <w:tc>
          <w:tcPr>
            <w:tcW w:w="0" w:type="auto"/>
            <w:tcBorders>
              <w:top w:val="nil"/>
              <w:left w:val="nil"/>
              <w:bottom w:val="single" w:sz="4" w:space="0" w:color="auto"/>
              <w:right w:val="single" w:sz="4" w:space="0" w:color="auto"/>
            </w:tcBorders>
            <w:shd w:val="clear" w:color="000000" w:fill="D9E1F2"/>
            <w:noWrap/>
            <w:vAlign w:val="bottom"/>
            <w:hideMark/>
          </w:tcPr>
          <w:p w14:paraId="7DC878B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113%</w:t>
            </w:r>
          </w:p>
        </w:tc>
      </w:tr>
      <w:tr w:rsidR="004769F4" w:rsidRPr="007A7F0F" w14:paraId="1925B30A" w14:textId="77777777" w:rsidTr="00AF1EF3">
        <w:trPr>
          <w:trHeight w:val="20"/>
        </w:trPr>
        <w:tc>
          <w:tcPr>
            <w:tcW w:w="0" w:type="auto"/>
            <w:tcBorders>
              <w:top w:val="nil"/>
              <w:left w:val="single" w:sz="4" w:space="0" w:color="auto"/>
              <w:bottom w:val="single" w:sz="4" w:space="0" w:color="auto"/>
              <w:right w:val="nil"/>
            </w:tcBorders>
            <w:shd w:val="clear" w:color="000000" w:fill="D9E1F2"/>
            <w:vAlign w:val="center"/>
            <w:hideMark/>
          </w:tcPr>
          <w:p w14:paraId="296DEFC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79939A8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14%</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2E9BF79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21%</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3076783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-166%</w:t>
            </w:r>
          </w:p>
        </w:tc>
        <w:tc>
          <w:tcPr>
            <w:tcW w:w="0" w:type="auto"/>
            <w:tcBorders>
              <w:top w:val="nil"/>
              <w:left w:val="nil"/>
              <w:bottom w:val="single" w:sz="4" w:space="0" w:color="auto"/>
              <w:right w:val="single" w:sz="8" w:space="0" w:color="auto"/>
            </w:tcBorders>
            <w:shd w:val="clear" w:color="000000" w:fill="D9E1F2"/>
            <w:noWrap/>
            <w:vAlign w:val="bottom"/>
            <w:hideMark/>
          </w:tcPr>
          <w:p w14:paraId="4BEF4C7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36566E8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13%</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2CDB8C2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16%</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7D9BD2A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-371%</w:t>
            </w:r>
          </w:p>
        </w:tc>
        <w:tc>
          <w:tcPr>
            <w:tcW w:w="0" w:type="auto"/>
            <w:tcBorders>
              <w:top w:val="nil"/>
              <w:left w:val="nil"/>
              <w:bottom w:val="single" w:sz="4" w:space="0" w:color="auto"/>
              <w:right w:val="single" w:sz="8" w:space="0" w:color="auto"/>
            </w:tcBorders>
            <w:shd w:val="clear" w:color="000000" w:fill="D9E1F2"/>
            <w:noWrap/>
            <w:vAlign w:val="bottom"/>
            <w:hideMark/>
          </w:tcPr>
          <w:p w14:paraId="5DEE77B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20736FF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11%</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079A167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14%</w:t>
            </w:r>
          </w:p>
        </w:tc>
        <w:tc>
          <w:tcPr>
            <w:tcW w:w="0" w:type="auto"/>
            <w:tcBorders>
              <w:top w:val="nil"/>
              <w:left w:val="single" w:sz="8" w:space="0" w:color="auto"/>
              <w:bottom w:val="single" w:sz="4" w:space="0" w:color="auto"/>
              <w:right w:val="single" w:sz="4" w:space="0" w:color="auto"/>
            </w:tcBorders>
            <w:shd w:val="clear" w:color="000000" w:fill="D9E1F2"/>
            <w:noWrap/>
            <w:vAlign w:val="bottom"/>
            <w:hideMark/>
          </w:tcPr>
          <w:p w14:paraId="3D5CA9A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-17%</w:t>
            </w:r>
          </w:p>
        </w:tc>
        <w:tc>
          <w:tcPr>
            <w:tcW w:w="0" w:type="auto"/>
            <w:tcBorders>
              <w:top w:val="nil"/>
              <w:left w:val="nil"/>
              <w:bottom w:val="single" w:sz="4" w:space="0" w:color="auto"/>
              <w:right w:val="single" w:sz="4" w:space="0" w:color="auto"/>
            </w:tcBorders>
            <w:shd w:val="clear" w:color="000000" w:fill="D9E1F2"/>
            <w:noWrap/>
            <w:vAlign w:val="bottom"/>
            <w:hideMark/>
          </w:tcPr>
          <w:p w14:paraId="26E4232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2E4C544A" w14:textId="77777777" w:rsidTr="00AF1EF3">
        <w:trPr>
          <w:trHeight w:val="20"/>
        </w:trPr>
        <w:tc>
          <w:tcPr>
            <w:tcW w:w="0" w:type="auto"/>
            <w:tcBorders>
              <w:top w:val="nil"/>
              <w:left w:val="single" w:sz="4" w:space="0" w:color="auto"/>
              <w:bottom w:val="single" w:sz="4" w:space="0" w:color="auto"/>
              <w:right w:val="nil"/>
            </w:tcBorders>
            <w:shd w:val="clear" w:color="000000" w:fill="FCE4D6"/>
            <w:vAlign w:val="center"/>
            <w:hideMark/>
          </w:tcPr>
          <w:p w14:paraId="565243A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OUTPUT 2. Professional civil service recruited and trained to unified standards, and can protect itself against malpractice and arbitrary decisions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CF9256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D1D60F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B1E07E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6A21DB7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FEE61E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72F327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B0AF2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4D3BC7B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96A07A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3B39C4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C7E519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50DD25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79D82B96"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414A635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Contractual Services-Companies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DD1CCE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189,242.00 </w:t>
            </w:r>
          </w:p>
        </w:tc>
        <w:tc>
          <w:tcPr>
            <w:tcW w:w="0" w:type="auto"/>
            <w:tcBorders>
              <w:top w:val="nil"/>
              <w:left w:val="nil"/>
              <w:bottom w:val="single" w:sz="4" w:space="0" w:color="auto"/>
              <w:right w:val="single" w:sz="4" w:space="0" w:color="auto"/>
            </w:tcBorders>
            <w:shd w:val="clear" w:color="auto" w:fill="auto"/>
            <w:noWrap/>
            <w:vAlign w:val="bottom"/>
            <w:hideMark/>
          </w:tcPr>
          <w:p w14:paraId="54ADD07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212,985.68 </w:t>
            </w:r>
          </w:p>
        </w:tc>
        <w:tc>
          <w:tcPr>
            <w:tcW w:w="0" w:type="auto"/>
            <w:tcBorders>
              <w:top w:val="nil"/>
              <w:left w:val="nil"/>
              <w:bottom w:val="single" w:sz="4" w:space="0" w:color="auto"/>
              <w:right w:val="single" w:sz="4" w:space="0" w:color="auto"/>
            </w:tcBorders>
            <w:shd w:val="clear" w:color="auto" w:fill="auto"/>
            <w:noWrap/>
            <w:vAlign w:val="bottom"/>
            <w:hideMark/>
          </w:tcPr>
          <w:p w14:paraId="2B245C2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(23,743.68)</w:t>
            </w:r>
          </w:p>
        </w:tc>
        <w:tc>
          <w:tcPr>
            <w:tcW w:w="0" w:type="auto"/>
            <w:tcBorders>
              <w:top w:val="nil"/>
              <w:left w:val="nil"/>
              <w:bottom w:val="single" w:sz="4" w:space="0" w:color="auto"/>
              <w:right w:val="single" w:sz="8" w:space="0" w:color="auto"/>
            </w:tcBorders>
            <w:shd w:val="clear" w:color="auto" w:fill="auto"/>
            <w:noWrap/>
            <w:vAlign w:val="bottom"/>
            <w:hideMark/>
          </w:tcPr>
          <w:p w14:paraId="2CF0DB2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113%</w:t>
            </w:r>
          </w:p>
        </w:tc>
        <w:tc>
          <w:tcPr>
            <w:tcW w:w="0" w:type="auto"/>
            <w:tcBorders>
              <w:top w:val="nil"/>
              <w:left w:val="nil"/>
              <w:bottom w:val="single" w:sz="4" w:space="0" w:color="auto"/>
              <w:right w:val="single" w:sz="4" w:space="0" w:color="auto"/>
            </w:tcBorders>
            <w:shd w:val="clear" w:color="auto" w:fill="auto"/>
            <w:noWrap/>
            <w:vAlign w:val="bottom"/>
            <w:hideMark/>
          </w:tcPr>
          <w:p w14:paraId="2F133DF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42,000.00 </w:t>
            </w:r>
          </w:p>
        </w:tc>
        <w:tc>
          <w:tcPr>
            <w:tcW w:w="0" w:type="auto"/>
            <w:tcBorders>
              <w:top w:val="nil"/>
              <w:left w:val="nil"/>
              <w:bottom w:val="single" w:sz="4" w:space="0" w:color="auto"/>
              <w:right w:val="single" w:sz="4" w:space="0" w:color="auto"/>
            </w:tcBorders>
            <w:shd w:val="clear" w:color="auto" w:fill="auto"/>
            <w:noWrap/>
            <w:vAlign w:val="bottom"/>
            <w:hideMark/>
          </w:tcPr>
          <w:p w14:paraId="103D9A7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19,120.00 </w:t>
            </w:r>
          </w:p>
        </w:tc>
        <w:tc>
          <w:tcPr>
            <w:tcW w:w="0" w:type="auto"/>
            <w:tcBorders>
              <w:top w:val="nil"/>
              <w:left w:val="nil"/>
              <w:bottom w:val="single" w:sz="4" w:space="0" w:color="auto"/>
              <w:right w:val="single" w:sz="4" w:space="0" w:color="auto"/>
            </w:tcBorders>
            <w:shd w:val="clear" w:color="auto" w:fill="auto"/>
            <w:noWrap/>
            <w:vAlign w:val="bottom"/>
            <w:hideMark/>
          </w:tcPr>
          <w:p w14:paraId="265C216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22,880.00 </w:t>
            </w:r>
          </w:p>
        </w:tc>
        <w:tc>
          <w:tcPr>
            <w:tcW w:w="0" w:type="auto"/>
            <w:tcBorders>
              <w:top w:val="nil"/>
              <w:left w:val="nil"/>
              <w:bottom w:val="single" w:sz="4" w:space="0" w:color="auto"/>
              <w:right w:val="single" w:sz="8" w:space="0" w:color="auto"/>
            </w:tcBorders>
            <w:shd w:val="clear" w:color="auto" w:fill="auto"/>
            <w:noWrap/>
            <w:vAlign w:val="bottom"/>
            <w:hideMark/>
          </w:tcPr>
          <w:p w14:paraId="377B03A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14:paraId="0548DCB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425,069.53 </w:t>
            </w:r>
          </w:p>
        </w:tc>
        <w:tc>
          <w:tcPr>
            <w:tcW w:w="0" w:type="auto"/>
            <w:tcBorders>
              <w:top w:val="nil"/>
              <w:left w:val="nil"/>
              <w:bottom w:val="single" w:sz="4" w:space="0" w:color="auto"/>
              <w:right w:val="single" w:sz="4" w:space="0" w:color="auto"/>
            </w:tcBorders>
            <w:shd w:val="clear" w:color="auto" w:fill="auto"/>
            <w:noWrap/>
            <w:vAlign w:val="bottom"/>
            <w:hideMark/>
          </w:tcPr>
          <w:p w14:paraId="57481C4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359,894.68 </w:t>
            </w:r>
          </w:p>
        </w:tc>
        <w:tc>
          <w:tcPr>
            <w:tcW w:w="0" w:type="auto"/>
            <w:tcBorders>
              <w:top w:val="nil"/>
              <w:left w:val="nil"/>
              <w:bottom w:val="single" w:sz="4" w:space="0" w:color="auto"/>
              <w:right w:val="single" w:sz="4" w:space="0" w:color="auto"/>
            </w:tcBorders>
            <w:shd w:val="clear" w:color="auto" w:fill="auto"/>
            <w:noWrap/>
            <w:vAlign w:val="bottom"/>
            <w:hideMark/>
          </w:tcPr>
          <w:p w14:paraId="04722B7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65,174.85 </w:t>
            </w:r>
          </w:p>
        </w:tc>
        <w:tc>
          <w:tcPr>
            <w:tcW w:w="0" w:type="auto"/>
            <w:tcBorders>
              <w:top w:val="nil"/>
              <w:left w:val="nil"/>
              <w:bottom w:val="single" w:sz="4" w:space="0" w:color="auto"/>
              <w:right w:val="single" w:sz="4" w:space="0" w:color="auto"/>
            </w:tcBorders>
            <w:shd w:val="clear" w:color="auto" w:fill="auto"/>
            <w:noWrap/>
            <w:vAlign w:val="bottom"/>
            <w:hideMark/>
          </w:tcPr>
          <w:p w14:paraId="2AFAFD6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85%</w:t>
            </w:r>
          </w:p>
        </w:tc>
      </w:tr>
      <w:tr w:rsidR="004769F4" w:rsidRPr="007A7F0F" w14:paraId="2085A0D5"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750D0B28"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Local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071EC8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93,000.00 </w:t>
            </w:r>
          </w:p>
        </w:tc>
        <w:tc>
          <w:tcPr>
            <w:tcW w:w="0" w:type="auto"/>
            <w:tcBorders>
              <w:top w:val="nil"/>
              <w:left w:val="nil"/>
              <w:bottom w:val="single" w:sz="4" w:space="0" w:color="auto"/>
              <w:right w:val="single" w:sz="4" w:space="0" w:color="auto"/>
            </w:tcBorders>
            <w:shd w:val="clear" w:color="auto" w:fill="auto"/>
            <w:noWrap/>
            <w:vAlign w:val="bottom"/>
            <w:hideMark/>
          </w:tcPr>
          <w:p w14:paraId="7D8AC4C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75,566.00 </w:t>
            </w:r>
          </w:p>
        </w:tc>
        <w:tc>
          <w:tcPr>
            <w:tcW w:w="0" w:type="auto"/>
            <w:tcBorders>
              <w:top w:val="nil"/>
              <w:left w:val="nil"/>
              <w:bottom w:val="single" w:sz="4" w:space="0" w:color="auto"/>
              <w:right w:val="single" w:sz="4" w:space="0" w:color="auto"/>
            </w:tcBorders>
            <w:shd w:val="clear" w:color="auto" w:fill="auto"/>
            <w:noWrap/>
            <w:vAlign w:val="bottom"/>
            <w:hideMark/>
          </w:tcPr>
          <w:p w14:paraId="4FAC4E8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17,434.00 </w:t>
            </w:r>
          </w:p>
        </w:tc>
        <w:tc>
          <w:tcPr>
            <w:tcW w:w="0" w:type="auto"/>
            <w:tcBorders>
              <w:top w:val="nil"/>
              <w:left w:val="nil"/>
              <w:bottom w:val="single" w:sz="4" w:space="0" w:color="auto"/>
              <w:right w:val="single" w:sz="8" w:space="0" w:color="auto"/>
            </w:tcBorders>
            <w:shd w:val="clear" w:color="auto" w:fill="auto"/>
            <w:noWrap/>
            <w:vAlign w:val="bottom"/>
            <w:hideMark/>
          </w:tcPr>
          <w:p w14:paraId="204C6B8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81%</w:t>
            </w:r>
          </w:p>
        </w:tc>
        <w:tc>
          <w:tcPr>
            <w:tcW w:w="0" w:type="auto"/>
            <w:tcBorders>
              <w:top w:val="nil"/>
              <w:left w:val="nil"/>
              <w:bottom w:val="single" w:sz="4" w:space="0" w:color="auto"/>
              <w:right w:val="single" w:sz="4" w:space="0" w:color="auto"/>
            </w:tcBorders>
            <w:shd w:val="clear" w:color="auto" w:fill="auto"/>
            <w:noWrap/>
            <w:vAlign w:val="bottom"/>
            <w:hideMark/>
          </w:tcPr>
          <w:p w14:paraId="2EC5EA8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73,500.00 </w:t>
            </w:r>
          </w:p>
        </w:tc>
        <w:tc>
          <w:tcPr>
            <w:tcW w:w="0" w:type="auto"/>
            <w:tcBorders>
              <w:top w:val="nil"/>
              <w:left w:val="nil"/>
              <w:bottom w:val="single" w:sz="4" w:space="0" w:color="auto"/>
              <w:right w:val="single" w:sz="4" w:space="0" w:color="auto"/>
            </w:tcBorders>
            <w:shd w:val="clear" w:color="auto" w:fill="auto"/>
            <w:noWrap/>
            <w:vAlign w:val="bottom"/>
            <w:hideMark/>
          </w:tcPr>
          <w:p w14:paraId="79C2A6F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62,495.00 </w:t>
            </w:r>
          </w:p>
        </w:tc>
        <w:tc>
          <w:tcPr>
            <w:tcW w:w="0" w:type="auto"/>
            <w:tcBorders>
              <w:top w:val="nil"/>
              <w:left w:val="nil"/>
              <w:bottom w:val="single" w:sz="4" w:space="0" w:color="auto"/>
              <w:right w:val="single" w:sz="4" w:space="0" w:color="auto"/>
            </w:tcBorders>
            <w:shd w:val="clear" w:color="auto" w:fill="auto"/>
            <w:noWrap/>
            <w:vAlign w:val="bottom"/>
            <w:hideMark/>
          </w:tcPr>
          <w:p w14:paraId="3B8B2EF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11,005.00 </w:t>
            </w:r>
          </w:p>
        </w:tc>
        <w:tc>
          <w:tcPr>
            <w:tcW w:w="0" w:type="auto"/>
            <w:tcBorders>
              <w:top w:val="nil"/>
              <w:left w:val="nil"/>
              <w:bottom w:val="single" w:sz="4" w:space="0" w:color="auto"/>
              <w:right w:val="single" w:sz="8" w:space="0" w:color="auto"/>
            </w:tcBorders>
            <w:shd w:val="clear" w:color="auto" w:fill="auto"/>
            <w:noWrap/>
            <w:vAlign w:val="bottom"/>
            <w:hideMark/>
          </w:tcPr>
          <w:p w14:paraId="659665A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85%</w:t>
            </w:r>
          </w:p>
        </w:tc>
        <w:tc>
          <w:tcPr>
            <w:tcW w:w="0" w:type="auto"/>
            <w:tcBorders>
              <w:top w:val="nil"/>
              <w:left w:val="nil"/>
              <w:bottom w:val="single" w:sz="4" w:space="0" w:color="auto"/>
              <w:right w:val="single" w:sz="4" w:space="0" w:color="auto"/>
            </w:tcBorders>
            <w:shd w:val="clear" w:color="auto" w:fill="auto"/>
            <w:noWrap/>
            <w:vAlign w:val="bottom"/>
            <w:hideMark/>
          </w:tcPr>
          <w:p w14:paraId="55C72F1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501,400.73 </w:t>
            </w:r>
          </w:p>
        </w:tc>
        <w:tc>
          <w:tcPr>
            <w:tcW w:w="0" w:type="auto"/>
            <w:tcBorders>
              <w:top w:val="nil"/>
              <w:left w:val="nil"/>
              <w:bottom w:val="single" w:sz="4" w:space="0" w:color="auto"/>
              <w:right w:val="single" w:sz="4" w:space="0" w:color="auto"/>
            </w:tcBorders>
            <w:shd w:val="clear" w:color="auto" w:fill="auto"/>
            <w:noWrap/>
            <w:vAlign w:val="bottom"/>
            <w:hideMark/>
          </w:tcPr>
          <w:p w14:paraId="556609E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367,320.00 </w:t>
            </w:r>
          </w:p>
        </w:tc>
        <w:tc>
          <w:tcPr>
            <w:tcW w:w="0" w:type="auto"/>
            <w:tcBorders>
              <w:top w:val="nil"/>
              <w:left w:val="nil"/>
              <w:bottom w:val="single" w:sz="4" w:space="0" w:color="auto"/>
              <w:right w:val="single" w:sz="4" w:space="0" w:color="auto"/>
            </w:tcBorders>
            <w:shd w:val="clear" w:color="auto" w:fill="auto"/>
            <w:noWrap/>
            <w:vAlign w:val="bottom"/>
            <w:hideMark/>
          </w:tcPr>
          <w:p w14:paraId="4697A60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134,080.73 </w:t>
            </w:r>
          </w:p>
        </w:tc>
        <w:tc>
          <w:tcPr>
            <w:tcW w:w="0" w:type="auto"/>
            <w:tcBorders>
              <w:top w:val="nil"/>
              <w:left w:val="nil"/>
              <w:bottom w:val="single" w:sz="4" w:space="0" w:color="auto"/>
              <w:right w:val="single" w:sz="4" w:space="0" w:color="auto"/>
            </w:tcBorders>
            <w:shd w:val="clear" w:color="auto" w:fill="auto"/>
            <w:noWrap/>
            <w:vAlign w:val="bottom"/>
            <w:hideMark/>
          </w:tcPr>
          <w:p w14:paraId="42C87D8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73%</w:t>
            </w:r>
          </w:p>
        </w:tc>
      </w:tr>
      <w:tr w:rsidR="004769F4" w:rsidRPr="007A7F0F" w14:paraId="5D5332D4"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4177C29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International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7162C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20,000.00 </w:t>
            </w:r>
          </w:p>
        </w:tc>
        <w:tc>
          <w:tcPr>
            <w:tcW w:w="0" w:type="auto"/>
            <w:tcBorders>
              <w:top w:val="nil"/>
              <w:left w:val="nil"/>
              <w:bottom w:val="single" w:sz="4" w:space="0" w:color="auto"/>
              <w:right w:val="single" w:sz="4" w:space="0" w:color="auto"/>
            </w:tcBorders>
            <w:shd w:val="clear" w:color="auto" w:fill="auto"/>
            <w:noWrap/>
            <w:vAlign w:val="bottom"/>
            <w:hideMark/>
          </w:tcPr>
          <w:p w14:paraId="5AE6C45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21,753.00 </w:t>
            </w:r>
          </w:p>
        </w:tc>
        <w:tc>
          <w:tcPr>
            <w:tcW w:w="0" w:type="auto"/>
            <w:tcBorders>
              <w:top w:val="nil"/>
              <w:left w:val="nil"/>
              <w:bottom w:val="single" w:sz="4" w:space="0" w:color="auto"/>
              <w:right w:val="single" w:sz="4" w:space="0" w:color="auto"/>
            </w:tcBorders>
            <w:shd w:val="clear" w:color="auto" w:fill="auto"/>
            <w:noWrap/>
            <w:vAlign w:val="bottom"/>
            <w:hideMark/>
          </w:tcPr>
          <w:p w14:paraId="6207B80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(1,753.00)</w:t>
            </w:r>
          </w:p>
        </w:tc>
        <w:tc>
          <w:tcPr>
            <w:tcW w:w="0" w:type="auto"/>
            <w:tcBorders>
              <w:top w:val="nil"/>
              <w:left w:val="nil"/>
              <w:bottom w:val="single" w:sz="4" w:space="0" w:color="auto"/>
              <w:right w:val="single" w:sz="8" w:space="0" w:color="auto"/>
            </w:tcBorders>
            <w:shd w:val="clear" w:color="auto" w:fill="auto"/>
            <w:noWrap/>
            <w:vAlign w:val="bottom"/>
            <w:hideMark/>
          </w:tcPr>
          <w:p w14:paraId="5D2B4CF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61338B1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24,500.00 </w:t>
            </w:r>
          </w:p>
        </w:tc>
        <w:tc>
          <w:tcPr>
            <w:tcW w:w="0" w:type="auto"/>
            <w:tcBorders>
              <w:top w:val="nil"/>
              <w:left w:val="nil"/>
              <w:bottom w:val="single" w:sz="4" w:space="0" w:color="auto"/>
              <w:right w:val="single" w:sz="4" w:space="0" w:color="auto"/>
            </w:tcBorders>
            <w:shd w:val="clear" w:color="auto" w:fill="auto"/>
            <w:noWrap/>
            <w:vAlign w:val="bottom"/>
            <w:hideMark/>
          </w:tcPr>
          <w:p w14:paraId="116B235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14,687.00 </w:t>
            </w:r>
          </w:p>
        </w:tc>
        <w:tc>
          <w:tcPr>
            <w:tcW w:w="0" w:type="auto"/>
            <w:tcBorders>
              <w:top w:val="nil"/>
              <w:left w:val="nil"/>
              <w:bottom w:val="single" w:sz="4" w:space="0" w:color="auto"/>
              <w:right w:val="single" w:sz="4" w:space="0" w:color="auto"/>
            </w:tcBorders>
            <w:shd w:val="clear" w:color="auto" w:fill="auto"/>
            <w:noWrap/>
            <w:vAlign w:val="bottom"/>
            <w:hideMark/>
          </w:tcPr>
          <w:p w14:paraId="5638308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9,813.00 </w:t>
            </w:r>
          </w:p>
        </w:tc>
        <w:tc>
          <w:tcPr>
            <w:tcW w:w="0" w:type="auto"/>
            <w:tcBorders>
              <w:top w:val="nil"/>
              <w:left w:val="nil"/>
              <w:bottom w:val="single" w:sz="4" w:space="0" w:color="auto"/>
              <w:right w:val="single" w:sz="8" w:space="0" w:color="auto"/>
            </w:tcBorders>
            <w:shd w:val="clear" w:color="auto" w:fill="auto"/>
            <w:noWrap/>
            <w:vAlign w:val="bottom"/>
            <w:hideMark/>
          </w:tcPr>
          <w:p w14:paraId="44AA760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60%</w:t>
            </w:r>
          </w:p>
        </w:tc>
        <w:tc>
          <w:tcPr>
            <w:tcW w:w="0" w:type="auto"/>
            <w:tcBorders>
              <w:top w:val="nil"/>
              <w:left w:val="nil"/>
              <w:bottom w:val="single" w:sz="4" w:space="0" w:color="auto"/>
              <w:right w:val="single" w:sz="4" w:space="0" w:color="auto"/>
            </w:tcBorders>
            <w:shd w:val="clear" w:color="auto" w:fill="auto"/>
            <w:noWrap/>
            <w:vAlign w:val="bottom"/>
            <w:hideMark/>
          </w:tcPr>
          <w:p w14:paraId="5A7F7D6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169,973.00 </w:t>
            </w:r>
          </w:p>
        </w:tc>
        <w:tc>
          <w:tcPr>
            <w:tcW w:w="0" w:type="auto"/>
            <w:tcBorders>
              <w:top w:val="nil"/>
              <w:left w:val="nil"/>
              <w:bottom w:val="single" w:sz="4" w:space="0" w:color="auto"/>
              <w:right w:val="single" w:sz="4" w:space="0" w:color="auto"/>
            </w:tcBorders>
            <w:shd w:val="clear" w:color="auto" w:fill="auto"/>
            <w:noWrap/>
            <w:vAlign w:val="bottom"/>
            <w:hideMark/>
          </w:tcPr>
          <w:p w14:paraId="67F9D5F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162,589.00 </w:t>
            </w:r>
          </w:p>
        </w:tc>
        <w:tc>
          <w:tcPr>
            <w:tcW w:w="0" w:type="auto"/>
            <w:tcBorders>
              <w:top w:val="nil"/>
              <w:left w:val="nil"/>
              <w:bottom w:val="single" w:sz="4" w:space="0" w:color="auto"/>
              <w:right w:val="single" w:sz="4" w:space="0" w:color="auto"/>
            </w:tcBorders>
            <w:shd w:val="clear" w:color="auto" w:fill="auto"/>
            <w:noWrap/>
            <w:vAlign w:val="bottom"/>
            <w:hideMark/>
          </w:tcPr>
          <w:p w14:paraId="76925BD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7,384.00 </w:t>
            </w:r>
          </w:p>
        </w:tc>
        <w:tc>
          <w:tcPr>
            <w:tcW w:w="0" w:type="auto"/>
            <w:tcBorders>
              <w:top w:val="nil"/>
              <w:left w:val="nil"/>
              <w:bottom w:val="single" w:sz="4" w:space="0" w:color="auto"/>
              <w:right w:val="single" w:sz="4" w:space="0" w:color="auto"/>
            </w:tcBorders>
            <w:shd w:val="clear" w:color="auto" w:fill="auto"/>
            <w:noWrap/>
            <w:vAlign w:val="bottom"/>
            <w:hideMark/>
          </w:tcPr>
          <w:p w14:paraId="67DB262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96%</w:t>
            </w:r>
          </w:p>
        </w:tc>
      </w:tr>
      <w:tr w:rsidR="004769F4" w:rsidRPr="007A7F0F" w14:paraId="603CA302"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5BD1E39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E157D1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75,586.00 </w:t>
            </w:r>
          </w:p>
        </w:tc>
        <w:tc>
          <w:tcPr>
            <w:tcW w:w="0" w:type="auto"/>
            <w:tcBorders>
              <w:top w:val="nil"/>
              <w:left w:val="nil"/>
              <w:bottom w:val="single" w:sz="4" w:space="0" w:color="auto"/>
              <w:right w:val="single" w:sz="4" w:space="0" w:color="auto"/>
            </w:tcBorders>
            <w:shd w:val="clear" w:color="auto" w:fill="auto"/>
            <w:noWrap/>
            <w:vAlign w:val="bottom"/>
            <w:hideMark/>
          </w:tcPr>
          <w:p w14:paraId="396B9AC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92,685.03 </w:t>
            </w:r>
          </w:p>
        </w:tc>
        <w:tc>
          <w:tcPr>
            <w:tcW w:w="0" w:type="auto"/>
            <w:tcBorders>
              <w:top w:val="nil"/>
              <w:left w:val="nil"/>
              <w:bottom w:val="single" w:sz="4" w:space="0" w:color="auto"/>
              <w:right w:val="single" w:sz="4" w:space="0" w:color="auto"/>
            </w:tcBorders>
            <w:shd w:val="clear" w:color="auto" w:fill="auto"/>
            <w:noWrap/>
            <w:vAlign w:val="bottom"/>
            <w:hideMark/>
          </w:tcPr>
          <w:p w14:paraId="701E184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(17,099.03)</w:t>
            </w:r>
          </w:p>
        </w:tc>
        <w:tc>
          <w:tcPr>
            <w:tcW w:w="0" w:type="auto"/>
            <w:tcBorders>
              <w:top w:val="nil"/>
              <w:left w:val="nil"/>
              <w:bottom w:val="single" w:sz="4" w:space="0" w:color="auto"/>
              <w:right w:val="single" w:sz="8" w:space="0" w:color="auto"/>
            </w:tcBorders>
            <w:shd w:val="clear" w:color="auto" w:fill="auto"/>
            <w:noWrap/>
            <w:vAlign w:val="bottom"/>
            <w:hideMark/>
          </w:tcPr>
          <w:p w14:paraId="4D95BD3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123%</w:t>
            </w:r>
          </w:p>
        </w:tc>
        <w:tc>
          <w:tcPr>
            <w:tcW w:w="0" w:type="auto"/>
            <w:tcBorders>
              <w:top w:val="nil"/>
              <w:left w:val="nil"/>
              <w:bottom w:val="single" w:sz="4" w:space="0" w:color="auto"/>
              <w:right w:val="single" w:sz="4" w:space="0" w:color="auto"/>
            </w:tcBorders>
            <w:shd w:val="clear" w:color="auto" w:fill="auto"/>
            <w:noWrap/>
            <w:vAlign w:val="bottom"/>
            <w:hideMark/>
          </w:tcPr>
          <w:p w14:paraId="0489095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158,696.65 </w:t>
            </w:r>
          </w:p>
        </w:tc>
        <w:tc>
          <w:tcPr>
            <w:tcW w:w="0" w:type="auto"/>
            <w:tcBorders>
              <w:top w:val="nil"/>
              <w:left w:val="nil"/>
              <w:bottom w:val="single" w:sz="4" w:space="0" w:color="auto"/>
              <w:right w:val="single" w:sz="4" w:space="0" w:color="auto"/>
            </w:tcBorders>
            <w:shd w:val="clear" w:color="auto" w:fill="auto"/>
            <w:noWrap/>
            <w:vAlign w:val="bottom"/>
            <w:hideMark/>
          </w:tcPr>
          <w:p w14:paraId="18388CC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254,730.00 </w:t>
            </w:r>
          </w:p>
        </w:tc>
        <w:tc>
          <w:tcPr>
            <w:tcW w:w="0" w:type="auto"/>
            <w:tcBorders>
              <w:top w:val="nil"/>
              <w:left w:val="nil"/>
              <w:bottom w:val="single" w:sz="4" w:space="0" w:color="auto"/>
              <w:right w:val="single" w:sz="4" w:space="0" w:color="auto"/>
            </w:tcBorders>
            <w:shd w:val="clear" w:color="auto" w:fill="auto"/>
            <w:noWrap/>
            <w:vAlign w:val="bottom"/>
            <w:hideMark/>
          </w:tcPr>
          <w:p w14:paraId="4C7D61E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(96,033.35)</w:t>
            </w:r>
          </w:p>
        </w:tc>
        <w:tc>
          <w:tcPr>
            <w:tcW w:w="0" w:type="auto"/>
            <w:tcBorders>
              <w:top w:val="nil"/>
              <w:left w:val="nil"/>
              <w:bottom w:val="single" w:sz="4" w:space="0" w:color="auto"/>
              <w:right w:val="single" w:sz="8" w:space="0" w:color="auto"/>
            </w:tcBorders>
            <w:shd w:val="clear" w:color="auto" w:fill="auto"/>
            <w:noWrap/>
            <w:vAlign w:val="bottom"/>
            <w:hideMark/>
          </w:tcPr>
          <w:p w14:paraId="012253F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161%</w:t>
            </w:r>
          </w:p>
        </w:tc>
        <w:tc>
          <w:tcPr>
            <w:tcW w:w="0" w:type="auto"/>
            <w:tcBorders>
              <w:top w:val="nil"/>
              <w:left w:val="nil"/>
              <w:bottom w:val="single" w:sz="4" w:space="0" w:color="auto"/>
              <w:right w:val="single" w:sz="4" w:space="0" w:color="auto"/>
            </w:tcBorders>
            <w:shd w:val="clear" w:color="auto" w:fill="auto"/>
            <w:noWrap/>
            <w:vAlign w:val="bottom"/>
            <w:hideMark/>
          </w:tcPr>
          <w:p w14:paraId="1CFC955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674,125.92 </w:t>
            </w:r>
          </w:p>
        </w:tc>
        <w:tc>
          <w:tcPr>
            <w:tcW w:w="0" w:type="auto"/>
            <w:tcBorders>
              <w:top w:val="nil"/>
              <w:left w:val="nil"/>
              <w:bottom w:val="single" w:sz="4" w:space="0" w:color="auto"/>
              <w:right w:val="single" w:sz="4" w:space="0" w:color="auto"/>
            </w:tcBorders>
            <w:shd w:val="clear" w:color="auto" w:fill="auto"/>
            <w:noWrap/>
            <w:vAlign w:val="bottom"/>
            <w:hideMark/>
          </w:tcPr>
          <w:p w14:paraId="20F9ACD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912,363.83 </w:t>
            </w:r>
          </w:p>
        </w:tc>
        <w:tc>
          <w:tcPr>
            <w:tcW w:w="0" w:type="auto"/>
            <w:tcBorders>
              <w:top w:val="nil"/>
              <w:left w:val="nil"/>
              <w:bottom w:val="single" w:sz="4" w:space="0" w:color="auto"/>
              <w:right w:val="single" w:sz="4" w:space="0" w:color="auto"/>
            </w:tcBorders>
            <w:shd w:val="clear" w:color="auto" w:fill="auto"/>
            <w:noWrap/>
            <w:vAlign w:val="bottom"/>
            <w:hideMark/>
          </w:tcPr>
          <w:p w14:paraId="25691DC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(238,237.91)</w:t>
            </w:r>
          </w:p>
        </w:tc>
        <w:tc>
          <w:tcPr>
            <w:tcW w:w="0" w:type="auto"/>
            <w:tcBorders>
              <w:top w:val="nil"/>
              <w:left w:val="nil"/>
              <w:bottom w:val="single" w:sz="4" w:space="0" w:color="auto"/>
              <w:right w:val="single" w:sz="4" w:space="0" w:color="auto"/>
            </w:tcBorders>
            <w:shd w:val="clear" w:color="auto" w:fill="auto"/>
            <w:noWrap/>
            <w:vAlign w:val="bottom"/>
            <w:hideMark/>
          </w:tcPr>
          <w:p w14:paraId="4CA7E65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135%</w:t>
            </w:r>
          </w:p>
        </w:tc>
      </w:tr>
      <w:tr w:rsidR="004769F4" w:rsidRPr="007A7F0F" w14:paraId="5E8F24A7"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11466E9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Events, conferences, travel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60CD7F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45,660.62 </w:t>
            </w:r>
          </w:p>
        </w:tc>
        <w:tc>
          <w:tcPr>
            <w:tcW w:w="0" w:type="auto"/>
            <w:tcBorders>
              <w:top w:val="nil"/>
              <w:left w:val="nil"/>
              <w:bottom w:val="single" w:sz="4" w:space="0" w:color="auto"/>
              <w:right w:val="single" w:sz="4" w:space="0" w:color="auto"/>
            </w:tcBorders>
            <w:shd w:val="clear" w:color="auto" w:fill="auto"/>
            <w:noWrap/>
            <w:vAlign w:val="bottom"/>
            <w:hideMark/>
          </w:tcPr>
          <w:p w14:paraId="45C6F5E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35,108.29 </w:t>
            </w:r>
          </w:p>
        </w:tc>
        <w:tc>
          <w:tcPr>
            <w:tcW w:w="0" w:type="auto"/>
            <w:tcBorders>
              <w:top w:val="nil"/>
              <w:left w:val="nil"/>
              <w:bottom w:val="single" w:sz="4" w:space="0" w:color="auto"/>
              <w:right w:val="single" w:sz="4" w:space="0" w:color="auto"/>
            </w:tcBorders>
            <w:shd w:val="clear" w:color="auto" w:fill="auto"/>
            <w:noWrap/>
            <w:vAlign w:val="bottom"/>
            <w:hideMark/>
          </w:tcPr>
          <w:p w14:paraId="7CD4757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10,552.33 </w:t>
            </w:r>
          </w:p>
        </w:tc>
        <w:tc>
          <w:tcPr>
            <w:tcW w:w="0" w:type="auto"/>
            <w:tcBorders>
              <w:top w:val="nil"/>
              <w:left w:val="nil"/>
              <w:bottom w:val="single" w:sz="4" w:space="0" w:color="auto"/>
              <w:right w:val="single" w:sz="8" w:space="0" w:color="auto"/>
            </w:tcBorders>
            <w:shd w:val="clear" w:color="auto" w:fill="auto"/>
            <w:noWrap/>
            <w:vAlign w:val="bottom"/>
            <w:hideMark/>
          </w:tcPr>
          <w:p w14:paraId="7DAB01D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77%</w:t>
            </w:r>
          </w:p>
        </w:tc>
        <w:tc>
          <w:tcPr>
            <w:tcW w:w="0" w:type="auto"/>
            <w:tcBorders>
              <w:top w:val="nil"/>
              <w:left w:val="nil"/>
              <w:bottom w:val="single" w:sz="4" w:space="0" w:color="auto"/>
              <w:right w:val="single" w:sz="4" w:space="0" w:color="auto"/>
            </w:tcBorders>
            <w:shd w:val="clear" w:color="auto" w:fill="auto"/>
            <w:noWrap/>
            <w:vAlign w:val="bottom"/>
            <w:hideMark/>
          </w:tcPr>
          <w:p w14:paraId="2472642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10,098.00 </w:t>
            </w:r>
          </w:p>
        </w:tc>
        <w:tc>
          <w:tcPr>
            <w:tcW w:w="0" w:type="auto"/>
            <w:tcBorders>
              <w:top w:val="nil"/>
              <w:left w:val="nil"/>
              <w:bottom w:val="single" w:sz="4" w:space="0" w:color="auto"/>
              <w:right w:val="single" w:sz="4" w:space="0" w:color="auto"/>
            </w:tcBorders>
            <w:shd w:val="clear" w:color="auto" w:fill="auto"/>
            <w:noWrap/>
            <w:vAlign w:val="bottom"/>
            <w:hideMark/>
          </w:tcPr>
          <w:p w14:paraId="53791E4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11,462.00 </w:t>
            </w:r>
          </w:p>
        </w:tc>
        <w:tc>
          <w:tcPr>
            <w:tcW w:w="0" w:type="auto"/>
            <w:tcBorders>
              <w:top w:val="nil"/>
              <w:left w:val="nil"/>
              <w:bottom w:val="single" w:sz="4" w:space="0" w:color="auto"/>
              <w:right w:val="single" w:sz="4" w:space="0" w:color="auto"/>
            </w:tcBorders>
            <w:shd w:val="clear" w:color="auto" w:fill="auto"/>
            <w:noWrap/>
            <w:vAlign w:val="bottom"/>
            <w:hideMark/>
          </w:tcPr>
          <w:p w14:paraId="688BA27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(1,364.00)</w:t>
            </w:r>
          </w:p>
        </w:tc>
        <w:tc>
          <w:tcPr>
            <w:tcW w:w="0" w:type="auto"/>
            <w:tcBorders>
              <w:top w:val="nil"/>
              <w:left w:val="nil"/>
              <w:bottom w:val="single" w:sz="4" w:space="0" w:color="auto"/>
              <w:right w:val="single" w:sz="8" w:space="0" w:color="auto"/>
            </w:tcBorders>
            <w:shd w:val="clear" w:color="auto" w:fill="auto"/>
            <w:noWrap/>
            <w:vAlign w:val="bottom"/>
            <w:hideMark/>
          </w:tcPr>
          <w:p w14:paraId="4FE5C30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114%</w:t>
            </w:r>
          </w:p>
        </w:tc>
        <w:tc>
          <w:tcPr>
            <w:tcW w:w="0" w:type="auto"/>
            <w:tcBorders>
              <w:top w:val="nil"/>
              <w:left w:val="nil"/>
              <w:bottom w:val="single" w:sz="4" w:space="0" w:color="auto"/>
              <w:right w:val="single" w:sz="4" w:space="0" w:color="auto"/>
            </w:tcBorders>
            <w:shd w:val="clear" w:color="auto" w:fill="auto"/>
            <w:noWrap/>
            <w:vAlign w:val="bottom"/>
            <w:hideMark/>
          </w:tcPr>
          <w:p w14:paraId="3C776B5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326,196.62 </w:t>
            </w:r>
          </w:p>
        </w:tc>
        <w:tc>
          <w:tcPr>
            <w:tcW w:w="0" w:type="auto"/>
            <w:tcBorders>
              <w:top w:val="nil"/>
              <w:left w:val="nil"/>
              <w:bottom w:val="single" w:sz="4" w:space="0" w:color="auto"/>
              <w:right w:val="single" w:sz="4" w:space="0" w:color="auto"/>
            </w:tcBorders>
            <w:shd w:val="clear" w:color="auto" w:fill="auto"/>
            <w:noWrap/>
            <w:vAlign w:val="bottom"/>
            <w:hideMark/>
          </w:tcPr>
          <w:p w14:paraId="4C5D97E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339,592.05 </w:t>
            </w:r>
          </w:p>
        </w:tc>
        <w:tc>
          <w:tcPr>
            <w:tcW w:w="0" w:type="auto"/>
            <w:tcBorders>
              <w:top w:val="nil"/>
              <w:left w:val="nil"/>
              <w:bottom w:val="single" w:sz="4" w:space="0" w:color="auto"/>
              <w:right w:val="single" w:sz="4" w:space="0" w:color="auto"/>
            </w:tcBorders>
            <w:shd w:val="clear" w:color="auto" w:fill="auto"/>
            <w:noWrap/>
            <w:vAlign w:val="bottom"/>
            <w:hideMark/>
          </w:tcPr>
          <w:p w14:paraId="3D98AA8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(13,395.43)</w:t>
            </w:r>
          </w:p>
        </w:tc>
        <w:tc>
          <w:tcPr>
            <w:tcW w:w="0" w:type="auto"/>
            <w:tcBorders>
              <w:top w:val="nil"/>
              <w:left w:val="nil"/>
              <w:bottom w:val="single" w:sz="4" w:space="0" w:color="auto"/>
              <w:right w:val="single" w:sz="4" w:space="0" w:color="auto"/>
            </w:tcBorders>
            <w:shd w:val="clear" w:color="auto" w:fill="auto"/>
            <w:noWrap/>
            <w:vAlign w:val="bottom"/>
            <w:hideMark/>
          </w:tcPr>
          <w:p w14:paraId="24D3707D"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104%</w:t>
            </w:r>
          </w:p>
        </w:tc>
      </w:tr>
      <w:tr w:rsidR="004769F4" w:rsidRPr="007A7F0F" w14:paraId="4A8CF52B" w14:textId="77777777" w:rsidTr="00AF1EF3">
        <w:trPr>
          <w:trHeight w:val="20"/>
        </w:trPr>
        <w:tc>
          <w:tcPr>
            <w:tcW w:w="0" w:type="auto"/>
            <w:tcBorders>
              <w:top w:val="nil"/>
              <w:left w:val="single" w:sz="4" w:space="0" w:color="auto"/>
              <w:bottom w:val="single" w:sz="4" w:space="0" w:color="auto"/>
              <w:right w:val="nil"/>
            </w:tcBorders>
            <w:shd w:val="clear" w:color="000000" w:fill="FCE4D6"/>
            <w:vAlign w:val="center"/>
            <w:hideMark/>
          </w:tcPr>
          <w:p w14:paraId="347E122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Output Total </w:t>
            </w:r>
          </w:p>
        </w:tc>
        <w:tc>
          <w:tcPr>
            <w:tcW w:w="0" w:type="auto"/>
            <w:tcBorders>
              <w:top w:val="nil"/>
              <w:left w:val="single" w:sz="8" w:space="0" w:color="auto"/>
              <w:bottom w:val="single" w:sz="4" w:space="0" w:color="auto"/>
              <w:right w:val="single" w:sz="4" w:space="0" w:color="auto"/>
            </w:tcBorders>
            <w:shd w:val="clear" w:color="000000" w:fill="FCE4D6"/>
            <w:noWrap/>
            <w:vAlign w:val="bottom"/>
            <w:hideMark/>
          </w:tcPr>
          <w:p w14:paraId="638C3DA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423,488.62 </w:t>
            </w:r>
          </w:p>
        </w:tc>
        <w:tc>
          <w:tcPr>
            <w:tcW w:w="0" w:type="auto"/>
            <w:tcBorders>
              <w:top w:val="nil"/>
              <w:left w:val="nil"/>
              <w:bottom w:val="single" w:sz="4" w:space="0" w:color="auto"/>
              <w:right w:val="single" w:sz="4" w:space="0" w:color="auto"/>
            </w:tcBorders>
            <w:shd w:val="clear" w:color="000000" w:fill="FCE4D6"/>
            <w:noWrap/>
            <w:vAlign w:val="bottom"/>
            <w:hideMark/>
          </w:tcPr>
          <w:p w14:paraId="16274DA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438,098.00 </w:t>
            </w:r>
          </w:p>
        </w:tc>
        <w:tc>
          <w:tcPr>
            <w:tcW w:w="0" w:type="auto"/>
            <w:tcBorders>
              <w:top w:val="nil"/>
              <w:left w:val="nil"/>
              <w:bottom w:val="single" w:sz="4" w:space="0" w:color="auto"/>
              <w:right w:val="single" w:sz="4" w:space="0" w:color="auto"/>
            </w:tcBorders>
            <w:shd w:val="clear" w:color="000000" w:fill="FCE4D6"/>
            <w:noWrap/>
            <w:vAlign w:val="bottom"/>
            <w:hideMark/>
          </w:tcPr>
          <w:p w14:paraId="7CDAA26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(14,609.38)</w:t>
            </w:r>
          </w:p>
        </w:tc>
        <w:tc>
          <w:tcPr>
            <w:tcW w:w="0" w:type="auto"/>
            <w:tcBorders>
              <w:top w:val="nil"/>
              <w:left w:val="nil"/>
              <w:bottom w:val="single" w:sz="4" w:space="0" w:color="auto"/>
              <w:right w:val="single" w:sz="8" w:space="0" w:color="auto"/>
            </w:tcBorders>
            <w:shd w:val="clear" w:color="000000" w:fill="FCE4D6"/>
            <w:noWrap/>
            <w:vAlign w:val="bottom"/>
            <w:hideMark/>
          </w:tcPr>
          <w:p w14:paraId="6A9660F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103%</w:t>
            </w:r>
          </w:p>
        </w:tc>
        <w:tc>
          <w:tcPr>
            <w:tcW w:w="0" w:type="auto"/>
            <w:tcBorders>
              <w:top w:val="nil"/>
              <w:left w:val="nil"/>
              <w:bottom w:val="single" w:sz="4" w:space="0" w:color="auto"/>
              <w:right w:val="single" w:sz="4" w:space="0" w:color="auto"/>
            </w:tcBorders>
            <w:shd w:val="clear" w:color="000000" w:fill="FCE4D6"/>
            <w:noWrap/>
            <w:vAlign w:val="bottom"/>
            <w:hideMark/>
          </w:tcPr>
          <w:p w14:paraId="26124862"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308,794.65 </w:t>
            </w:r>
          </w:p>
        </w:tc>
        <w:tc>
          <w:tcPr>
            <w:tcW w:w="0" w:type="auto"/>
            <w:tcBorders>
              <w:top w:val="nil"/>
              <w:left w:val="nil"/>
              <w:bottom w:val="single" w:sz="4" w:space="0" w:color="auto"/>
              <w:right w:val="single" w:sz="4" w:space="0" w:color="auto"/>
            </w:tcBorders>
            <w:shd w:val="clear" w:color="000000" w:fill="FCE4D6"/>
            <w:noWrap/>
            <w:vAlign w:val="bottom"/>
            <w:hideMark/>
          </w:tcPr>
          <w:p w14:paraId="266FA5F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362,494.00 </w:t>
            </w:r>
          </w:p>
        </w:tc>
        <w:tc>
          <w:tcPr>
            <w:tcW w:w="0" w:type="auto"/>
            <w:tcBorders>
              <w:top w:val="nil"/>
              <w:left w:val="nil"/>
              <w:bottom w:val="single" w:sz="4" w:space="0" w:color="auto"/>
              <w:right w:val="single" w:sz="4" w:space="0" w:color="auto"/>
            </w:tcBorders>
            <w:shd w:val="clear" w:color="000000" w:fill="FCE4D6"/>
            <w:noWrap/>
            <w:vAlign w:val="bottom"/>
            <w:hideMark/>
          </w:tcPr>
          <w:p w14:paraId="243F418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(53,699.35)</w:t>
            </w:r>
          </w:p>
        </w:tc>
        <w:tc>
          <w:tcPr>
            <w:tcW w:w="0" w:type="auto"/>
            <w:tcBorders>
              <w:top w:val="nil"/>
              <w:left w:val="nil"/>
              <w:bottom w:val="single" w:sz="4" w:space="0" w:color="auto"/>
              <w:right w:val="single" w:sz="8" w:space="0" w:color="auto"/>
            </w:tcBorders>
            <w:shd w:val="clear" w:color="000000" w:fill="FCE4D6"/>
            <w:noWrap/>
            <w:vAlign w:val="bottom"/>
            <w:hideMark/>
          </w:tcPr>
          <w:p w14:paraId="29C1025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117%</w:t>
            </w:r>
          </w:p>
        </w:tc>
        <w:tc>
          <w:tcPr>
            <w:tcW w:w="0" w:type="auto"/>
            <w:tcBorders>
              <w:top w:val="nil"/>
              <w:left w:val="nil"/>
              <w:bottom w:val="single" w:sz="4" w:space="0" w:color="auto"/>
              <w:right w:val="single" w:sz="4" w:space="0" w:color="auto"/>
            </w:tcBorders>
            <w:shd w:val="clear" w:color="000000" w:fill="FCE4D6"/>
            <w:noWrap/>
            <w:vAlign w:val="bottom"/>
            <w:hideMark/>
          </w:tcPr>
          <w:p w14:paraId="6C830BC8"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2,096,765.80 </w:t>
            </w:r>
          </w:p>
        </w:tc>
        <w:tc>
          <w:tcPr>
            <w:tcW w:w="0" w:type="auto"/>
            <w:tcBorders>
              <w:top w:val="nil"/>
              <w:left w:val="nil"/>
              <w:bottom w:val="single" w:sz="4" w:space="0" w:color="auto"/>
              <w:right w:val="single" w:sz="4" w:space="0" w:color="auto"/>
            </w:tcBorders>
            <w:shd w:val="clear" w:color="000000" w:fill="FCE4D6"/>
            <w:noWrap/>
            <w:vAlign w:val="bottom"/>
            <w:hideMark/>
          </w:tcPr>
          <w:p w14:paraId="7A67EB7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2,141,759.56 </w:t>
            </w:r>
          </w:p>
        </w:tc>
        <w:tc>
          <w:tcPr>
            <w:tcW w:w="0" w:type="auto"/>
            <w:tcBorders>
              <w:top w:val="nil"/>
              <w:left w:val="nil"/>
              <w:bottom w:val="single" w:sz="4" w:space="0" w:color="auto"/>
              <w:right w:val="single" w:sz="4" w:space="0" w:color="auto"/>
            </w:tcBorders>
            <w:shd w:val="clear" w:color="000000" w:fill="FCE4D6"/>
            <w:noWrap/>
            <w:vAlign w:val="bottom"/>
            <w:hideMark/>
          </w:tcPr>
          <w:p w14:paraId="7FC23A1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(44,993.76)</w:t>
            </w:r>
          </w:p>
        </w:tc>
        <w:tc>
          <w:tcPr>
            <w:tcW w:w="0" w:type="auto"/>
            <w:tcBorders>
              <w:top w:val="nil"/>
              <w:left w:val="nil"/>
              <w:bottom w:val="single" w:sz="4" w:space="0" w:color="auto"/>
              <w:right w:val="single" w:sz="4" w:space="0" w:color="auto"/>
            </w:tcBorders>
            <w:shd w:val="clear" w:color="000000" w:fill="FCE4D6"/>
            <w:noWrap/>
            <w:vAlign w:val="bottom"/>
            <w:hideMark/>
          </w:tcPr>
          <w:p w14:paraId="593B147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102%</w:t>
            </w:r>
          </w:p>
        </w:tc>
      </w:tr>
      <w:tr w:rsidR="004769F4" w:rsidRPr="007A7F0F" w14:paraId="5749BA68" w14:textId="77777777" w:rsidTr="00AF1EF3">
        <w:trPr>
          <w:trHeight w:val="20"/>
        </w:trPr>
        <w:tc>
          <w:tcPr>
            <w:tcW w:w="0" w:type="auto"/>
            <w:tcBorders>
              <w:top w:val="nil"/>
              <w:left w:val="single" w:sz="4" w:space="0" w:color="auto"/>
              <w:bottom w:val="single" w:sz="4" w:space="0" w:color="auto"/>
              <w:right w:val="nil"/>
            </w:tcBorders>
            <w:shd w:val="clear" w:color="000000" w:fill="FCE4D6"/>
            <w:vAlign w:val="center"/>
            <w:hideMark/>
          </w:tcPr>
          <w:p w14:paraId="1CA64798"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4" w:space="0" w:color="auto"/>
              <w:bottom w:val="single" w:sz="4" w:space="0" w:color="auto"/>
              <w:right w:val="single" w:sz="4" w:space="0" w:color="auto"/>
            </w:tcBorders>
            <w:shd w:val="clear" w:color="000000" w:fill="FCE4D6"/>
            <w:noWrap/>
            <w:vAlign w:val="bottom"/>
            <w:hideMark/>
          </w:tcPr>
          <w:p w14:paraId="321544F2"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29%</w:t>
            </w:r>
          </w:p>
        </w:tc>
        <w:tc>
          <w:tcPr>
            <w:tcW w:w="0" w:type="auto"/>
            <w:tcBorders>
              <w:top w:val="nil"/>
              <w:left w:val="nil"/>
              <w:bottom w:val="single" w:sz="4" w:space="0" w:color="auto"/>
              <w:right w:val="single" w:sz="4" w:space="0" w:color="auto"/>
            </w:tcBorders>
            <w:shd w:val="clear" w:color="000000" w:fill="FCE4D6"/>
            <w:noWrap/>
            <w:vAlign w:val="bottom"/>
            <w:hideMark/>
          </w:tcPr>
          <w:p w14:paraId="7502D0A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31%</w:t>
            </w:r>
          </w:p>
        </w:tc>
        <w:tc>
          <w:tcPr>
            <w:tcW w:w="0" w:type="auto"/>
            <w:tcBorders>
              <w:top w:val="nil"/>
              <w:left w:val="nil"/>
              <w:bottom w:val="single" w:sz="4" w:space="0" w:color="auto"/>
              <w:right w:val="single" w:sz="4" w:space="0" w:color="auto"/>
            </w:tcBorders>
            <w:shd w:val="clear" w:color="000000" w:fill="FCE4D6"/>
            <w:noWrap/>
            <w:vAlign w:val="bottom"/>
            <w:hideMark/>
          </w:tcPr>
          <w:p w14:paraId="080A8CB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-28%</w:t>
            </w:r>
          </w:p>
        </w:tc>
        <w:tc>
          <w:tcPr>
            <w:tcW w:w="0" w:type="auto"/>
            <w:tcBorders>
              <w:top w:val="nil"/>
              <w:left w:val="nil"/>
              <w:bottom w:val="single" w:sz="4" w:space="0" w:color="auto"/>
              <w:right w:val="single" w:sz="8" w:space="0" w:color="auto"/>
            </w:tcBorders>
            <w:shd w:val="clear" w:color="000000" w:fill="FCE4D6"/>
            <w:noWrap/>
            <w:vAlign w:val="bottom"/>
            <w:hideMark/>
          </w:tcPr>
          <w:p w14:paraId="17C5862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single" w:sz="4" w:space="0" w:color="auto"/>
              <w:bottom w:val="single" w:sz="4" w:space="0" w:color="auto"/>
              <w:right w:val="single" w:sz="4" w:space="0" w:color="auto"/>
            </w:tcBorders>
            <w:shd w:val="clear" w:color="000000" w:fill="FCE4D6"/>
            <w:noWrap/>
            <w:vAlign w:val="bottom"/>
            <w:hideMark/>
          </w:tcPr>
          <w:p w14:paraId="0FB7493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26%</w:t>
            </w:r>
          </w:p>
        </w:tc>
        <w:tc>
          <w:tcPr>
            <w:tcW w:w="0" w:type="auto"/>
            <w:tcBorders>
              <w:top w:val="nil"/>
              <w:left w:val="nil"/>
              <w:bottom w:val="single" w:sz="4" w:space="0" w:color="auto"/>
              <w:right w:val="single" w:sz="4" w:space="0" w:color="auto"/>
            </w:tcBorders>
            <w:shd w:val="clear" w:color="000000" w:fill="FCE4D6"/>
            <w:noWrap/>
            <w:vAlign w:val="bottom"/>
            <w:hideMark/>
          </w:tcPr>
          <w:p w14:paraId="057FFFA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31%</w:t>
            </w:r>
          </w:p>
        </w:tc>
        <w:tc>
          <w:tcPr>
            <w:tcW w:w="0" w:type="auto"/>
            <w:tcBorders>
              <w:top w:val="nil"/>
              <w:left w:val="nil"/>
              <w:bottom w:val="single" w:sz="4" w:space="0" w:color="auto"/>
              <w:right w:val="single" w:sz="4" w:space="0" w:color="auto"/>
            </w:tcBorders>
            <w:shd w:val="clear" w:color="000000" w:fill="FCE4D6"/>
            <w:noWrap/>
            <w:vAlign w:val="bottom"/>
            <w:hideMark/>
          </w:tcPr>
          <w:p w14:paraId="1A7E454A"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-471%</w:t>
            </w:r>
          </w:p>
        </w:tc>
        <w:tc>
          <w:tcPr>
            <w:tcW w:w="0" w:type="auto"/>
            <w:tcBorders>
              <w:top w:val="nil"/>
              <w:left w:val="nil"/>
              <w:bottom w:val="single" w:sz="4" w:space="0" w:color="auto"/>
              <w:right w:val="single" w:sz="8" w:space="0" w:color="auto"/>
            </w:tcBorders>
            <w:shd w:val="clear" w:color="000000" w:fill="FCE4D6"/>
            <w:noWrap/>
            <w:vAlign w:val="bottom"/>
            <w:hideMark/>
          </w:tcPr>
          <w:p w14:paraId="7934E92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single" w:sz="4" w:space="0" w:color="auto"/>
              <w:bottom w:val="single" w:sz="4" w:space="0" w:color="auto"/>
              <w:right w:val="single" w:sz="4" w:space="0" w:color="auto"/>
            </w:tcBorders>
            <w:shd w:val="clear" w:color="000000" w:fill="FCE4D6"/>
            <w:noWrap/>
            <w:vAlign w:val="bottom"/>
            <w:hideMark/>
          </w:tcPr>
          <w:p w14:paraId="7DE1124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34%</w:t>
            </w:r>
          </w:p>
        </w:tc>
        <w:tc>
          <w:tcPr>
            <w:tcW w:w="0" w:type="auto"/>
            <w:tcBorders>
              <w:top w:val="nil"/>
              <w:left w:val="nil"/>
              <w:bottom w:val="single" w:sz="4" w:space="0" w:color="auto"/>
              <w:right w:val="single" w:sz="4" w:space="0" w:color="auto"/>
            </w:tcBorders>
            <w:shd w:val="clear" w:color="000000" w:fill="FCE4D6"/>
            <w:noWrap/>
            <w:vAlign w:val="bottom"/>
            <w:hideMark/>
          </w:tcPr>
          <w:p w14:paraId="3E87D02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37%</w:t>
            </w:r>
          </w:p>
        </w:tc>
        <w:tc>
          <w:tcPr>
            <w:tcW w:w="0" w:type="auto"/>
            <w:tcBorders>
              <w:top w:val="nil"/>
              <w:left w:val="nil"/>
              <w:bottom w:val="single" w:sz="4" w:space="0" w:color="auto"/>
              <w:right w:val="single" w:sz="4" w:space="0" w:color="auto"/>
            </w:tcBorders>
            <w:shd w:val="clear" w:color="000000" w:fill="FCE4D6"/>
            <w:noWrap/>
            <w:vAlign w:val="bottom"/>
            <w:hideMark/>
          </w:tcPr>
          <w:p w14:paraId="7B48C985"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w:t>
            </w:r>
          </w:p>
        </w:tc>
        <w:tc>
          <w:tcPr>
            <w:tcW w:w="0" w:type="auto"/>
            <w:tcBorders>
              <w:top w:val="nil"/>
              <w:left w:val="nil"/>
              <w:bottom w:val="single" w:sz="4" w:space="0" w:color="auto"/>
              <w:right w:val="single" w:sz="4" w:space="0" w:color="auto"/>
            </w:tcBorders>
            <w:shd w:val="clear" w:color="000000" w:fill="FCE4D6"/>
            <w:noWrap/>
            <w:vAlign w:val="bottom"/>
            <w:hideMark/>
          </w:tcPr>
          <w:p w14:paraId="3267E85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5A2137B1" w14:textId="77777777" w:rsidTr="00AF1EF3">
        <w:trPr>
          <w:trHeight w:val="20"/>
        </w:trPr>
        <w:tc>
          <w:tcPr>
            <w:tcW w:w="0" w:type="auto"/>
            <w:tcBorders>
              <w:top w:val="nil"/>
              <w:left w:val="single" w:sz="4" w:space="0" w:color="auto"/>
              <w:bottom w:val="single" w:sz="4" w:space="0" w:color="auto"/>
              <w:right w:val="nil"/>
            </w:tcBorders>
            <w:shd w:val="clear" w:color="000000" w:fill="FFE699"/>
            <w:vAlign w:val="center"/>
            <w:hideMark/>
          </w:tcPr>
          <w:p w14:paraId="42810F55"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OUTPUT 3  Quality services delivered and innovations planned, based on consistent and replicable methodology, citizens’ needs and feedback consistently integrated into service development</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C360AC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047E7B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190D0D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7BA78F1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629ECF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174271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00C0D5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3967E1B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14B555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216C4D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E8AA08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73D6A3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3A70201A"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47626E7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Contractual Services-Companies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34E46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62A67E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3E1F79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   </w:t>
            </w:r>
          </w:p>
        </w:tc>
        <w:tc>
          <w:tcPr>
            <w:tcW w:w="0" w:type="auto"/>
            <w:tcBorders>
              <w:top w:val="nil"/>
              <w:left w:val="nil"/>
              <w:bottom w:val="single" w:sz="4" w:space="0" w:color="auto"/>
              <w:right w:val="single" w:sz="8" w:space="0" w:color="auto"/>
            </w:tcBorders>
            <w:shd w:val="clear" w:color="auto" w:fill="auto"/>
            <w:noWrap/>
            <w:vAlign w:val="bottom"/>
            <w:hideMark/>
          </w:tcPr>
          <w:p w14:paraId="7EE5404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BE0333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82,500.00 </w:t>
            </w:r>
          </w:p>
        </w:tc>
        <w:tc>
          <w:tcPr>
            <w:tcW w:w="0" w:type="auto"/>
            <w:tcBorders>
              <w:top w:val="nil"/>
              <w:left w:val="nil"/>
              <w:bottom w:val="single" w:sz="4" w:space="0" w:color="auto"/>
              <w:right w:val="single" w:sz="4" w:space="0" w:color="auto"/>
            </w:tcBorders>
            <w:shd w:val="clear" w:color="auto" w:fill="auto"/>
            <w:noWrap/>
            <w:vAlign w:val="bottom"/>
            <w:hideMark/>
          </w:tcPr>
          <w:p w14:paraId="2318D69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49,834.00 </w:t>
            </w:r>
          </w:p>
        </w:tc>
        <w:tc>
          <w:tcPr>
            <w:tcW w:w="0" w:type="auto"/>
            <w:tcBorders>
              <w:top w:val="nil"/>
              <w:left w:val="nil"/>
              <w:bottom w:val="single" w:sz="4" w:space="0" w:color="auto"/>
              <w:right w:val="single" w:sz="4" w:space="0" w:color="auto"/>
            </w:tcBorders>
            <w:shd w:val="clear" w:color="auto" w:fill="auto"/>
            <w:noWrap/>
            <w:vAlign w:val="bottom"/>
            <w:hideMark/>
          </w:tcPr>
          <w:p w14:paraId="0AEE098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32,666.00 </w:t>
            </w:r>
          </w:p>
        </w:tc>
        <w:tc>
          <w:tcPr>
            <w:tcW w:w="0" w:type="auto"/>
            <w:tcBorders>
              <w:top w:val="nil"/>
              <w:left w:val="nil"/>
              <w:bottom w:val="single" w:sz="4" w:space="0" w:color="auto"/>
              <w:right w:val="single" w:sz="8" w:space="0" w:color="auto"/>
            </w:tcBorders>
            <w:shd w:val="clear" w:color="auto" w:fill="auto"/>
            <w:noWrap/>
            <w:vAlign w:val="bottom"/>
            <w:hideMark/>
          </w:tcPr>
          <w:p w14:paraId="68F00DE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60%</w:t>
            </w:r>
          </w:p>
        </w:tc>
        <w:tc>
          <w:tcPr>
            <w:tcW w:w="0" w:type="auto"/>
            <w:tcBorders>
              <w:top w:val="nil"/>
              <w:left w:val="nil"/>
              <w:bottom w:val="single" w:sz="4" w:space="0" w:color="auto"/>
              <w:right w:val="single" w:sz="4" w:space="0" w:color="auto"/>
            </w:tcBorders>
            <w:shd w:val="clear" w:color="auto" w:fill="auto"/>
            <w:noWrap/>
            <w:vAlign w:val="bottom"/>
            <w:hideMark/>
          </w:tcPr>
          <w:p w14:paraId="5C5247E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82,500.00 </w:t>
            </w:r>
          </w:p>
        </w:tc>
        <w:tc>
          <w:tcPr>
            <w:tcW w:w="0" w:type="auto"/>
            <w:tcBorders>
              <w:top w:val="nil"/>
              <w:left w:val="nil"/>
              <w:bottom w:val="single" w:sz="4" w:space="0" w:color="auto"/>
              <w:right w:val="single" w:sz="4" w:space="0" w:color="auto"/>
            </w:tcBorders>
            <w:shd w:val="clear" w:color="auto" w:fill="auto"/>
            <w:noWrap/>
            <w:vAlign w:val="bottom"/>
            <w:hideMark/>
          </w:tcPr>
          <w:p w14:paraId="5B9D8C2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49,834.00 </w:t>
            </w:r>
          </w:p>
        </w:tc>
        <w:tc>
          <w:tcPr>
            <w:tcW w:w="0" w:type="auto"/>
            <w:tcBorders>
              <w:top w:val="nil"/>
              <w:left w:val="nil"/>
              <w:bottom w:val="single" w:sz="4" w:space="0" w:color="auto"/>
              <w:right w:val="single" w:sz="4" w:space="0" w:color="auto"/>
            </w:tcBorders>
            <w:shd w:val="clear" w:color="auto" w:fill="auto"/>
            <w:noWrap/>
            <w:vAlign w:val="bottom"/>
            <w:hideMark/>
          </w:tcPr>
          <w:p w14:paraId="4617DF6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67,666.00 </w:t>
            </w:r>
          </w:p>
        </w:tc>
        <w:tc>
          <w:tcPr>
            <w:tcW w:w="0" w:type="auto"/>
            <w:tcBorders>
              <w:top w:val="nil"/>
              <w:left w:val="nil"/>
              <w:bottom w:val="single" w:sz="4" w:space="0" w:color="auto"/>
              <w:right w:val="single" w:sz="4" w:space="0" w:color="auto"/>
            </w:tcBorders>
            <w:shd w:val="clear" w:color="auto" w:fill="auto"/>
            <w:noWrap/>
            <w:vAlign w:val="bottom"/>
            <w:hideMark/>
          </w:tcPr>
          <w:p w14:paraId="1CE28E0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60%</w:t>
            </w:r>
          </w:p>
        </w:tc>
      </w:tr>
      <w:tr w:rsidR="004769F4" w:rsidRPr="007A7F0F" w14:paraId="1EC85F82"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7A8C52B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Local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4D5AE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6,000.00 </w:t>
            </w:r>
          </w:p>
        </w:tc>
        <w:tc>
          <w:tcPr>
            <w:tcW w:w="0" w:type="auto"/>
            <w:tcBorders>
              <w:top w:val="nil"/>
              <w:left w:val="nil"/>
              <w:bottom w:val="nil"/>
              <w:right w:val="nil"/>
            </w:tcBorders>
            <w:shd w:val="clear" w:color="auto" w:fill="auto"/>
            <w:noWrap/>
            <w:vAlign w:val="bottom"/>
            <w:hideMark/>
          </w:tcPr>
          <w:p w14:paraId="56A5C4B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1,000.00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83DC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5,000.00 </w:t>
            </w:r>
          </w:p>
        </w:tc>
        <w:tc>
          <w:tcPr>
            <w:tcW w:w="0" w:type="auto"/>
            <w:tcBorders>
              <w:top w:val="nil"/>
              <w:left w:val="nil"/>
              <w:bottom w:val="single" w:sz="4" w:space="0" w:color="auto"/>
              <w:right w:val="single" w:sz="8" w:space="0" w:color="auto"/>
            </w:tcBorders>
            <w:shd w:val="clear" w:color="auto" w:fill="auto"/>
            <w:noWrap/>
            <w:vAlign w:val="bottom"/>
            <w:hideMark/>
          </w:tcPr>
          <w:p w14:paraId="0FE6D5F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17%</w:t>
            </w:r>
          </w:p>
        </w:tc>
        <w:tc>
          <w:tcPr>
            <w:tcW w:w="0" w:type="auto"/>
            <w:tcBorders>
              <w:top w:val="nil"/>
              <w:left w:val="nil"/>
              <w:bottom w:val="single" w:sz="4" w:space="0" w:color="auto"/>
              <w:right w:val="single" w:sz="4" w:space="0" w:color="auto"/>
            </w:tcBorders>
            <w:shd w:val="clear" w:color="auto" w:fill="auto"/>
            <w:noWrap/>
            <w:vAlign w:val="bottom"/>
            <w:hideMark/>
          </w:tcPr>
          <w:p w14:paraId="25AAE99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97,187.00 </w:t>
            </w:r>
          </w:p>
        </w:tc>
        <w:tc>
          <w:tcPr>
            <w:tcW w:w="0" w:type="auto"/>
            <w:tcBorders>
              <w:top w:val="nil"/>
              <w:left w:val="nil"/>
              <w:bottom w:val="single" w:sz="4" w:space="0" w:color="auto"/>
              <w:right w:val="single" w:sz="4" w:space="0" w:color="auto"/>
            </w:tcBorders>
            <w:shd w:val="clear" w:color="auto" w:fill="auto"/>
            <w:noWrap/>
            <w:vAlign w:val="bottom"/>
            <w:hideMark/>
          </w:tcPr>
          <w:p w14:paraId="28D08B5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34,589.00 </w:t>
            </w:r>
          </w:p>
        </w:tc>
        <w:tc>
          <w:tcPr>
            <w:tcW w:w="0" w:type="auto"/>
            <w:tcBorders>
              <w:top w:val="nil"/>
              <w:left w:val="nil"/>
              <w:bottom w:val="single" w:sz="4" w:space="0" w:color="auto"/>
              <w:right w:val="single" w:sz="4" w:space="0" w:color="auto"/>
            </w:tcBorders>
            <w:shd w:val="clear" w:color="auto" w:fill="auto"/>
            <w:noWrap/>
            <w:vAlign w:val="bottom"/>
            <w:hideMark/>
          </w:tcPr>
          <w:p w14:paraId="637F677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62,598.00 </w:t>
            </w:r>
          </w:p>
        </w:tc>
        <w:tc>
          <w:tcPr>
            <w:tcW w:w="0" w:type="auto"/>
            <w:tcBorders>
              <w:top w:val="nil"/>
              <w:left w:val="nil"/>
              <w:bottom w:val="single" w:sz="4" w:space="0" w:color="auto"/>
              <w:right w:val="single" w:sz="8" w:space="0" w:color="auto"/>
            </w:tcBorders>
            <w:shd w:val="clear" w:color="auto" w:fill="auto"/>
            <w:noWrap/>
            <w:vAlign w:val="bottom"/>
            <w:hideMark/>
          </w:tcPr>
          <w:p w14:paraId="29B23E8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14:paraId="36151D7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236,836.17 </w:t>
            </w:r>
          </w:p>
        </w:tc>
        <w:tc>
          <w:tcPr>
            <w:tcW w:w="0" w:type="auto"/>
            <w:tcBorders>
              <w:top w:val="nil"/>
              <w:left w:val="nil"/>
              <w:bottom w:val="single" w:sz="4" w:space="0" w:color="auto"/>
              <w:right w:val="single" w:sz="4" w:space="0" w:color="auto"/>
            </w:tcBorders>
            <w:shd w:val="clear" w:color="auto" w:fill="auto"/>
            <w:noWrap/>
            <w:vAlign w:val="bottom"/>
            <w:hideMark/>
          </w:tcPr>
          <w:p w14:paraId="6317BA4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137,322.50 </w:t>
            </w:r>
          </w:p>
        </w:tc>
        <w:tc>
          <w:tcPr>
            <w:tcW w:w="0" w:type="auto"/>
            <w:tcBorders>
              <w:top w:val="nil"/>
              <w:left w:val="nil"/>
              <w:bottom w:val="single" w:sz="4" w:space="0" w:color="auto"/>
              <w:right w:val="single" w:sz="4" w:space="0" w:color="auto"/>
            </w:tcBorders>
            <w:shd w:val="clear" w:color="auto" w:fill="auto"/>
            <w:noWrap/>
            <w:vAlign w:val="bottom"/>
            <w:hideMark/>
          </w:tcPr>
          <w:p w14:paraId="2051955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125,059.67 </w:t>
            </w:r>
          </w:p>
        </w:tc>
        <w:tc>
          <w:tcPr>
            <w:tcW w:w="0" w:type="auto"/>
            <w:tcBorders>
              <w:top w:val="nil"/>
              <w:left w:val="nil"/>
              <w:bottom w:val="single" w:sz="4" w:space="0" w:color="auto"/>
              <w:right w:val="single" w:sz="4" w:space="0" w:color="auto"/>
            </w:tcBorders>
            <w:shd w:val="clear" w:color="auto" w:fill="auto"/>
            <w:noWrap/>
            <w:vAlign w:val="bottom"/>
            <w:hideMark/>
          </w:tcPr>
          <w:p w14:paraId="74DB5E9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58%</w:t>
            </w:r>
          </w:p>
        </w:tc>
      </w:tr>
      <w:tr w:rsidR="004769F4" w:rsidRPr="007A7F0F" w14:paraId="4439EBD5"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0804CEE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International Consultants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8325A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63,500.00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47489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59,300.00 </w:t>
            </w:r>
          </w:p>
        </w:tc>
        <w:tc>
          <w:tcPr>
            <w:tcW w:w="0" w:type="auto"/>
            <w:tcBorders>
              <w:top w:val="nil"/>
              <w:left w:val="nil"/>
              <w:bottom w:val="single" w:sz="4" w:space="0" w:color="auto"/>
              <w:right w:val="single" w:sz="4" w:space="0" w:color="auto"/>
            </w:tcBorders>
            <w:shd w:val="clear" w:color="auto" w:fill="auto"/>
            <w:noWrap/>
            <w:vAlign w:val="bottom"/>
            <w:hideMark/>
          </w:tcPr>
          <w:p w14:paraId="16B7833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4,200.00 </w:t>
            </w:r>
          </w:p>
        </w:tc>
        <w:tc>
          <w:tcPr>
            <w:tcW w:w="0" w:type="auto"/>
            <w:tcBorders>
              <w:top w:val="nil"/>
              <w:left w:val="nil"/>
              <w:bottom w:val="single" w:sz="4" w:space="0" w:color="auto"/>
              <w:right w:val="single" w:sz="8" w:space="0" w:color="auto"/>
            </w:tcBorders>
            <w:shd w:val="clear" w:color="auto" w:fill="auto"/>
            <w:noWrap/>
            <w:vAlign w:val="bottom"/>
            <w:hideMark/>
          </w:tcPr>
          <w:p w14:paraId="1930E89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14:paraId="0456962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61,175.40 </w:t>
            </w:r>
          </w:p>
        </w:tc>
        <w:tc>
          <w:tcPr>
            <w:tcW w:w="0" w:type="auto"/>
            <w:tcBorders>
              <w:top w:val="nil"/>
              <w:left w:val="nil"/>
              <w:bottom w:val="single" w:sz="4" w:space="0" w:color="auto"/>
              <w:right w:val="single" w:sz="4" w:space="0" w:color="auto"/>
            </w:tcBorders>
            <w:shd w:val="clear" w:color="auto" w:fill="auto"/>
            <w:noWrap/>
            <w:vAlign w:val="bottom"/>
            <w:hideMark/>
          </w:tcPr>
          <w:p w14:paraId="08CB5F1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75,255.00 </w:t>
            </w:r>
          </w:p>
        </w:tc>
        <w:tc>
          <w:tcPr>
            <w:tcW w:w="0" w:type="auto"/>
            <w:tcBorders>
              <w:top w:val="nil"/>
              <w:left w:val="nil"/>
              <w:bottom w:val="single" w:sz="4" w:space="0" w:color="auto"/>
              <w:right w:val="single" w:sz="4" w:space="0" w:color="auto"/>
            </w:tcBorders>
            <w:shd w:val="clear" w:color="auto" w:fill="auto"/>
            <w:noWrap/>
            <w:vAlign w:val="bottom"/>
            <w:hideMark/>
          </w:tcPr>
          <w:p w14:paraId="7D0ABD2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(14,079.60)</w:t>
            </w:r>
          </w:p>
        </w:tc>
        <w:tc>
          <w:tcPr>
            <w:tcW w:w="0" w:type="auto"/>
            <w:tcBorders>
              <w:top w:val="nil"/>
              <w:left w:val="nil"/>
              <w:bottom w:val="single" w:sz="4" w:space="0" w:color="auto"/>
              <w:right w:val="single" w:sz="8" w:space="0" w:color="auto"/>
            </w:tcBorders>
            <w:shd w:val="clear" w:color="auto" w:fill="auto"/>
            <w:noWrap/>
            <w:vAlign w:val="bottom"/>
            <w:hideMark/>
          </w:tcPr>
          <w:p w14:paraId="20087BC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123%</w:t>
            </w:r>
          </w:p>
        </w:tc>
        <w:tc>
          <w:tcPr>
            <w:tcW w:w="0" w:type="auto"/>
            <w:tcBorders>
              <w:top w:val="nil"/>
              <w:left w:val="nil"/>
              <w:bottom w:val="single" w:sz="4" w:space="0" w:color="auto"/>
              <w:right w:val="single" w:sz="4" w:space="0" w:color="auto"/>
            </w:tcBorders>
            <w:shd w:val="clear" w:color="auto" w:fill="auto"/>
            <w:noWrap/>
            <w:vAlign w:val="bottom"/>
            <w:hideMark/>
          </w:tcPr>
          <w:p w14:paraId="00817B0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390,458.97 </w:t>
            </w:r>
          </w:p>
        </w:tc>
        <w:tc>
          <w:tcPr>
            <w:tcW w:w="0" w:type="auto"/>
            <w:tcBorders>
              <w:top w:val="nil"/>
              <w:left w:val="nil"/>
              <w:bottom w:val="single" w:sz="4" w:space="0" w:color="auto"/>
              <w:right w:val="single" w:sz="4" w:space="0" w:color="auto"/>
            </w:tcBorders>
            <w:shd w:val="clear" w:color="auto" w:fill="auto"/>
            <w:noWrap/>
            <w:vAlign w:val="bottom"/>
            <w:hideMark/>
          </w:tcPr>
          <w:p w14:paraId="025A81E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325,435.68 </w:t>
            </w:r>
          </w:p>
        </w:tc>
        <w:tc>
          <w:tcPr>
            <w:tcW w:w="0" w:type="auto"/>
            <w:tcBorders>
              <w:top w:val="nil"/>
              <w:left w:val="nil"/>
              <w:bottom w:val="single" w:sz="4" w:space="0" w:color="auto"/>
              <w:right w:val="single" w:sz="4" w:space="0" w:color="auto"/>
            </w:tcBorders>
            <w:shd w:val="clear" w:color="auto" w:fill="auto"/>
            <w:noWrap/>
            <w:vAlign w:val="bottom"/>
            <w:hideMark/>
          </w:tcPr>
          <w:p w14:paraId="653769F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124,803.29 </w:t>
            </w:r>
          </w:p>
        </w:tc>
        <w:tc>
          <w:tcPr>
            <w:tcW w:w="0" w:type="auto"/>
            <w:tcBorders>
              <w:top w:val="nil"/>
              <w:left w:val="nil"/>
              <w:bottom w:val="single" w:sz="4" w:space="0" w:color="auto"/>
              <w:right w:val="single" w:sz="4" w:space="0" w:color="auto"/>
            </w:tcBorders>
            <w:shd w:val="clear" w:color="auto" w:fill="auto"/>
            <w:noWrap/>
            <w:vAlign w:val="bottom"/>
            <w:hideMark/>
          </w:tcPr>
          <w:p w14:paraId="19EA152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83%</w:t>
            </w:r>
          </w:p>
        </w:tc>
      </w:tr>
      <w:tr w:rsidR="004769F4" w:rsidRPr="007A7F0F" w14:paraId="0400A25B"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7D19177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Grants</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6A6A00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300,699.00 </w:t>
            </w:r>
          </w:p>
        </w:tc>
        <w:tc>
          <w:tcPr>
            <w:tcW w:w="0" w:type="auto"/>
            <w:tcBorders>
              <w:top w:val="nil"/>
              <w:left w:val="nil"/>
              <w:bottom w:val="single" w:sz="4" w:space="0" w:color="auto"/>
              <w:right w:val="single" w:sz="4" w:space="0" w:color="auto"/>
            </w:tcBorders>
            <w:shd w:val="clear" w:color="auto" w:fill="auto"/>
            <w:noWrap/>
            <w:vAlign w:val="bottom"/>
            <w:hideMark/>
          </w:tcPr>
          <w:p w14:paraId="0155036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237,554.00 </w:t>
            </w:r>
          </w:p>
        </w:tc>
        <w:tc>
          <w:tcPr>
            <w:tcW w:w="0" w:type="auto"/>
            <w:tcBorders>
              <w:top w:val="nil"/>
              <w:left w:val="nil"/>
              <w:bottom w:val="single" w:sz="4" w:space="0" w:color="auto"/>
              <w:right w:val="single" w:sz="4" w:space="0" w:color="auto"/>
            </w:tcBorders>
            <w:shd w:val="clear" w:color="auto" w:fill="auto"/>
            <w:noWrap/>
            <w:vAlign w:val="bottom"/>
            <w:hideMark/>
          </w:tcPr>
          <w:p w14:paraId="35716E3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63,145.00 </w:t>
            </w:r>
          </w:p>
        </w:tc>
        <w:tc>
          <w:tcPr>
            <w:tcW w:w="0" w:type="auto"/>
            <w:tcBorders>
              <w:top w:val="nil"/>
              <w:left w:val="nil"/>
              <w:bottom w:val="single" w:sz="4" w:space="0" w:color="auto"/>
              <w:right w:val="single" w:sz="8" w:space="0" w:color="auto"/>
            </w:tcBorders>
            <w:shd w:val="clear" w:color="auto" w:fill="auto"/>
            <w:noWrap/>
            <w:vAlign w:val="bottom"/>
            <w:hideMark/>
          </w:tcPr>
          <w:p w14:paraId="5B9E63B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79%</w:t>
            </w:r>
          </w:p>
        </w:tc>
        <w:tc>
          <w:tcPr>
            <w:tcW w:w="0" w:type="auto"/>
            <w:tcBorders>
              <w:top w:val="nil"/>
              <w:left w:val="nil"/>
              <w:bottom w:val="single" w:sz="4" w:space="0" w:color="auto"/>
              <w:right w:val="single" w:sz="4" w:space="0" w:color="auto"/>
            </w:tcBorders>
            <w:shd w:val="clear" w:color="auto" w:fill="auto"/>
            <w:noWrap/>
            <w:vAlign w:val="bottom"/>
            <w:hideMark/>
          </w:tcPr>
          <w:p w14:paraId="66633A3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85,860.00 </w:t>
            </w:r>
          </w:p>
        </w:tc>
        <w:tc>
          <w:tcPr>
            <w:tcW w:w="0" w:type="auto"/>
            <w:tcBorders>
              <w:top w:val="nil"/>
              <w:left w:val="nil"/>
              <w:bottom w:val="single" w:sz="4" w:space="0" w:color="auto"/>
              <w:right w:val="single" w:sz="4" w:space="0" w:color="auto"/>
            </w:tcBorders>
            <w:shd w:val="clear" w:color="auto" w:fill="auto"/>
            <w:noWrap/>
            <w:vAlign w:val="bottom"/>
            <w:hideMark/>
          </w:tcPr>
          <w:p w14:paraId="07BD43A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60,276.00 </w:t>
            </w:r>
          </w:p>
        </w:tc>
        <w:tc>
          <w:tcPr>
            <w:tcW w:w="0" w:type="auto"/>
            <w:tcBorders>
              <w:top w:val="nil"/>
              <w:left w:val="nil"/>
              <w:bottom w:val="single" w:sz="4" w:space="0" w:color="auto"/>
              <w:right w:val="single" w:sz="4" w:space="0" w:color="auto"/>
            </w:tcBorders>
            <w:shd w:val="clear" w:color="auto" w:fill="auto"/>
            <w:noWrap/>
            <w:vAlign w:val="bottom"/>
            <w:hideMark/>
          </w:tcPr>
          <w:p w14:paraId="02D9E25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25,584.00 </w:t>
            </w:r>
          </w:p>
        </w:tc>
        <w:tc>
          <w:tcPr>
            <w:tcW w:w="0" w:type="auto"/>
            <w:tcBorders>
              <w:top w:val="nil"/>
              <w:left w:val="nil"/>
              <w:bottom w:val="single" w:sz="4" w:space="0" w:color="auto"/>
              <w:right w:val="single" w:sz="8" w:space="0" w:color="auto"/>
            </w:tcBorders>
            <w:shd w:val="clear" w:color="auto" w:fill="auto"/>
            <w:noWrap/>
            <w:vAlign w:val="bottom"/>
            <w:hideMark/>
          </w:tcPr>
          <w:p w14:paraId="7BCD210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70%</w:t>
            </w:r>
          </w:p>
        </w:tc>
        <w:tc>
          <w:tcPr>
            <w:tcW w:w="0" w:type="auto"/>
            <w:tcBorders>
              <w:top w:val="nil"/>
              <w:left w:val="nil"/>
              <w:bottom w:val="single" w:sz="4" w:space="0" w:color="auto"/>
              <w:right w:val="single" w:sz="4" w:space="0" w:color="auto"/>
            </w:tcBorders>
            <w:shd w:val="clear" w:color="auto" w:fill="auto"/>
            <w:noWrap/>
            <w:vAlign w:val="bottom"/>
            <w:hideMark/>
          </w:tcPr>
          <w:p w14:paraId="077932A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589,113.43 </w:t>
            </w:r>
          </w:p>
        </w:tc>
        <w:tc>
          <w:tcPr>
            <w:tcW w:w="0" w:type="auto"/>
            <w:tcBorders>
              <w:top w:val="nil"/>
              <w:left w:val="nil"/>
              <w:bottom w:val="single" w:sz="4" w:space="0" w:color="auto"/>
              <w:right w:val="single" w:sz="4" w:space="0" w:color="auto"/>
            </w:tcBorders>
            <w:shd w:val="clear" w:color="auto" w:fill="auto"/>
            <w:noWrap/>
            <w:vAlign w:val="bottom"/>
            <w:hideMark/>
          </w:tcPr>
          <w:p w14:paraId="4F99467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533,047.50 </w:t>
            </w:r>
          </w:p>
        </w:tc>
        <w:tc>
          <w:tcPr>
            <w:tcW w:w="0" w:type="auto"/>
            <w:tcBorders>
              <w:top w:val="nil"/>
              <w:left w:val="nil"/>
              <w:bottom w:val="single" w:sz="4" w:space="0" w:color="auto"/>
              <w:right w:val="single" w:sz="4" w:space="0" w:color="auto"/>
            </w:tcBorders>
            <w:shd w:val="clear" w:color="auto" w:fill="auto"/>
            <w:noWrap/>
            <w:vAlign w:val="bottom"/>
            <w:hideMark/>
          </w:tcPr>
          <w:p w14:paraId="4630877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56,065.93 </w:t>
            </w:r>
          </w:p>
        </w:tc>
        <w:tc>
          <w:tcPr>
            <w:tcW w:w="0" w:type="auto"/>
            <w:tcBorders>
              <w:top w:val="nil"/>
              <w:left w:val="nil"/>
              <w:bottom w:val="single" w:sz="4" w:space="0" w:color="auto"/>
              <w:right w:val="single" w:sz="4" w:space="0" w:color="auto"/>
            </w:tcBorders>
            <w:shd w:val="clear" w:color="auto" w:fill="auto"/>
            <w:noWrap/>
            <w:vAlign w:val="bottom"/>
            <w:hideMark/>
          </w:tcPr>
          <w:p w14:paraId="4EC8AF79"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90%</w:t>
            </w:r>
          </w:p>
        </w:tc>
      </w:tr>
      <w:tr w:rsidR="004769F4" w:rsidRPr="007A7F0F" w14:paraId="7D5753DB"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2761380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Events, conferences, travel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AF3C8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26,524.00 </w:t>
            </w:r>
          </w:p>
        </w:tc>
        <w:tc>
          <w:tcPr>
            <w:tcW w:w="0" w:type="auto"/>
            <w:tcBorders>
              <w:top w:val="nil"/>
              <w:left w:val="nil"/>
              <w:bottom w:val="nil"/>
              <w:right w:val="nil"/>
            </w:tcBorders>
            <w:shd w:val="clear" w:color="auto" w:fill="auto"/>
            <w:noWrap/>
            <w:vAlign w:val="bottom"/>
            <w:hideMark/>
          </w:tcPr>
          <w:p w14:paraId="78B12A8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19,854.00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88A8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6,670.00 </w:t>
            </w:r>
          </w:p>
        </w:tc>
        <w:tc>
          <w:tcPr>
            <w:tcW w:w="0" w:type="auto"/>
            <w:tcBorders>
              <w:top w:val="nil"/>
              <w:left w:val="nil"/>
              <w:bottom w:val="single" w:sz="4" w:space="0" w:color="auto"/>
              <w:right w:val="single" w:sz="8" w:space="0" w:color="auto"/>
            </w:tcBorders>
            <w:shd w:val="clear" w:color="auto" w:fill="auto"/>
            <w:noWrap/>
            <w:vAlign w:val="bottom"/>
            <w:hideMark/>
          </w:tcPr>
          <w:p w14:paraId="25A82E7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75%</w:t>
            </w:r>
          </w:p>
        </w:tc>
        <w:tc>
          <w:tcPr>
            <w:tcW w:w="0" w:type="auto"/>
            <w:tcBorders>
              <w:top w:val="nil"/>
              <w:left w:val="nil"/>
              <w:bottom w:val="single" w:sz="4" w:space="0" w:color="auto"/>
              <w:right w:val="single" w:sz="4" w:space="0" w:color="auto"/>
            </w:tcBorders>
            <w:shd w:val="clear" w:color="auto" w:fill="auto"/>
            <w:noWrap/>
            <w:vAlign w:val="bottom"/>
            <w:hideMark/>
          </w:tcPr>
          <w:p w14:paraId="400AA27B"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70,000.00 </w:t>
            </w:r>
          </w:p>
        </w:tc>
        <w:tc>
          <w:tcPr>
            <w:tcW w:w="0" w:type="auto"/>
            <w:tcBorders>
              <w:top w:val="nil"/>
              <w:left w:val="nil"/>
              <w:bottom w:val="single" w:sz="4" w:space="0" w:color="auto"/>
              <w:right w:val="single" w:sz="4" w:space="0" w:color="auto"/>
            </w:tcBorders>
            <w:shd w:val="clear" w:color="auto" w:fill="auto"/>
            <w:noWrap/>
            <w:vAlign w:val="bottom"/>
            <w:hideMark/>
          </w:tcPr>
          <w:p w14:paraId="7308251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61,374.48 </w:t>
            </w:r>
          </w:p>
        </w:tc>
        <w:tc>
          <w:tcPr>
            <w:tcW w:w="0" w:type="auto"/>
            <w:tcBorders>
              <w:top w:val="nil"/>
              <w:left w:val="nil"/>
              <w:bottom w:val="single" w:sz="4" w:space="0" w:color="auto"/>
              <w:right w:val="single" w:sz="4" w:space="0" w:color="auto"/>
            </w:tcBorders>
            <w:shd w:val="clear" w:color="auto" w:fill="auto"/>
            <w:noWrap/>
            <w:vAlign w:val="bottom"/>
            <w:hideMark/>
          </w:tcPr>
          <w:p w14:paraId="1A82FBF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8,625.52 </w:t>
            </w:r>
          </w:p>
        </w:tc>
        <w:tc>
          <w:tcPr>
            <w:tcW w:w="0" w:type="auto"/>
            <w:tcBorders>
              <w:top w:val="nil"/>
              <w:left w:val="nil"/>
              <w:bottom w:val="single" w:sz="4" w:space="0" w:color="auto"/>
              <w:right w:val="single" w:sz="8" w:space="0" w:color="auto"/>
            </w:tcBorders>
            <w:shd w:val="clear" w:color="auto" w:fill="auto"/>
            <w:noWrap/>
            <w:vAlign w:val="bottom"/>
            <w:hideMark/>
          </w:tcPr>
          <w:p w14:paraId="2E08A65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88%</w:t>
            </w:r>
          </w:p>
        </w:tc>
        <w:tc>
          <w:tcPr>
            <w:tcW w:w="0" w:type="auto"/>
            <w:tcBorders>
              <w:top w:val="nil"/>
              <w:left w:val="nil"/>
              <w:bottom w:val="single" w:sz="4" w:space="0" w:color="auto"/>
              <w:right w:val="single" w:sz="4" w:space="0" w:color="auto"/>
            </w:tcBorders>
            <w:shd w:val="clear" w:color="auto" w:fill="auto"/>
            <w:noWrap/>
            <w:vAlign w:val="bottom"/>
            <w:hideMark/>
          </w:tcPr>
          <w:p w14:paraId="1CE33F1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335,846.73 </w:t>
            </w:r>
          </w:p>
        </w:tc>
        <w:tc>
          <w:tcPr>
            <w:tcW w:w="0" w:type="auto"/>
            <w:tcBorders>
              <w:top w:val="nil"/>
              <w:left w:val="nil"/>
              <w:bottom w:val="single" w:sz="4" w:space="0" w:color="auto"/>
              <w:right w:val="single" w:sz="4" w:space="0" w:color="auto"/>
            </w:tcBorders>
            <w:shd w:val="clear" w:color="auto" w:fill="auto"/>
            <w:noWrap/>
            <w:vAlign w:val="bottom"/>
            <w:hideMark/>
          </w:tcPr>
          <w:p w14:paraId="54F902A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242,651.70 </w:t>
            </w:r>
          </w:p>
        </w:tc>
        <w:tc>
          <w:tcPr>
            <w:tcW w:w="0" w:type="auto"/>
            <w:tcBorders>
              <w:top w:val="nil"/>
              <w:left w:val="nil"/>
              <w:bottom w:val="single" w:sz="4" w:space="0" w:color="auto"/>
              <w:right w:val="single" w:sz="4" w:space="0" w:color="auto"/>
            </w:tcBorders>
            <w:shd w:val="clear" w:color="auto" w:fill="auto"/>
            <w:noWrap/>
            <w:vAlign w:val="bottom"/>
            <w:hideMark/>
          </w:tcPr>
          <w:p w14:paraId="6FE735E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111,395.35 </w:t>
            </w:r>
          </w:p>
        </w:tc>
        <w:tc>
          <w:tcPr>
            <w:tcW w:w="0" w:type="auto"/>
            <w:tcBorders>
              <w:top w:val="nil"/>
              <w:left w:val="nil"/>
              <w:bottom w:val="single" w:sz="4" w:space="0" w:color="auto"/>
              <w:right w:val="single" w:sz="4" w:space="0" w:color="auto"/>
            </w:tcBorders>
            <w:shd w:val="clear" w:color="auto" w:fill="auto"/>
            <w:noWrap/>
            <w:vAlign w:val="bottom"/>
            <w:hideMark/>
          </w:tcPr>
          <w:p w14:paraId="140ACC9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72%</w:t>
            </w:r>
          </w:p>
        </w:tc>
      </w:tr>
      <w:tr w:rsidR="004769F4" w:rsidRPr="007A7F0F" w14:paraId="7F56C315" w14:textId="77777777" w:rsidTr="00AF1EF3">
        <w:trPr>
          <w:trHeight w:val="20"/>
        </w:trPr>
        <w:tc>
          <w:tcPr>
            <w:tcW w:w="0" w:type="auto"/>
            <w:tcBorders>
              <w:top w:val="nil"/>
              <w:left w:val="single" w:sz="4" w:space="0" w:color="auto"/>
              <w:bottom w:val="single" w:sz="4" w:space="0" w:color="auto"/>
              <w:right w:val="nil"/>
            </w:tcBorders>
            <w:shd w:val="clear" w:color="000000" w:fill="FFE699"/>
            <w:vAlign w:val="center"/>
            <w:hideMark/>
          </w:tcPr>
          <w:p w14:paraId="1A38EFB2"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Output Total </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1550525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396,723.00 </w:t>
            </w:r>
          </w:p>
        </w:tc>
        <w:tc>
          <w:tcPr>
            <w:tcW w:w="0" w:type="auto"/>
            <w:tcBorders>
              <w:top w:val="single" w:sz="4" w:space="0" w:color="auto"/>
              <w:left w:val="nil"/>
              <w:bottom w:val="single" w:sz="4" w:space="0" w:color="auto"/>
              <w:right w:val="single" w:sz="4" w:space="0" w:color="auto"/>
            </w:tcBorders>
            <w:shd w:val="clear" w:color="000000" w:fill="FFE699"/>
            <w:noWrap/>
            <w:vAlign w:val="bottom"/>
            <w:hideMark/>
          </w:tcPr>
          <w:p w14:paraId="457287F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317,708.00 </w:t>
            </w:r>
          </w:p>
        </w:tc>
        <w:tc>
          <w:tcPr>
            <w:tcW w:w="0" w:type="auto"/>
            <w:tcBorders>
              <w:top w:val="nil"/>
              <w:left w:val="nil"/>
              <w:bottom w:val="single" w:sz="4" w:space="0" w:color="auto"/>
              <w:right w:val="single" w:sz="4" w:space="0" w:color="auto"/>
            </w:tcBorders>
            <w:shd w:val="clear" w:color="000000" w:fill="FFE699"/>
            <w:noWrap/>
            <w:vAlign w:val="bottom"/>
            <w:hideMark/>
          </w:tcPr>
          <w:p w14:paraId="55D65AA8"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79,015.00 </w:t>
            </w:r>
          </w:p>
        </w:tc>
        <w:tc>
          <w:tcPr>
            <w:tcW w:w="0" w:type="auto"/>
            <w:tcBorders>
              <w:top w:val="nil"/>
              <w:left w:val="nil"/>
              <w:bottom w:val="single" w:sz="4" w:space="0" w:color="auto"/>
              <w:right w:val="single" w:sz="8" w:space="0" w:color="auto"/>
            </w:tcBorders>
            <w:shd w:val="clear" w:color="000000" w:fill="FFE699"/>
            <w:noWrap/>
            <w:vAlign w:val="bottom"/>
            <w:hideMark/>
          </w:tcPr>
          <w:p w14:paraId="1B60AFA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80%</w:t>
            </w:r>
          </w:p>
        </w:tc>
        <w:tc>
          <w:tcPr>
            <w:tcW w:w="0" w:type="auto"/>
            <w:tcBorders>
              <w:top w:val="nil"/>
              <w:left w:val="nil"/>
              <w:bottom w:val="single" w:sz="4" w:space="0" w:color="auto"/>
              <w:right w:val="single" w:sz="4" w:space="0" w:color="auto"/>
            </w:tcBorders>
            <w:shd w:val="clear" w:color="000000" w:fill="FFE699"/>
            <w:noWrap/>
            <w:vAlign w:val="bottom"/>
            <w:hideMark/>
          </w:tcPr>
          <w:p w14:paraId="673F849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396,722.40 </w:t>
            </w:r>
          </w:p>
        </w:tc>
        <w:tc>
          <w:tcPr>
            <w:tcW w:w="0" w:type="auto"/>
            <w:tcBorders>
              <w:top w:val="nil"/>
              <w:left w:val="nil"/>
              <w:bottom w:val="single" w:sz="4" w:space="0" w:color="auto"/>
              <w:right w:val="single" w:sz="4" w:space="0" w:color="auto"/>
            </w:tcBorders>
            <w:shd w:val="clear" w:color="000000" w:fill="FFE699"/>
            <w:noWrap/>
            <w:vAlign w:val="bottom"/>
            <w:hideMark/>
          </w:tcPr>
          <w:p w14:paraId="0ACE766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281,328.48 </w:t>
            </w:r>
          </w:p>
        </w:tc>
        <w:tc>
          <w:tcPr>
            <w:tcW w:w="0" w:type="auto"/>
            <w:tcBorders>
              <w:top w:val="nil"/>
              <w:left w:val="nil"/>
              <w:bottom w:val="single" w:sz="4" w:space="0" w:color="auto"/>
              <w:right w:val="single" w:sz="4" w:space="0" w:color="auto"/>
            </w:tcBorders>
            <w:shd w:val="clear" w:color="000000" w:fill="FFE699"/>
            <w:noWrap/>
            <w:vAlign w:val="bottom"/>
            <w:hideMark/>
          </w:tcPr>
          <w:p w14:paraId="2DA18704"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115,393.92 </w:t>
            </w:r>
          </w:p>
        </w:tc>
        <w:tc>
          <w:tcPr>
            <w:tcW w:w="0" w:type="auto"/>
            <w:tcBorders>
              <w:top w:val="nil"/>
              <w:left w:val="nil"/>
              <w:bottom w:val="single" w:sz="4" w:space="0" w:color="auto"/>
              <w:right w:val="single" w:sz="8" w:space="0" w:color="auto"/>
            </w:tcBorders>
            <w:shd w:val="clear" w:color="000000" w:fill="FFE699"/>
            <w:noWrap/>
            <w:vAlign w:val="bottom"/>
            <w:hideMark/>
          </w:tcPr>
          <w:p w14:paraId="28C57B5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71%</w:t>
            </w:r>
          </w:p>
        </w:tc>
        <w:tc>
          <w:tcPr>
            <w:tcW w:w="0" w:type="auto"/>
            <w:tcBorders>
              <w:top w:val="nil"/>
              <w:left w:val="nil"/>
              <w:bottom w:val="single" w:sz="4" w:space="0" w:color="auto"/>
              <w:right w:val="single" w:sz="4" w:space="0" w:color="auto"/>
            </w:tcBorders>
            <w:shd w:val="clear" w:color="000000" w:fill="FFE699"/>
            <w:noWrap/>
            <w:vAlign w:val="bottom"/>
            <w:hideMark/>
          </w:tcPr>
          <w:p w14:paraId="3B1AB9F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1,634,755.30 </w:t>
            </w:r>
          </w:p>
        </w:tc>
        <w:tc>
          <w:tcPr>
            <w:tcW w:w="0" w:type="auto"/>
            <w:tcBorders>
              <w:top w:val="nil"/>
              <w:left w:val="nil"/>
              <w:bottom w:val="single" w:sz="4" w:space="0" w:color="auto"/>
              <w:right w:val="single" w:sz="4" w:space="0" w:color="auto"/>
            </w:tcBorders>
            <w:shd w:val="clear" w:color="000000" w:fill="FFE699"/>
            <w:noWrap/>
            <w:vAlign w:val="bottom"/>
            <w:hideMark/>
          </w:tcPr>
          <w:p w14:paraId="0B5CF307"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1,288,291.38 </w:t>
            </w:r>
          </w:p>
        </w:tc>
        <w:tc>
          <w:tcPr>
            <w:tcW w:w="0" w:type="auto"/>
            <w:tcBorders>
              <w:top w:val="nil"/>
              <w:left w:val="nil"/>
              <w:bottom w:val="single" w:sz="4" w:space="0" w:color="auto"/>
              <w:right w:val="single" w:sz="4" w:space="0" w:color="auto"/>
            </w:tcBorders>
            <w:shd w:val="clear" w:color="000000" w:fill="FFE699"/>
            <w:noWrap/>
            <w:vAlign w:val="bottom"/>
            <w:hideMark/>
          </w:tcPr>
          <w:p w14:paraId="07E4132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484,990.24 </w:t>
            </w:r>
          </w:p>
        </w:tc>
        <w:tc>
          <w:tcPr>
            <w:tcW w:w="0" w:type="auto"/>
            <w:tcBorders>
              <w:top w:val="nil"/>
              <w:left w:val="nil"/>
              <w:bottom w:val="single" w:sz="4" w:space="0" w:color="auto"/>
              <w:right w:val="single" w:sz="4" w:space="0" w:color="auto"/>
            </w:tcBorders>
            <w:shd w:val="clear" w:color="000000" w:fill="FFE699"/>
            <w:noWrap/>
            <w:vAlign w:val="bottom"/>
            <w:hideMark/>
          </w:tcPr>
          <w:p w14:paraId="53BFC78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79%</w:t>
            </w:r>
          </w:p>
        </w:tc>
      </w:tr>
      <w:tr w:rsidR="004769F4" w:rsidRPr="007A7F0F" w14:paraId="2E219A36" w14:textId="77777777" w:rsidTr="00AF1EF3">
        <w:trPr>
          <w:trHeight w:val="20"/>
        </w:trPr>
        <w:tc>
          <w:tcPr>
            <w:tcW w:w="0" w:type="auto"/>
            <w:tcBorders>
              <w:top w:val="nil"/>
              <w:left w:val="single" w:sz="4" w:space="0" w:color="auto"/>
              <w:bottom w:val="single" w:sz="4" w:space="0" w:color="auto"/>
              <w:right w:val="nil"/>
            </w:tcBorders>
            <w:shd w:val="clear" w:color="000000" w:fill="FFE699"/>
            <w:vAlign w:val="center"/>
            <w:hideMark/>
          </w:tcPr>
          <w:p w14:paraId="3E87078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5D3956B5"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27%</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7BC0373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23%</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1813348A"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149%</w:t>
            </w:r>
          </w:p>
        </w:tc>
        <w:tc>
          <w:tcPr>
            <w:tcW w:w="0" w:type="auto"/>
            <w:tcBorders>
              <w:top w:val="nil"/>
              <w:left w:val="nil"/>
              <w:bottom w:val="single" w:sz="4" w:space="0" w:color="auto"/>
              <w:right w:val="single" w:sz="8" w:space="0" w:color="auto"/>
            </w:tcBorders>
            <w:shd w:val="clear" w:color="000000" w:fill="FFE699"/>
            <w:noWrap/>
            <w:vAlign w:val="bottom"/>
            <w:hideMark/>
          </w:tcPr>
          <w:p w14:paraId="33D359D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E2A606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33%</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4AC20ED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24%</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11C00E6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1011%</w:t>
            </w:r>
          </w:p>
        </w:tc>
        <w:tc>
          <w:tcPr>
            <w:tcW w:w="0" w:type="auto"/>
            <w:tcBorders>
              <w:top w:val="nil"/>
              <w:left w:val="nil"/>
              <w:bottom w:val="single" w:sz="4" w:space="0" w:color="auto"/>
              <w:right w:val="single" w:sz="8" w:space="0" w:color="auto"/>
            </w:tcBorders>
            <w:shd w:val="clear" w:color="000000" w:fill="FFE699"/>
            <w:noWrap/>
            <w:vAlign w:val="bottom"/>
            <w:hideMark/>
          </w:tcPr>
          <w:p w14:paraId="0FF50CB0"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FFE699"/>
            <w:noWrap/>
            <w:vAlign w:val="bottom"/>
            <w:hideMark/>
          </w:tcPr>
          <w:p w14:paraId="46F4872A"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27%</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2DF23E2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22%</w:t>
            </w:r>
          </w:p>
        </w:tc>
        <w:tc>
          <w:tcPr>
            <w:tcW w:w="0" w:type="auto"/>
            <w:tcBorders>
              <w:top w:val="nil"/>
              <w:left w:val="single" w:sz="8" w:space="0" w:color="auto"/>
              <w:bottom w:val="single" w:sz="4" w:space="0" w:color="auto"/>
              <w:right w:val="single" w:sz="4" w:space="0" w:color="auto"/>
            </w:tcBorders>
            <w:shd w:val="clear" w:color="000000" w:fill="FFE699"/>
            <w:noWrap/>
            <w:vAlign w:val="bottom"/>
            <w:hideMark/>
          </w:tcPr>
          <w:p w14:paraId="4148687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89%</w:t>
            </w:r>
          </w:p>
        </w:tc>
        <w:tc>
          <w:tcPr>
            <w:tcW w:w="0" w:type="auto"/>
            <w:tcBorders>
              <w:top w:val="nil"/>
              <w:left w:val="nil"/>
              <w:bottom w:val="single" w:sz="4" w:space="0" w:color="auto"/>
              <w:right w:val="single" w:sz="4" w:space="0" w:color="auto"/>
            </w:tcBorders>
            <w:shd w:val="clear" w:color="000000" w:fill="FFE699"/>
            <w:noWrap/>
            <w:vAlign w:val="bottom"/>
            <w:hideMark/>
          </w:tcPr>
          <w:p w14:paraId="11DB88F3"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0656D991" w14:textId="77777777" w:rsidTr="00AF1EF3">
        <w:trPr>
          <w:trHeight w:val="20"/>
        </w:trPr>
        <w:tc>
          <w:tcPr>
            <w:tcW w:w="0" w:type="auto"/>
            <w:tcBorders>
              <w:top w:val="nil"/>
              <w:left w:val="single" w:sz="4" w:space="0" w:color="auto"/>
              <w:bottom w:val="single" w:sz="4" w:space="0" w:color="auto"/>
              <w:right w:val="nil"/>
            </w:tcBorders>
            <w:shd w:val="clear" w:color="000000" w:fill="C6E0B4"/>
            <w:vAlign w:val="center"/>
            <w:hideMark/>
          </w:tcPr>
          <w:p w14:paraId="5A25CB7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Management and Administration</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6FBFA8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BC827B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8A8D41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4FDCBE0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2723C2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37A6D7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AC5A0FB"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8" w:space="0" w:color="auto"/>
            </w:tcBorders>
            <w:shd w:val="clear" w:color="auto" w:fill="auto"/>
            <w:noWrap/>
            <w:vAlign w:val="bottom"/>
            <w:hideMark/>
          </w:tcPr>
          <w:p w14:paraId="2ABD8C9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4C804D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86E0FC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160528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74B144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13F6F325"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4CE5525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Staff Cost</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95869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165,188.00 </w:t>
            </w:r>
          </w:p>
        </w:tc>
        <w:tc>
          <w:tcPr>
            <w:tcW w:w="0" w:type="auto"/>
            <w:tcBorders>
              <w:top w:val="nil"/>
              <w:left w:val="nil"/>
              <w:bottom w:val="single" w:sz="4" w:space="0" w:color="auto"/>
              <w:right w:val="single" w:sz="4" w:space="0" w:color="auto"/>
            </w:tcBorders>
            <w:shd w:val="clear" w:color="auto" w:fill="auto"/>
            <w:noWrap/>
            <w:vAlign w:val="bottom"/>
            <w:hideMark/>
          </w:tcPr>
          <w:p w14:paraId="4759094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150,260.00 </w:t>
            </w:r>
          </w:p>
        </w:tc>
        <w:tc>
          <w:tcPr>
            <w:tcW w:w="0" w:type="auto"/>
            <w:tcBorders>
              <w:top w:val="nil"/>
              <w:left w:val="nil"/>
              <w:bottom w:val="single" w:sz="4" w:space="0" w:color="auto"/>
              <w:right w:val="single" w:sz="4" w:space="0" w:color="auto"/>
            </w:tcBorders>
            <w:shd w:val="clear" w:color="auto" w:fill="auto"/>
            <w:noWrap/>
            <w:vAlign w:val="bottom"/>
            <w:hideMark/>
          </w:tcPr>
          <w:p w14:paraId="3DC69C8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14,928.00 </w:t>
            </w:r>
          </w:p>
        </w:tc>
        <w:tc>
          <w:tcPr>
            <w:tcW w:w="0" w:type="auto"/>
            <w:tcBorders>
              <w:top w:val="nil"/>
              <w:left w:val="nil"/>
              <w:bottom w:val="single" w:sz="4" w:space="0" w:color="auto"/>
              <w:right w:val="single" w:sz="8" w:space="0" w:color="auto"/>
            </w:tcBorders>
            <w:shd w:val="clear" w:color="auto" w:fill="auto"/>
            <w:noWrap/>
            <w:vAlign w:val="bottom"/>
            <w:hideMark/>
          </w:tcPr>
          <w:p w14:paraId="076F9A7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91%</w:t>
            </w:r>
          </w:p>
        </w:tc>
        <w:tc>
          <w:tcPr>
            <w:tcW w:w="0" w:type="auto"/>
            <w:tcBorders>
              <w:top w:val="nil"/>
              <w:left w:val="nil"/>
              <w:bottom w:val="single" w:sz="4" w:space="0" w:color="auto"/>
              <w:right w:val="single" w:sz="4" w:space="0" w:color="auto"/>
            </w:tcBorders>
            <w:shd w:val="clear" w:color="auto" w:fill="auto"/>
            <w:noWrap/>
            <w:vAlign w:val="bottom"/>
            <w:hideMark/>
          </w:tcPr>
          <w:p w14:paraId="5F84D21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165,188.00 </w:t>
            </w:r>
          </w:p>
        </w:tc>
        <w:tc>
          <w:tcPr>
            <w:tcW w:w="0" w:type="auto"/>
            <w:tcBorders>
              <w:top w:val="nil"/>
              <w:left w:val="nil"/>
              <w:bottom w:val="single" w:sz="4" w:space="0" w:color="auto"/>
              <w:right w:val="single" w:sz="4" w:space="0" w:color="auto"/>
            </w:tcBorders>
            <w:shd w:val="clear" w:color="auto" w:fill="auto"/>
            <w:noWrap/>
            <w:vAlign w:val="bottom"/>
            <w:hideMark/>
          </w:tcPr>
          <w:p w14:paraId="057DA66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156,228.05 </w:t>
            </w:r>
          </w:p>
        </w:tc>
        <w:tc>
          <w:tcPr>
            <w:tcW w:w="0" w:type="auto"/>
            <w:tcBorders>
              <w:top w:val="nil"/>
              <w:left w:val="nil"/>
              <w:bottom w:val="single" w:sz="4" w:space="0" w:color="auto"/>
              <w:right w:val="single" w:sz="4" w:space="0" w:color="auto"/>
            </w:tcBorders>
            <w:shd w:val="clear" w:color="auto" w:fill="auto"/>
            <w:noWrap/>
            <w:vAlign w:val="bottom"/>
            <w:hideMark/>
          </w:tcPr>
          <w:p w14:paraId="4065D7F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8,959.95 </w:t>
            </w:r>
          </w:p>
        </w:tc>
        <w:tc>
          <w:tcPr>
            <w:tcW w:w="0" w:type="auto"/>
            <w:tcBorders>
              <w:top w:val="nil"/>
              <w:left w:val="nil"/>
              <w:bottom w:val="single" w:sz="4" w:space="0" w:color="auto"/>
              <w:right w:val="single" w:sz="8" w:space="0" w:color="auto"/>
            </w:tcBorders>
            <w:shd w:val="clear" w:color="auto" w:fill="auto"/>
            <w:noWrap/>
            <w:vAlign w:val="bottom"/>
            <w:hideMark/>
          </w:tcPr>
          <w:p w14:paraId="1E1C20E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95%</w:t>
            </w:r>
          </w:p>
        </w:tc>
        <w:tc>
          <w:tcPr>
            <w:tcW w:w="0" w:type="auto"/>
            <w:tcBorders>
              <w:top w:val="nil"/>
              <w:left w:val="nil"/>
              <w:bottom w:val="single" w:sz="4" w:space="0" w:color="auto"/>
              <w:right w:val="single" w:sz="4" w:space="0" w:color="auto"/>
            </w:tcBorders>
            <w:shd w:val="clear" w:color="auto" w:fill="auto"/>
            <w:noWrap/>
            <w:vAlign w:val="bottom"/>
            <w:hideMark/>
          </w:tcPr>
          <w:p w14:paraId="38276B3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714,993.00 </w:t>
            </w:r>
          </w:p>
        </w:tc>
        <w:tc>
          <w:tcPr>
            <w:tcW w:w="0" w:type="auto"/>
            <w:tcBorders>
              <w:top w:val="nil"/>
              <w:left w:val="nil"/>
              <w:bottom w:val="single" w:sz="4" w:space="0" w:color="auto"/>
              <w:right w:val="single" w:sz="4" w:space="0" w:color="auto"/>
            </w:tcBorders>
            <w:shd w:val="clear" w:color="auto" w:fill="auto"/>
            <w:noWrap/>
            <w:vAlign w:val="bottom"/>
            <w:hideMark/>
          </w:tcPr>
          <w:p w14:paraId="5B496F1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623,866.93 </w:t>
            </w:r>
          </w:p>
        </w:tc>
        <w:tc>
          <w:tcPr>
            <w:tcW w:w="0" w:type="auto"/>
            <w:tcBorders>
              <w:top w:val="nil"/>
              <w:left w:val="nil"/>
              <w:bottom w:val="single" w:sz="4" w:space="0" w:color="auto"/>
              <w:right w:val="single" w:sz="4" w:space="0" w:color="auto"/>
            </w:tcBorders>
            <w:shd w:val="clear" w:color="auto" w:fill="auto"/>
            <w:noWrap/>
            <w:vAlign w:val="bottom"/>
            <w:hideMark/>
          </w:tcPr>
          <w:p w14:paraId="2B37386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91,126.07 </w:t>
            </w:r>
          </w:p>
        </w:tc>
        <w:tc>
          <w:tcPr>
            <w:tcW w:w="0" w:type="auto"/>
            <w:tcBorders>
              <w:top w:val="nil"/>
              <w:left w:val="nil"/>
              <w:bottom w:val="single" w:sz="4" w:space="0" w:color="auto"/>
              <w:right w:val="single" w:sz="4" w:space="0" w:color="auto"/>
            </w:tcBorders>
            <w:shd w:val="clear" w:color="auto" w:fill="auto"/>
            <w:noWrap/>
            <w:vAlign w:val="bottom"/>
            <w:hideMark/>
          </w:tcPr>
          <w:p w14:paraId="007B444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87%</w:t>
            </w:r>
          </w:p>
        </w:tc>
      </w:tr>
      <w:tr w:rsidR="004769F4" w:rsidRPr="007A7F0F" w14:paraId="24DE9761"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03DA916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M&amp;E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0831C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32,000.00 </w:t>
            </w:r>
          </w:p>
        </w:tc>
        <w:tc>
          <w:tcPr>
            <w:tcW w:w="0" w:type="auto"/>
            <w:tcBorders>
              <w:top w:val="nil"/>
              <w:left w:val="nil"/>
              <w:bottom w:val="single" w:sz="4" w:space="0" w:color="auto"/>
              <w:right w:val="single" w:sz="4" w:space="0" w:color="auto"/>
            </w:tcBorders>
            <w:shd w:val="clear" w:color="auto" w:fill="auto"/>
            <w:noWrap/>
            <w:vAlign w:val="bottom"/>
            <w:hideMark/>
          </w:tcPr>
          <w:p w14:paraId="1C69B6C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20,262.00 </w:t>
            </w:r>
          </w:p>
        </w:tc>
        <w:tc>
          <w:tcPr>
            <w:tcW w:w="0" w:type="auto"/>
            <w:tcBorders>
              <w:top w:val="nil"/>
              <w:left w:val="nil"/>
              <w:bottom w:val="single" w:sz="4" w:space="0" w:color="auto"/>
              <w:right w:val="single" w:sz="4" w:space="0" w:color="auto"/>
            </w:tcBorders>
            <w:shd w:val="clear" w:color="auto" w:fill="auto"/>
            <w:noWrap/>
            <w:vAlign w:val="bottom"/>
            <w:hideMark/>
          </w:tcPr>
          <w:p w14:paraId="1E96DE7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11,738.00 </w:t>
            </w:r>
          </w:p>
        </w:tc>
        <w:tc>
          <w:tcPr>
            <w:tcW w:w="0" w:type="auto"/>
            <w:tcBorders>
              <w:top w:val="nil"/>
              <w:left w:val="nil"/>
              <w:bottom w:val="single" w:sz="4" w:space="0" w:color="auto"/>
              <w:right w:val="single" w:sz="8" w:space="0" w:color="auto"/>
            </w:tcBorders>
            <w:shd w:val="clear" w:color="auto" w:fill="auto"/>
            <w:noWrap/>
            <w:vAlign w:val="bottom"/>
            <w:hideMark/>
          </w:tcPr>
          <w:p w14:paraId="1CE16F1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63%</w:t>
            </w:r>
          </w:p>
        </w:tc>
        <w:tc>
          <w:tcPr>
            <w:tcW w:w="0" w:type="auto"/>
            <w:tcBorders>
              <w:top w:val="nil"/>
              <w:left w:val="nil"/>
              <w:bottom w:val="single" w:sz="4" w:space="0" w:color="auto"/>
              <w:right w:val="single" w:sz="4" w:space="0" w:color="auto"/>
            </w:tcBorders>
            <w:shd w:val="clear" w:color="auto" w:fill="auto"/>
            <w:noWrap/>
            <w:vAlign w:val="bottom"/>
            <w:hideMark/>
          </w:tcPr>
          <w:p w14:paraId="0F6ED85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15,000.00 </w:t>
            </w:r>
          </w:p>
        </w:tc>
        <w:tc>
          <w:tcPr>
            <w:tcW w:w="0" w:type="auto"/>
            <w:tcBorders>
              <w:top w:val="nil"/>
              <w:left w:val="nil"/>
              <w:bottom w:val="single" w:sz="4" w:space="0" w:color="auto"/>
              <w:right w:val="single" w:sz="4" w:space="0" w:color="auto"/>
            </w:tcBorders>
            <w:shd w:val="clear" w:color="auto" w:fill="auto"/>
            <w:noWrap/>
            <w:vAlign w:val="bottom"/>
            <w:hideMark/>
          </w:tcPr>
          <w:p w14:paraId="2A6E2A1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14,473.52 </w:t>
            </w:r>
          </w:p>
        </w:tc>
        <w:tc>
          <w:tcPr>
            <w:tcW w:w="0" w:type="auto"/>
            <w:tcBorders>
              <w:top w:val="nil"/>
              <w:left w:val="nil"/>
              <w:bottom w:val="single" w:sz="4" w:space="0" w:color="auto"/>
              <w:right w:val="single" w:sz="4" w:space="0" w:color="auto"/>
            </w:tcBorders>
            <w:shd w:val="clear" w:color="auto" w:fill="auto"/>
            <w:noWrap/>
            <w:vAlign w:val="bottom"/>
            <w:hideMark/>
          </w:tcPr>
          <w:p w14:paraId="5F50AB4F"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526.48 </w:t>
            </w:r>
          </w:p>
        </w:tc>
        <w:tc>
          <w:tcPr>
            <w:tcW w:w="0" w:type="auto"/>
            <w:tcBorders>
              <w:top w:val="nil"/>
              <w:left w:val="nil"/>
              <w:bottom w:val="single" w:sz="4" w:space="0" w:color="auto"/>
              <w:right w:val="single" w:sz="8" w:space="0" w:color="auto"/>
            </w:tcBorders>
            <w:shd w:val="clear" w:color="auto" w:fill="auto"/>
            <w:noWrap/>
            <w:vAlign w:val="bottom"/>
            <w:hideMark/>
          </w:tcPr>
          <w:p w14:paraId="34C8ED7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14:paraId="1B499F3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201,171.00 </w:t>
            </w:r>
          </w:p>
        </w:tc>
        <w:tc>
          <w:tcPr>
            <w:tcW w:w="0" w:type="auto"/>
            <w:tcBorders>
              <w:top w:val="nil"/>
              <w:left w:val="nil"/>
              <w:bottom w:val="single" w:sz="4" w:space="0" w:color="auto"/>
              <w:right w:val="single" w:sz="4" w:space="0" w:color="auto"/>
            </w:tcBorders>
            <w:shd w:val="clear" w:color="auto" w:fill="auto"/>
            <w:noWrap/>
            <w:vAlign w:val="bottom"/>
            <w:hideMark/>
          </w:tcPr>
          <w:p w14:paraId="726D6C99"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118,871.84 </w:t>
            </w:r>
          </w:p>
        </w:tc>
        <w:tc>
          <w:tcPr>
            <w:tcW w:w="0" w:type="auto"/>
            <w:tcBorders>
              <w:top w:val="nil"/>
              <w:left w:val="nil"/>
              <w:bottom w:val="single" w:sz="4" w:space="0" w:color="auto"/>
              <w:right w:val="single" w:sz="4" w:space="0" w:color="auto"/>
            </w:tcBorders>
            <w:shd w:val="clear" w:color="auto" w:fill="auto"/>
            <w:noWrap/>
            <w:vAlign w:val="bottom"/>
            <w:hideMark/>
          </w:tcPr>
          <w:p w14:paraId="6AEC1A3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82,299.16 </w:t>
            </w:r>
          </w:p>
        </w:tc>
        <w:tc>
          <w:tcPr>
            <w:tcW w:w="0" w:type="auto"/>
            <w:tcBorders>
              <w:top w:val="nil"/>
              <w:left w:val="nil"/>
              <w:bottom w:val="single" w:sz="4" w:space="0" w:color="auto"/>
              <w:right w:val="single" w:sz="4" w:space="0" w:color="auto"/>
            </w:tcBorders>
            <w:shd w:val="clear" w:color="auto" w:fill="auto"/>
            <w:noWrap/>
            <w:vAlign w:val="bottom"/>
            <w:hideMark/>
          </w:tcPr>
          <w:p w14:paraId="7EB5F0A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59%</w:t>
            </w:r>
          </w:p>
        </w:tc>
      </w:tr>
      <w:tr w:rsidR="004769F4" w:rsidRPr="007A7F0F" w14:paraId="32A12BE9"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0A62343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Admin</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478E801"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128,532.48 </w:t>
            </w:r>
          </w:p>
        </w:tc>
        <w:tc>
          <w:tcPr>
            <w:tcW w:w="0" w:type="auto"/>
            <w:tcBorders>
              <w:top w:val="nil"/>
              <w:left w:val="nil"/>
              <w:bottom w:val="single" w:sz="4" w:space="0" w:color="auto"/>
              <w:right w:val="single" w:sz="4" w:space="0" w:color="auto"/>
            </w:tcBorders>
            <w:shd w:val="clear" w:color="auto" w:fill="auto"/>
            <w:noWrap/>
            <w:vAlign w:val="bottom"/>
            <w:hideMark/>
          </w:tcPr>
          <w:p w14:paraId="5D69750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82,713.28 </w:t>
            </w:r>
          </w:p>
        </w:tc>
        <w:tc>
          <w:tcPr>
            <w:tcW w:w="0" w:type="auto"/>
            <w:tcBorders>
              <w:top w:val="nil"/>
              <w:left w:val="nil"/>
              <w:bottom w:val="single" w:sz="4" w:space="0" w:color="auto"/>
              <w:right w:val="single" w:sz="4" w:space="0" w:color="auto"/>
            </w:tcBorders>
            <w:shd w:val="clear" w:color="auto" w:fill="auto"/>
            <w:noWrap/>
            <w:vAlign w:val="bottom"/>
            <w:hideMark/>
          </w:tcPr>
          <w:p w14:paraId="31BAB74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45,819.20 </w:t>
            </w:r>
          </w:p>
        </w:tc>
        <w:tc>
          <w:tcPr>
            <w:tcW w:w="0" w:type="auto"/>
            <w:tcBorders>
              <w:top w:val="nil"/>
              <w:left w:val="nil"/>
              <w:bottom w:val="single" w:sz="4" w:space="0" w:color="auto"/>
              <w:right w:val="single" w:sz="8" w:space="0" w:color="auto"/>
            </w:tcBorders>
            <w:shd w:val="clear" w:color="auto" w:fill="auto"/>
            <w:noWrap/>
            <w:vAlign w:val="bottom"/>
            <w:hideMark/>
          </w:tcPr>
          <w:p w14:paraId="6316DC3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64%</w:t>
            </w:r>
          </w:p>
        </w:tc>
        <w:tc>
          <w:tcPr>
            <w:tcW w:w="0" w:type="auto"/>
            <w:tcBorders>
              <w:top w:val="nil"/>
              <w:left w:val="nil"/>
              <w:bottom w:val="single" w:sz="4" w:space="0" w:color="auto"/>
              <w:right w:val="single" w:sz="4" w:space="0" w:color="auto"/>
            </w:tcBorders>
            <w:shd w:val="clear" w:color="auto" w:fill="auto"/>
            <w:noWrap/>
            <w:vAlign w:val="bottom"/>
            <w:hideMark/>
          </w:tcPr>
          <w:p w14:paraId="7F0A07C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64,708.00 </w:t>
            </w:r>
          </w:p>
        </w:tc>
        <w:tc>
          <w:tcPr>
            <w:tcW w:w="0" w:type="auto"/>
            <w:tcBorders>
              <w:top w:val="nil"/>
              <w:left w:val="nil"/>
              <w:bottom w:val="single" w:sz="4" w:space="0" w:color="auto"/>
              <w:right w:val="single" w:sz="4" w:space="0" w:color="auto"/>
            </w:tcBorders>
            <w:shd w:val="clear" w:color="auto" w:fill="auto"/>
            <w:noWrap/>
            <w:vAlign w:val="bottom"/>
            <w:hideMark/>
          </w:tcPr>
          <w:p w14:paraId="3ED89403"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83,005.43 </w:t>
            </w:r>
          </w:p>
        </w:tc>
        <w:tc>
          <w:tcPr>
            <w:tcW w:w="0" w:type="auto"/>
            <w:tcBorders>
              <w:top w:val="nil"/>
              <w:left w:val="nil"/>
              <w:bottom w:val="single" w:sz="4" w:space="0" w:color="auto"/>
              <w:right w:val="single" w:sz="4" w:space="0" w:color="auto"/>
            </w:tcBorders>
            <w:shd w:val="clear" w:color="auto" w:fill="auto"/>
            <w:noWrap/>
            <w:vAlign w:val="bottom"/>
            <w:hideMark/>
          </w:tcPr>
          <w:p w14:paraId="15B31EB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(18,297.43)</w:t>
            </w:r>
          </w:p>
        </w:tc>
        <w:tc>
          <w:tcPr>
            <w:tcW w:w="0" w:type="auto"/>
            <w:tcBorders>
              <w:top w:val="nil"/>
              <w:left w:val="nil"/>
              <w:bottom w:val="single" w:sz="4" w:space="0" w:color="auto"/>
              <w:right w:val="single" w:sz="8" w:space="0" w:color="auto"/>
            </w:tcBorders>
            <w:shd w:val="clear" w:color="auto" w:fill="auto"/>
            <w:noWrap/>
            <w:vAlign w:val="bottom"/>
            <w:hideMark/>
          </w:tcPr>
          <w:p w14:paraId="13AE345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128%</w:t>
            </w:r>
          </w:p>
        </w:tc>
        <w:tc>
          <w:tcPr>
            <w:tcW w:w="0" w:type="auto"/>
            <w:tcBorders>
              <w:top w:val="nil"/>
              <w:left w:val="nil"/>
              <w:bottom w:val="single" w:sz="4" w:space="0" w:color="auto"/>
              <w:right w:val="single" w:sz="4" w:space="0" w:color="auto"/>
            </w:tcBorders>
            <w:shd w:val="clear" w:color="auto" w:fill="auto"/>
            <w:noWrap/>
            <w:vAlign w:val="bottom"/>
            <w:hideMark/>
          </w:tcPr>
          <w:p w14:paraId="1D1AA9A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341,908.92 </w:t>
            </w:r>
          </w:p>
        </w:tc>
        <w:tc>
          <w:tcPr>
            <w:tcW w:w="0" w:type="auto"/>
            <w:tcBorders>
              <w:top w:val="nil"/>
              <w:left w:val="nil"/>
              <w:bottom w:val="single" w:sz="4" w:space="0" w:color="auto"/>
              <w:right w:val="single" w:sz="4" w:space="0" w:color="auto"/>
            </w:tcBorders>
            <w:shd w:val="clear" w:color="auto" w:fill="auto"/>
            <w:noWrap/>
            <w:vAlign w:val="bottom"/>
            <w:hideMark/>
          </w:tcPr>
          <w:p w14:paraId="22EA258F"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358,696.15 </w:t>
            </w:r>
          </w:p>
        </w:tc>
        <w:tc>
          <w:tcPr>
            <w:tcW w:w="0" w:type="auto"/>
            <w:tcBorders>
              <w:top w:val="nil"/>
              <w:left w:val="nil"/>
              <w:bottom w:val="single" w:sz="4" w:space="0" w:color="auto"/>
              <w:right w:val="single" w:sz="4" w:space="0" w:color="auto"/>
            </w:tcBorders>
            <w:shd w:val="clear" w:color="auto" w:fill="auto"/>
            <w:noWrap/>
            <w:vAlign w:val="bottom"/>
            <w:hideMark/>
          </w:tcPr>
          <w:p w14:paraId="0BAFAEE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(16,787.23)</w:t>
            </w:r>
          </w:p>
        </w:tc>
        <w:tc>
          <w:tcPr>
            <w:tcW w:w="0" w:type="auto"/>
            <w:tcBorders>
              <w:top w:val="nil"/>
              <w:left w:val="nil"/>
              <w:bottom w:val="single" w:sz="4" w:space="0" w:color="auto"/>
              <w:right w:val="single" w:sz="4" w:space="0" w:color="auto"/>
            </w:tcBorders>
            <w:shd w:val="clear" w:color="auto" w:fill="auto"/>
            <w:noWrap/>
            <w:vAlign w:val="bottom"/>
            <w:hideMark/>
          </w:tcPr>
          <w:p w14:paraId="6DD5802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105%</w:t>
            </w:r>
          </w:p>
        </w:tc>
      </w:tr>
      <w:tr w:rsidR="004769F4" w:rsidRPr="007A7F0F" w14:paraId="40A26DFB" w14:textId="77777777" w:rsidTr="00AF1EF3">
        <w:trPr>
          <w:trHeight w:val="20"/>
        </w:trPr>
        <w:tc>
          <w:tcPr>
            <w:tcW w:w="0" w:type="auto"/>
            <w:tcBorders>
              <w:top w:val="nil"/>
              <w:left w:val="single" w:sz="4" w:space="0" w:color="auto"/>
              <w:bottom w:val="single" w:sz="4" w:space="0" w:color="auto"/>
              <w:right w:val="nil"/>
            </w:tcBorders>
            <w:shd w:val="clear" w:color="000000" w:fill="C6E0B4"/>
            <w:vAlign w:val="center"/>
            <w:hideMark/>
          </w:tcPr>
          <w:p w14:paraId="6C1E4CD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Management and Administration Total </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617744C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325,720.48 </w:t>
            </w:r>
          </w:p>
        </w:tc>
        <w:tc>
          <w:tcPr>
            <w:tcW w:w="0" w:type="auto"/>
            <w:tcBorders>
              <w:top w:val="nil"/>
              <w:left w:val="nil"/>
              <w:bottom w:val="single" w:sz="4" w:space="0" w:color="auto"/>
              <w:right w:val="single" w:sz="4" w:space="0" w:color="auto"/>
            </w:tcBorders>
            <w:shd w:val="clear" w:color="000000" w:fill="C6E0B4"/>
            <w:noWrap/>
            <w:vAlign w:val="bottom"/>
            <w:hideMark/>
          </w:tcPr>
          <w:p w14:paraId="37964A4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253,235.28 </w:t>
            </w:r>
          </w:p>
        </w:tc>
        <w:tc>
          <w:tcPr>
            <w:tcW w:w="0" w:type="auto"/>
            <w:tcBorders>
              <w:top w:val="nil"/>
              <w:left w:val="nil"/>
              <w:bottom w:val="single" w:sz="4" w:space="0" w:color="auto"/>
              <w:right w:val="single" w:sz="4" w:space="0" w:color="auto"/>
            </w:tcBorders>
            <w:shd w:val="clear" w:color="000000" w:fill="C6E0B4"/>
            <w:noWrap/>
            <w:vAlign w:val="bottom"/>
            <w:hideMark/>
          </w:tcPr>
          <w:p w14:paraId="1BAB6FCA"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72,485.20 </w:t>
            </w:r>
          </w:p>
        </w:tc>
        <w:tc>
          <w:tcPr>
            <w:tcW w:w="0" w:type="auto"/>
            <w:tcBorders>
              <w:top w:val="nil"/>
              <w:left w:val="nil"/>
              <w:bottom w:val="single" w:sz="4" w:space="0" w:color="auto"/>
              <w:right w:val="single" w:sz="8" w:space="0" w:color="auto"/>
            </w:tcBorders>
            <w:shd w:val="clear" w:color="000000" w:fill="C6E0B4"/>
            <w:noWrap/>
            <w:vAlign w:val="bottom"/>
            <w:hideMark/>
          </w:tcPr>
          <w:p w14:paraId="1AEC598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78%</w:t>
            </w:r>
          </w:p>
        </w:tc>
        <w:tc>
          <w:tcPr>
            <w:tcW w:w="0" w:type="auto"/>
            <w:tcBorders>
              <w:top w:val="nil"/>
              <w:left w:val="nil"/>
              <w:bottom w:val="single" w:sz="4" w:space="0" w:color="auto"/>
              <w:right w:val="single" w:sz="4" w:space="0" w:color="auto"/>
            </w:tcBorders>
            <w:shd w:val="clear" w:color="000000" w:fill="C6E0B4"/>
            <w:noWrap/>
            <w:vAlign w:val="bottom"/>
            <w:hideMark/>
          </w:tcPr>
          <w:p w14:paraId="7832310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244,896.00 </w:t>
            </w:r>
          </w:p>
        </w:tc>
        <w:tc>
          <w:tcPr>
            <w:tcW w:w="0" w:type="auto"/>
            <w:tcBorders>
              <w:top w:val="nil"/>
              <w:left w:val="nil"/>
              <w:bottom w:val="single" w:sz="4" w:space="0" w:color="auto"/>
              <w:right w:val="single" w:sz="4" w:space="0" w:color="auto"/>
            </w:tcBorders>
            <w:shd w:val="clear" w:color="000000" w:fill="C6E0B4"/>
            <w:noWrap/>
            <w:vAlign w:val="bottom"/>
            <w:hideMark/>
          </w:tcPr>
          <w:p w14:paraId="3890D0B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253,707.00 </w:t>
            </w:r>
          </w:p>
        </w:tc>
        <w:tc>
          <w:tcPr>
            <w:tcW w:w="0" w:type="auto"/>
            <w:tcBorders>
              <w:top w:val="nil"/>
              <w:left w:val="nil"/>
              <w:bottom w:val="single" w:sz="4" w:space="0" w:color="auto"/>
              <w:right w:val="single" w:sz="4" w:space="0" w:color="auto"/>
            </w:tcBorders>
            <w:shd w:val="clear" w:color="000000" w:fill="C6E0B4"/>
            <w:noWrap/>
            <w:vAlign w:val="bottom"/>
            <w:hideMark/>
          </w:tcPr>
          <w:p w14:paraId="26A39BE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(8,811.00)</w:t>
            </w:r>
          </w:p>
        </w:tc>
        <w:tc>
          <w:tcPr>
            <w:tcW w:w="0" w:type="auto"/>
            <w:tcBorders>
              <w:top w:val="nil"/>
              <w:left w:val="nil"/>
              <w:bottom w:val="single" w:sz="4" w:space="0" w:color="auto"/>
              <w:right w:val="single" w:sz="8" w:space="0" w:color="auto"/>
            </w:tcBorders>
            <w:shd w:val="clear" w:color="000000" w:fill="C6E0B4"/>
            <w:noWrap/>
            <w:vAlign w:val="bottom"/>
            <w:hideMark/>
          </w:tcPr>
          <w:p w14:paraId="6D9FBE55"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104%</w:t>
            </w:r>
          </w:p>
        </w:tc>
        <w:tc>
          <w:tcPr>
            <w:tcW w:w="0" w:type="auto"/>
            <w:tcBorders>
              <w:top w:val="nil"/>
              <w:left w:val="nil"/>
              <w:bottom w:val="single" w:sz="4" w:space="0" w:color="auto"/>
              <w:right w:val="single" w:sz="4" w:space="0" w:color="auto"/>
            </w:tcBorders>
            <w:shd w:val="clear" w:color="000000" w:fill="C6E0B4"/>
            <w:noWrap/>
            <w:vAlign w:val="bottom"/>
            <w:hideMark/>
          </w:tcPr>
          <w:p w14:paraId="2455BA8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1,258,072.92 </w:t>
            </w:r>
          </w:p>
        </w:tc>
        <w:tc>
          <w:tcPr>
            <w:tcW w:w="0" w:type="auto"/>
            <w:tcBorders>
              <w:top w:val="nil"/>
              <w:left w:val="nil"/>
              <w:bottom w:val="single" w:sz="4" w:space="0" w:color="auto"/>
              <w:right w:val="single" w:sz="4" w:space="0" w:color="auto"/>
            </w:tcBorders>
            <w:shd w:val="clear" w:color="000000" w:fill="C6E0B4"/>
            <w:noWrap/>
            <w:vAlign w:val="bottom"/>
            <w:hideMark/>
          </w:tcPr>
          <w:p w14:paraId="07E21D1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1,101,434.92 </w:t>
            </w:r>
          </w:p>
        </w:tc>
        <w:tc>
          <w:tcPr>
            <w:tcW w:w="0" w:type="auto"/>
            <w:tcBorders>
              <w:top w:val="nil"/>
              <w:left w:val="nil"/>
              <w:bottom w:val="single" w:sz="4" w:space="0" w:color="auto"/>
              <w:right w:val="single" w:sz="4" w:space="0" w:color="auto"/>
            </w:tcBorders>
            <w:shd w:val="clear" w:color="000000" w:fill="C6E0B4"/>
            <w:noWrap/>
            <w:vAlign w:val="bottom"/>
            <w:hideMark/>
          </w:tcPr>
          <w:p w14:paraId="0883F1B3"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156,638.00 </w:t>
            </w:r>
          </w:p>
        </w:tc>
        <w:tc>
          <w:tcPr>
            <w:tcW w:w="0" w:type="auto"/>
            <w:tcBorders>
              <w:top w:val="nil"/>
              <w:left w:val="nil"/>
              <w:bottom w:val="single" w:sz="4" w:space="0" w:color="auto"/>
              <w:right w:val="single" w:sz="4" w:space="0" w:color="auto"/>
            </w:tcBorders>
            <w:shd w:val="clear" w:color="000000" w:fill="C6E0B4"/>
            <w:noWrap/>
            <w:vAlign w:val="bottom"/>
            <w:hideMark/>
          </w:tcPr>
          <w:p w14:paraId="48DC25C9"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88%</w:t>
            </w:r>
          </w:p>
        </w:tc>
      </w:tr>
      <w:tr w:rsidR="004769F4" w:rsidRPr="007A7F0F" w14:paraId="467B0031" w14:textId="77777777" w:rsidTr="00AF1EF3">
        <w:trPr>
          <w:trHeight w:val="20"/>
        </w:trPr>
        <w:tc>
          <w:tcPr>
            <w:tcW w:w="0" w:type="auto"/>
            <w:tcBorders>
              <w:top w:val="nil"/>
              <w:left w:val="single" w:sz="4" w:space="0" w:color="auto"/>
              <w:bottom w:val="single" w:sz="4" w:space="0" w:color="auto"/>
              <w:right w:val="nil"/>
            </w:tcBorders>
            <w:shd w:val="clear" w:color="000000" w:fill="C6E0B4"/>
            <w:vAlign w:val="center"/>
            <w:hideMark/>
          </w:tcPr>
          <w:p w14:paraId="3262077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75C5D697"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22%</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41C6680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18%</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739284A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137%</w:t>
            </w:r>
          </w:p>
        </w:tc>
        <w:tc>
          <w:tcPr>
            <w:tcW w:w="0" w:type="auto"/>
            <w:tcBorders>
              <w:top w:val="nil"/>
              <w:left w:val="nil"/>
              <w:bottom w:val="single" w:sz="4" w:space="0" w:color="auto"/>
              <w:right w:val="single" w:sz="8" w:space="0" w:color="auto"/>
            </w:tcBorders>
            <w:shd w:val="clear" w:color="000000" w:fill="C6E0B4"/>
            <w:noWrap/>
            <w:vAlign w:val="bottom"/>
            <w:hideMark/>
          </w:tcPr>
          <w:p w14:paraId="56F8C56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20B9D145"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21%</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139DF72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22%</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2E2001D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-77%</w:t>
            </w:r>
          </w:p>
        </w:tc>
        <w:tc>
          <w:tcPr>
            <w:tcW w:w="0" w:type="auto"/>
            <w:tcBorders>
              <w:top w:val="nil"/>
              <w:left w:val="nil"/>
              <w:bottom w:val="single" w:sz="4" w:space="0" w:color="auto"/>
              <w:right w:val="single" w:sz="8" w:space="0" w:color="auto"/>
            </w:tcBorders>
            <w:shd w:val="clear" w:color="000000" w:fill="C6E0B4"/>
            <w:noWrap/>
            <w:vAlign w:val="bottom"/>
            <w:hideMark/>
          </w:tcPr>
          <w:p w14:paraId="1CF2768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c>
          <w:tcPr>
            <w:tcW w:w="0" w:type="auto"/>
            <w:tcBorders>
              <w:top w:val="nil"/>
              <w:left w:val="nil"/>
              <w:bottom w:val="single" w:sz="4" w:space="0" w:color="auto"/>
              <w:right w:val="single" w:sz="4" w:space="0" w:color="auto"/>
            </w:tcBorders>
            <w:shd w:val="clear" w:color="000000" w:fill="C6E0B4"/>
            <w:noWrap/>
            <w:vAlign w:val="bottom"/>
            <w:hideMark/>
          </w:tcPr>
          <w:p w14:paraId="1CBB184E"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20%</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50A01F55"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19%</w:t>
            </w:r>
          </w:p>
        </w:tc>
        <w:tc>
          <w:tcPr>
            <w:tcW w:w="0" w:type="auto"/>
            <w:tcBorders>
              <w:top w:val="nil"/>
              <w:left w:val="single" w:sz="8" w:space="0" w:color="auto"/>
              <w:bottom w:val="single" w:sz="4" w:space="0" w:color="auto"/>
              <w:right w:val="single" w:sz="4" w:space="0" w:color="auto"/>
            </w:tcBorders>
            <w:shd w:val="clear" w:color="000000" w:fill="C6E0B4"/>
            <w:noWrap/>
            <w:vAlign w:val="bottom"/>
            <w:hideMark/>
          </w:tcPr>
          <w:p w14:paraId="29DEE628"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29%</w:t>
            </w:r>
          </w:p>
        </w:tc>
        <w:tc>
          <w:tcPr>
            <w:tcW w:w="0" w:type="auto"/>
            <w:tcBorders>
              <w:top w:val="nil"/>
              <w:left w:val="nil"/>
              <w:bottom w:val="single" w:sz="4" w:space="0" w:color="auto"/>
              <w:right w:val="single" w:sz="4" w:space="0" w:color="auto"/>
            </w:tcBorders>
            <w:shd w:val="clear" w:color="000000" w:fill="C6E0B4"/>
            <w:noWrap/>
            <w:vAlign w:val="bottom"/>
            <w:hideMark/>
          </w:tcPr>
          <w:p w14:paraId="6730640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w:t>
            </w:r>
          </w:p>
        </w:tc>
      </w:tr>
      <w:tr w:rsidR="004769F4" w:rsidRPr="007A7F0F" w14:paraId="7DD1884C" w14:textId="77777777" w:rsidTr="00AF1EF3">
        <w:trPr>
          <w:trHeight w:val="20"/>
        </w:trPr>
        <w:tc>
          <w:tcPr>
            <w:tcW w:w="0" w:type="auto"/>
            <w:tcBorders>
              <w:top w:val="nil"/>
              <w:left w:val="single" w:sz="4" w:space="0" w:color="auto"/>
              <w:bottom w:val="single" w:sz="4" w:space="0" w:color="auto"/>
              <w:right w:val="nil"/>
            </w:tcBorders>
            <w:shd w:val="clear" w:color="000000" w:fill="D6DCE4"/>
            <w:vAlign w:val="center"/>
            <w:hideMark/>
          </w:tcPr>
          <w:p w14:paraId="77C33DD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Net Total</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828BD2C"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1,348,296.22 </w:t>
            </w:r>
          </w:p>
        </w:tc>
        <w:tc>
          <w:tcPr>
            <w:tcW w:w="0" w:type="auto"/>
            <w:tcBorders>
              <w:top w:val="nil"/>
              <w:left w:val="nil"/>
              <w:bottom w:val="single" w:sz="4" w:space="0" w:color="auto"/>
              <w:right w:val="single" w:sz="4" w:space="0" w:color="auto"/>
            </w:tcBorders>
            <w:shd w:val="clear" w:color="auto" w:fill="auto"/>
            <w:noWrap/>
            <w:vAlign w:val="bottom"/>
            <w:hideMark/>
          </w:tcPr>
          <w:p w14:paraId="6DEE06E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1,299,207.28 </w:t>
            </w:r>
          </w:p>
        </w:tc>
        <w:tc>
          <w:tcPr>
            <w:tcW w:w="0" w:type="auto"/>
            <w:tcBorders>
              <w:top w:val="nil"/>
              <w:left w:val="nil"/>
              <w:bottom w:val="single" w:sz="4" w:space="0" w:color="auto"/>
              <w:right w:val="single" w:sz="4" w:space="0" w:color="auto"/>
            </w:tcBorders>
            <w:shd w:val="clear" w:color="auto" w:fill="auto"/>
            <w:noWrap/>
            <w:vAlign w:val="bottom"/>
            <w:hideMark/>
          </w:tcPr>
          <w:p w14:paraId="5F8B44B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49,088.94 </w:t>
            </w:r>
          </w:p>
        </w:tc>
        <w:tc>
          <w:tcPr>
            <w:tcW w:w="0" w:type="auto"/>
            <w:tcBorders>
              <w:top w:val="nil"/>
              <w:left w:val="nil"/>
              <w:bottom w:val="single" w:sz="4" w:space="0" w:color="auto"/>
              <w:right w:val="single" w:sz="8" w:space="0" w:color="auto"/>
            </w:tcBorders>
            <w:shd w:val="clear" w:color="auto" w:fill="auto"/>
            <w:noWrap/>
            <w:vAlign w:val="bottom"/>
            <w:hideMark/>
          </w:tcPr>
          <w:p w14:paraId="7CD85C9F"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14:paraId="136643C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1,102,222.06 </w:t>
            </w:r>
          </w:p>
        </w:tc>
        <w:tc>
          <w:tcPr>
            <w:tcW w:w="0" w:type="auto"/>
            <w:tcBorders>
              <w:top w:val="nil"/>
              <w:left w:val="nil"/>
              <w:bottom w:val="single" w:sz="4" w:space="0" w:color="auto"/>
              <w:right w:val="single" w:sz="4" w:space="0" w:color="auto"/>
            </w:tcBorders>
            <w:shd w:val="clear" w:color="auto" w:fill="auto"/>
            <w:noWrap/>
            <w:vAlign w:val="bottom"/>
            <w:hideMark/>
          </w:tcPr>
          <w:p w14:paraId="554351F5"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1,091,656.48 </w:t>
            </w:r>
          </w:p>
        </w:tc>
        <w:tc>
          <w:tcPr>
            <w:tcW w:w="0" w:type="auto"/>
            <w:tcBorders>
              <w:top w:val="nil"/>
              <w:left w:val="nil"/>
              <w:bottom w:val="single" w:sz="4" w:space="0" w:color="auto"/>
              <w:right w:val="single" w:sz="4" w:space="0" w:color="auto"/>
            </w:tcBorders>
            <w:shd w:val="clear" w:color="auto" w:fill="auto"/>
            <w:noWrap/>
            <w:vAlign w:val="bottom"/>
            <w:hideMark/>
          </w:tcPr>
          <w:p w14:paraId="12ABF8FA"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10,565.58 </w:t>
            </w:r>
          </w:p>
        </w:tc>
        <w:tc>
          <w:tcPr>
            <w:tcW w:w="0" w:type="auto"/>
            <w:tcBorders>
              <w:top w:val="nil"/>
              <w:left w:val="nil"/>
              <w:bottom w:val="single" w:sz="4" w:space="0" w:color="auto"/>
              <w:right w:val="single" w:sz="8" w:space="0" w:color="auto"/>
            </w:tcBorders>
            <w:shd w:val="clear" w:color="auto" w:fill="auto"/>
            <w:noWrap/>
            <w:vAlign w:val="bottom"/>
            <w:hideMark/>
          </w:tcPr>
          <w:p w14:paraId="6A7B418B"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99%</w:t>
            </w:r>
          </w:p>
        </w:tc>
        <w:tc>
          <w:tcPr>
            <w:tcW w:w="0" w:type="auto"/>
            <w:tcBorders>
              <w:top w:val="nil"/>
              <w:left w:val="nil"/>
              <w:bottom w:val="single" w:sz="4" w:space="0" w:color="auto"/>
              <w:right w:val="single" w:sz="4" w:space="0" w:color="auto"/>
            </w:tcBorders>
            <w:shd w:val="clear" w:color="auto" w:fill="auto"/>
            <w:noWrap/>
            <w:vAlign w:val="bottom"/>
            <w:hideMark/>
          </w:tcPr>
          <w:p w14:paraId="158E709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5,692,793.96 </w:t>
            </w:r>
          </w:p>
        </w:tc>
        <w:tc>
          <w:tcPr>
            <w:tcW w:w="0" w:type="auto"/>
            <w:tcBorders>
              <w:top w:val="nil"/>
              <w:left w:val="nil"/>
              <w:bottom w:val="single" w:sz="4" w:space="0" w:color="auto"/>
              <w:right w:val="single" w:sz="4" w:space="0" w:color="auto"/>
            </w:tcBorders>
            <w:shd w:val="clear" w:color="auto" w:fill="auto"/>
            <w:noWrap/>
            <w:vAlign w:val="bottom"/>
            <w:hideMark/>
          </w:tcPr>
          <w:p w14:paraId="148193A4"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5,329,396.86 </w:t>
            </w:r>
          </w:p>
        </w:tc>
        <w:tc>
          <w:tcPr>
            <w:tcW w:w="0" w:type="auto"/>
            <w:tcBorders>
              <w:top w:val="nil"/>
              <w:left w:val="nil"/>
              <w:bottom w:val="single" w:sz="4" w:space="0" w:color="auto"/>
              <w:right w:val="single" w:sz="4" w:space="0" w:color="auto"/>
            </w:tcBorders>
            <w:shd w:val="clear" w:color="auto" w:fill="auto"/>
            <w:noWrap/>
            <w:vAlign w:val="bottom"/>
            <w:hideMark/>
          </w:tcPr>
          <w:p w14:paraId="4A09C50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501,923.42 </w:t>
            </w:r>
          </w:p>
        </w:tc>
        <w:tc>
          <w:tcPr>
            <w:tcW w:w="0" w:type="auto"/>
            <w:tcBorders>
              <w:top w:val="nil"/>
              <w:left w:val="nil"/>
              <w:bottom w:val="single" w:sz="4" w:space="0" w:color="auto"/>
              <w:right w:val="single" w:sz="4" w:space="0" w:color="auto"/>
            </w:tcBorders>
            <w:shd w:val="clear" w:color="auto" w:fill="auto"/>
            <w:noWrap/>
            <w:vAlign w:val="bottom"/>
            <w:hideMark/>
          </w:tcPr>
          <w:p w14:paraId="73D9990D"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94%</w:t>
            </w:r>
          </w:p>
        </w:tc>
      </w:tr>
      <w:tr w:rsidR="004769F4" w:rsidRPr="007A7F0F" w14:paraId="6D91085E" w14:textId="77777777" w:rsidTr="00AF1EF3">
        <w:trPr>
          <w:trHeight w:val="20"/>
        </w:trPr>
        <w:tc>
          <w:tcPr>
            <w:tcW w:w="0" w:type="auto"/>
            <w:tcBorders>
              <w:top w:val="nil"/>
              <w:left w:val="single" w:sz="4" w:space="0" w:color="auto"/>
              <w:bottom w:val="single" w:sz="4" w:space="0" w:color="auto"/>
              <w:right w:val="nil"/>
            </w:tcBorders>
            <w:shd w:val="clear" w:color="auto" w:fill="auto"/>
            <w:vAlign w:val="center"/>
            <w:hideMark/>
          </w:tcPr>
          <w:p w14:paraId="6A66C01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Facilities &amp; Administration (8%)</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2E5507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107,863.70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24D7C1D"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103,936.58 </w:t>
            </w:r>
          </w:p>
        </w:tc>
        <w:tc>
          <w:tcPr>
            <w:tcW w:w="0" w:type="auto"/>
            <w:tcBorders>
              <w:top w:val="nil"/>
              <w:left w:val="nil"/>
              <w:bottom w:val="single" w:sz="4" w:space="0" w:color="auto"/>
              <w:right w:val="single" w:sz="4" w:space="0" w:color="auto"/>
            </w:tcBorders>
            <w:shd w:val="clear" w:color="auto" w:fill="auto"/>
            <w:noWrap/>
            <w:vAlign w:val="bottom"/>
            <w:hideMark/>
          </w:tcPr>
          <w:p w14:paraId="619F40EC"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3,927.12 </w:t>
            </w:r>
          </w:p>
        </w:tc>
        <w:tc>
          <w:tcPr>
            <w:tcW w:w="0" w:type="auto"/>
            <w:tcBorders>
              <w:top w:val="nil"/>
              <w:left w:val="nil"/>
              <w:bottom w:val="single" w:sz="4" w:space="0" w:color="auto"/>
              <w:right w:val="single" w:sz="8" w:space="0" w:color="auto"/>
            </w:tcBorders>
            <w:shd w:val="clear" w:color="auto" w:fill="auto"/>
            <w:noWrap/>
            <w:vAlign w:val="bottom"/>
            <w:hideMark/>
          </w:tcPr>
          <w:p w14:paraId="358A8D2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14:paraId="1F55EED5"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88,177.76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EB816C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87,332.52 </w:t>
            </w:r>
          </w:p>
        </w:tc>
        <w:tc>
          <w:tcPr>
            <w:tcW w:w="0" w:type="auto"/>
            <w:tcBorders>
              <w:top w:val="nil"/>
              <w:left w:val="nil"/>
              <w:bottom w:val="single" w:sz="4" w:space="0" w:color="auto"/>
              <w:right w:val="single" w:sz="4" w:space="0" w:color="auto"/>
            </w:tcBorders>
            <w:shd w:val="clear" w:color="auto" w:fill="auto"/>
            <w:noWrap/>
            <w:vAlign w:val="bottom"/>
            <w:hideMark/>
          </w:tcPr>
          <w:p w14:paraId="374FA3D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845.25 </w:t>
            </w:r>
          </w:p>
        </w:tc>
        <w:tc>
          <w:tcPr>
            <w:tcW w:w="0" w:type="auto"/>
            <w:tcBorders>
              <w:top w:val="nil"/>
              <w:left w:val="nil"/>
              <w:bottom w:val="single" w:sz="4" w:space="0" w:color="auto"/>
              <w:right w:val="single" w:sz="8" w:space="0" w:color="auto"/>
            </w:tcBorders>
            <w:shd w:val="clear" w:color="auto" w:fill="auto"/>
            <w:noWrap/>
            <w:vAlign w:val="bottom"/>
            <w:hideMark/>
          </w:tcPr>
          <w:p w14:paraId="054E5CF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99%</w:t>
            </w:r>
          </w:p>
        </w:tc>
        <w:tc>
          <w:tcPr>
            <w:tcW w:w="0" w:type="auto"/>
            <w:tcBorders>
              <w:top w:val="nil"/>
              <w:left w:val="nil"/>
              <w:bottom w:val="single" w:sz="4" w:space="0" w:color="auto"/>
              <w:right w:val="single" w:sz="4" w:space="0" w:color="auto"/>
            </w:tcBorders>
            <w:shd w:val="clear" w:color="auto" w:fill="auto"/>
            <w:noWrap/>
            <w:vAlign w:val="bottom"/>
            <w:hideMark/>
          </w:tcPr>
          <w:p w14:paraId="2A51E127"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455,423.52 </w:t>
            </w:r>
          </w:p>
        </w:tc>
        <w:tc>
          <w:tcPr>
            <w:tcW w:w="0" w:type="auto"/>
            <w:tcBorders>
              <w:top w:val="nil"/>
              <w:left w:val="nil"/>
              <w:bottom w:val="single" w:sz="4" w:space="0" w:color="auto"/>
              <w:right w:val="single" w:sz="4" w:space="0" w:color="auto"/>
            </w:tcBorders>
            <w:shd w:val="clear" w:color="auto" w:fill="auto"/>
            <w:noWrap/>
            <w:vAlign w:val="bottom"/>
            <w:hideMark/>
          </w:tcPr>
          <w:p w14:paraId="2237521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426,351.75 </w:t>
            </w:r>
          </w:p>
        </w:tc>
        <w:tc>
          <w:tcPr>
            <w:tcW w:w="0" w:type="auto"/>
            <w:tcBorders>
              <w:top w:val="nil"/>
              <w:left w:val="nil"/>
              <w:bottom w:val="single" w:sz="4" w:space="0" w:color="auto"/>
              <w:right w:val="single" w:sz="4" w:space="0" w:color="auto"/>
            </w:tcBorders>
            <w:shd w:val="clear" w:color="auto" w:fill="auto"/>
            <w:noWrap/>
            <w:vAlign w:val="bottom"/>
            <w:hideMark/>
          </w:tcPr>
          <w:p w14:paraId="3F54E352"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xml:space="preserve">              40,153.87 </w:t>
            </w:r>
          </w:p>
        </w:tc>
        <w:tc>
          <w:tcPr>
            <w:tcW w:w="0" w:type="auto"/>
            <w:tcBorders>
              <w:top w:val="nil"/>
              <w:left w:val="nil"/>
              <w:bottom w:val="single" w:sz="4" w:space="0" w:color="auto"/>
              <w:right w:val="single" w:sz="4" w:space="0" w:color="auto"/>
            </w:tcBorders>
            <w:shd w:val="clear" w:color="auto" w:fill="auto"/>
            <w:noWrap/>
            <w:vAlign w:val="bottom"/>
            <w:hideMark/>
          </w:tcPr>
          <w:p w14:paraId="36A185A6"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94%</w:t>
            </w:r>
          </w:p>
        </w:tc>
      </w:tr>
      <w:tr w:rsidR="004769F4" w:rsidRPr="007A7F0F" w14:paraId="12F1BE28" w14:textId="77777777" w:rsidTr="00AF1EF3">
        <w:trPr>
          <w:trHeight w:val="20"/>
        </w:trPr>
        <w:tc>
          <w:tcPr>
            <w:tcW w:w="0" w:type="auto"/>
            <w:tcBorders>
              <w:top w:val="nil"/>
              <w:left w:val="single" w:sz="4" w:space="0" w:color="auto"/>
              <w:bottom w:val="nil"/>
              <w:right w:val="nil"/>
            </w:tcBorders>
            <w:shd w:val="clear" w:color="auto" w:fill="auto"/>
            <w:vAlign w:val="center"/>
            <w:hideMark/>
          </w:tcPr>
          <w:p w14:paraId="6FFB00E5"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Percent of Grand Total</w:t>
            </w:r>
          </w:p>
        </w:tc>
        <w:tc>
          <w:tcPr>
            <w:tcW w:w="0" w:type="auto"/>
            <w:tcBorders>
              <w:top w:val="nil"/>
              <w:left w:val="single" w:sz="8" w:space="0" w:color="auto"/>
              <w:bottom w:val="nil"/>
              <w:right w:val="single" w:sz="4" w:space="0" w:color="auto"/>
            </w:tcBorders>
            <w:shd w:val="clear" w:color="auto" w:fill="auto"/>
            <w:noWrap/>
            <w:vAlign w:val="bottom"/>
            <w:hideMark/>
          </w:tcPr>
          <w:p w14:paraId="0B5E500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3C31A3C4"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57647403"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nil"/>
              <w:bottom w:val="nil"/>
              <w:right w:val="single" w:sz="8" w:space="0" w:color="auto"/>
            </w:tcBorders>
            <w:shd w:val="clear" w:color="auto" w:fill="auto"/>
            <w:noWrap/>
            <w:vAlign w:val="bottom"/>
            <w:hideMark/>
          </w:tcPr>
          <w:p w14:paraId="43C380D0"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nil"/>
              <w:right w:val="single" w:sz="4" w:space="0" w:color="auto"/>
            </w:tcBorders>
            <w:shd w:val="clear" w:color="auto" w:fill="auto"/>
            <w:noWrap/>
            <w:vAlign w:val="bottom"/>
            <w:hideMark/>
          </w:tcPr>
          <w:p w14:paraId="3E3190B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0E899E91"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5094CB3C"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nil"/>
              <w:bottom w:val="nil"/>
              <w:right w:val="single" w:sz="8" w:space="0" w:color="auto"/>
            </w:tcBorders>
            <w:shd w:val="clear" w:color="auto" w:fill="auto"/>
            <w:noWrap/>
            <w:vAlign w:val="bottom"/>
            <w:hideMark/>
          </w:tcPr>
          <w:p w14:paraId="77459D3A"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nil"/>
              <w:left w:val="nil"/>
              <w:bottom w:val="nil"/>
              <w:right w:val="single" w:sz="4" w:space="0" w:color="auto"/>
            </w:tcBorders>
            <w:shd w:val="clear" w:color="auto" w:fill="auto"/>
            <w:noWrap/>
            <w:vAlign w:val="bottom"/>
            <w:hideMark/>
          </w:tcPr>
          <w:p w14:paraId="44ADB18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567F906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single" w:sz="8" w:space="0" w:color="auto"/>
              <w:bottom w:val="nil"/>
              <w:right w:val="single" w:sz="4" w:space="0" w:color="auto"/>
            </w:tcBorders>
            <w:shd w:val="clear" w:color="auto" w:fill="auto"/>
            <w:noWrap/>
            <w:vAlign w:val="bottom"/>
            <w:hideMark/>
          </w:tcPr>
          <w:p w14:paraId="76D2D65E"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7%</w:t>
            </w:r>
          </w:p>
        </w:tc>
        <w:tc>
          <w:tcPr>
            <w:tcW w:w="0" w:type="auto"/>
            <w:tcBorders>
              <w:top w:val="nil"/>
              <w:left w:val="nil"/>
              <w:bottom w:val="nil"/>
              <w:right w:val="single" w:sz="4" w:space="0" w:color="auto"/>
            </w:tcBorders>
            <w:shd w:val="clear" w:color="auto" w:fill="auto"/>
            <w:noWrap/>
            <w:vAlign w:val="bottom"/>
            <w:hideMark/>
          </w:tcPr>
          <w:p w14:paraId="1176BB07"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r>
      <w:tr w:rsidR="004769F4" w:rsidRPr="007A7F0F" w14:paraId="392609A2" w14:textId="77777777" w:rsidTr="00AF1EF3">
        <w:trPr>
          <w:trHeight w:val="20"/>
        </w:trPr>
        <w:tc>
          <w:tcPr>
            <w:tcW w:w="0" w:type="auto"/>
            <w:tcBorders>
              <w:top w:val="single" w:sz="4" w:space="0" w:color="auto"/>
              <w:left w:val="single" w:sz="4" w:space="0" w:color="auto"/>
              <w:bottom w:val="nil"/>
              <w:right w:val="nil"/>
            </w:tcBorders>
            <w:shd w:val="clear" w:color="000000" w:fill="D6DCE4"/>
            <w:vAlign w:val="center"/>
            <w:hideMark/>
          </w:tcPr>
          <w:p w14:paraId="5F18CA5D"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Grand Total</w:t>
            </w:r>
          </w:p>
        </w:tc>
        <w:tc>
          <w:tcPr>
            <w:tcW w:w="0" w:type="auto"/>
            <w:tcBorders>
              <w:top w:val="single" w:sz="4" w:space="0" w:color="auto"/>
              <w:left w:val="single" w:sz="8" w:space="0" w:color="auto"/>
              <w:bottom w:val="nil"/>
              <w:right w:val="single" w:sz="4" w:space="0" w:color="auto"/>
            </w:tcBorders>
            <w:shd w:val="clear" w:color="000000" w:fill="D6DCE4"/>
            <w:noWrap/>
            <w:vAlign w:val="bottom"/>
            <w:hideMark/>
          </w:tcPr>
          <w:p w14:paraId="551836B6"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1,456,159.92 </w:t>
            </w:r>
          </w:p>
        </w:tc>
        <w:tc>
          <w:tcPr>
            <w:tcW w:w="0" w:type="auto"/>
            <w:tcBorders>
              <w:top w:val="single" w:sz="4" w:space="0" w:color="auto"/>
              <w:left w:val="nil"/>
              <w:bottom w:val="nil"/>
              <w:right w:val="single" w:sz="4" w:space="0" w:color="auto"/>
            </w:tcBorders>
            <w:shd w:val="clear" w:color="000000" w:fill="D6DCE4"/>
            <w:noWrap/>
            <w:vAlign w:val="bottom"/>
            <w:hideMark/>
          </w:tcPr>
          <w:p w14:paraId="1CF7D7A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1,403,143.86 </w:t>
            </w:r>
          </w:p>
        </w:tc>
        <w:tc>
          <w:tcPr>
            <w:tcW w:w="0" w:type="auto"/>
            <w:tcBorders>
              <w:top w:val="single" w:sz="4" w:space="0" w:color="auto"/>
              <w:left w:val="nil"/>
              <w:bottom w:val="nil"/>
              <w:right w:val="single" w:sz="4" w:space="0" w:color="auto"/>
            </w:tcBorders>
            <w:shd w:val="clear" w:color="000000" w:fill="D6DCE4"/>
            <w:noWrap/>
            <w:vAlign w:val="bottom"/>
            <w:hideMark/>
          </w:tcPr>
          <w:p w14:paraId="6B192551"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53,016.06 </w:t>
            </w:r>
          </w:p>
        </w:tc>
        <w:tc>
          <w:tcPr>
            <w:tcW w:w="0" w:type="auto"/>
            <w:tcBorders>
              <w:top w:val="single" w:sz="4" w:space="0" w:color="auto"/>
              <w:left w:val="nil"/>
              <w:bottom w:val="nil"/>
              <w:right w:val="single" w:sz="8" w:space="0" w:color="auto"/>
            </w:tcBorders>
            <w:shd w:val="clear" w:color="000000" w:fill="D6DCE4"/>
            <w:noWrap/>
            <w:vAlign w:val="bottom"/>
            <w:hideMark/>
          </w:tcPr>
          <w:p w14:paraId="3EB973BC"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96%</w:t>
            </w:r>
          </w:p>
        </w:tc>
        <w:tc>
          <w:tcPr>
            <w:tcW w:w="0" w:type="auto"/>
            <w:tcBorders>
              <w:top w:val="single" w:sz="4" w:space="0" w:color="auto"/>
              <w:left w:val="nil"/>
              <w:bottom w:val="nil"/>
              <w:right w:val="single" w:sz="4" w:space="0" w:color="auto"/>
            </w:tcBorders>
            <w:shd w:val="clear" w:color="000000" w:fill="D6DCE4"/>
            <w:noWrap/>
            <w:vAlign w:val="bottom"/>
            <w:hideMark/>
          </w:tcPr>
          <w:p w14:paraId="6B99CEE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1,190,399.82 </w:t>
            </w:r>
          </w:p>
        </w:tc>
        <w:tc>
          <w:tcPr>
            <w:tcW w:w="0" w:type="auto"/>
            <w:tcBorders>
              <w:top w:val="single" w:sz="4" w:space="0" w:color="auto"/>
              <w:left w:val="nil"/>
              <w:bottom w:val="nil"/>
              <w:right w:val="single" w:sz="4" w:space="0" w:color="auto"/>
            </w:tcBorders>
            <w:shd w:val="clear" w:color="000000" w:fill="D6DCE4"/>
            <w:noWrap/>
            <w:vAlign w:val="bottom"/>
            <w:hideMark/>
          </w:tcPr>
          <w:p w14:paraId="06A48649"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1,178,989.00 </w:t>
            </w:r>
          </w:p>
        </w:tc>
        <w:tc>
          <w:tcPr>
            <w:tcW w:w="0" w:type="auto"/>
            <w:tcBorders>
              <w:top w:val="single" w:sz="4" w:space="0" w:color="auto"/>
              <w:left w:val="nil"/>
              <w:bottom w:val="nil"/>
              <w:right w:val="single" w:sz="4" w:space="0" w:color="auto"/>
            </w:tcBorders>
            <w:shd w:val="clear" w:color="000000" w:fill="D6DCE4"/>
            <w:noWrap/>
            <w:vAlign w:val="bottom"/>
            <w:hideMark/>
          </w:tcPr>
          <w:p w14:paraId="70C061E1"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11,410.83 </w:t>
            </w:r>
          </w:p>
        </w:tc>
        <w:tc>
          <w:tcPr>
            <w:tcW w:w="0" w:type="auto"/>
            <w:tcBorders>
              <w:top w:val="single" w:sz="4" w:space="0" w:color="auto"/>
              <w:left w:val="nil"/>
              <w:bottom w:val="nil"/>
              <w:right w:val="single" w:sz="8" w:space="0" w:color="auto"/>
            </w:tcBorders>
            <w:shd w:val="clear" w:color="000000" w:fill="D6DCE4"/>
            <w:noWrap/>
            <w:vAlign w:val="bottom"/>
            <w:hideMark/>
          </w:tcPr>
          <w:p w14:paraId="1F77D9E5"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99%</w:t>
            </w:r>
          </w:p>
        </w:tc>
        <w:tc>
          <w:tcPr>
            <w:tcW w:w="0" w:type="auto"/>
            <w:tcBorders>
              <w:top w:val="single" w:sz="4" w:space="0" w:color="auto"/>
              <w:left w:val="nil"/>
              <w:bottom w:val="nil"/>
              <w:right w:val="single" w:sz="4" w:space="0" w:color="auto"/>
            </w:tcBorders>
            <w:shd w:val="clear" w:color="000000" w:fill="D6DCE4"/>
            <w:noWrap/>
            <w:vAlign w:val="bottom"/>
            <w:hideMark/>
          </w:tcPr>
          <w:p w14:paraId="53EEE20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6,148,217.48 </w:t>
            </w:r>
          </w:p>
        </w:tc>
        <w:tc>
          <w:tcPr>
            <w:tcW w:w="0" w:type="auto"/>
            <w:tcBorders>
              <w:top w:val="single" w:sz="4" w:space="0" w:color="auto"/>
              <w:left w:val="nil"/>
              <w:bottom w:val="nil"/>
              <w:right w:val="single" w:sz="4" w:space="0" w:color="auto"/>
            </w:tcBorders>
            <w:shd w:val="clear" w:color="000000" w:fill="D6DCE4"/>
            <w:noWrap/>
            <w:vAlign w:val="bottom"/>
            <w:hideMark/>
          </w:tcPr>
          <w:p w14:paraId="0E633850"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5,755,748.61 </w:t>
            </w:r>
          </w:p>
        </w:tc>
        <w:tc>
          <w:tcPr>
            <w:tcW w:w="0" w:type="auto"/>
            <w:tcBorders>
              <w:top w:val="single" w:sz="4" w:space="0" w:color="auto"/>
              <w:left w:val="nil"/>
              <w:bottom w:val="nil"/>
              <w:right w:val="single" w:sz="4" w:space="0" w:color="auto"/>
            </w:tcBorders>
            <w:shd w:val="clear" w:color="000000" w:fill="D6DCE4"/>
            <w:noWrap/>
            <w:vAlign w:val="bottom"/>
            <w:hideMark/>
          </w:tcPr>
          <w:p w14:paraId="0F7406E5"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542,077.30 </w:t>
            </w:r>
          </w:p>
        </w:tc>
        <w:tc>
          <w:tcPr>
            <w:tcW w:w="0" w:type="auto"/>
            <w:tcBorders>
              <w:top w:val="single" w:sz="4" w:space="0" w:color="auto"/>
              <w:left w:val="nil"/>
              <w:bottom w:val="nil"/>
              <w:right w:val="single" w:sz="4" w:space="0" w:color="auto"/>
            </w:tcBorders>
            <w:shd w:val="clear" w:color="000000" w:fill="D6DCE4"/>
            <w:noWrap/>
            <w:vAlign w:val="bottom"/>
            <w:hideMark/>
          </w:tcPr>
          <w:p w14:paraId="71392AA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94%</w:t>
            </w:r>
          </w:p>
        </w:tc>
      </w:tr>
      <w:tr w:rsidR="004769F4" w:rsidRPr="007A7F0F" w14:paraId="2F81F1A2" w14:textId="77777777" w:rsidTr="00AF1EF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34C51EA"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Grand Total as per actual received</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1EF2B1E"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F55DEB6"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C4DE188"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2D1EA28"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A10F2E0"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74235E4" w14:textId="77777777" w:rsidR="004769F4" w:rsidRPr="006A4324" w:rsidRDefault="004769F4" w:rsidP="00AF1EF3">
            <w:pP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721A66B5"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79E329C2" w14:textId="77777777" w:rsidR="004769F4" w:rsidRPr="006A4324" w:rsidRDefault="004769F4" w:rsidP="00AF1EF3">
            <w:pPr>
              <w:jc w:val="center"/>
              <w:rPr>
                <w:rFonts w:ascii="Calibri" w:eastAsia="Times New Roman" w:hAnsi="Calibri" w:cs="Calibri"/>
                <w:noProof/>
                <w:color w:val="000000"/>
                <w:sz w:val="12"/>
                <w:szCs w:val="12"/>
                <w:lang w:eastAsia="ru-RU"/>
              </w:rPr>
            </w:pPr>
            <w:r w:rsidRPr="006A4324">
              <w:rPr>
                <w:rFonts w:ascii="Calibri" w:eastAsia="Times New Roman" w:hAnsi="Calibri" w:cs="Calibri"/>
                <w:noProof/>
                <w:color w:val="000000"/>
                <w:sz w:val="12"/>
                <w:szCs w:val="12"/>
                <w:lang w:eastAsia="ru-RU"/>
              </w:rPr>
              <w:t>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AC5E8FF"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6,085,839.98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3588394E"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5,755,748.61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0B47CB" w14:textId="77777777" w:rsidR="004769F4" w:rsidRPr="006A4324" w:rsidRDefault="004769F4" w:rsidP="00AF1EF3">
            <w:pP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 xml:space="preserve">           330,091.37 </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39CE0426" w14:textId="77777777" w:rsidR="004769F4" w:rsidRPr="006A4324" w:rsidRDefault="004769F4" w:rsidP="00AF1EF3">
            <w:pPr>
              <w:jc w:val="center"/>
              <w:rPr>
                <w:rFonts w:ascii="Calibri" w:eastAsia="Times New Roman" w:hAnsi="Calibri" w:cs="Calibri"/>
                <w:b/>
                <w:bCs/>
                <w:noProof/>
                <w:color w:val="000000"/>
                <w:sz w:val="12"/>
                <w:szCs w:val="12"/>
                <w:lang w:eastAsia="ru-RU"/>
              </w:rPr>
            </w:pPr>
            <w:r w:rsidRPr="006A4324">
              <w:rPr>
                <w:rFonts w:ascii="Calibri" w:eastAsia="Times New Roman" w:hAnsi="Calibri" w:cs="Calibri"/>
                <w:b/>
                <w:bCs/>
                <w:noProof/>
                <w:color w:val="000000"/>
                <w:sz w:val="12"/>
                <w:szCs w:val="12"/>
                <w:lang w:eastAsia="ru-RU"/>
              </w:rPr>
              <w:t>95%</w:t>
            </w:r>
          </w:p>
        </w:tc>
      </w:tr>
    </w:tbl>
    <w:p w14:paraId="51E695A1" w14:textId="77777777" w:rsidR="004769F4" w:rsidRDefault="004769F4" w:rsidP="00FE2D51"/>
    <w:p w14:paraId="5D0B08B6" w14:textId="77777777" w:rsidR="00D00890" w:rsidRDefault="00D00890" w:rsidP="00FE2D51"/>
    <w:p w14:paraId="0B5A081C" w14:textId="77777777" w:rsidR="00D00890" w:rsidRDefault="00D00890" w:rsidP="00FE2D51"/>
    <w:p w14:paraId="17F5D36B" w14:textId="77777777" w:rsidR="00D00890" w:rsidRDefault="00D00890" w:rsidP="00FE2D51"/>
    <w:p w14:paraId="4CBC8105" w14:textId="77777777" w:rsidR="00D00890" w:rsidRDefault="00D00890" w:rsidP="00FE2D51"/>
    <w:p w14:paraId="4CAD333D" w14:textId="45E3C0A8" w:rsidR="00D00890" w:rsidRDefault="00462ED8" w:rsidP="00D00890">
      <w:pPr>
        <w:pStyle w:val="Heading1"/>
      </w:pPr>
      <w:bookmarkStart w:id="63" w:name="_Toc478138895"/>
      <w:r>
        <w:lastRenderedPageBreak/>
        <w:t>Annex N</w:t>
      </w:r>
      <w:r w:rsidR="0067373F">
        <w:t>:</w:t>
      </w:r>
      <w:r w:rsidR="0067373F">
        <w:tab/>
        <w:t>Theory of Change</w:t>
      </w:r>
      <w:bookmarkEnd w:id="63"/>
    </w:p>
    <w:p w14:paraId="2B93994E" w14:textId="77777777" w:rsidR="00D00890" w:rsidRDefault="00D00890" w:rsidP="00D00890"/>
    <w:p w14:paraId="428A3F5A" w14:textId="221E1B92" w:rsidR="00D00890" w:rsidRPr="00FE2D51" w:rsidRDefault="00D00890" w:rsidP="00FE2D51">
      <w:pPr>
        <w:sectPr w:rsidR="00D00890" w:rsidRPr="00FE2D51" w:rsidSect="0075164F">
          <w:pgSz w:w="16840" w:h="11910" w:orient="landscape"/>
          <w:pgMar w:top="1080" w:right="1080" w:bottom="1080" w:left="1080" w:header="720" w:footer="720" w:gutter="0"/>
          <w:cols w:space="720"/>
          <w:noEndnote/>
        </w:sectPr>
      </w:pPr>
      <w:r>
        <w:rPr>
          <w:noProof/>
        </w:rPr>
        <w:drawing>
          <wp:inline distT="0" distB="0" distL="0" distR="0" wp14:anchorId="3F472FAD" wp14:editId="0EDA07AD">
            <wp:extent cx="9320530" cy="5389880"/>
            <wp:effectExtent l="0" t="0" r="1270" b="0"/>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21800" cy="5390614"/>
                    </a:xfrm>
                    <a:prstGeom prst="rect">
                      <a:avLst/>
                    </a:prstGeom>
                    <a:noFill/>
                    <a:ln>
                      <a:noFill/>
                    </a:ln>
                  </pic:spPr>
                </pic:pic>
              </a:graphicData>
            </a:graphic>
          </wp:inline>
        </w:drawing>
      </w:r>
    </w:p>
    <w:p w14:paraId="42E24A65" w14:textId="78146F6D" w:rsidR="008E1410" w:rsidRPr="00242CCC" w:rsidRDefault="008E1410" w:rsidP="00242CCC">
      <w:pPr>
        <w:rPr>
          <w:rFonts w:ascii="Times New Roman" w:hAnsi="Times New Roman" w:cs="Times New Roman"/>
          <w:color w:val="000000"/>
        </w:rPr>
      </w:pPr>
    </w:p>
    <w:sectPr w:rsidR="008E1410" w:rsidRPr="00242CCC" w:rsidSect="00077484">
      <w:pgSz w:w="15840" w:h="12240" w:orient="landscape"/>
      <w:pgMar w:top="-135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12C44" w14:textId="77777777" w:rsidR="005C6A56" w:rsidRDefault="005C6A56" w:rsidP="005800C7">
      <w:r>
        <w:separator/>
      </w:r>
    </w:p>
  </w:endnote>
  <w:endnote w:type="continuationSeparator" w:id="0">
    <w:p w14:paraId="1FFE20BB" w14:textId="77777777" w:rsidR="005C6A56" w:rsidRDefault="005C6A56" w:rsidP="005800C7">
      <w:r>
        <w:continuationSeparator/>
      </w:r>
    </w:p>
  </w:endnote>
  <w:endnote w:type="continuationNotice" w:id="1">
    <w:p w14:paraId="23DD7C48" w14:textId="77777777" w:rsidR="005C6A56" w:rsidRDefault="005C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7" w:usb1="00000000" w:usb2="00000000" w:usb3="00000000" w:csb0="00000013" w:csb1="00000000"/>
  </w:font>
  <w:font w:name="GL Gordeziani">
    <w:charset w:val="CC"/>
    <w:family w:val="auto"/>
    <w:pitch w:val="variable"/>
    <w:sig w:usb0="04000201" w:usb1="00000000" w:usb2="00000000" w:usb3="00000000" w:csb0="00000004" w:csb1="00000000"/>
  </w:font>
  <w:font w:name="DejaVu Sans Condensed">
    <w:altName w:val="DejaVu Sans Condensed"/>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ylfaen">
    <w:panose1 w:val="010A0502050306030303"/>
    <w:charset w:val="00"/>
    <w:family w:val="roman"/>
    <w:pitch w:val="variable"/>
    <w:sig w:usb0="04000687" w:usb1="00000000" w:usb2="00000000" w:usb3="00000000" w:csb0="0000009F" w:csb1="00000000"/>
  </w:font>
  <w:font w:name="Univers">
    <w:charset w:val="00"/>
    <w:family w:val="swiss"/>
    <w:pitch w:val="variable"/>
    <w:sig w:usb0="80000287" w:usb1="00000000" w:usb2="00000000" w:usb3="00000000" w:csb0="0000000F" w:csb1="00000000"/>
  </w:font>
  <w:font w:name="Lora">
    <w:altName w:val="Calibri"/>
    <w:charset w:val="00"/>
    <w:family w:val="auto"/>
    <w:pitch w:val="variable"/>
    <w:sig w:usb0="800002AF" w:usb1="5000204B" w:usb2="00000000" w:usb3="00000000" w:csb0="00000097" w:csb1="00000000"/>
  </w:font>
  <w:font w:name="Merriweather">
    <w:altName w:val="Calibri"/>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F4C6A" w14:textId="77777777" w:rsidR="008C1E0E" w:rsidRDefault="008C1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E0D3" w14:textId="77777777" w:rsidR="005C6A56" w:rsidRDefault="005C6A56">
    <w:pPr>
      <w:pStyle w:val="Footer"/>
    </w:pPr>
  </w:p>
  <w:p w14:paraId="01289BE0" w14:textId="77777777" w:rsidR="005C6A56" w:rsidRDefault="005C6A56"/>
  <w:p w14:paraId="550816EA" w14:textId="77777777" w:rsidR="005C6A56" w:rsidRDefault="005C6A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46D56" w14:textId="77777777" w:rsidR="008C1E0E" w:rsidRDefault="008C1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41A5C" w14:textId="77777777" w:rsidR="005C6A56" w:rsidRDefault="005C6A56" w:rsidP="00FA7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42719" w14:textId="77777777" w:rsidR="005C6A56" w:rsidRDefault="005C6A56" w:rsidP="00FA7946">
    <w:pPr>
      <w:pStyle w:val="Footer"/>
      <w:ind w:right="360"/>
    </w:pPr>
  </w:p>
  <w:p w14:paraId="12AC9E3C" w14:textId="77777777" w:rsidR="005C6A56" w:rsidRDefault="005C6A56"/>
  <w:p w14:paraId="033F2776" w14:textId="77777777" w:rsidR="005C6A56" w:rsidRDefault="005C6A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D939" w14:textId="77777777" w:rsidR="005C6A56" w:rsidRDefault="005C6A56" w:rsidP="00FA794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D556" w14:textId="77777777" w:rsidR="005C6A56" w:rsidRDefault="005C6A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A272" w14:textId="77777777" w:rsidR="005C6A56" w:rsidRDefault="005C6A56" w:rsidP="00FA7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AD9BC" w14:textId="77777777" w:rsidR="005C6A56" w:rsidRDefault="005C6A56" w:rsidP="00FA7946">
    <w:pPr>
      <w:pStyle w:val="Footer"/>
      <w:ind w:right="360"/>
    </w:pPr>
  </w:p>
  <w:p w14:paraId="41BFF7E9" w14:textId="77777777" w:rsidR="005C6A56" w:rsidRDefault="005C6A56"/>
  <w:p w14:paraId="1F366DA7" w14:textId="77777777" w:rsidR="005C6A56" w:rsidRDefault="005C6A5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485F" w14:textId="77777777" w:rsidR="005C6A56" w:rsidRDefault="005C6A56" w:rsidP="00FA79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522B7" w14:textId="77777777" w:rsidR="005C6A56" w:rsidRDefault="005C6A56" w:rsidP="005800C7">
      <w:r>
        <w:separator/>
      </w:r>
    </w:p>
  </w:footnote>
  <w:footnote w:type="continuationSeparator" w:id="0">
    <w:p w14:paraId="3BD626B6" w14:textId="77777777" w:rsidR="005C6A56" w:rsidRDefault="005C6A56" w:rsidP="005800C7">
      <w:r>
        <w:continuationSeparator/>
      </w:r>
    </w:p>
  </w:footnote>
  <w:footnote w:type="continuationNotice" w:id="1">
    <w:p w14:paraId="5E7F0B6E" w14:textId="77777777" w:rsidR="005C6A56" w:rsidRDefault="005C6A56"/>
  </w:footnote>
  <w:footnote w:id="2">
    <w:p w14:paraId="5684E562" w14:textId="15C8DC78" w:rsidR="005C6A56" w:rsidRPr="00D8461E" w:rsidRDefault="005C6A56" w:rsidP="00A86865">
      <w:pPr>
        <w:pStyle w:val="FootnoteText"/>
        <w:rPr>
          <w:rFonts w:ascii="Arial" w:hAnsi="Arial" w:cs="Arial"/>
          <w:sz w:val="20"/>
          <w:szCs w:val="20"/>
        </w:rPr>
      </w:pPr>
      <w:r w:rsidRPr="00D8461E">
        <w:rPr>
          <w:rFonts w:ascii="Arial" w:hAnsi="Arial" w:cs="Arial"/>
          <w:sz w:val="20"/>
          <w:szCs w:val="20"/>
        </w:rPr>
        <w:t>Sou</w:t>
      </w:r>
      <w:r>
        <w:rPr>
          <w:rFonts w:ascii="Arial" w:hAnsi="Arial" w:cs="Arial"/>
          <w:sz w:val="20"/>
          <w:szCs w:val="20"/>
        </w:rPr>
        <w:t>rc</w:t>
      </w:r>
      <w:r w:rsidRPr="00D8461E">
        <w:rPr>
          <w:rFonts w:ascii="Arial" w:hAnsi="Arial" w:cs="Arial"/>
          <w:sz w:val="20"/>
          <w:szCs w:val="20"/>
        </w:rPr>
        <w:t>e: Supporting Public Administration Reform in Georgia through the Governance Reform Fund</w:t>
      </w:r>
      <w:r>
        <w:rPr>
          <w:rFonts w:ascii="Arial" w:hAnsi="Arial" w:cs="Arial"/>
          <w:sz w:val="20"/>
          <w:szCs w:val="20"/>
        </w:rPr>
        <w:t xml:space="preserve"> Project Document, UNDP, 2016, p 1.</w:t>
      </w:r>
    </w:p>
  </w:footnote>
  <w:footnote w:id="3">
    <w:p w14:paraId="4360C18F" w14:textId="53217BBC" w:rsidR="005C6A56" w:rsidRPr="00426AEB" w:rsidRDefault="005C6A56" w:rsidP="00A86865">
      <w:pPr>
        <w:pStyle w:val="FootnoteText"/>
        <w:rPr>
          <w:rFonts w:ascii="Arial" w:hAnsi="Arial" w:cs="Arial"/>
          <w:sz w:val="20"/>
          <w:szCs w:val="20"/>
        </w:rPr>
      </w:pPr>
      <w:r w:rsidRPr="0068074B">
        <w:rPr>
          <w:rStyle w:val="FootnoteReference"/>
          <w:rFonts w:ascii="Arial" w:hAnsi="Arial" w:cs="Arial"/>
          <w:sz w:val="20"/>
          <w:szCs w:val="20"/>
        </w:rPr>
        <w:footnoteRef/>
      </w:r>
      <w:r w:rsidRPr="0068074B">
        <w:rPr>
          <w:rFonts w:ascii="Arial" w:hAnsi="Arial" w:cs="Arial"/>
          <w:sz w:val="20"/>
          <w:szCs w:val="20"/>
        </w:rPr>
        <w:t xml:space="preserve"> </w:t>
      </w:r>
      <w:r w:rsidRPr="0068074B">
        <w:rPr>
          <w:rFonts w:ascii="Arial" w:hAnsi="Arial"/>
          <w:sz w:val="20"/>
        </w:rPr>
        <w:t>The original budget was $5,778,641  (or GBP 4,500,000) with a project extension to March 31, 2021 agreed to in July 2020 adding GBP 236,000 for a total U.S. dollar value of $6,085,840 and British pound value of GBP 4,736,000.</w:t>
      </w:r>
    </w:p>
  </w:footnote>
  <w:footnote w:id="4">
    <w:p w14:paraId="59CB93BC" w14:textId="77777777" w:rsidR="005C6A56" w:rsidRPr="007F304A" w:rsidRDefault="005C6A56" w:rsidP="00A86865">
      <w:pPr>
        <w:pStyle w:val="FootnoteText"/>
        <w:rPr>
          <w:rFonts w:ascii="Arial" w:hAnsi="Arial" w:cs="Arial"/>
          <w:sz w:val="20"/>
          <w:szCs w:val="20"/>
        </w:rPr>
      </w:pPr>
      <w:r w:rsidRPr="007F304A">
        <w:rPr>
          <w:rStyle w:val="FootnoteReference"/>
          <w:rFonts w:ascii="Arial" w:hAnsi="Arial" w:cs="Arial"/>
          <w:sz w:val="20"/>
          <w:szCs w:val="20"/>
        </w:rPr>
        <w:footnoteRef/>
      </w:r>
      <w:r w:rsidRPr="007F304A">
        <w:rPr>
          <w:rFonts w:ascii="Arial" w:hAnsi="Arial" w:cs="Arial"/>
          <w:sz w:val="20"/>
          <w:szCs w:val="20"/>
        </w:rPr>
        <w:t xml:space="preserve"> The Data Exchange Agency (DEA) and Smart Logic were combined in October 2020 to form the Digital Governance Agency.</w:t>
      </w:r>
    </w:p>
  </w:footnote>
  <w:footnote w:id="5">
    <w:p w14:paraId="7353F6E5" w14:textId="69C6BE61" w:rsidR="005C6A56" w:rsidRPr="00627366" w:rsidRDefault="005C6A56" w:rsidP="00810591">
      <w:pPr>
        <w:pStyle w:val="FootnoteText"/>
        <w:rPr>
          <w:rFonts w:ascii="Arial" w:hAnsi="Arial"/>
          <w:sz w:val="20"/>
          <w:szCs w:val="20"/>
        </w:rPr>
      </w:pPr>
      <w:r w:rsidRPr="00627366">
        <w:rPr>
          <w:rStyle w:val="FootnoteReference"/>
          <w:rFonts w:ascii="Arial" w:hAnsi="Arial"/>
          <w:sz w:val="20"/>
          <w:szCs w:val="20"/>
        </w:rPr>
        <w:footnoteRef/>
      </w:r>
      <w:r w:rsidRPr="00627366">
        <w:rPr>
          <w:rFonts w:ascii="Arial" w:hAnsi="Arial"/>
          <w:sz w:val="20"/>
          <w:szCs w:val="20"/>
        </w:rPr>
        <w:t xml:space="preserve"> </w:t>
      </w:r>
      <w:r>
        <w:rPr>
          <w:rFonts w:ascii="Arial" w:hAnsi="Arial"/>
          <w:sz w:val="20"/>
          <w:szCs w:val="20"/>
        </w:rPr>
        <w:t>Latest Human Development ra</w:t>
      </w:r>
      <w:r w:rsidRPr="00627366">
        <w:rPr>
          <w:rFonts w:ascii="Arial" w:hAnsi="Arial"/>
          <w:sz w:val="20"/>
          <w:szCs w:val="20"/>
        </w:rPr>
        <w:t>n</w:t>
      </w:r>
      <w:r>
        <w:rPr>
          <w:rFonts w:ascii="Arial" w:hAnsi="Arial"/>
          <w:sz w:val="20"/>
          <w:szCs w:val="20"/>
        </w:rPr>
        <w:t>k</w:t>
      </w:r>
      <w:r w:rsidRPr="00627366">
        <w:rPr>
          <w:rFonts w:ascii="Arial" w:hAnsi="Arial"/>
          <w:sz w:val="20"/>
          <w:szCs w:val="20"/>
        </w:rPr>
        <w:t>ings and scores as published by UNDP at</w:t>
      </w:r>
      <w:r>
        <w:rPr>
          <w:rFonts w:ascii="Arial" w:hAnsi="Arial"/>
          <w:sz w:val="20"/>
          <w:szCs w:val="20"/>
        </w:rPr>
        <w:t>:</w:t>
      </w:r>
      <w:r w:rsidRPr="00627366">
        <w:rPr>
          <w:rFonts w:ascii="Arial" w:hAnsi="Arial"/>
          <w:sz w:val="20"/>
          <w:szCs w:val="20"/>
        </w:rPr>
        <w:t xml:space="preserve"> </w:t>
      </w:r>
      <w:hyperlink r:id="rId1" w:history="1">
        <w:r w:rsidRPr="008731E7">
          <w:rPr>
            <w:rStyle w:val="Hyperlink"/>
            <w:rFonts w:ascii="Arial" w:hAnsi="Arial"/>
            <w:sz w:val="20"/>
            <w:szCs w:val="20"/>
          </w:rPr>
          <w:t>http://hdr.undp.org/en/countries/profiles/GEO</w:t>
        </w:r>
      </w:hyperlink>
      <w:r>
        <w:rPr>
          <w:rFonts w:ascii="Arial" w:hAnsi="Arial"/>
          <w:sz w:val="20"/>
          <w:szCs w:val="20"/>
        </w:rPr>
        <w:t>.</w:t>
      </w:r>
    </w:p>
  </w:footnote>
  <w:footnote w:id="6">
    <w:p w14:paraId="77339611" w14:textId="77777777" w:rsidR="005C6A56" w:rsidRPr="00960A63" w:rsidRDefault="005C6A56" w:rsidP="00810591">
      <w:pPr>
        <w:pStyle w:val="FootnoteText"/>
        <w:rPr>
          <w:rFonts w:ascii="Arial" w:hAnsi="Arial"/>
          <w:sz w:val="20"/>
          <w:szCs w:val="20"/>
        </w:rPr>
      </w:pPr>
      <w:r w:rsidRPr="00960A63">
        <w:rPr>
          <w:rStyle w:val="FootnoteReference"/>
          <w:rFonts w:ascii="Arial" w:hAnsi="Arial"/>
          <w:sz w:val="20"/>
          <w:szCs w:val="20"/>
        </w:rPr>
        <w:footnoteRef/>
      </w:r>
      <w:r w:rsidRPr="00960A63">
        <w:rPr>
          <w:rFonts w:ascii="Arial" w:hAnsi="Arial"/>
          <w:sz w:val="20"/>
          <w:szCs w:val="20"/>
        </w:rPr>
        <w:t xml:space="preserve"> The overarching strategy is</w:t>
      </w:r>
      <w:r>
        <w:rPr>
          <w:rFonts w:ascii="Arial" w:hAnsi="Arial"/>
          <w:sz w:val="20"/>
          <w:szCs w:val="20"/>
        </w:rPr>
        <w:t xml:space="preserve"> the</w:t>
      </w:r>
      <w:r w:rsidRPr="00960A63">
        <w:rPr>
          <w:rFonts w:ascii="Arial" w:hAnsi="Arial"/>
          <w:sz w:val="20"/>
          <w:szCs w:val="20"/>
        </w:rPr>
        <w:t xml:space="preserve"> </w:t>
      </w:r>
      <w:r w:rsidRPr="00960A63">
        <w:rPr>
          <w:rFonts w:ascii="Arial" w:hAnsi="Arial"/>
          <w:i/>
          <w:sz w:val="20"/>
          <w:szCs w:val="20"/>
        </w:rPr>
        <w:t xml:space="preserve">Socioeconomic Development Strategy of Georgia – Georgia 2020 </w:t>
      </w:r>
      <w:r>
        <w:rPr>
          <w:rFonts w:ascii="Arial" w:hAnsi="Arial"/>
          <w:sz w:val="20"/>
          <w:szCs w:val="20"/>
        </w:rPr>
        <w:t xml:space="preserve">and </w:t>
      </w:r>
      <w:r w:rsidRPr="00960A63">
        <w:rPr>
          <w:rFonts w:ascii="Arial" w:hAnsi="Arial"/>
          <w:sz w:val="20"/>
          <w:szCs w:val="20"/>
        </w:rPr>
        <w:t xml:space="preserve">the </w:t>
      </w:r>
      <w:r w:rsidRPr="00960A63">
        <w:rPr>
          <w:rFonts w:ascii="Arial" w:hAnsi="Arial"/>
          <w:i/>
          <w:sz w:val="20"/>
          <w:szCs w:val="20"/>
        </w:rPr>
        <w:t>Basic Data and Directions of Georgia</w:t>
      </w:r>
      <w:r>
        <w:rPr>
          <w:rFonts w:ascii="Arial" w:hAnsi="Arial"/>
          <w:i/>
          <w:sz w:val="20"/>
          <w:szCs w:val="20"/>
        </w:rPr>
        <w:t xml:space="preserve">. </w:t>
      </w:r>
      <w:r w:rsidRPr="00960A63">
        <w:rPr>
          <w:rFonts w:ascii="Arial" w:hAnsi="Arial"/>
          <w:i/>
          <w:sz w:val="20"/>
          <w:szCs w:val="20"/>
        </w:rPr>
        <w:t xml:space="preserve"> </w:t>
      </w:r>
      <w:r>
        <w:rPr>
          <w:rFonts w:ascii="Arial" w:hAnsi="Arial"/>
          <w:sz w:val="20"/>
          <w:szCs w:val="20"/>
        </w:rPr>
        <w:t>The vision identifies</w:t>
      </w:r>
      <w:r w:rsidRPr="00960A63">
        <w:rPr>
          <w:rFonts w:ascii="Arial" w:hAnsi="Arial"/>
          <w:sz w:val="20"/>
          <w:szCs w:val="20"/>
        </w:rPr>
        <w:t xml:space="preserve"> effective public management delivered though the improvement of institutional mechanisms for public policy and improvement of links between policy and budgeting. The documents also foresee civil service reform that will create a system for civil servants’ recruitment, promoti</w:t>
      </w:r>
      <w:r>
        <w:rPr>
          <w:rFonts w:ascii="Arial" w:hAnsi="Arial"/>
          <w:sz w:val="20"/>
          <w:szCs w:val="20"/>
        </w:rPr>
        <w:t>o</w:t>
      </w:r>
      <w:r w:rsidRPr="00960A63">
        <w:rPr>
          <w:rFonts w:ascii="Arial" w:hAnsi="Arial"/>
          <w:sz w:val="20"/>
          <w:szCs w:val="20"/>
        </w:rPr>
        <w:t>n, and dismissal based on mer</w:t>
      </w:r>
      <w:r>
        <w:rPr>
          <w:rFonts w:ascii="Arial" w:hAnsi="Arial"/>
          <w:sz w:val="20"/>
          <w:szCs w:val="20"/>
        </w:rPr>
        <w:t>it and independent from politic</w:t>
      </w:r>
      <w:r w:rsidRPr="00960A63">
        <w:rPr>
          <w:rFonts w:ascii="Arial" w:hAnsi="Arial"/>
          <w:sz w:val="20"/>
          <w:szCs w:val="20"/>
        </w:rPr>
        <w:t>al influence.</w:t>
      </w:r>
    </w:p>
  </w:footnote>
  <w:footnote w:id="7">
    <w:p w14:paraId="4978FA56" w14:textId="0D51E128" w:rsidR="005C6A56" w:rsidRPr="00D8461E" w:rsidRDefault="005C6A56">
      <w:pPr>
        <w:pStyle w:val="FootnoteText"/>
        <w:rPr>
          <w:rFonts w:ascii="Arial" w:hAnsi="Arial" w:cs="Arial"/>
          <w:sz w:val="20"/>
          <w:szCs w:val="20"/>
        </w:rPr>
      </w:pPr>
      <w:r w:rsidRPr="00D8461E">
        <w:rPr>
          <w:rStyle w:val="FootnoteReference"/>
          <w:rFonts w:ascii="Arial" w:hAnsi="Arial" w:cs="Arial"/>
          <w:sz w:val="20"/>
          <w:szCs w:val="20"/>
        </w:rPr>
        <w:footnoteRef/>
      </w:r>
      <w:r w:rsidRPr="00D8461E">
        <w:rPr>
          <w:rFonts w:ascii="Arial" w:hAnsi="Arial" w:cs="Arial"/>
          <w:sz w:val="20"/>
          <w:szCs w:val="20"/>
        </w:rPr>
        <w:t xml:space="preserve"> Sou</w:t>
      </w:r>
      <w:r>
        <w:rPr>
          <w:rFonts w:ascii="Arial" w:hAnsi="Arial" w:cs="Arial"/>
          <w:sz w:val="20"/>
          <w:szCs w:val="20"/>
        </w:rPr>
        <w:t>rc</w:t>
      </w:r>
      <w:r w:rsidRPr="00D8461E">
        <w:rPr>
          <w:rFonts w:ascii="Arial" w:hAnsi="Arial" w:cs="Arial"/>
          <w:sz w:val="20"/>
          <w:szCs w:val="20"/>
        </w:rPr>
        <w:t>e: Supporting Public Administration Reform in Georgia through the Governance Reform Fund</w:t>
      </w:r>
      <w:r>
        <w:rPr>
          <w:rFonts w:ascii="Arial" w:hAnsi="Arial" w:cs="Arial"/>
          <w:sz w:val="20"/>
          <w:szCs w:val="20"/>
        </w:rPr>
        <w:t xml:space="preserve"> Project Document, UNDP, 2016, p 1.</w:t>
      </w:r>
    </w:p>
  </w:footnote>
  <w:footnote w:id="8">
    <w:p w14:paraId="1110F327" w14:textId="7E45D5EC" w:rsidR="005C6A56" w:rsidRPr="00426AEB" w:rsidRDefault="005C6A56" w:rsidP="00810591">
      <w:pPr>
        <w:pStyle w:val="FootnoteText"/>
        <w:rPr>
          <w:rFonts w:ascii="Arial" w:hAnsi="Arial" w:cs="Arial"/>
          <w:sz w:val="20"/>
          <w:szCs w:val="20"/>
        </w:rPr>
      </w:pPr>
      <w:r w:rsidRPr="00426AEB">
        <w:rPr>
          <w:rStyle w:val="FootnoteReference"/>
          <w:rFonts w:ascii="Arial" w:hAnsi="Arial" w:cs="Arial"/>
          <w:sz w:val="20"/>
          <w:szCs w:val="20"/>
        </w:rPr>
        <w:footnoteRef/>
      </w:r>
      <w:r w:rsidRPr="00426AEB">
        <w:rPr>
          <w:rFonts w:ascii="Arial" w:hAnsi="Arial" w:cs="Arial"/>
          <w:sz w:val="20"/>
          <w:szCs w:val="20"/>
        </w:rPr>
        <w:t xml:space="preserve"> Th</w:t>
      </w:r>
      <w:r>
        <w:rPr>
          <w:rFonts w:ascii="Arial" w:hAnsi="Arial" w:cs="Arial"/>
          <w:sz w:val="20"/>
          <w:szCs w:val="20"/>
        </w:rPr>
        <w:t>e original budget was $5,778,641</w:t>
      </w:r>
      <w:r w:rsidRPr="00426AEB">
        <w:rPr>
          <w:rFonts w:ascii="Arial" w:hAnsi="Arial" w:cs="Arial"/>
          <w:sz w:val="20"/>
          <w:szCs w:val="20"/>
        </w:rPr>
        <w:t xml:space="preserve"> (or GBP 4,500,000) with a project extension to March 31, 2021 agreed to in July 2020 adding GBP 236,000 for a total U.S. dollar value of $6,085,840 and British pound value of GBP 4,736,000.</w:t>
      </w:r>
    </w:p>
  </w:footnote>
  <w:footnote w:id="9">
    <w:p w14:paraId="524CE513" w14:textId="77777777" w:rsidR="005C6A56" w:rsidRPr="001C0860" w:rsidRDefault="005C6A56" w:rsidP="00810591">
      <w:pPr>
        <w:pStyle w:val="FootnoteText"/>
        <w:rPr>
          <w:rFonts w:ascii="Arial" w:hAnsi="Arial"/>
          <w:sz w:val="20"/>
          <w:szCs w:val="20"/>
        </w:rPr>
      </w:pPr>
      <w:r w:rsidRPr="001C0860">
        <w:rPr>
          <w:rStyle w:val="FootnoteReference"/>
          <w:rFonts w:ascii="Arial" w:hAnsi="Arial"/>
          <w:sz w:val="20"/>
          <w:szCs w:val="20"/>
        </w:rPr>
        <w:footnoteRef/>
      </w:r>
      <w:r>
        <w:rPr>
          <w:rFonts w:ascii="Arial" w:hAnsi="Arial"/>
          <w:sz w:val="20"/>
          <w:szCs w:val="20"/>
        </w:rPr>
        <w:t xml:space="preserve"> UNDP Coun</w:t>
      </w:r>
      <w:r w:rsidRPr="001C0860">
        <w:rPr>
          <w:rFonts w:ascii="Arial" w:hAnsi="Arial"/>
          <w:sz w:val="20"/>
          <w:szCs w:val="20"/>
        </w:rPr>
        <w:t xml:space="preserve">try </w:t>
      </w:r>
      <w:proofErr w:type="spellStart"/>
      <w:r w:rsidRPr="001C0860">
        <w:rPr>
          <w:rFonts w:ascii="Arial" w:hAnsi="Arial"/>
          <w:sz w:val="20"/>
          <w:szCs w:val="20"/>
        </w:rPr>
        <w:t>Programme</w:t>
      </w:r>
      <w:proofErr w:type="spellEnd"/>
      <w:r w:rsidRPr="001C0860">
        <w:rPr>
          <w:rFonts w:ascii="Arial" w:hAnsi="Arial"/>
          <w:sz w:val="20"/>
          <w:szCs w:val="20"/>
        </w:rPr>
        <w:t xml:space="preserve"> Document for Georgia (2016-2020), p 8.</w:t>
      </w:r>
    </w:p>
  </w:footnote>
  <w:footnote w:id="10">
    <w:p w14:paraId="6AFCF5CC" w14:textId="0C2892C8" w:rsidR="005C6A56" w:rsidRPr="00FC1219" w:rsidRDefault="005C6A56" w:rsidP="00810591">
      <w:pPr>
        <w:pStyle w:val="FootnoteText"/>
        <w:rPr>
          <w:rFonts w:ascii="Arial" w:hAnsi="Arial"/>
          <w:sz w:val="20"/>
          <w:szCs w:val="20"/>
        </w:rPr>
      </w:pPr>
      <w:r w:rsidRPr="00FC1219">
        <w:rPr>
          <w:rStyle w:val="FootnoteReference"/>
          <w:rFonts w:ascii="Arial" w:hAnsi="Arial"/>
          <w:sz w:val="20"/>
          <w:szCs w:val="20"/>
        </w:rPr>
        <w:footnoteRef/>
      </w:r>
      <w:r w:rsidRPr="00FC1219">
        <w:rPr>
          <w:rFonts w:ascii="Arial" w:hAnsi="Arial"/>
          <w:sz w:val="20"/>
          <w:szCs w:val="20"/>
        </w:rPr>
        <w:t xml:space="preserve"> Decree #2328 The National Document for Sustainabl</w:t>
      </w:r>
      <w:r>
        <w:rPr>
          <w:rFonts w:ascii="Arial" w:hAnsi="Arial"/>
          <w:sz w:val="20"/>
          <w:szCs w:val="20"/>
        </w:rPr>
        <w:t xml:space="preserve">e Development Goals (SDGs), November 12, 2019. The </w:t>
      </w:r>
      <w:proofErr w:type="spellStart"/>
      <w:r>
        <w:rPr>
          <w:rFonts w:ascii="Arial" w:hAnsi="Arial"/>
          <w:sz w:val="20"/>
          <w:szCs w:val="20"/>
        </w:rPr>
        <w:t>GoG</w:t>
      </w:r>
      <w:proofErr w:type="spellEnd"/>
      <w:r>
        <w:rPr>
          <w:rFonts w:ascii="Arial" w:hAnsi="Arial"/>
          <w:sz w:val="20"/>
          <w:szCs w:val="20"/>
        </w:rPr>
        <w:t xml:space="preserve"> established a “Democratic Governance” thematic working group to address and monitor the related SDGs. The </w:t>
      </w:r>
      <w:proofErr w:type="spellStart"/>
      <w:r>
        <w:rPr>
          <w:rFonts w:ascii="Arial" w:hAnsi="Arial"/>
          <w:sz w:val="20"/>
          <w:szCs w:val="20"/>
        </w:rPr>
        <w:t>AoG’s</w:t>
      </w:r>
      <w:proofErr w:type="spellEnd"/>
      <w:r>
        <w:rPr>
          <w:rFonts w:ascii="Arial" w:hAnsi="Arial"/>
          <w:sz w:val="20"/>
          <w:szCs w:val="20"/>
        </w:rPr>
        <w:t xml:space="preserve"> Policy Planning Unit of the Policy Planning and Coordination Department serves as the coordinator for the SDG working group and is a main stakeholder for the PAR project. While Goal 16 is the most relevant SDG to the project and PAR reform, other SDB goals are also applicable in a direct or indirect manner. For example, elements of goals aimed at gender equality and empowerment, community development, the environment, and global partnership for sustainable development implementation are related to or impacted by PAR.</w:t>
      </w:r>
    </w:p>
  </w:footnote>
  <w:footnote w:id="11">
    <w:p w14:paraId="056E8288" w14:textId="77777777" w:rsidR="005C6A56" w:rsidRPr="00821337" w:rsidRDefault="005C6A56" w:rsidP="00810591">
      <w:pPr>
        <w:pStyle w:val="FootnoteText"/>
        <w:rPr>
          <w:rFonts w:ascii="Arial" w:hAnsi="Arial"/>
          <w:sz w:val="20"/>
          <w:szCs w:val="20"/>
        </w:rPr>
      </w:pPr>
      <w:r w:rsidRPr="00821337">
        <w:rPr>
          <w:rStyle w:val="FootnoteReference"/>
          <w:rFonts w:ascii="Arial" w:hAnsi="Arial"/>
          <w:sz w:val="20"/>
          <w:szCs w:val="20"/>
        </w:rPr>
        <w:footnoteRef/>
      </w:r>
      <w:r w:rsidRPr="00821337">
        <w:rPr>
          <w:rFonts w:ascii="Arial" w:hAnsi="Arial"/>
          <w:sz w:val="20"/>
          <w:szCs w:val="20"/>
        </w:rPr>
        <w:t xml:space="preserve"> </w:t>
      </w:r>
      <w:r>
        <w:rPr>
          <w:rFonts w:ascii="Arial" w:hAnsi="Arial"/>
          <w:sz w:val="20"/>
          <w:szCs w:val="20"/>
        </w:rPr>
        <w:t xml:space="preserve">The number of civil servants amounted to 53,109 in 2015 and 46,708 in 2017 according to the </w:t>
      </w:r>
      <w:r w:rsidRPr="00821337">
        <w:rPr>
          <w:rFonts w:ascii="Arial" w:hAnsi="Arial"/>
          <w:sz w:val="20"/>
          <w:szCs w:val="20"/>
        </w:rPr>
        <w:t>Public A</w:t>
      </w:r>
      <w:r>
        <w:rPr>
          <w:rFonts w:ascii="Arial" w:hAnsi="Arial"/>
          <w:sz w:val="20"/>
          <w:szCs w:val="20"/>
        </w:rPr>
        <w:t>dministration Reform in Georgia Implementation Context Analysis, December 2018, p. 13. Two government reorganizations led to the downsizing of the number of ministries in November 2017 from 18 to 14 and further reduced to 11 in June 2018.</w:t>
      </w:r>
    </w:p>
  </w:footnote>
  <w:footnote w:id="12">
    <w:p w14:paraId="7B9252C6" w14:textId="23DAF100" w:rsidR="005C6A56" w:rsidRPr="00ED6B24" w:rsidRDefault="005C6A56" w:rsidP="00810591">
      <w:pPr>
        <w:pStyle w:val="FootnoteText"/>
        <w:rPr>
          <w:rFonts w:ascii="Arial" w:hAnsi="Arial"/>
          <w:sz w:val="20"/>
          <w:szCs w:val="20"/>
        </w:rPr>
      </w:pPr>
      <w:r w:rsidRPr="00ED6B24">
        <w:rPr>
          <w:rStyle w:val="FootnoteReference"/>
          <w:rFonts w:ascii="Arial" w:hAnsi="Arial"/>
          <w:sz w:val="20"/>
          <w:szCs w:val="20"/>
        </w:rPr>
        <w:footnoteRef/>
      </w:r>
      <w:r w:rsidRPr="00ED6B24">
        <w:rPr>
          <w:rFonts w:ascii="Arial" w:hAnsi="Arial"/>
          <w:sz w:val="20"/>
          <w:szCs w:val="20"/>
        </w:rPr>
        <w:t xml:space="preserve"> </w:t>
      </w:r>
      <w:r>
        <w:rPr>
          <w:rFonts w:ascii="Arial" w:hAnsi="Arial"/>
          <w:sz w:val="20"/>
          <w:szCs w:val="20"/>
        </w:rPr>
        <w:t xml:space="preserve"> Georgia’s Transparency International corruption index ranking has improved to 44 in 2019 (index score 56) compared to 48 in 2015 (index score 52). </w:t>
      </w:r>
      <w:hyperlink r:id="rId2" w:history="1">
        <w:r w:rsidRPr="000C47FE">
          <w:rPr>
            <w:rStyle w:val="Hyperlink"/>
            <w:rFonts w:ascii="Arial" w:hAnsi="Arial"/>
            <w:sz w:val="20"/>
            <w:szCs w:val="20"/>
          </w:rPr>
          <w:t>https://www.transparency.org/en/cpi/2015/index/nzl</w:t>
        </w:r>
      </w:hyperlink>
      <w:r>
        <w:rPr>
          <w:rFonts w:ascii="Arial" w:hAnsi="Arial"/>
          <w:sz w:val="20"/>
          <w:szCs w:val="20"/>
        </w:rPr>
        <w:t>. However, Georgia’s 2020 score showed a drop of two points. Transparency International stated, ”Georgia has not seen significant improvement since 2012, when CPI scores became comparable year to year. In a country once celebrated as a reformer, anti-corruption efforts have stagnated in nearly a decade.”</w:t>
      </w:r>
    </w:p>
  </w:footnote>
  <w:footnote w:id="13">
    <w:p w14:paraId="377E7F0D" w14:textId="0516039D" w:rsidR="005C6A56" w:rsidRPr="00FA729A" w:rsidRDefault="005C6A56" w:rsidP="00810591">
      <w:pPr>
        <w:pStyle w:val="FootnoteText"/>
        <w:rPr>
          <w:rFonts w:ascii="Arial" w:hAnsi="Arial"/>
          <w:sz w:val="20"/>
          <w:szCs w:val="20"/>
        </w:rPr>
      </w:pPr>
      <w:r w:rsidRPr="00FA729A">
        <w:rPr>
          <w:rStyle w:val="FootnoteReference"/>
          <w:rFonts w:ascii="Arial" w:hAnsi="Arial"/>
          <w:sz w:val="20"/>
          <w:szCs w:val="20"/>
        </w:rPr>
        <w:footnoteRef/>
      </w:r>
      <w:r w:rsidRPr="00FA729A">
        <w:rPr>
          <w:rFonts w:ascii="Arial" w:hAnsi="Arial"/>
          <w:sz w:val="20"/>
          <w:szCs w:val="20"/>
        </w:rPr>
        <w:t xml:space="preserve"> Current Status of Public Administration Reform Mid-Term Study Report, 2019 AC</w:t>
      </w:r>
      <w:r>
        <w:rPr>
          <w:rFonts w:ascii="Arial" w:hAnsi="Arial"/>
          <w:sz w:val="20"/>
          <w:szCs w:val="20"/>
        </w:rPr>
        <w:t>T</w:t>
      </w:r>
      <w:r w:rsidRPr="00FA729A">
        <w:rPr>
          <w:rFonts w:ascii="Arial" w:hAnsi="Arial"/>
          <w:sz w:val="20"/>
          <w:szCs w:val="20"/>
        </w:rPr>
        <w:t>, p. 68, Table 11</w:t>
      </w:r>
    </w:p>
  </w:footnote>
  <w:footnote w:id="14">
    <w:p w14:paraId="386FF851" w14:textId="7043E64B" w:rsidR="005C6A56" w:rsidRPr="00A62B43" w:rsidRDefault="005C6A56">
      <w:pPr>
        <w:pStyle w:val="FootnoteText"/>
        <w:rPr>
          <w:rFonts w:ascii="Arial" w:hAnsi="Arial" w:cs="Arial"/>
          <w:sz w:val="20"/>
          <w:szCs w:val="20"/>
        </w:rPr>
      </w:pPr>
      <w:r w:rsidRPr="00A62B43">
        <w:rPr>
          <w:rStyle w:val="FootnoteReference"/>
          <w:rFonts w:ascii="Arial" w:hAnsi="Arial" w:cs="Arial"/>
          <w:sz w:val="20"/>
          <w:szCs w:val="20"/>
        </w:rPr>
        <w:footnoteRef/>
      </w:r>
      <w:r w:rsidRPr="00A62B43">
        <w:rPr>
          <w:rFonts w:ascii="Arial" w:hAnsi="Arial" w:cs="Arial"/>
          <w:sz w:val="20"/>
          <w:szCs w:val="20"/>
        </w:rPr>
        <w:t xml:space="preserve"> Public Administration Reform in Georgia Political Economy Analysis, PAR Project, 2016, p. 9</w:t>
      </w:r>
    </w:p>
  </w:footnote>
  <w:footnote w:id="15">
    <w:p w14:paraId="0ADCD8C9" w14:textId="77777777" w:rsidR="005C6A56" w:rsidRPr="007F304A" w:rsidRDefault="005C6A56" w:rsidP="00810591">
      <w:pPr>
        <w:pStyle w:val="FootnoteText"/>
        <w:rPr>
          <w:rFonts w:ascii="Arial" w:hAnsi="Arial" w:cs="Arial"/>
          <w:sz w:val="20"/>
          <w:szCs w:val="20"/>
        </w:rPr>
      </w:pPr>
      <w:r w:rsidRPr="007F304A">
        <w:rPr>
          <w:rStyle w:val="FootnoteReference"/>
          <w:rFonts w:ascii="Arial" w:hAnsi="Arial" w:cs="Arial"/>
          <w:sz w:val="20"/>
          <w:szCs w:val="20"/>
        </w:rPr>
        <w:footnoteRef/>
      </w:r>
      <w:r w:rsidRPr="007F304A">
        <w:rPr>
          <w:rFonts w:ascii="Arial" w:hAnsi="Arial" w:cs="Arial"/>
          <w:sz w:val="20"/>
          <w:szCs w:val="20"/>
        </w:rPr>
        <w:t xml:space="preserve"> The Data Exchange Agency (DEA) and Smart Logic were combined in October 2020 to form the Digital Governance Agency.</w:t>
      </w:r>
    </w:p>
  </w:footnote>
  <w:footnote w:id="16">
    <w:p w14:paraId="5575604C" w14:textId="77777777" w:rsidR="005C6A56" w:rsidRPr="00A77E29" w:rsidRDefault="005C6A56" w:rsidP="00810591">
      <w:pPr>
        <w:pStyle w:val="FootnoteText"/>
        <w:rPr>
          <w:rFonts w:ascii="Arial" w:hAnsi="Arial" w:cs="Arial"/>
          <w:sz w:val="20"/>
          <w:szCs w:val="20"/>
        </w:rPr>
      </w:pPr>
      <w:r w:rsidRPr="00A77E29">
        <w:rPr>
          <w:rStyle w:val="FootnoteReference"/>
          <w:rFonts w:ascii="Arial" w:hAnsi="Arial" w:cs="Arial"/>
          <w:sz w:val="20"/>
          <w:szCs w:val="20"/>
        </w:rPr>
        <w:footnoteRef/>
      </w:r>
      <w:r w:rsidRPr="00A77E29">
        <w:rPr>
          <w:rFonts w:ascii="Arial" w:hAnsi="Arial" w:cs="Arial"/>
          <w:sz w:val="20"/>
          <w:szCs w:val="20"/>
        </w:rPr>
        <w:t xml:space="preserve"> An LEPL is a Legal Entity of Public Law and appear to be part of the public administration and service delivery but have unique characteristics that set them apart from the traditional civil service system.</w:t>
      </w:r>
    </w:p>
  </w:footnote>
  <w:footnote w:id="17">
    <w:p w14:paraId="75671F32" w14:textId="0D9CB817" w:rsidR="005C6A56" w:rsidRPr="00B7215C" w:rsidRDefault="005C6A56">
      <w:pPr>
        <w:pStyle w:val="FootnoteText"/>
        <w:rPr>
          <w:rFonts w:ascii="Arial" w:hAnsi="Arial" w:cs="Arial"/>
          <w:sz w:val="20"/>
          <w:szCs w:val="20"/>
        </w:rPr>
      </w:pPr>
      <w:r w:rsidRPr="00B7215C">
        <w:rPr>
          <w:rStyle w:val="FootnoteReference"/>
          <w:rFonts w:ascii="Arial" w:hAnsi="Arial" w:cs="Arial"/>
          <w:sz w:val="20"/>
          <w:szCs w:val="20"/>
        </w:rPr>
        <w:footnoteRef/>
      </w:r>
      <w:r w:rsidRPr="00B7215C">
        <w:rPr>
          <w:rFonts w:ascii="Arial" w:hAnsi="Arial" w:cs="Arial"/>
          <w:sz w:val="20"/>
          <w:szCs w:val="20"/>
        </w:rPr>
        <w:t xml:space="preserve"> The technical assistance covers: 1) support to policy development, coordination, monitoring and evaluation; 2) civil service reform; 3) accountability; 4) public service delivery; and </w:t>
      </w:r>
      <w:r>
        <w:rPr>
          <w:rFonts w:ascii="Arial" w:hAnsi="Arial" w:cs="Arial"/>
          <w:sz w:val="20"/>
          <w:szCs w:val="20"/>
        </w:rPr>
        <w:t xml:space="preserve">5) </w:t>
      </w:r>
      <w:r w:rsidRPr="00B7215C">
        <w:rPr>
          <w:rFonts w:ascii="Arial" w:hAnsi="Arial" w:cs="Arial"/>
          <w:sz w:val="20"/>
          <w:szCs w:val="20"/>
        </w:rPr>
        <w:t>PAR communications.</w:t>
      </w:r>
    </w:p>
  </w:footnote>
  <w:footnote w:id="18">
    <w:p w14:paraId="623967FA" w14:textId="4A568CC6" w:rsidR="005C6A56" w:rsidRPr="00E13CE5" w:rsidRDefault="005C6A56">
      <w:pPr>
        <w:pStyle w:val="FootnoteText"/>
        <w:rPr>
          <w:rFonts w:ascii="Arial" w:hAnsi="Arial" w:cs="Arial"/>
          <w:sz w:val="20"/>
          <w:szCs w:val="20"/>
        </w:rPr>
      </w:pPr>
      <w:r w:rsidRPr="00E13CE5">
        <w:rPr>
          <w:rStyle w:val="FootnoteReference"/>
          <w:rFonts w:ascii="Arial" w:hAnsi="Arial" w:cs="Arial"/>
          <w:sz w:val="20"/>
          <w:szCs w:val="20"/>
        </w:rPr>
        <w:footnoteRef/>
      </w:r>
      <w:r w:rsidRPr="00E13CE5">
        <w:rPr>
          <w:rFonts w:ascii="Arial" w:hAnsi="Arial" w:cs="Arial"/>
          <w:sz w:val="20"/>
          <w:szCs w:val="20"/>
        </w:rPr>
        <w:t xml:space="preserve"> Capacity Building of the Civi</w:t>
      </w:r>
      <w:r>
        <w:rPr>
          <w:rFonts w:ascii="Arial" w:hAnsi="Arial" w:cs="Arial"/>
          <w:sz w:val="20"/>
          <w:szCs w:val="20"/>
        </w:rPr>
        <w:t>l Service Bureau of Georgia to I</w:t>
      </w:r>
      <w:r w:rsidRPr="00E13CE5">
        <w:rPr>
          <w:rFonts w:ascii="Arial" w:hAnsi="Arial" w:cs="Arial"/>
          <w:sz w:val="20"/>
          <w:szCs w:val="20"/>
        </w:rPr>
        <w:t>mplement the Civil Service Reform.</w:t>
      </w:r>
    </w:p>
  </w:footnote>
  <w:footnote w:id="19">
    <w:p w14:paraId="19F72D9B" w14:textId="77777777" w:rsidR="005C6A56" w:rsidRPr="001028D1" w:rsidRDefault="005C6A56" w:rsidP="00FC5873">
      <w:pPr>
        <w:pStyle w:val="FootnoteText"/>
        <w:rPr>
          <w:rFonts w:ascii="Arial" w:hAnsi="Arial" w:cs="Arial"/>
          <w:sz w:val="20"/>
          <w:szCs w:val="20"/>
        </w:rPr>
      </w:pPr>
      <w:r w:rsidRPr="001028D1">
        <w:rPr>
          <w:rStyle w:val="FootnoteReference"/>
          <w:rFonts w:ascii="Arial" w:hAnsi="Arial" w:cs="Arial"/>
          <w:sz w:val="20"/>
          <w:szCs w:val="20"/>
        </w:rPr>
        <w:footnoteRef/>
      </w:r>
      <w:r w:rsidRPr="001028D1">
        <w:rPr>
          <w:rFonts w:ascii="Arial" w:hAnsi="Arial" w:cs="Arial"/>
          <w:sz w:val="20"/>
          <w:szCs w:val="20"/>
        </w:rPr>
        <w:t xml:space="preserve"> PAR Project Final Evaluation Terms of Referen</w:t>
      </w:r>
      <w:r>
        <w:rPr>
          <w:rFonts w:ascii="Arial" w:hAnsi="Arial" w:cs="Arial"/>
          <w:sz w:val="20"/>
          <w:szCs w:val="20"/>
        </w:rPr>
        <w:t>c</w:t>
      </w:r>
      <w:r w:rsidRPr="001028D1">
        <w:rPr>
          <w:rFonts w:ascii="Arial" w:hAnsi="Arial" w:cs="Arial"/>
          <w:sz w:val="20"/>
          <w:szCs w:val="20"/>
        </w:rPr>
        <w:t>e, p. 3</w:t>
      </w:r>
    </w:p>
  </w:footnote>
  <w:footnote w:id="20">
    <w:p w14:paraId="6493F66B" w14:textId="77777777" w:rsidR="005C6A56" w:rsidRPr="001028D1" w:rsidRDefault="005C6A56" w:rsidP="00FC5873">
      <w:pPr>
        <w:pStyle w:val="FootnoteText"/>
        <w:rPr>
          <w:rFonts w:ascii="Arial" w:hAnsi="Arial" w:cs="Arial"/>
          <w:sz w:val="20"/>
          <w:szCs w:val="20"/>
        </w:rPr>
      </w:pPr>
      <w:r w:rsidRPr="001028D1">
        <w:rPr>
          <w:rStyle w:val="FootnoteReference"/>
          <w:rFonts w:ascii="Arial" w:hAnsi="Arial" w:cs="Arial"/>
          <w:sz w:val="20"/>
          <w:szCs w:val="20"/>
        </w:rPr>
        <w:footnoteRef/>
      </w:r>
      <w:r w:rsidRPr="001028D1">
        <w:rPr>
          <w:rFonts w:ascii="Arial" w:hAnsi="Arial" w:cs="Arial"/>
          <w:sz w:val="20"/>
          <w:szCs w:val="20"/>
        </w:rPr>
        <w:t xml:space="preserve"> IBID, p. 3</w:t>
      </w:r>
    </w:p>
  </w:footnote>
  <w:footnote w:id="21">
    <w:p w14:paraId="341B06BD" w14:textId="445F0359" w:rsidR="005C6A56" w:rsidRPr="00D92555" w:rsidRDefault="005C6A56">
      <w:pPr>
        <w:pStyle w:val="FootnoteText"/>
        <w:rPr>
          <w:rFonts w:ascii="Arial" w:hAnsi="Arial" w:cs="Arial"/>
          <w:sz w:val="20"/>
          <w:szCs w:val="20"/>
        </w:rPr>
      </w:pPr>
      <w:r w:rsidRPr="00D92555">
        <w:rPr>
          <w:rStyle w:val="FootnoteReference"/>
          <w:rFonts w:ascii="Arial" w:hAnsi="Arial" w:cs="Arial"/>
          <w:sz w:val="20"/>
          <w:szCs w:val="20"/>
        </w:rPr>
        <w:footnoteRef/>
      </w:r>
      <w:r w:rsidRPr="00D92555">
        <w:rPr>
          <w:rFonts w:ascii="Arial" w:hAnsi="Arial" w:cs="Arial"/>
          <w:sz w:val="20"/>
          <w:szCs w:val="20"/>
        </w:rPr>
        <w:t xml:space="preserve"> Evaluability analysis was performed by UNDP internally prior to commencing the external evaluation. As per UNDP guidelines the evaluability analysis takes into consideration whether the project has clearly defined theory of change, well-defined results framework sufficient data for evaluation, whether there are well-documented progress reports, field visit reports, reviews and previous evaluations, if the evaluation is relevant and whether there are sufficient financial and human resources available to perform the evaluation. In case these criteria were not met, UNDP might have initiated the discussion to delay the evaluation process to adjust accordingly. </w:t>
      </w:r>
      <w:r w:rsidR="00B51D6D">
        <w:rPr>
          <w:rFonts w:ascii="Arial" w:hAnsi="Arial" w:cs="Arial"/>
          <w:sz w:val="20"/>
          <w:szCs w:val="20"/>
        </w:rPr>
        <w:t>The External Evaluator</w:t>
      </w:r>
      <w:r w:rsidRPr="00D92555">
        <w:rPr>
          <w:rFonts w:ascii="Arial" w:hAnsi="Arial" w:cs="Arial"/>
          <w:sz w:val="20"/>
          <w:szCs w:val="20"/>
        </w:rPr>
        <w:t xml:space="preserve"> rechecked several evaluability criteri</w:t>
      </w:r>
      <w:r>
        <w:rPr>
          <w:rFonts w:ascii="Arial" w:hAnsi="Arial" w:cs="Arial"/>
          <w:sz w:val="20"/>
          <w:szCs w:val="20"/>
        </w:rPr>
        <w:t>a during the desk review to ensure all information is available for the independent evaluation</w:t>
      </w:r>
      <w:r w:rsidRPr="00D92555">
        <w:rPr>
          <w:rFonts w:ascii="Arial" w:hAnsi="Arial" w:cs="Arial"/>
          <w:sz w:val="20"/>
          <w:szCs w:val="20"/>
        </w:rPr>
        <w:t>.</w:t>
      </w:r>
    </w:p>
  </w:footnote>
  <w:footnote w:id="22">
    <w:p w14:paraId="1B83956D" w14:textId="3A762DD7" w:rsidR="005C6A56" w:rsidRPr="00844874" w:rsidRDefault="005C6A56">
      <w:pPr>
        <w:pStyle w:val="FootnoteText"/>
        <w:rPr>
          <w:rFonts w:ascii="Arial" w:hAnsi="Arial" w:cs="Arial"/>
          <w:sz w:val="20"/>
          <w:szCs w:val="20"/>
        </w:rPr>
      </w:pPr>
      <w:r w:rsidRPr="00844874">
        <w:rPr>
          <w:rStyle w:val="FootnoteReference"/>
          <w:rFonts w:ascii="Arial" w:hAnsi="Arial" w:cs="Arial"/>
          <w:sz w:val="20"/>
          <w:szCs w:val="20"/>
        </w:rPr>
        <w:footnoteRef/>
      </w:r>
      <w:r w:rsidRPr="00844874">
        <w:rPr>
          <w:rFonts w:ascii="Arial" w:hAnsi="Arial" w:cs="Arial"/>
          <w:sz w:val="20"/>
          <w:szCs w:val="20"/>
        </w:rPr>
        <w:t xml:space="preserve"> Please note that separate samples or surveys were not conducted for this evaluation given other evaluations conducted during the course of the project and the timeframe of the evaluation. </w:t>
      </w:r>
    </w:p>
  </w:footnote>
  <w:footnote w:id="23">
    <w:p w14:paraId="67E28E12" w14:textId="1D151585" w:rsidR="005C6A56" w:rsidRPr="00AC09C0" w:rsidRDefault="005C6A56">
      <w:pPr>
        <w:pStyle w:val="FootnoteText"/>
        <w:rPr>
          <w:rFonts w:ascii="Arial" w:hAnsi="Arial" w:cs="Arial"/>
          <w:sz w:val="20"/>
          <w:szCs w:val="20"/>
        </w:rPr>
      </w:pPr>
      <w:r w:rsidRPr="00AC09C0">
        <w:rPr>
          <w:rStyle w:val="FootnoteReference"/>
          <w:rFonts w:ascii="Arial" w:hAnsi="Arial" w:cs="Arial"/>
          <w:sz w:val="20"/>
          <w:szCs w:val="20"/>
        </w:rPr>
        <w:footnoteRef/>
      </w:r>
      <w:r>
        <w:rPr>
          <w:rFonts w:ascii="Arial" w:hAnsi="Arial" w:cs="Arial"/>
          <w:sz w:val="20"/>
          <w:szCs w:val="20"/>
        </w:rPr>
        <w:t xml:space="preserve"> Please see Annex F</w:t>
      </w:r>
      <w:r w:rsidRPr="00AC09C0">
        <w:rPr>
          <w:rFonts w:ascii="Arial" w:hAnsi="Arial" w:cs="Arial"/>
          <w:sz w:val="20"/>
          <w:szCs w:val="20"/>
        </w:rPr>
        <w:t xml:space="preserve"> for the main laws, policies, decrees, by-laws and strategies prepared with project input and/or support. </w:t>
      </w:r>
    </w:p>
  </w:footnote>
  <w:footnote w:id="24">
    <w:p w14:paraId="26B351FA" w14:textId="3BF1B53D" w:rsidR="005C6A56" w:rsidRPr="00AC09C0" w:rsidRDefault="005C6A56">
      <w:pPr>
        <w:pStyle w:val="FootnoteText"/>
        <w:rPr>
          <w:rFonts w:ascii="Arial" w:hAnsi="Arial" w:cs="Arial"/>
          <w:sz w:val="20"/>
          <w:szCs w:val="20"/>
        </w:rPr>
      </w:pPr>
      <w:r w:rsidRPr="00AC09C0">
        <w:rPr>
          <w:rStyle w:val="FootnoteReference"/>
          <w:rFonts w:ascii="Arial" w:hAnsi="Arial" w:cs="Arial"/>
          <w:sz w:val="20"/>
          <w:szCs w:val="20"/>
        </w:rPr>
        <w:footnoteRef/>
      </w:r>
      <w:r>
        <w:rPr>
          <w:rFonts w:ascii="Arial" w:hAnsi="Arial" w:cs="Arial"/>
          <w:sz w:val="20"/>
          <w:szCs w:val="20"/>
        </w:rPr>
        <w:t xml:space="preserve"> Please see Annex G </w:t>
      </w:r>
      <w:r w:rsidRPr="00AC09C0">
        <w:rPr>
          <w:rFonts w:ascii="Arial" w:hAnsi="Arial" w:cs="Arial"/>
          <w:sz w:val="20"/>
          <w:szCs w:val="20"/>
        </w:rPr>
        <w:t>for QEC Accredited training designe</w:t>
      </w:r>
      <w:r>
        <w:rPr>
          <w:rFonts w:ascii="Arial" w:hAnsi="Arial" w:cs="Arial"/>
          <w:sz w:val="20"/>
          <w:szCs w:val="20"/>
        </w:rPr>
        <w:t xml:space="preserve">d with project support. Annex H </w:t>
      </w:r>
      <w:r w:rsidRPr="00AC09C0">
        <w:rPr>
          <w:rFonts w:ascii="Arial" w:hAnsi="Arial" w:cs="Arial"/>
          <w:sz w:val="20"/>
          <w:szCs w:val="20"/>
        </w:rPr>
        <w:t>identifies key</w:t>
      </w:r>
      <w:r>
        <w:rPr>
          <w:rFonts w:ascii="Arial" w:hAnsi="Arial" w:cs="Arial"/>
          <w:sz w:val="20"/>
          <w:szCs w:val="20"/>
        </w:rPr>
        <w:t xml:space="preserve"> system training events. Annex I identifies </w:t>
      </w:r>
      <w:r w:rsidRPr="00AC09C0">
        <w:rPr>
          <w:rFonts w:ascii="Arial" w:hAnsi="Arial" w:cs="Arial"/>
          <w:sz w:val="20"/>
          <w:szCs w:val="20"/>
        </w:rPr>
        <w:t xml:space="preserve">PAR-sponsored </w:t>
      </w:r>
      <w:r>
        <w:rPr>
          <w:rFonts w:ascii="Arial" w:hAnsi="Arial" w:cs="Arial"/>
          <w:sz w:val="20"/>
          <w:szCs w:val="20"/>
        </w:rPr>
        <w:t xml:space="preserve">sub </w:t>
      </w:r>
      <w:r w:rsidRPr="00AC09C0">
        <w:rPr>
          <w:rFonts w:ascii="Arial" w:hAnsi="Arial" w:cs="Arial"/>
          <w:sz w:val="20"/>
          <w:szCs w:val="20"/>
        </w:rPr>
        <w:t xml:space="preserve">projects </w:t>
      </w:r>
      <w:r>
        <w:rPr>
          <w:rFonts w:ascii="Arial" w:hAnsi="Arial" w:cs="Arial"/>
          <w:sz w:val="20"/>
          <w:szCs w:val="20"/>
        </w:rPr>
        <w:t>(E</w:t>
      </w:r>
      <w:r w:rsidRPr="00AC09C0">
        <w:rPr>
          <w:rFonts w:ascii="Arial" w:hAnsi="Arial" w:cs="Arial"/>
          <w:sz w:val="20"/>
          <w:szCs w:val="20"/>
        </w:rPr>
        <w:t>merging Needs</w:t>
      </w:r>
      <w:r>
        <w:rPr>
          <w:rFonts w:ascii="Arial" w:hAnsi="Arial" w:cs="Arial"/>
          <w:sz w:val="20"/>
          <w:szCs w:val="20"/>
        </w:rPr>
        <w:t>); J identifies project-sponsored conferences and public events; and K project-sponsored policy research studies and civil society grants.</w:t>
      </w:r>
      <w:r w:rsidRPr="00AC09C0">
        <w:rPr>
          <w:rFonts w:ascii="Arial" w:hAnsi="Arial" w:cs="Arial"/>
          <w:sz w:val="20"/>
          <w:szCs w:val="20"/>
        </w:rPr>
        <w:t xml:space="preserve"> </w:t>
      </w:r>
    </w:p>
  </w:footnote>
  <w:footnote w:id="25">
    <w:p w14:paraId="3DBA6A7C" w14:textId="19CC4F53" w:rsidR="005C6A56" w:rsidRPr="00200892" w:rsidRDefault="005C6A56">
      <w:pPr>
        <w:pStyle w:val="FootnoteText"/>
        <w:rPr>
          <w:rFonts w:ascii="Arial" w:hAnsi="Arial" w:cs="Arial"/>
          <w:sz w:val="20"/>
          <w:szCs w:val="20"/>
        </w:rPr>
      </w:pPr>
      <w:r w:rsidRPr="00200892">
        <w:rPr>
          <w:rStyle w:val="FootnoteReference"/>
          <w:rFonts w:ascii="Arial" w:hAnsi="Arial" w:cs="Arial"/>
          <w:sz w:val="20"/>
          <w:szCs w:val="20"/>
        </w:rPr>
        <w:footnoteRef/>
      </w:r>
      <w:r w:rsidRPr="00200892">
        <w:rPr>
          <w:rFonts w:ascii="Arial" w:hAnsi="Arial" w:cs="Arial"/>
          <w:sz w:val="20"/>
          <w:szCs w:val="20"/>
        </w:rPr>
        <w:t xml:space="preserve"> The usage rate of my.gov.ge increased to </w:t>
      </w:r>
      <w:r w:rsidRPr="00FF40E9">
        <w:rPr>
          <w:rFonts w:ascii="Arial" w:hAnsi="Arial" w:cs="Arial"/>
          <w:sz w:val="20"/>
          <w:szCs w:val="20"/>
        </w:rPr>
        <w:t xml:space="preserve">423,555 as of December 2020 compared to 45,000 in 2016 (baseline).  133 new services were added to my.gov.ge with project support (target: 49). </w:t>
      </w:r>
      <w:r w:rsidRPr="00E25EF9">
        <w:rPr>
          <w:rFonts w:ascii="Arial" w:hAnsi="Arial" w:cs="Arial"/>
          <w:sz w:val="20"/>
          <w:szCs w:val="20"/>
        </w:rPr>
        <w:t xml:space="preserve">Annex L lists the e-services added. </w:t>
      </w:r>
      <w:r w:rsidRPr="00FF40E9">
        <w:rPr>
          <w:rFonts w:ascii="Arial" w:hAnsi="Arial" w:cs="Arial"/>
          <w:sz w:val="20"/>
          <w:szCs w:val="20"/>
        </w:rPr>
        <w:t>Two service delivery agencies:</w:t>
      </w:r>
      <w:r w:rsidRPr="00200892">
        <w:rPr>
          <w:rFonts w:ascii="Arial" w:hAnsi="Arial" w:cs="Arial"/>
          <w:sz w:val="20"/>
          <w:szCs w:val="20"/>
        </w:rPr>
        <w:t xml:space="preserve"> Public Service Hall and Patrol Department Unified Service Center of he Ministry of Internal Affairs implemented the Common Assessment Framework of the UPSDD (target: 2). </w:t>
      </w:r>
    </w:p>
  </w:footnote>
  <w:footnote w:id="26">
    <w:p w14:paraId="7199A4D6" w14:textId="1A05DC51" w:rsidR="005C6A56" w:rsidRPr="00087C7D" w:rsidRDefault="005C6A56">
      <w:pPr>
        <w:pStyle w:val="FootnoteText"/>
        <w:rPr>
          <w:rFonts w:ascii="Arial" w:hAnsi="Arial" w:cs="Arial"/>
          <w:sz w:val="20"/>
          <w:szCs w:val="20"/>
        </w:rPr>
      </w:pPr>
      <w:r w:rsidRPr="00087C7D">
        <w:rPr>
          <w:rStyle w:val="FootnoteReference"/>
          <w:rFonts w:ascii="Arial" w:hAnsi="Arial" w:cs="Arial"/>
          <w:sz w:val="20"/>
          <w:szCs w:val="20"/>
        </w:rPr>
        <w:footnoteRef/>
      </w:r>
      <w:r w:rsidRPr="00087C7D">
        <w:rPr>
          <w:rFonts w:ascii="Arial" w:hAnsi="Arial" w:cs="Arial"/>
          <w:sz w:val="20"/>
          <w:szCs w:val="20"/>
        </w:rPr>
        <w:t xml:space="preserve"> For 2016, 2017 and 2018 the context analysis was an independent document. For 2019 and 2020, the contact analysis became part of the project’s annual report, as agreed to with the project’s donors.</w:t>
      </w:r>
    </w:p>
  </w:footnote>
  <w:footnote w:id="27">
    <w:p w14:paraId="6FDC1558" w14:textId="77CBBCE2" w:rsidR="005C6A56" w:rsidRPr="00C3066C" w:rsidRDefault="005C6A56">
      <w:pPr>
        <w:pStyle w:val="FootnoteText"/>
        <w:rPr>
          <w:rFonts w:ascii="Arial" w:hAnsi="Arial" w:cs="Arial"/>
          <w:sz w:val="20"/>
          <w:szCs w:val="20"/>
        </w:rPr>
      </w:pPr>
      <w:r w:rsidRPr="00C3066C">
        <w:rPr>
          <w:rStyle w:val="FootnoteReference"/>
          <w:rFonts w:ascii="Arial" w:hAnsi="Arial" w:cs="Arial"/>
          <w:sz w:val="20"/>
          <w:szCs w:val="20"/>
        </w:rPr>
        <w:footnoteRef/>
      </w:r>
      <w:r>
        <w:rPr>
          <w:rFonts w:ascii="Arial" w:hAnsi="Arial" w:cs="Arial"/>
          <w:sz w:val="20"/>
          <w:szCs w:val="20"/>
        </w:rPr>
        <w:t xml:space="preserve"> </w:t>
      </w:r>
      <w:proofErr w:type="spellStart"/>
      <w:r>
        <w:rPr>
          <w:rFonts w:ascii="Arial" w:hAnsi="Arial" w:cs="Arial"/>
          <w:sz w:val="20"/>
          <w:szCs w:val="20"/>
        </w:rPr>
        <w:t>AoG</w:t>
      </w:r>
      <w:proofErr w:type="spellEnd"/>
      <w:r>
        <w:rPr>
          <w:rFonts w:ascii="Arial" w:hAnsi="Arial" w:cs="Arial"/>
          <w:sz w:val="20"/>
          <w:szCs w:val="20"/>
        </w:rPr>
        <w:t xml:space="preserve"> has not yet finalized</w:t>
      </w:r>
      <w:r w:rsidRPr="00C3066C">
        <w:rPr>
          <w:rFonts w:ascii="Arial" w:hAnsi="Arial" w:cs="Arial"/>
          <w:sz w:val="20"/>
          <w:szCs w:val="20"/>
        </w:rPr>
        <w:t xml:space="preserve"> the R</w:t>
      </w:r>
      <w:r>
        <w:rPr>
          <w:rFonts w:ascii="Arial" w:hAnsi="Arial" w:cs="Arial"/>
          <w:sz w:val="20"/>
          <w:szCs w:val="20"/>
        </w:rPr>
        <w:t>oadmap’s timeframe. The new Roadmap</w:t>
      </w:r>
      <w:r w:rsidRPr="00C3066C">
        <w:rPr>
          <w:rFonts w:ascii="Arial" w:hAnsi="Arial" w:cs="Arial"/>
          <w:sz w:val="20"/>
          <w:szCs w:val="20"/>
        </w:rPr>
        <w:t xml:space="preserve"> is to be completed in 2021. The </w:t>
      </w:r>
      <w:proofErr w:type="spellStart"/>
      <w:r w:rsidRPr="00C3066C">
        <w:rPr>
          <w:rFonts w:ascii="Arial" w:hAnsi="Arial" w:cs="Arial"/>
          <w:sz w:val="20"/>
          <w:szCs w:val="20"/>
        </w:rPr>
        <w:t>AoG</w:t>
      </w:r>
      <w:proofErr w:type="spellEnd"/>
      <w:r w:rsidRPr="00C3066C">
        <w:rPr>
          <w:rFonts w:ascii="Arial" w:hAnsi="Arial" w:cs="Arial"/>
          <w:sz w:val="20"/>
          <w:szCs w:val="20"/>
        </w:rPr>
        <w:t xml:space="preserve"> is applying the Policy Planning, Monitoring and Evaluation Handbook (referred to in this report as the “policy </w:t>
      </w:r>
      <w:r>
        <w:rPr>
          <w:rFonts w:ascii="Arial" w:hAnsi="Arial" w:cs="Arial"/>
          <w:sz w:val="20"/>
          <w:szCs w:val="20"/>
        </w:rPr>
        <w:t xml:space="preserve">planning </w:t>
      </w:r>
      <w:r w:rsidRPr="00C3066C">
        <w:rPr>
          <w:rFonts w:ascii="Arial" w:hAnsi="Arial" w:cs="Arial"/>
          <w:sz w:val="20"/>
          <w:szCs w:val="20"/>
        </w:rPr>
        <w:t xml:space="preserve">handbook”) to the formulation of the new Roadmap.  </w:t>
      </w:r>
    </w:p>
  </w:footnote>
  <w:footnote w:id="28">
    <w:p w14:paraId="2D58085A" w14:textId="6754B397" w:rsidR="005C6A56" w:rsidRPr="00590FF9" w:rsidRDefault="005C6A56">
      <w:pPr>
        <w:pStyle w:val="FootnoteText"/>
        <w:rPr>
          <w:rFonts w:ascii="Arial" w:hAnsi="Arial" w:cs="Arial"/>
          <w:sz w:val="20"/>
          <w:szCs w:val="20"/>
        </w:rPr>
      </w:pPr>
      <w:r w:rsidRPr="00590FF9">
        <w:rPr>
          <w:rStyle w:val="FootnoteReference"/>
          <w:rFonts w:ascii="Arial" w:hAnsi="Arial" w:cs="Arial"/>
          <w:sz w:val="20"/>
          <w:szCs w:val="20"/>
        </w:rPr>
        <w:footnoteRef/>
      </w:r>
      <w:r w:rsidRPr="00590FF9">
        <w:rPr>
          <w:rFonts w:ascii="Arial" w:hAnsi="Arial" w:cs="Arial"/>
          <w:sz w:val="20"/>
          <w:szCs w:val="20"/>
        </w:rPr>
        <w:t xml:space="preserve"> Supporting Public Administration Reform in Georgia through the Governance Reform Fund P</w:t>
      </w:r>
      <w:r>
        <w:rPr>
          <w:rFonts w:ascii="Arial" w:hAnsi="Arial" w:cs="Arial"/>
          <w:sz w:val="20"/>
          <w:szCs w:val="20"/>
        </w:rPr>
        <w:t>roject Document, UNDP, 2016, p. 1</w:t>
      </w:r>
    </w:p>
  </w:footnote>
  <w:footnote w:id="29">
    <w:p w14:paraId="35871157" w14:textId="1995E9CD" w:rsidR="005C6A56" w:rsidRPr="009A75A6" w:rsidRDefault="005C6A56">
      <w:pPr>
        <w:pStyle w:val="FootnoteText"/>
        <w:rPr>
          <w:rFonts w:ascii="Arial" w:hAnsi="Arial" w:cs="Arial"/>
          <w:sz w:val="20"/>
          <w:szCs w:val="20"/>
        </w:rPr>
      </w:pPr>
      <w:r w:rsidRPr="009A75A6">
        <w:rPr>
          <w:rStyle w:val="FootnoteReference"/>
          <w:rFonts w:ascii="Arial" w:hAnsi="Arial" w:cs="Arial"/>
          <w:sz w:val="20"/>
          <w:szCs w:val="20"/>
        </w:rPr>
        <w:footnoteRef/>
      </w:r>
      <w:r w:rsidRPr="009A75A6">
        <w:rPr>
          <w:rFonts w:ascii="Arial" w:hAnsi="Arial" w:cs="Arial"/>
          <w:sz w:val="20"/>
          <w:szCs w:val="20"/>
        </w:rPr>
        <w:t xml:space="preserve"> The survey was contracted-out to Analysis and Consulting Team (ACT) and included 2,400 general public and 1,500 civil servant respondents.</w:t>
      </w:r>
    </w:p>
  </w:footnote>
  <w:footnote w:id="30">
    <w:p w14:paraId="4BE7F082" w14:textId="79A3875D" w:rsidR="005C6A56" w:rsidRPr="00775EBF" w:rsidRDefault="005C6A56" w:rsidP="00775EBF">
      <w:pPr>
        <w:pStyle w:val="FootnoteText"/>
        <w:rPr>
          <w:rFonts w:ascii="Arial" w:hAnsi="Arial" w:cs="Arial"/>
          <w:sz w:val="20"/>
          <w:szCs w:val="20"/>
        </w:rPr>
      </w:pPr>
      <w:r w:rsidRPr="00775EBF">
        <w:rPr>
          <w:rStyle w:val="FootnoteReference"/>
          <w:rFonts w:ascii="Arial" w:hAnsi="Arial" w:cs="Arial"/>
          <w:sz w:val="20"/>
          <w:szCs w:val="20"/>
        </w:rPr>
        <w:footnoteRef/>
      </w:r>
      <w:r w:rsidRPr="00775EBF">
        <w:rPr>
          <w:rFonts w:ascii="Arial" w:hAnsi="Arial" w:cs="Arial"/>
          <w:sz w:val="20"/>
          <w:szCs w:val="20"/>
        </w:rPr>
        <w:t xml:space="preserve"> Also conducted by AC</w:t>
      </w:r>
      <w:r>
        <w:rPr>
          <w:rFonts w:ascii="Arial" w:hAnsi="Arial" w:cs="Arial"/>
          <w:sz w:val="20"/>
          <w:szCs w:val="20"/>
        </w:rPr>
        <w:t>T</w:t>
      </w:r>
      <w:r w:rsidRPr="00775EBF">
        <w:rPr>
          <w:rFonts w:ascii="Arial" w:hAnsi="Arial" w:cs="Arial"/>
          <w:sz w:val="20"/>
          <w:szCs w:val="20"/>
        </w:rPr>
        <w:t>. The survey included 2,400 citizens and 571 civil servants.</w:t>
      </w:r>
      <w:r>
        <w:rPr>
          <w:rFonts w:ascii="Arial" w:hAnsi="Arial" w:cs="Arial"/>
          <w:sz w:val="20"/>
          <w:szCs w:val="20"/>
        </w:rPr>
        <w:t xml:space="preserve"> The findings reported in this paragraph are abstracted from the project’s 2019 Annual Report.</w:t>
      </w:r>
    </w:p>
  </w:footnote>
  <w:footnote w:id="31">
    <w:p w14:paraId="24567786" w14:textId="6DFF4FD6" w:rsidR="005C6A56" w:rsidRPr="00A3676A" w:rsidRDefault="005C6A56" w:rsidP="00A3676A">
      <w:pPr>
        <w:jc w:val="both"/>
        <w:rPr>
          <w:rFonts w:ascii="Arial" w:hAnsi="Arial" w:cs="Arial"/>
          <w:sz w:val="20"/>
          <w:szCs w:val="20"/>
        </w:rPr>
      </w:pPr>
      <w:r w:rsidRPr="00A3676A">
        <w:rPr>
          <w:rStyle w:val="FootnoteReference"/>
          <w:rFonts w:ascii="Arial" w:hAnsi="Arial" w:cs="Arial"/>
          <w:sz w:val="20"/>
          <w:szCs w:val="20"/>
        </w:rPr>
        <w:footnoteRef/>
      </w:r>
      <w:r w:rsidRPr="00A3676A">
        <w:rPr>
          <w:rFonts w:ascii="Arial" w:hAnsi="Arial" w:cs="Arial"/>
          <w:sz w:val="20"/>
          <w:szCs w:val="20"/>
        </w:rPr>
        <w:t xml:space="preserve"> </w:t>
      </w:r>
      <w:r>
        <w:rPr>
          <w:rFonts w:ascii="Arial" w:hAnsi="Arial" w:cs="Arial"/>
          <w:sz w:val="20"/>
          <w:szCs w:val="20"/>
        </w:rPr>
        <w:t>Per the 2019 Annual Report f</w:t>
      </w:r>
      <w:r w:rsidRPr="00A3676A">
        <w:rPr>
          <w:rFonts w:ascii="Arial" w:hAnsi="Arial" w:cs="Arial"/>
          <w:sz w:val="20"/>
          <w:szCs w:val="20"/>
        </w:rPr>
        <w:t>or Outcome 1 of 6 targets, 2 full achieved, 3 partially achieved and 1 not achieved; Outcome 2, of 17 targets, 12 fully achieved, 3 partia</w:t>
      </w:r>
      <w:r>
        <w:rPr>
          <w:rFonts w:ascii="Arial" w:hAnsi="Arial" w:cs="Arial"/>
          <w:sz w:val="20"/>
          <w:szCs w:val="20"/>
        </w:rPr>
        <w:t>lly achieved and 2 not achieved; and for</w:t>
      </w:r>
      <w:r w:rsidRPr="00A3676A">
        <w:rPr>
          <w:rFonts w:ascii="Arial" w:hAnsi="Arial" w:cs="Arial"/>
          <w:sz w:val="20"/>
          <w:szCs w:val="20"/>
        </w:rPr>
        <w:t xml:space="preserve"> Output 3, of 8 targets, 1 fully achieved, 6 partially achieved and 1 not achieved.</w:t>
      </w:r>
    </w:p>
    <w:p w14:paraId="59CC9435" w14:textId="7F3F9667" w:rsidR="005C6A56" w:rsidRDefault="005C6A56">
      <w:pPr>
        <w:pStyle w:val="FootnoteText"/>
      </w:pPr>
    </w:p>
  </w:footnote>
  <w:footnote w:id="32">
    <w:p w14:paraId="39EC4551" w14:textId="02679914" w:rsidR="005C6A56" w:rsidRPr="00DB3B57" w:rsidRDefault="005C6A56" w:rsidP="00DB3B57">
      <w:pPr>
        <w:pStyle w:val="FootnoteText"/>
        <w:rPr>
          <w:rFonts w:ascii="Arial" w:hAnsi="Arial" w:cs="Arial"/>
          <w:sz w:val="20"/>
          <w:szCs w:val="20"/>
        </w:rPr>
      </w:pPr>
      <w:r w:rsidRPr="00DB3B57">
        <w:rPr>
          <w:rStyle w:val="FootnoteReference"/>
          <w:rFonts w:ascii="Arial" w:hAnsi="Arial" w:cs="Arial"/>
          <w:sz w:val="20"/>
          <w:szCs w:val="20"/>
        </w:rPr>
        <w:footnoteRef/>
      </w:r>
      <w:r w:rsidRPr="00DB3B57">
        <w:rPr>
          <w:rFonts w:ascii="Arial" w:hAnsi="Arial" w:cs="Arial"/>
          <w:sz w:val="20"/>
          <w:szCs w:val="20"/>
        </w:rPr>
        <w:t xml:space="preserve"> Accelerating Progress T</w:t>
      </w:r>
      <w:r>
        <w:rPr>
          <w:rFonts w:ascii="Arial" w:hAnsi="Arial" w:cs="Arial"/>
          <w:sz w:val="20"/>
          <w:szCs w:val="20"/>
        </w:rPr>
        <w:t>o</w:t>
      </w:r>
      <w:r w:rsidRPr="00DB3B57">
        <w:rPr>
          <w:rFonts w:ascii="Arial" w:hAnsi="Arial" w:cs="Arial"/>
          <w:sz w:val="20"/>
          <w:szCs w:val="20"/>
        </w:rPr>
        <w:t>wards the SDGs: Identifying Priority Areas for Action in G</w:t>
      </w:r>
      <w:r>
        <w:rPr>
          <w:rFonts w:ascii="Arial" w:hAnsi="Arial" w:cs="Arial"/>
          <w:sz w:val="20"/>
          <w:szCs w:val="20"/>
        </w:rPr>
        <w:t>eorgia, UNDP, GOG, January 2020, p. 8</w:t>
      </w:r>
    </w:p>
  </w:footnote>
  <w:footnote w:id="33">
    <w:p w14:paraId="46F60AAE" w14:textId="4E2B8E8B" w:rsidR="005C6A56" w:rsidRPr="0068735F" w:rsidRDefault="005C6A56">
      <w:pPr>
        <w:pStyle w:val="FootnoteText"/>
        <w:rPr>
          <w:rFonts w:ascii="Arial" w:hAnsi="Arial" w:cs="Arial"/>
          <w:sz w:val="20"/>
          <w:szCs w:val="20"/>
        </w:rPr>
      </w:pPr>
      <w:r w:rsidRPr="0068735F">
        <w:rPr>
          <w:rStyle w:val="FootnoteReference"/>
          <w:rFonts w:ascii="Arial" w:hAnsi="Arial" w:cs="Arial"/>
          <w:sz w:val="20"/>
          <w:szCs w:val="20"/>
        </w:rPr>
        <w:footnoteRef/>
      </w:r>
      <w:r w:rsidRPr="0068735F">
        <w:rPr>
          <w:rFonts w:ascii="Arial" w:hAnsi="Arial" w:cs="Arial"/>
          <w:sz w:val="20"/>
          <w:szCs w:val="20"/>
        </w:rPr>
        <w:t xml:space="preserve"> Policy Planning Monitoring and Evaluation Handbook, </w:t>
      </w:r>
      <w:proofErr w:type="spellStart"/>
      <w:r w:rsidRPr="0068735F">
        <w:rPr>
          <w:rFonts w:ascii="Arial" w:hAnsi="Arial" w:cs="Arial"/>
          <w:sz w:val="20"/>
          <w:szCs w:val="20"/>
        </w:rPr>
        <w:t>GoG</w:t>
      </w:r>
      <w:proofErr w:type="spellEnd"/>
      <w:r w:rsidRPr="0068735F">
        <w:rPr>
          <w:rFonts w:ascii="Arial" w:hAnsi="Arial" w:cs="Arial"/>
          <w:sz w:val="20"/>
          <w:szCs w:val="20"/>
        </w:rPr>
        <w:t xml:space="preserve"> with UNDP and UK Government, p. 27. The Handbook’s Annex further illustrates how SDGs should be directly linked to strategy goals.</w:t>
      </w:r>
    </w:p>
  </w:footnote>
  <w:footnote w:id="34">
    <w:p w14:paraId="0D71F05E" w14:textId="2EF39594" w:rsidR="005C6A56" w:rsidRPr="008A0585" w:rsidRDefault="005C6A56">
      <w:pPr>
        <w:pStyle w:val="FootnoteText"/>
        <w:rPr>
          <w:rFonts w:ascii="Arial" w:hAnsi="Arial" w:cs="Arial"/>
          <w:sz w:val="20"/>
          <w:szCs w:val="20"/>
        </w:rPr>
      </w:pPr>
      <w:r w:rsidRPr="008A0585">
        <w:rPr>
          <w:rStyle w:val="FootnoteReference"/>
          <w:rFonts w:ascii="Arial" w:hAnsi="Arial" w:cs="Arial"/>
          <w:sz w:val="20"/>
          <w:szCs w:val="20"/>
        </w:rPr>
        <w:footnoteRef/>
      </w:r>
      <w:r w:rsidRPr="008A0585">
        <w:rPr>
          <w:rFonts w:ascii="Arial" w:hAnsi="Arial" w:cs="Arial"/>
          <w:sz w:val="20"/>
          <w:szCs w:val="20"/>
        </w:rPr>
        <w:t xml:space="preserve"> 6 working groups: policy development; civil service reform; service delivery; accountability including separate WGs on Open Government </w:t>
      </w:r>
      <w:r>
        <w:rPr>
          <w:rFonts w:ascii="Arial" w:hAnsi="Arial" w:cs="Arial"/>
          <w:sz w:val="20"/>
          <w:szCs w:val="20"/>
        </w:rPr>
        <w:t xml:space="preserve">Partnership and Anti-Corruption; Public Finance Management; and </w:t>
      </w:r>
      <w:r w:rsidRPr="008A0585">
        <w:rPr>
          <w:rFonts w:ascii="Arial" w:hAnsi="Arial" w:cs="Arial"/>
          <w:sz w:val="20"/>
          <w:szCs w:val="20"/>
        </w:rPr>
        <w:t>Local Government.</w:t>
      </w:r>
    </w:p>
  </w:footnote>
  <w:footnote w:id="35">
    <w:p w14:paraId="3F0CDD86" w14:textId="3AF8CEA5" w:rsidR="005C6A56" w:rsidRPr="00811E18" w:rsidRDefault="005C6A56" w:rsidP="00811E18">
      <w:pPr>
        <w:rPr>
          <w:rStyle w:val="5yl5"/>
          <w:rFonts w:ascii="Arial" w:hAnsi="Arial" w:cs="Arial"/>
          <w:sz w:val="20"/>
          <w:szCs w:val="20"/>
        </w:rPr>
      </w:pPr>
      <w:r w:rsidRPr="00811E18">
        <w:rPr>
          <w:rStyle w:val="FootnoteReference"/>
          <w:rFonts w:ascii="Arial" w:hAnsi="Arial" w:cs="Arial"/>
          <w:sz w:val="20"/>
          <w:szCs w:val="20"/>
        </w:rPr>
        <w:footnoteRef/>
      </w:r>
      <w:r w:rsidRPr="00811E18">
        <w:rPr>
          <w:rFonts w:ascii="Arial" w:hAnsi="Arial" w:cs="Arial"/>
          <w:sz w:val="20"/>
          <w:szCs w:val="20"/>
        </w:rPr>
        <w:t xml:space="preserve"> </w:t>
      </w:r>
      <w:hyperlink r:id="rId3" w:tgtFrame="_blank" w:history="1">
        <w:r w:rsidRPr="00811E18">
          <w:rPr>
            <w:rStyle w:val="Hyperlink"/>
            <w:rFonts w:ascii="Arial" w:hAnsi="Arial" w:cs="Arial"/>
            <w:sz w:val="20"/>
            <w:szCs w:val="20"/>
          </w:rPr>
          <w:t>www.sigmaweb.org/publications/Baseline-Measurement-Report-2018-Georgia.pdf</w:t>
        </w:r>
      </w:hyperlink>
    </w:p>
    <w:p w14:paraId="2A2A0B3C" w14:textId="08F52158" w:rsidR="005C6A56" w:rsidRDefault="005C6A56">
      <w:pPr>
        <w:pStyle w:val="FootnoteText"/>
      </w:pPr>
    </w:p>
  </w:footnote>
  <w:footnote w:id="36">
    <w:p w14:paraId="57020AD6" w14:textId="2A041F5F" w:rsidR="005C6A56" w:rsidRPr="00CA73A8" w:rsidRDefault="005C6A56">
      <w:pPr>
        <w:pStyle w:val="FootnoteText"/>
        <w:rPr>
          <w:rFonts w:ascii="Arial" w:hAnsi="Arial" w:cs="Arial"/>
          <w:sz w:val="20"/>
          <w:szCs w:val="20"/>
        </w:rPr>
      </w:pPr>
      <w:r w:rsidRPr="00CA73A8">
        <w:rPr>
          <w:rStyle w:val="FootnoteReference"/>
          <w:rFonts w:ascii="Arial" w:hAnsi="Arial" w:cs="Arial"/>
          <w:sz w:val="20"/>
          <w:szCs w:val="20"/>
        </w:rPr>
        <w:footnoteRef/>
      </w:r>
      <w:r w:rsidRPr="00CA73A8">
        <w:rPr>
          <w:rFonts w:ascii="Arial" w:hAnsi="Arial" w:cs="Arial"/>
          <w:sz w:val="20"/>
          <w:szCs w:val="20"/>
        </w:rPr>
        <w:t xml:space="preserve"> SIGMA Opinion on Implementation of the Recommendations Set Out in the Baseline Measurement of Georgia Against the Principles of Public Administration in the Area of Policy Development and Coordination, OECD SIGMA, 2020</w:t>
      </w:r>
    </w:p>
  </w:footnote>
  <w:footnote w:id="37">
    <w:p w14:paraId="0A3424E1" w14:textId="00E06848" w:rsidR="005C6A56" w:rsidRPr="00A96E7A" w:rsidRDefault="005C6A56">
      <w:pPr>
        <w:pStyle w:val="FootnoteText"/>
        <w:rPr>
          <w:rFonts w:ascii="Arial" w:hAnsi="Arial" w:cs="Arial"/>
          <w:sz w:val="20"/>
          <w:szCs w:val="20"/>
        </w:rPr>
      </w:pPr>
      <w:r w:rsidRPr="00A96E7A">
        <w:rPr>
          <w:rStyle w:val="FootnoteReference"/>
          <w:rFonts w:ascii="Arial" w:hAnsi="Arial" w:cs="Arial"/>
          <w:sz w:val="20"/>
          <w:szCs w:val="20"/>
        </w:rPr>
        <w:footnoteRef/>
      </w:r>
      <w:r w:rsidRPr="00A96E7A">
        <w:rPr>
          <w:rFonts w:ascii="Arial" w:hAnsi="Arial" w:cs="Arial"/>
          <w:sz w:val="20"/>
          <w:szCs w:val="20"/>
        </w:rPr>
        <w:t xml:space="preserve"> Ministry of Environment and Agriculture, Ministry of Internally Displaced Persons, Health, Labor and Social Affairs</w:t>
      </w:r>
      <w:r>
        <w:rPr>
          <w:rFonts w:ascii="Arial" w:hAnsi="Arial" w:cs="Arial"/>
          <w:sz w:val="20"/>
          <w:szCs w:val="20"/>
        </w:rPr>
        <w:t xml:space="preserve">, Ministry of Economy and Sustainable Development. </w:t>
      </w:r>
      <w:proofErr w:type="spellStart"/>
      <w:r w:rsidRPr="00A96E7A">
        <w:rPr>
          <w:rFonts w:ascii="Arial" w:hAnsi="Arial" w:cs="Arial"/>
          <w:sz w:val="20"/>
          <w:szCs w:val="20"/>
        </w:rPr>
        <w:t>AoG</w:t>
      </w:r>
      <w:proofErr w:type="spellEnd"/>
      <w:r>
        <w:rPr>
          <w:rFonts w:ascii="Arial" w:hAnsi="Arial" w:cs="Arial"/>
          <w:sz w:val="20"/>
          <w:szCs w:val="20"/>
        </w:rPr>
        <w:t xml:space="preserve"> also requested support to link performance plans to departmental goals/objectives</w:t>
      </w:r>
      <w:r w:rsidRPr="00A96E7A">
        <w:rPr>
          <w:rFonts w:ascii="Arial" w:hAnsi="Arial" w:cs="Arial"/>
          <w:sz w:val="20"/>
          <w:szCs w:val="20"/>
        </w:rPr>
        <w:t>.</w:t>
      </w:r>
    </w:p>
  </w:footnote>
  <w:footnote w:id="38">
    <w:p w14:paraId="0521C592" w14:textId="16725317" w:rsidR="005C6A56" w:rsidRPr="003E2E7C" w:rsidRDefault="005C6A56">
      <w:pPr>
        <w:pStyle w:val="FootnoteText"/>
        <w:rPr>
          <w:rFonts w:ascii="Arial" w:hAnsi="Arial" w:cs="Arial"/>
          <w:sz w:val="20"/>
          <w:szCs w:val="20"/>
        </w:rPr>
      </w:pPr>
      <w:r w:rsidRPr="003E2E7C">
        <w:rPr>
          <w:rStyle w:val="FootnoteReference"/>
          <w:rFonts w:ascii="Arial" w:hAnsi="Arial" w:cs="Arial"/>
          <w:sz w:val="20"/>
          <w:szCs w:val="20"/>
        </w:rPr>
        <w:footnoteRef/>
      </w:r>
      <w:r w:rsidRPr="003E2E7C">
        <w:rPr>
          <w:rFonts w:ascii="Arial" w:hAnsi="Arial" w:cs="Arial"/>
          <w:sz w:val="20"/>
          <w:szCs w:val="20"/>
        </w:rPr>
        <w:t xml:space="preserve"> Supporting Public Administration Reform In Georgia, Progress Report, December 9, 2016, p. 11.</w:t>
      </w:r>
    </w:p>
  </w:footnote>
  <w:footnote w:id="39">
    <w:p w14:paraId="7A22977D" w14:textId="70732ED3" w:rsidR="005C6A56" w:rsidRPr="003E2E7C" w:rsidRDefault="005C6A56" w:rsidP="00534538">
      <w:pPr>
        <w:pStyle w:val="FootnoteText"/>
        <w:rPr>
          <w:rFonts w:ascii="Arial" w:hAnsi="Arial" w:cs="Arial"/>
          <w:sz w:val="20"/>
          <w:szCs w:val="20"/>
        </w:rPr>
      </w:pPr>
      <w:r w:rsidRPr="003E2E7C">
        <w:rPr>
          <w:rStyle w:val="FootnoteReference"/>
          <w:rFonts w:ascii="Arial" w:hAnsi="Arial" w:cs="Arial"/>
          <w:sz w:val="20"/>
          <w:szCs w:val="20"/>
        </w:rPr>
        <w:footnoteRef/>
      </w:r>
      <w:r>
        <w:rPr>
          <w:rFonts w:ascii="Arial" w:hAnsi="Arial" w:cs="Arial"/>
          <w:sz w:val="20"/>
          <w:szCs w:val="20"/>
        </w:rPr>
        <w:t xml:space="preserve"> Ministry</w:t>
      </w:r>
      <w:r w:rsidRPr="003E2E7C">
        <w:rPr>
          <w:rFonts w:ascii="Arial" w:hAnsi="Arial" w:cs="Arial"/>
          <w:sz w:val="20"/>
          <w:szCs w:val="20"/>
        </w:rPr>
        <w:t xml:space="preserve"> of Ed</w:t>
      </w:r>
      <w:r>
        <w:rPr>
          <w:rFonts w:ascii="Arial" w:hAnsi="Arial" w:cs="Arial"/>
          <w:sz w:val="20"/>
          <w:szCs w:val="20"/>
        </w:rPr>
        <w:t>ucation and Science, Ministry of</w:t>
      </w:r>
      <w:r w:rsidRPr="003E2E7C">
        <w:rPr>
          <w:rFonts w:ascii="Arial" w:hAnsi="Arial" w:cs="Arial"/>
          <w:sz w:val="20"/>
          <w:szCs w:val="20"/>
        </w:rPr>
        <w:t xml:space="preserve"> Econ</w:t>
      </w:r>
      <w:r>
        <w:rPr>
          <w:rFonts w:ascii="Arial" w:hAnsi="Arial" w:cs="Arial"/>
          <w:sz w:val="20"/>
          <w:szCs w:val="20"/>
        </w:rPr>
        <w:t>omy and Sustainable Development,</w:t>
      </w:r>
      <w:r w:rsidRPr="003E2E7C">
        <w:rPr>
          <w:rFonts w:ascii="Arial" w:hAnsi="Arial" w:cs="Arial"/>
          <w:sz w:val="20"/>
          <w:szCs w:val="20"/>
        </w:rPr>
        <w:t xml:space="preserve"> </w:t>
      </w:r>
      <w:r>
        <w:rPr>
          <w:rFonts w:ascii="Arial" w:hAnsi="Arial" w:cs="Arial"/>
          <w:sz w:val="20"/>
          <w:szCs w:val="20"/>
        </w:rPr>
        <w:t>Ministry of Finance, Ministry of</w:t>
      </w:r>
      <w:r w:rsidRPr="003E2E7C">
        <w:rPr>
          <w:rFonts w:ascii="Arial" w:hAnsi="Arial" w:cs="Arial"/>
          <w:sz w:val="20"/>
          <w:szCs w:val="20"/>
        </w:rPr>
        <w:t xml:space="preserve"> </w:t>
      </w:r>
      <w:proofErr w:type="spellStart"/>
      <w:r w:rsidRPr="003E2E7C">
        <w:rPr>
          <w:rFonts w:ascii="Arial" w:hAnsi="Arial" w:cs="Arial"/>
          <w:sz w:val="20"/>
          <w:szCs w:val="20"/>
        </w:rPr>
        <w:t>La</w:t>
      </w:r>
      <w:r>
        <w:rPr>
          <w:rFonts w:ascii="Arial" w:hAnsi="Arial" w:cs="Arial"/>
          <w:sz w:val="20"/>
          <w:szCs w:val="20"/>
        </w:rPr>
        <w:t>bour</w:t>
      </w:r>
      <w:proofErr w:type="spellEnd"/>
      <w:r>
        <w:rPr>
          <w:rFonts w:ascii="Arial" w:hAnsi="Arial" w:cs="Arial"/>
          <w:sz w:val="20"/>
          <w:szCs w:val="20"/>
        </w:rPr>
        <w:t>, Health and Social Affairs, Ministry of</w:t>
      </w:r>
      <w:r w:rsidRPr="003E2E7C">
        <w:rPr>
          <w:rFonts w:ascii="Arial" w:hAnsi="Arial" w:cs="Arial"/>
          <w:sz w:val="20"/>
          <w:szCs w:val="20"/>
        </w:rPr>
        <w:t xml:space="preserve"> Agriculture, </w:t>
      </w:r>
      <w:r>
        <w:rPr>
          <w:rFonts w:ascii="Arial" w:hAnsi="Arial" w:cs="Arial"/>
          <w:sz w:val="20"/>
          <w:szCs w:val="20"/>
        </w:rPr>
        <w:t xml:space="preserve">Ministry of </w:t>
      </w:r>
      <w:r w:rsidRPr="003E2E7C">
        <w:rPr>
          <w:rFonts w:ascii="Arial" w:hAnsi="Arial" w:cs="Arial"/>
          <w:sz w:val="20"/>
          <w:szCs w:val="20"/>
        </w:rPr>
        <w:t>Regional Developm</w:t>
      </w:r>
      <w:r>
        <w:rPr>
          <w:rFonts w:ascii="Arial" w:hAnsi="Arial" w:cs="Arial"/>
          <w:sz w:val="20"/>
          <w:szCs w:val="20"/>
        </w:rPr>
        <w:t>ent and Infrastructure Ministry of Justice, and Ministry of Foreign Affairs</w:t>
      </w:r>
      <w:r w:rsidRPr="003E2E7C">
        <w:rPr>
          <w:rFonts w:ascii="Arial" w:hAnsi="Arial" w:cs="Arial"/>
          <w:sz w:val="20"/>
          <w:szCs w:val="20"/>
        </w:rPr>
        <w:t xml:space="preserve"> </w:t>
      </w:r>
    </w:p>
  </w:footnote>
  <w:footnote w:id="40">
    <w:p w14:paraId="3A08DED9" w14:textId="3D987A30" w:rsidR="005C6A56" w:rsidRPr="00812D23" w:rsidRDefault="005C6A56" w:rsidP="0051599B">
      <w:pPr>
        <w:pStyle w:val="FootnoteText"/>
        <w:rPr>
          <w:rFonts w:ascii="Arial" w:hAnsi="Arial" w:cs="Arial"/>
          <w:sz w:val="20"/>
          <w:szCs w:val="20"/>
        </w:rPr>
      </w:pPr>
      <w:r w:rsidRPr="00812D23">
        <w:rPr>
          <w:rStyle w:val="FootnoteReference"/>
          <w:rFonts w:ascii="Arial" w:hAnsi="Arial" w:cs="Arial"/>
          <w:sz w:val="20"/>
          <w:szCs w:val="20"/>
        </w:rPr>
        <w:footnoteRef/>
      </w:r>
      <w:r w:rsidRPr="00812D23">
        <w:rPr>
          <w:rFonts w:ascii="Arial" w:hAnsi="Arial" w:cs="Arial"/>
          <w:sz w:val="20"/>
          <w:szCs w:val="20"/>
        </w:rPr>
        <w:t xml:space="preserve"> After the restructuring, the number was reduced to 4: Ministries of </w:t>
      </w:r>
      <w:proofErr w:type="spellStart"/>
      <w:r w:rsidRPr="00812D23">
        <w:rPr>
          <w:rFonts w:ascii="Arial" w:hAnsi="Arial" w:cs="Arial"/>
          <w:sz w:val="20"/>
          <w:szCs w:val="20"/>
        </w:rPr>
        <w:t>La</w:t>
      </w:r>
      <w:r>
        <w:rPr>
          <w:rFonts w:ascii="Arial" w:hAnsi="Arial" w:cs="Arial"/>
          <w:sz w:val="20"/>
          <w:szCs w:val="20"/>
        </w:rPr>
        <w:t>bour</w:t>
      </w:r>
      <w:proofErr w:type="spellEnd"/>
      <w:r>
        <w:rPr>
          <w:rFonts w:ascii="Arial" w:hAnsi="Arial" w:cs="Arial"/>
          <w:sz w:val="20"/>
          <w:szCs w:val="20"/>
        </w:rPr>
        <w:t>, Health and Social Affairs,</w:t>
      </w:r>
      <w:r w:rsidRPr="00812D23">
        <w:rPr>
          <w:rFonts w:ascii="Arial" w:hAnsi="Arial" w:cs="Arial"/>
          <w:sz w:val="20"/>
          <w:szCs w:val="20"/>
        </w:rPr>
        <w:t xml:space="preserve"> Agriculture, Justice, Culture.</w:t>
      </w:r>
    </w:p>
  </w:footnote>
  <w:footnote w:id="41">
    <w:p w14:paraId="03565D0B" w14:textId="33794FA2" w:rsidR="005C6A56" w:rsidRPr="00A566E3" w:rsidRDefault="005C6A56">
      <w:pPr>
        <w:pStyle w:val="FootnoteText"/>
        <w:rPr>
          <w:rFonts w:ascii="Arial" w:hAnsi="Arial" w:cs="Arial"/>
          <w:sz w:val="22"/>
          <w:szCs w:val="22"/>
        </w:rPr>
      </w:pPr>
      <w:r w:rsidRPr="00A566E3">
        <w:rPr>
          <w:rStyle w:val="FootnoteReference"/>
          <w:rFonts w:ascii="Arial" w:hAnsi="Arial" w:cs="Arial"/>
          <w:sz w:val="22"/>
          <w:szCs w:val="22"/>
        </w:rPr>
        <w:footnoteRef/>
      </w:r>
      <w:r w:rsidRPr="00A566E3">
        <w:rPr>
          <w:rFonts w:ascii="Arial" w:hAnsi="Arial" w:cs="Arial"/>
          <w:sz w:val="22"/>
          <w:szCs w:val="22"/>
        </w:rPr>
        <w:t xml:space="preserve"> Ministry of Environme</w:t>
      </w:r>
      <w:r>
        <w:rPr>
          <w:rFonts w:ascii="Arial" w:hAnsi="Arial" w:cs="Arial"/>
          <w:sz w:val="22"/>
          <w:szCs w:val="22"/>
        </w:rPr>
        <w:t>ntal Protection and Agriculture;</w:t>
      </w:r>
      <w:r w:rsidRPr="00A566E3">
        <w:rPr>
          <w:rFonts w:ascii="Arial" w:hAnsi="Arial" w:cs="Arial"/>
          <w:sz w:val="22"/>
          <w:szCs w:val="22"/>
        </w:rPr>
        <w:t xml:space="preserve"> Ministry f</w:t>
      </w:r>
      <w:r>
        <w:rPr>
          <w:rFonts w:ascii="Arial" w:hAnsi="Arial" w:cs="Arial"/>
          <w:sz w:val="22"/>
          <w:szCs w:val="22"/>
        </w:rPr>
        <w:t>or Internally Displaced Persons;</w:t>
      </w:r>
      <w:r w:rsidRPr="00A566E3">
        <w:rPr>
          <w:rFonts w:ascii="Arial" w:hAnsi="Arial" w:cs="Arial"/>
          <w:sz w:val="22"/>
          <w:szCs w:val="22"/>
        </w:rPr>
        <w:t xml:space="preserve"> Ministry of L</w:t>
      </w:r>
      <w:r>
        <w:rPr>
          <w:rFonts w:ascii="Arial" w:hAnsi="Arial" w:cs="Arial"/>
          <w:sz w:val="22"/>
          <w:szCs w:val="22"/>
        </w:rPr>
        <w:t>abor, Health and Social Affairs; and Ministry of</w:t>
      </w:r>
      <w:r w:rsidRPr="00A566E3">
        <w:rPr>
          <w:rFonts w:ascii="Arial" w:hAnsi="Arial" w:cs="Arial"/>
          <w:sz w:val="22"/>
          <w:szCs w:val="22"/>
        </w:rPr>
        <w:t xml:space="preserve"> Economy</w:t>
      </w:r>
      <w:r>
        <w:rPr>
          <w:rFonts w:ascii="Arial" w:hAnsi="Arial" w:cs="Arial"/>
          <w:sz w:val="22"/>
          <w:szCs w:val="22"/>
        </w:rPr>
        <w:t xml:space="preserve"> and </w:t>
      </w:r>
      <w:r w:rsidRPr="00A566E3">
        <w:rPr>
          <w:rFonts w:ascii="Arial" w:hAnsi="Arial" w:cs="Arial"/>
          <w:sz w:val="22"/>
          <w:szCs w:val="22"/>
        </w:rPr>
        <w:t>Sustainable Development</w:t>
      </w:r>
    </w:p>
  </w:footnote>
  <w:footnote w:id="42">
    <w:p w14:paraId="0C79F23A" w14:textId="77777777" w:rsidR="005C6A56" w:rsidRPr="0065508C" w:rsidRDefault="005C6A56" w:rsidP="0065508C">
      <w:pPr>
        <w:rPr>
          <w:rFonts w:ascii="Arial" w:hAnsi="Arial"/>
          <w:sz w:val="20"/>
          <w:szCs w:val="20"/>
        </w:rPr>
      </w:pPr>
      <w:r>
        <w:rPr>
          <w:rStyle w:val="FootnoteReference"/>
        </w:rPr>
        <w:footnoteRef/>
      </w:r>
      <w:r>
        <w:t xml:space="preserve"> </w:t>
      </w:r>
      <w:r w:rsidRPr="0065508C">
        <w:rPr>
          <w:rFonts w:ascii="Arial" w:hAnsi="Arial"/>
          <w:sz w:val="20"/>
          <w:szCs w:val="20"/>
        </w:rPr>
        <w:t xml:space="preserve">Evaluation of Civic Initiative and Research Grants in the Framework of, “Supporting Public Administration Reform in Georgia Project, Nodar </w:t>
      </w:r>
      <w:proofErr w:type="spellStart"/>
      <w:r w:rsidRPr="0065508C">
        <w:rPr>
          <w:rFonts w:ascii="Arial" w:hAnsi="Arial"/>
          <w:sz w:val="20"/>
          <w:szCs w:val="20"/>
        </w:rPr>
        <w:t>Kherkheulidze</w:t>
      </w:r>
      <w:proofErr w:type="spellEnd"/>
      <w:r w:rsidRPr="0065508C">
        <w:rPr>
          <w:rFonts w:ascii="Arial" w:hAnsi="Arial"/>
          <w:sz w:val="20"/>
          <w:szCs w:val="20"/>
        </w:rPr>
        <w:t xml:space="preserve"> and </w:t>
      </w:r>
      <w:proofErr w:type="spellStart"/>
      <w:r w:rsidRPr="0065508C">
        <w:rPr>
          <w:rFonts w:ascii="Arial" w:hAnsi="Arial"/>
          <w:sz w:val="20"/>
          <w:szCs w:val="20"/>
        </w:rPr>
        <w:t>Dea</w:t>
      </w:r>
      <w:proofErr w:type="spellEnd"/>
      <w:r w:rsidRPr="0065508C">
        <w:rPr>
          <w:rFonts w:ascii="Arial" w:hAnsi="Arial"/>
          <w:sz w:val="20"/>
          <w:szCs w:val="20"/>
        </w:rPr>
        <w:t xml:space="preserve"> </w:t>
      </w:r>
      <w:proofErr w:type="spellStart"/>
      <w:r w:rsidRPr="0065508C">
        <w:rPr>
          <w:rFonts w:ascii="Arial" w:hAnsi="Arial"/>
          <w:sz w:val="20"/>
          <w:szCs w:val="20"/>
        </w:rPr>
        <w:t>Tsartsidze</w:t>
      </w:r>
      <w:proofErr w:type="spellEnd"/>
      <w:r w:rsidRPr="0065508C">
        <w:rPr>
          <w:rFonts w:ascii="Arial" w:hAnsi="Arial"/>
          <w:sz w:val="20"/>
          <w:szCs w:val="20"/>
        </w:rPr>
        <w:t>, January 2019</w:t>
      </w:r>
    </w:p>
    <w:p w14:paraId="4EB1212A" w14:textId="77777777" w:rsidR="005C6A56" w:rsidRPr="0065508C" w:rsidRDefault="005C6A56" w:rsidP="0065508C">
      <w:pPr>
        <w:rPr>
          <w:rFonts w:ascii="Arial" w:hAnsi="Arial"/>
          <w:sz w:val="20"/>
          <w:szCs w:val="20"/>
        </w:rPr>
      </w:pPr>
      <w:r w:rsidRPr="0065508C">
        <w:rPr>
          <w:rFonts w:ascii="Arial" w:hAnsi="Arial"/>
          <w:sz w:val="20"/>
          <w:szCs w:val="20"/>
        </w:rPr>
        <w:t xml:space="preserve">Evaluation of Civic Initiative and Research Grants in the Framework of “Supporting Public Administration Reform (PAR) in Georgia” Project, Nodar </w:t>
      </w:r>
      <w:proofErr w:type="spellStart"/>
      <w:r w:rsidRPr="0065508C">
        <w:rPr>
          <w:rFonts w:ascii="Arial" w:hAnsi="Arial"/>
          <w:sz w:val="20"/>
          <w:szCs w:val="20"/>
        </w:rPr>
        <w:t>Kherkheulidze</w:t>
      </w:r>
      <w:proofErr w:type="spellEnd"/>
      <w:r w:rsidRPr="0065508C">
        <w:rPr>
          <w:rFonts w:ascii="Arial" w:hAnsi="Arial"/>
          <w:sz w:val="20"/>
          <w:szCs w:val="20"/>
        </w:rPr>
        <w:t xml:space="preserve"> and </w:t>
      </w:r>
      <w:proofErr w:type="spellStart"/>
      <w:r w:rsidRPr="0065508C">
        <w:rPr>
          <w:rFonts w:ascii="Arial" w:hAnsi="Arial"/>
          <w:sz w:val="20"/>
          <w:szCs w:val="20"/>
        </w:rPr>
        <w:t>Dea</w:t>
      </w:r>
      <w:proofErr w:type="spellEnd"/>
      <w:r w:rsidRPr="0065508C">
        <w:rPr>
          <w:rFonts w:ascii="Arial" w:hAnsi="Arial"/>
          <w:sz w:val="20"/>
          <w:szCs w:val="20"/>
        </w:rPr>
        <w:t xml:space="preserve"> </w:t>
      </w:r>
      <w:proofErr w:type="spellStart"/>
      <w:r w:rsidRPr="0065508C">
        <w:rPr>
          <w:rFonts w:ascii="Arial" w:hAnsi="Arial"/>
          <w:sz w:val="20"/>
          <w:szCs w:val="20"/>
        </w:rPr>
        <w:t>Tsartsidze</w:t>
      </w:r>
      <w:proofErr w:type="spellEnd"/>
      <w:r w:rsidRPr="0065508C">
        <w:rPr>
          <w:rFonts w:ascii="Arial" w:hAnsi="Arial"/>
          <w:sz w:val="20"/>
          <w:szCs w:val="20"/>
        </w:rPr>
        <w:t>, UNDP, January 2020</w:t>
      </w:r>
    </w:p>
    <w:p w14:paraId="559D116F" w14:textId="35D3769B" w:rsidR="005C6A56" w:rsidRDefault="005C6A56">
      <w:pPr>
        <w:pStyle w:val="FootnoteText"/>
      </w:pPr>
    </w:p>
  </w:footnote>
  <w:footnote w:id="43">
    <w:p w14:paraId="7721A95B" w14:textId="4498A819" w:rsidR="005C6A56" w:rsidRPr="00A17F27" w:rsidRDefault="005C6A56">
      <w:pPr>
        <w:pStyle w:val="FootnoteText"/>
        <w:rPr>
          <w:rFonts w:ascii="Arial" w:hAnsi="Arial" w:cs="Arial"/>
          <w:sz w:val="20"/>
          <w:szCs w:val="20"/>
        </w:rPr>
      </w:pPr>
      <w:r w:rsidRPr="00A17F27">
        <w:rPr>
          <w:rStyle w:val="FootnoteReference"/>
          <w:rFonts w:ascii="Arial" w:hAnsi="Arial" w:cs="Arial"/>
          <w:sz w:val="20"/>
          <w:szCs w:val="20"/>
        </w:rPr>
        <w:footnoteRef/>
      </w:r>
      <w:r w:rsidRPr="00A17F27">
        <w:rPr>
          <w:rFonts w:ascii="Arial" w:hAnsi="Arial" w:cs="Arial"/>
          <w:sz w:val="20"/>
          <w:szCs w:val="20"/>
        </w:rPr>
        <w:t xml:space="preserve"> By the end of the project, a total of 11 government agencies received performance appraisal support.</w:t>
      </w:r>
    </w:p>
  </w:footnote>
  <w:footnote w:id="44">
    <w:p w14:paraId="3FCA6430" w14:textId="77777777" w:rsidR="005C6A56" w:rsidRPr="006E25BA" w:rsidRDefault="005C6A56" w:rsidP="003D694B">
      <w:pPr>
        <w:pStyle w:val="FootnoteText"/>
        <w:rPr>
          <w:rFonts w:ascii="Arial" w:hAnsi="Arial" w:cs="Arial"/>
          <w:sz w:val="20"/>
          <w:szCs w:val="20"/>
        </w:rPr>
      </w:pPr>
      <w:r w:rsidRPr="006E25BA">
        <w:rPr>
          <w:rStyle w:val="FootnoteReference"/>
          <w:rFonts w:ascii="Arial" w:hAnsi="Arial" w:cs="Arial"/>
          <w:sz w:val="20"/>
          <w:szCs w:val="20"/>
        </w:rPr>
        <w:footnoteRef/>
      </w:r>
      <w:r w:rsidRPr="006E25BA">
        <w:rPr>
          <w:rFonts w:ascii="Arial" w:hAnsi="Arial" w:cs="Arial"/>
          <w:sz w:val="20"/>
          <w:szCs w:val="20"/>
        </w:rPr>
        <w:t xml:space="preserve"> The work with the Public Service Halls was jointly implemented with the UNDP GRF project with funding from the Swedish Government. </w:t>
      </w:r>
    </w:p>
  </w:footnote>
  <w:footnote w:id="45">
    <w:p w14:paraId="07C1ACAA" w14:textId="77777777" w:rsidR="005C6A56" w:rsidRPr="00211DF2" w:rsidRDefault="005C6A56" w:rsidP="00AB5FA9">
      <w:pPr>
        <w:jc w:val="both"/>
        <w:rPr>
          <w:rFonts w:cstheme="minorHAnsi"/>
          <w:sz w:val="16"/>
          <w:szCs w:val="16"/>
          <w:lang w:val="en-GB"/>
        </w:rPr>
      </w:pPr>
      <w:r w:rsidRPr="004541C7">
        <w:rPr>
          <w:rStyle w:val="FootnoteReference"/>
          <w:rFonts w:ascii="Myriad Pro" w:hAnsi="Myriad Pro"/>
        </w:rPr>
        <w:footnoteRef/>
      </w:r>
      <w:r w:rsidRPr="004541C7">
        <w:rPr>
          <w:rFonts w:ascii="Myriad Pro" w:hAnsi="Myriad Pro"/>
        </w:rPr>
        <w:t xml:space="preserve"> </w:t>
      </w:r>
      <w:r w:rsidRPr="00211DF2">
        <w:rPr>
          <w:rFonts w:eastAsia="MS Mincho" w:cstheme="minorHAnsi"/>
          <w:sz w:val="18"/>
          <w:szCs w:val="18"/>
          <w:lang w:val="en-GB"/>
        </w:rPr>
        <w:t xml:space="preserve">UNEG, ‘Integrating Human Rights and Gender Equality in Evaluations’, August 2014. The guidance outlines practical steps on how to prepare, conduct and use HR &amp; GE responsive evaluations. Available at: </w:t>
      </w:r>
      <w:hyperlink r:id="rId4" w:history="1">
        <w:r w:rsidRPr="00211DF2">
          <w:rPr>
            <w:rStyle w:val="Hyperlink"/>
            <w:rFonts w:eastAsia="MS Mincho" w:cstheme="minorHAnsi"/>
            <w:sz w:val="18"/>
            <w:szCs w:val="18"/>
            <w:lang w:val="en-GB"/>
          </w:rPr>
          <w:t>http://www.unevaluation.org/document/detail/1616</w:t>
        </w:r>
      </w:hyperlink>
      <w:r w:rsidRPr="00211DF2">
        <w:rPr>
          <w:rFonts w:eastAsia="MS Mincho" w:cstheme="minorHAnsi"/>
          <w:sz w:val="18"/>
          <w:szCs w:val="18"/>
          <w:lang w:val="en-GB"/>
        </w:rPr>
        <w:t xml:space="preserve"> </w:t>
      </w:r>
    </w:p>
  </w:footnote>
  <w:footnote w:id="46">
    <w:p w14:paraId="2C09B945" w14:textId="77777777" w:rsidR="005C6A56" w:rsidRPr="00211DF2" w:rsidRDefault="005C6A56" w:rsidP="00AB5FA9">
      <w:pPr>
        <w:pStyle w:val="FootnoteText"/>
        <w:rPr>
          <w:rFonts w:cstheme="minorHAnsi"/>
        </w:rPr>
      </w:pPr>
      <w:r w:rsidRPr="00211DF2">
        <w:rPr>
          <w:rStyle w:val="FootnoteReference"/>
          <w:rFonts w:cstheme="minorHAnsi"/>
          <w:sz w:val="18"/>
          <w:szCs w:val="18"/>
        </w:rPr>
        <w:footnoteRef/>
      </w:r>
      <w:r w:rsidRPr="00211DF2">
        <w:rPr>
          <w:rFonts w:cstheme="minorHAnsi"/>
          <w:sz w:val="18"/>
          <w:szCs w:val="18"/>
        </w:rPr>
        <w:t xml:space="preserve"> </w:t>
      </w:r>
      <w:hyperlink r:id="rId5" w:history="1">
        <w:r w:rsidRPr="00211DF2">
          <w:rPr>
            <w:rStyle w:val="Hyperlink"/>
            <w:rFonts w:cstheme="minorHAnsi"/>
            <w:sz w:val="18"/>
            <w:szCs w:val="18"/>
          </w:rPr>
          <w:t>http://web.undp.org/evaluation/documents/policy/2019/DP_2019_29_E.pdf</w:t>
        </w:r>
      </w:hyperlink>
      <w:r w:rsidRPr="00211DF2">
        <w:rPr>
          <w:rFonts w:cstheme="minorHAnsi"/>
          <w:sz w:val="18"/>
          <w:szCs w:val="18"/>
        </w:rPr>
        <w:t xml:space="preserve"> </w:t>
      </w:r>
    </w:p>
  </w:footnote>
  <w:footnote w:id="47">
    <w:p w14:paraId="0C1558CC" w14:textId="77777777" w:rsidR="005C6A56" w:rsidRPr="00211DF2" w:rsidRDefault="005C6A56" w:rsidP="00AB5FA9">
      <w:pPr>
        <w:pStyle w:val="FootnoteText"/>
        <w:rPr>
          <w:rFonts w:cstheme="minorHAnsi"/>
          <w:sz w:val="18"/>
          <w:szCs w:val="18"/>
        </w:rPr>
      </w:pPr>
      <w:r w:rsidRPr="00211DF2">
        <w:rPr>
          <w:rStyle w:val="FootnoteReference"/>
          <w:rFonts w:cstheme="minorHAnsi"/>
          <w:sz w:val="18"/>
          <w:szCs w:val="18"/>
        </w:rPr>
        <w:footnoteRef/>
      </w:r>
      <w:r w:rsidRPr="00211DF2">
        <w:rPr>
          <w:rFonts w:cstheme="minorHAnsi"/>
          <w:sz w:val="18"/>
          <w:szCs w:val="18"/>
        </w:rPr>
        <w:t xml:space="preserve"> Workshops might be held online amid the COVID-19 restrictions, more than one workshop might be necessary to disseminate the report among various project partners and stakeholders. </w:t>
      </w:r>
    </w:p>
    <w:p w14:paraId="29FC3D96" w14:textId="77777777" w:rsidR="005C6A56" w:rsidRPr="004541C7" w:rsidRDefault="005C6A56" w:rsidP="00AB5FA9">
      <w:pPr>
        <w:pStyle w:val="FootnoteText"/>
        <w:rPr>
          <w:rFonts w:ascii="Myriad Pro" w:hAnsi="Myriad Pro"/>
        </w:rPr>
      </w:pPr>
    </w:p>
  </w:footnote>
  <w:footnote w:id="48">
    <w:p w14:paraId="4CD3752A" w14:textId="77777777" w:rsidR="005C6A56" w:rsidRPr="00211DF2" w:rsidRDefault="005C6A56" w:rsidP="00AB5FA9">
      <w:pPr>
        <w:pStyle w:val="FootnoteText"/>
        <w:rPr>
          <w:rFonts w:cstheme="minorHAnsi"/>
          <w:sz w:val="18"/>
          <w:szCs w:val="18"/>
        </w:rPr>
      </w:pPr>
      <w:r w:rsidRPr="00211DF2">
        <w:rPr>
          <w:rStyle w:val="FootnoteReference"/>
          <w:rFonts w:cstheme="minorHAnsi"/>
          <w:sz w:val="18"/>
          <w:szCs w:val="18"/>
        </w:rPr>
        <w:footnoteRef/>
      </w:r>
      <w:r w:rsidRPr="00211DF2">
        <w:rPr>
          <w:rFonts w:cstheme="minorHAnsi"/>
          <w:sz w:val="18"/>
          <w:szCs w:val="18"/>
        </w:rPr>
        <w:t xml:space="preserve"> It is the entity that has overall responsibility for implementation of the project (award), effective use of resources and delivery of outputs in the signed project document and workplan</w:t>
      </w:r>
    </w:p>
  </w:footnote>
  <w:footnote w:id="49">
    <w:p w14:paraId="6742A5A5" w14:textId="77777777" w:rsidR="005C6A56" w:rsidRPr="00211DF2" w:rsidRDefault="005C6A56" w:rsidP="00AB5FA9">
      <w:pPr>
        <w:pStyle w:val="FootnoteText"/>
        <w:ind w:right="713"/>
        <w:rPr>
          <w:rFonts w:cstheme="minorHAnsi"/>
          <w:sz w:val="18"/>
          <w:szCs w:val="18"/>
        </w:rPr>
      </w:pPr>
      <w:r w:rsidRPr="00211DF2">
        <w:rPr>
          <w:rStyle w:val="FootnoteReference"/>
          <w:rFonts w:cstheme="minorHAnsi"/>
          <w:sz w:val="18"/>
          <w:szCs w:val="18"/>
        </w:rPr>
        <w:footnoteRef/>
      </w:r>
      <w:r w:rsidRPr="00211DF2">
        <w:rPr>
          <w:rFonts w:cstheme="minorHAnsi"/>
          <w:sz w:val="18"/>
          <w:szCs w:val="18"/>
        </w:rPr>
        <w:t xml:space="preserve"> The evaluation criteria most commonly applied to UNDP evaluations are the OECD-DAC criteria of relevance, efficiency, effectiveness and sustainability.</w:t>
      </w:r>
    </w:p>
  </w:footnote>
  <w:footnote w:id="50">
    <w:p w14:paraId="02D99F89" w14:textId="77777777" w:rsidR="005C6A56" w:rsidRPr="004541C7" w:rsidRDefault="005C6A56" w:rsidP="00AB5FA9">
      <w:pPr>
        <w:pStyle w:val="FootnoteText"/>
        <w:ind w:right="855"/>
        <w:rPr>
          <w:rFonts w:ascii="Myriad Pro" w:hAnsi="Myriad Pro"/>
        </w:rPr>
      </w:pPr>
      <w:r w:rsidRPr="00211DF2">
        <w:rPr>
          <w:rStyle w:val="FootnoteReference"/>
          <w:rFonts w:cstheme="minorHAnsi"/>
          <w:sz w:val="18"/>
          <w:szCs w:val="18"/>
        </w:rPr>
        <w:footnoteRef/>
      </w:r>
      <w:r w:rsidRPr="00211DF2">
        <w:rPr>
          <w:rFonts w:cstheme="minorHAnsi"/>
          <w:sz w:val="18"/>
          <w:szCs w:val="18"/>
        </w:rPr>
        <w:t xml:space="preserve"> All aspects of the described methodology need to receive full treatment in the report. Some of the more detailed technical information may be contained in annexes to the report.</w:t>
      </w:r>
      <w:r w:rsidRPr="004541C7">
        <w:rPr>
          <w:rFonts w:ascii="Myriad Pro" w:hAnsi="Myriad Pro"/>
          <w:sz w:val="16"/>
          <w:szCs w:val="16"/>
        </w:rPr>
        <w:t xml:space="preserve"> </w:t>
      </w:r>
    </w:p>
  </w:footnote>
  <w:footnote w:id="51">
    <w:p w14:paraId="71C9F028" w14:textId="77777777" w:rsidR="005C6A56" w:rsidRPr="00211DF2" w:rsidRDefault="005C6A56" w:rsidP="00AB5FA9">
      <w:pPr>
        <w:pStyle w:val="FootnoteText"/>
        <w:ind w:right="429"/>
        <w:rPr>
          <w:rFonts w:cstheme="minorHAnsi"/>
          <w:sz w:val="18"/>
          <w:szCs w:val="18"/>
        </w:rPr>
      </w:pPr>
      <w:r w:rsidRPr="00211DF2">
        <w:rPr>
          <w:rStyle w:val="FootnoteReference"/>
          <w:rFonts w:cstheme="minorHAnsi"/>
          <w:sz w:val="18"/>
          <w:szCs w:val="18"/>
        </w:rPr>
        <w:footnoteRef/>
      </w:r>
      <w:r w:rsidRPr="00211DF2">
        <w:rPr>
          <w:rFonts w:cstheme="minorHAnsi"/>
          <w:sz w:val="18"/>
          <w:szCs w:val="18"/>
        </w:rPr>
        <w:t xml:space="preserve"> A summary matrix displaying for each of evaluation questions, the data sources, the data collection tools or methods for each data source, and the standard or measure by which each question was evaluated is a good illustrative tool to simplify the logic of the methodology for the report reader.</w:t>
      </w:r>
    </w:p>
  </w:footnote>
  <w:footnote w:id="52">
    <w:p w14:paraId="6B0F20DF" w14:textId="77777777" w:rsidR="005C6A56" w:rsidRPr="004541C7" w:rsidRDefault="005C6A56" w:rsidP="00AB5FA9">
      <w:pPr>
        <w:pStyle w:val="FootnoteText"/>
        <w:rPr>
          <w:rFonts w:ascii="Myriad Pro" w:hAnsi="Myriad Pro"/>
        </w:rPr>
      </w:pPr>
      <w:r w:rsidRPr="00211DF2">
        <w:rPr>
          <w:rStyle w:val="FootnoteReference"/>
          <w:rFonts w:cstheme="minorHAnsi"/>
          <w:sz w:val="18"/>
          <w:szCs w:val="18"/>
        </w:rPr>
        <w:footnoteRef/>
      </w:r>
      <w:r w:rsidRPr="00211DF2">
        <w:rPr>
          <w:rFonts w:cstheme="minorHAnsi"/>
          <w:sz w:val="18"/>
          <w:szCs w:val="18"/>
        </w:rPr>
        <w:t xml:space="preserve"> UNEG, ‘Ethical Guidelines for Evaluation’, June 2008. Available at http://www.uneval.org/search/index.jsp?q=ethical+guidelines.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831D" w14:textId="77777777" w:rsidR="008C1E0E" w:rsidRDefault="008C1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D02F9" w14:textId="2C3A49F0" w:rsidR="005C6A56" w:rsidRPr="004E3A1C" w:rsidRDefault="005C6A56" w:rsidP="00AB5FA9">
    <w:pPr>
      <w:pStyle w:val="Heading3"/>
      <w:jc w:val="left"/>
      <w:rPr>
        <w:color w:val="000080"/>
      </w:rPr>
    </w:pPr>
    <w:r>
      <w:rPr>
        <w:color w:val="000080"/>
      </w:rPr>
      <w:t>Supporting PAR in Geor</w:t>
    </w:r>
    <w:r w:rsidR="008C1E0E">
      <w:rPr>
        <w:color w:val="000080"/>
      </w:rPr>
      <w:t xml:space="preserve">gia Final Evaluation- Final         </w:t>
    </w:r>
    <w:r>
      <w:rPr>
        <w:color w:val="000080"/>
      </w:rPr>
      <w:t xml:space="preserve">                                                           </w:t>
    </w:r>
    <w:r w:rsidRPr="00B201EB">
      <w:rPr>
        <w:color w:val="000080"/>
      </w:rPr>
      <w:t xml:space="preserve">Page </w:t>
    </w:r>
    <w:r w:rsidRPr="00B201EB">
      <w:rPr>
        <w:rStyle w:val="PageNumber"/>
        <w:rFonts w:ascii="Univers" w:eastAsiaTheme="majorEastAsia" w:hAnsi="Univers"/>
        <w:color w:val="000080"/>
      </w:rPr>
      <w:fldChar w:fldCharType="begin"/>
    </w:r>
    <w:r w:rsidRPr="00B201EB">
      <w:rPr>
        <w:rStyle w:val="PageNumber"/>
        <w:rFonts w:ascii="Univers" w:eastAsiaTheme="majorEastAsia" w:hAnsi="Univers"/>
        <w:color w:val="000080"/>
      </w:rPr>
      <w:instrText xml:space="preserve"> PAGE </w:instrText>
    </w:r>
    <w:r w:rsidRPr="00B201EB">
      <w:rPr>
        <w:rStyle w:val="PageNumber"/>
        <w:rFonts w:ascii="Univers" w:eastAsiaTheme="majorEastAsia" w:hAnsi="Univers"/>
        <w:color w:val="000080"/>
      </w:rPr>
      <w:fldChar w:fldCharType="separate"/>
    </w:r>
    <w:r w:rsidR="00B51D6D">
      <w:rPr>
        <w:rStyle w:val="PageNumber"/>
        <w:rFonts w:ascii="Univers" w:eastAsiaTheme="majorEastAsia" w:hAnsi="Univers"/>
        <w:noProof/>
        <w:color w:val="000080"/>
      </w:rPr>
      <w:t>25</w:t>
    </w:r>
    <w:r w:rsidRPr="00B201EB">
      <w:rPr>
        <w:rStyle w:val="PageNumber"/>
        <w:rFonts w:ascii="Univers" w:eastAsiaTheme="majorEastAsia" w:hAnsi="Univers"/>
        <w:color w:val="000080"/>
      </w:rPr>
      <w:fldChar w:fldCharType="end"/>
    </w:r>
  </w:p>
  <w:p w14:paraId="7717DCF3" w14:textId="77777777" w:rsidR="005C6A56" w:rsidRDefault="005C6A56">
    <w:pPr>
      <w:pStyle w:val="Header"/>
    </w:pPr>
  </w:p>
  <w:p w14:paraId="2C624B73" w14:textId="77777777" w:rsidR="005C6A56" w:rsidRDefault="005C6A56"/>
  <w:p w14:paraId="493D6CAA" w14:textId="77777777" w:rsidR="005C6A56" w:rsidRDefault="005C6A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02D67" w14:textId="77777777" w:rsidR="008C1E0E" w:rsidRDefault="008C1E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93B8B" w14:textId="77777777" w:rsidR="005C6A56" w:rsidRDefault="005C6A56" w:rsidP="00B646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E1FDF" w14:textId="77777777" w:rsidR="005C6A56" w:rsidRDefault="005C6A56" w:rsidP="00B043A8">
    <w:pPr>
      <w:pStyle w:val="Header"/>
      <w:ind w:right="360"/>
    </w:pPr>
  </w:p>
  <w:p w14:paraId="55896F93" w14:textId="77777777" w:rsidR="005C6A56" w:rsidRDefault="005C6A56"/>
  <w:p w14:paraId="148A31C6" w14:textId="77777777" w:rsidR="005C6A56" w:rsidRDefault="005C6A5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7B129" w14:textId="7A0084BE" w:rsidR="005C6A56" w:rsidRPr="004E3A1C" w:rsidRDefault="005C6A56" w:rsidP="00B043A8">
    <w:pPr>
      <w:pStyle w:val="Heading3"/>
      <w:jc w:val="left"/>
      <w:rPr>
        <w:color w:val="000080"/>
      </w:rPr>
    </w:pPr>
    <w:r>
      <w:rPr>
        <w:color w:val="000080"/>
      </w:rPr>
      <w:t>Support to PAR in Georgia</w:t>
    </w:r>
    <w:proofErr w:type="gramStart"/>
    <w:r>
      <w:rPr>
        <w:color w:val="000080"/>
      </w:rPr>
      <w:t>-  Final</w:t>
    </w:r>
    <w:proofErr w:type="gramEnd"/>
    <w:r>
      <w:rPr>
        <w:color w:val="000080"/>
      </w:rPr>
      <w:t xml:space="preserve"> Evaluation Draft Report                                                         </w:t>
    </w:r>
    <w:r w:rsidRPr="00B201EB">
      <w:rPr>
        <w:color w:val="000080"/>
      </w:rPr>
      <w:t xml:space="preserve">Page </w:t>
    </w:r>
    <w:r w:rsidRPr="00B201EB">
      <w:rPr>
        <w:rStyle w:val="PageNumber"/>
        <w:rFonts w:ascii="Univers" w:hAnsi="Univers"/>
        <w:color w:val="000080"/>
      </w:rPr>
      <w:fldChar w:fldCharType="begin"/>
    </w:r>
    <w:r w:rsidRPr="00B201EB">
      <w:rPr>
        <w:rStyle w:val="PageNumber"/>
        <w:rFonts w:ascii="Univers" w:hAnsi="Univers"/>
        <w:color w:val="000080"/>
      </w:rPr>
      <w:instrText xml:space="preserve"> PAGE </w:instrText>
    </w:r>
    <w:r w:rsidRPr="00B201EB">
      <w:rPr>
        <w:rStyle w:val="PageNumber"/>
        <w:rFonts w:ascii="Univers" w:hAnsi="Univers"/>
        <w:color w:val="000080"/>
      </w:rPr>
      <w:fldChar w:fldCharType="separate"/>
    </w:r>
    <w:r w:rsidR="00B51D6D">
      <w:rPr>
        <w:rStyle w:val="PageNumber"/>
        <w:rFonts w:ascii="Univers" w:hAnsi="Univers"/>
        <w:noProof/>
        <w:color w:val="000080"/>
      </w:rPr>
      <w:t>120</w:t>
    </w:r>
    <w:r w:rsidRPr="00B201EB">
      <w:rPr>
        <w:rStyle w:val="PageNumber"/>
        <w:rFonts w:ascii="Univers" w:hAnsi="Univers"/>
        <w:color w:val="000080"/>
      </w:rPr>
      <w:fldChar w:fldCharType="end"/>
    </w:r>
  </w:p>
  <w:p w14:paraId="3FF45A1F" w14:textId="77777777" w:rsidR="005C6A56" w:rsidRDefault="005C6A5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B474" w14:textId="77777777" w:rsidR="005C6A56" w:rsidRDefault="005C6A56" w:rsidP="00B646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BB329" w14:textId="77777777" w:rsidR="005C6A56" w:rsidRDefault="005C6A56" w:rsidP="00B043A8">
    <w:pPr>
      <w:pStyle w:val="Header"/>
      <w:ind w:right="360"/>
    </w:pPr>
  </w:p>
  <w:p w14:paraId="5F2510D2" w14:textId="77777777" w:rsidR="005C6A56" w:rsidRDefault="005C6A56"/>
  <w:p w14:paraId="78FA44BF" w14:textId="77777777" w:rsidR="005C6A56" w:rsidRDefault="005C6A5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114E" w14:textId="129ED982" w:rsidR="005C6A56" w:rsidRPr="004E3A1C" w:rsidRDefault="005C6A56" w:rsidP="00B043A8">
    <w:pPr>
      <w:pStyle w:val="Heading3"/>
      <w:jc w:val="left"/>
      <w:rPr>
        <w:color w:val="000080"/>
      </w:rPr>
    </w:pPr>
    <w:r>
      <w:rPr>
        <w:color w:val="000080"/>
      </w:rPr>
      <w:t>Support to PAR in Georgia</w:t>
    </w:r>
    <w:proofErr w:type="gramStart"/>
    <w:r>
      <w:rPr>
        <w:color w:val="000080"/>
      </w:rPr>
      <w:t>-  Final</w:t>
    </w:r>
    <w:proofErr w:type="gramEnd"/>
    <w:r>
      <w:rPr>
        <w:color w:val="000080"/>
      </w:rPr>
      <w:t xml:space="preserve"> Evaluation Draft Report                                                           </w:t>
    </w:r>
    <w:r w:rsidRPr="00B201EB">
      <w:rPr>
        <w:color w:val="000080"/>
      </w:rPr>
      <w:t xml:space="preserve">Page </w:t>
    </w:r>
    <w:r w:rsidRPr="00B201EB">
      <w:rPr>
        <w:rStyle w:val="PageNumber"/>
        <w:rFonts w:ascii="Univers" w:hAnsi="Univers"/>
        <w:color w:val="000080"/>
      </w:rPr>
      <w:fldChar w:fldCharType="begin"/>
    </w:r>
    <w:r w:rsidRPr="00B201EB">
      <w:rPr>
        <w:rStyle w:val="PageNumber"/>
        <w:rFonts w:ascii="Univers" w:hAnsi="Univers"/>
        <w:color w:val="000080"/>
      </w:rPr>
      <w:instrText xml:space="preserve"> PAGE </w:instrText>
    </w:r>
    <w:r w:rsidRPr="00B201EB">
      <w:rPr>
        <w:rStyle w:val="PageNumber"/>
        <w:rFonts w:ascii="Univers" w:hAnsi="Univers"/>
        <w:color w:val="000080"/>
      </w:rPr>
      <w:fldChar w:fldCharType="separate"/>
    </w:r>
    <w:r w:rsidR="00B51D6D">
      <w:rPr>
        <w:rStyle w:val="PageNumber"/>
        <w:rFonts w:ascii="Univers" w:hAnsi="Univers"/>
        <w:noProof/>
        <w:color w:val="000080"/>
      </w:rPr>
      <w:t>175</w:t>
    </w:r>
    <w:r w:rsidRPr="00B201EB">
      <w:rPr>
        <w:rStyle w:val="PageNumber"/>
        <w:rFonts w:ascii="Univers" w:hAnsi="Univers"/>
        <w:color w:val="000080"/>
      </w:rPr>
      <w:fldChar w:fldCharType="end"/>
    </w:r>
  </w:p>
  <w:p w14:paraId="18CD4096" w14:textId="77777777" w:rsidR="005C6A56" w:rsidRDefault="005C6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E"/>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0"/>
    <w:multiLevelType w:val="hybridMultilevel"/>
    <w:tmpl w:val="6AA78F7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323406"/>
    <w:multiLevelType w:val="hybridMultilevel"/>
    <w:tmpl w:val="2FA2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048DA"/>
    <w:multiLevelType w:val="hybridMultilevel"/>
    <w:tmpl w:val="3814B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9B117D"/>
    <w:multiLevelType w:val="hybridMultilevel"/>
    <w:tmpl w:val="31528A5E"/>
    <w:lvl w:ilvl="0" w:tplc="E5F21DA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6278A"/>
    <w:multiLevelType w:val="hybridMultilevel"/>
    <w:tmpl w:val="2E84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863C2"/>
    <w:multiLevelType w:val="hybridMultilevel"/>
    <w:tmpl w:val="C1F8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C08F0"/>
    <w:multiLevelType w:val="hybridMultilevel"/>
    <w:tmpl w:val="A2006D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4354D"/>
    <w:multiLevelType w:val="hybridMultilevel"/>
    <w:tmpl w:val="77264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F82EDE"/>
    <w:multiLevelType w:val="hybridMultilevel"/>
    <w:tmpl w:val="4A16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377B3"/>
    <w:multiLevelType w:val="hybridMultilevel"/>
    <w:tmpl w:val="189A3AF2"/>
    <w:lvl w:ilvl="0" w:tplc="147AFE1C">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92E5D"/>
    <w:multiLevelType w:val="hybridMultilevel"/>
    <w:tmpl w:val="725CAEA4"/>
    <w:lvl w:ilvl="0" w:tplc="3BE644E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3B2A262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B24D9"/>
    <w:multiLevelType w:val="hybridMultilevel"/>
    <w:tmpl w:val="9E50CEB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12562888"/>
    <w:multiLevelType w:val="hybridMultilevel"/>
    <w:tmpl w:val="13CA82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C12C9"/>
    <w:multiLevelType w:val="hybridMultilevel"/>
    <w:tmpl w:val="C7F21F54"/>
    <w:lvl w:ilvl="0" w:tplc="1966A840">
      <w:numFmt w:val="bullet"/>
      <w:lvlText w:val="-"/>
      <w:lvlJc w:val="left"/>
      <w:pPr>
        <w:ind w:left="820" w:hanging="361"/>
      </w:pPr>
      <w:rPr>
        <w:rFonts w:ascii="Arial Narrow" w:eastAsia="Arial Narrow" w:hAnsi="Arial Narrow" w:cs="Arial Narrow" w:hint="default"/>
        <w:color w:val="175261"/>
        <w:w w:val="100"/>
        <w:sz w:val="22"/>
        <w:szCs w:val="22"/>
        <w:lang w:val="en-US" w:eastAsia="en-US" w:bidi="en-US"/>
      </w:rPr>
    </w:lvl>
    <w:lvl w:ilvl="1" w:tplc="0C2E8990">
      <w:numFmt w:val="bullet"/>
      <w:lvlText w:val="•"/>
      <w:lvlJc w:val="left"/>
      <w:pPr>
        <w:ind w:left="1656" w:hanging="361"/>
      </w:pPr>
      <w:rPr>
        <w:rFonts w:hint="default"/>
        <w:lang w:val="en-US" w:eastAsia="en-US" w:bidi="en-US"/>
      </w:rPr>
    </w:lvl>
    <w:lvl w:ilvl="2" w:tplc="FB42C96C">
      <w:numFmt w:val="bullet"/>
      <w:lvlText w:val="•"/>
      <w:lvlJc w:val="left"/>
      <w:pPr>
        <w:ind w:left="2493" w:hanging="361"/>
      </w:pPr>
      <w:rPr>
        <w:rFonts w:hint="default"/>
        <w:lang w:val="en-US" w:eastAsia="en-US" w:bidi="en-US"/>
      </w:rPr>
    </w:lvl>
    <w:lvl w:ilvl="3" w:tplc="BDAADC40">
      <w:numFmt w:val="bullet"/>
      <w:lvlText w:val="•"/>
      <w:lvlJc w:val="left"/>
      <w:pPr>
        <w:ind w:left="3330" w:hanging="361"/>
      </w:pPr>
      <w:rPr>
        <w:rFonts w:hint="default"/>
        <w:lang w:val="en-US" w:eastAsia="en-US" w:bidi="en-US"/>
      </w:rPr>
    </w:lvl>
    <w:lvl w:ilvl="4" w:tplc="3B14F366">
      <w:numFmt w:val="bullet"/>
      <w:lvlText w:val="•"/>
      <w:lvlJc w:val="left"/>
      <w:pPr>
        <w:ind w:left="4167" w:hanging="361"/>
      </w:pPr>
      <w:rPr>
        <w:rFonts w:hint="default"/>
        <w:lang w:val="en-US" w:eastAsia="en-US" w:bidi="en-US"/>
      </w:rPr>
    </w:lvl>
    <w:lvl w:ilvl="5" w:tplc="5A723F5E">
      <w:numFmt w:val="bullet"/>
      <w:lvlText w:val="•"/>
      <w:lvlJc w:val="left"/>
      <w:pPr>
        <w:ind w:left="5004" w:hanging="361"/>
      </w:pPr>
      <w:rPr>
        <w:rFonts w:hint="default"/>
        <w:lang w:val="en-US" w:eastAsia="en-US" w:bidi="en-US"/>
      </w:rPr>
    </w:lvl>
    <w:lvl w:ilvl="6" w:tplc="4D1EFCBC">
      <w:numFmt w:val="bullet"/>
      <w:lvlText w:val="•"/>
      <w:lvlJc w:val="left"/>
      <w:pPr>
        <w:ind w:left="5841" w:hanging="361"/>
      </w:pPr>
      <w:rPr>
        <w:rFonts w:hint="default"/>
        <w:lang w:val="en-US" w:eastAsia="en-US" w:bidi="en-US"/>
      </w:rPr>
    </w:lvl>
    <w:lvl w:ilvl="7" w:tplc="607015C4">
      <w:numFmt w:val="bullet"/>
      <w:lvlText w:val="•"/>
      <w:lvlJc w:val="left"/>
      <w:pPr>
        <w:ind w:left="6677" w:hanging="361"/>
      </w:pPr>
      <w:rPr>
        <w:rFonts w:hint="default"/>
        <w:lang w:val="en-US" w:eastAsia="en-US" w:bidi="en-US"/>
      </w:rPr>
    </w:lvl>
    <w:lvl w:ilvl="8" w:tplc="7B26F5A6">
      <w:numFmt w:val="bullet"/>
      <w:lvlText w:val="•"/>
      <w:lvlJc w:val="left"/>
      <w:pPr>
        <w:ind w:left="7514" w:hanging="361"/>
      </w:pPr>
      <w:rPr>
        <w:rFonts w:hint="default"/>
        <w:lang w:val="en-US" w:eastAsia="en-US" w:bidi="en-US"/>
      </w:rPr>
    </w:lvl>
  </w:abstractNum>
  <w:abstractNum w:abstractNumId="15" w15:restartNumberingAfterBreak="0">
    <w:nsid w:val="191F6A53"/>
    <w:multiLevelType w:val="hybridMultilevel"/>
    <w:tmpl w:val="94F853EA"/>
    <w:lvl w:ilvl="0" w:tplc="82DEEA0C">
      <w:start w:val="2"/>
      <w:numFmt w:val="bullet"/>
      <w:lvlText w:val="-"/>
      <w:lvlJc w:val="left"/>
      <w:pPr>
        <w:ind w:left="-349" w:hanging="360"/>
      </w:pPr>
      <w:rPr>
        <w:rFonts w:ascii="Myriad Pro" w:eastAsia="MS Mincho" w:hAnsi="Myriad Pro"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6" w15:restartNumberingAfterBreak="0">
    <w:nsid w:val="1993587C"/>
    <w:multiLevelType w:val="hybridMultilevel"/>
    <w:tmpl w:val="BD4E0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A032EC"/>
    <w:multiLevelType w:val="hybridMultilevel"/>
    <w:tmpl w:val="E516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53AC8"/>
    <w:multiLevelType w:val="hybridMultilevel"/>
    <w:tmpl w:val="ED30DAD8"/>
    <w:lvl w:ilvl="0" w:tplc="E2E069EC">
      <w:start w:val="1"/>
      <w:numFmt w:val="decimal"/>
      <w:lvlText w:val="%1."/>
      <w:lvlJc w:val="left"/>
      <w:pPr>
        <w:ind w:left="252" w:hanging="360"/>
      </w:pPr>
      <w:rPr>
        <w:rFonts w:hint="default"/>
        <w:b/>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9" w15:restartNumberingAfterBreak="0">
    <w:nsid w:val="1C011437"/>
    <w:multiLevelType w:val="hybridMultilevel"/>
    <w:tmpl w:val="F86C0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E57BA8"/>
    <w:multiLevelType w:val="hybridMultilevel"/>
    <w:tmpl w:val="B928E34C"/>
    <w:lvl w:ilvl="0" w:tplc="978C47C4">
      <w:start w:val="1"/>
      <w:numFmt w:val="decimal"/>
      <w:lvlText w:val="1.%1"/>
      <w:lvlJc w:val="left"/>
      <w:pPr>
        <w:ind w:left="770" w:hanging="360"/>
      </w:pPr>
      <w:rPr>
        <w:rFonts w:hint="default"/>
        <w:b w:val="0"/>
        <w:bCs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1" w15:restartNumberingAfterBreak="0">
    <w:nsid w:val="22A42D18"/>
    <w:multiLevelType w:val="hybridMultilevel"/>
    <w:tmpl w:val="6026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FD36AC"/>
    <w:multiLevelType w:val="hybridMultilevel"/>
    <w:tmpl w:val="2A765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FF1F0F"/>
    <w:multiLevelType w:val="hybridMultilevel"/>
    <w:tmpl w:val="53D2F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5937DA"/>
    <w:multiLevelType w:val="hybridMultilevel"/>
    <w:tmpl w:val="B1D26A62"/>
    <w:lvl w:ilvl="0" w:tplc="A1AAA7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7303AC"/>
    <w:multiLevelType w:val="hybridMultilevel"/>
    <w:tmpl w:val="20D013CE"/>
    <w:lvl w:ilvl="0" w:tplc="041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6222D"/>
    <w:multiLevelType w:val="hybridMultilevel"/>
    <w:tmpl w:val="9E3A8C68"/>
    <w:lvl w:ilvl="0" w:tplc="045EE2D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03E6F66"/>
    <w:multiLevelType w:val="hybridMultilevel"/>
    <w:tmpl w:val="18DADF6A"/>
    <w:lvl w:ilvl="0" w:tplc="76E6F53A">
      <w:start w:val="1"/>
      <w:numFmt w:val="decimal"/>
      <w:lvlText w:val="1.%1"/>
      <w:lvlJc w:val="left"/>
      <w:pPr>
        <w:ind w:left="770" w:hanging="360"/>
      </w:pPr>
      <w:rPr>
        <w:rFonts w:hint="default"/>
        <w:b w:val="0"/>
        <w:bCs w:val="0"/>
        <w:i w:val="0"/>
        <w:iCs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8" w15:restartNumberingAfterBreak="0">
    <w:nsid w:val="38FC5FC9"/>
    <w:multiLevelType w:val="hybridMultilevel"/>
    <w:tmpl w:val="CF86F4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754407"/>
    <w:multiLevelType w:val="hybridMultilevel"/>
    <w:tmpl w:val="ACA601AE"/>
    <w:lvl w:ilvl="0" w:tplc="BA781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732859"/>
    <w:multiLevelType w:val="hybridMultilevel"/>
    <w:tmpl w:val="234C7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EB44581"/>
    <w:multiLevelType w:val="hybridMultilevel"/>
    <w:tmpl w:val="017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26473F"/>
    <w:multiLevelType w:val="hybridMultilevel"/>
    <w:tmpl w:val="EAC4E2B8"/>
    <w:lvl w:ilvl="0" w:tplc="39EEB238">
      <w:numFmt w:val="bullet"/>
      <w:lvlText w:val="-"/>
      <w:lvlJc w:val="left"/>
      <w:pPr>
        <w:ind w:left="820" w:hanging="361"/>
      </w:pPr>
      <w:rPr>
        <w:rFonts w:ascii="Arial Narrow" w:eastAsia="Arial Narrow" w:hAnsi="Arial Narrow" w:cs="Arial Narrow" w:hint="default"/>
        <w:color w:val="175261"/>
        <w:w w:val="100"/>
        <w:sz w:val="22"/>
        <w:szCs w:val="22"/>
        <w:lang w:val="en-US" w:eastAsia="en-US" w:bidi="en-US"/>
      </w:rPr>
    </w:lvl>
    <w:lvl w:ilvl="1" w:tplc="9022D4DE">
      <w:numFmt w:val="bullet"/>
      <w:lvlText w:val="•"/>
      <w:lvlJc w:val="left"/>
      <w:pPr>
        <w:ind w:left="1621" w:hanging="361"/>
      </w:pPr>
      <w:rPr>
        <w:rFonts w:hint="default"/>
        <w:lang w:val="en-US" w:eastAsia="en-US" w:bidi="en-US"/>
      </w:rPr>
    </w:lvl>
    <w:lvl w:ilvl="2" w:tplc="E41804AE">
      <w:numFmt w:val="bullet"/>
      <w:lvlText w:val="•"/>
      <w:lvlJc w:val="left"/>
      <w:pPr>
        <w:ind w:left="2422" w:hanging="361"/>
      </w:pPr>
      <w:rPr>
        <w:rFonts w:hint="default"/>
        <w:lang w:val="en-US" w:eastAsia="en-US" w:bidi="en-US"/>
      </w:rPr>
    </w:lvl>
    <w:lvl w:ilvl="3" w:tplc="044AE370">
      <w:numFmt w:val="bullet"/>
      <w:lvlText w:val="•"/>
      <w:lvlJc w:val="left"/>
      <w:pPr>
        <w:ind w:left="3223" w:hanging="361"/>
      </w:pPr>
      <w:rPr>
        <w:rFonts w:hint="default"/>
        <w:lang w:val="en-US" w:eastAsia="en-US" w:bidi="en-US"/>
      </w:rPr>
    </w:lvl>
    <w:lvl w:ilvl="4" w:tplc="BC64BFA4">
      <w:numFmt w:val="bullet"/>
      <w:lvlText w:val="•"/>
      <w:lvlJc w:val="left"/>
      <w:pPr>
        <w:ind w:left="4024" w:hanging="361"/>
      </w:pPr>
      <w:rPr>
        <w:rFonts w:hint="default"/>
        <w:lang w:val="en-US" w:eastAsia="en-US" w:bidi="en-US"/>
      </w:rPr>
    </w:lvl>
    <w:lvl w:ilvl="5" w:tplc="8E4212A6">
      <w:numFmt w:val="bullet"/>
      <w:lvlText w:val="•"/>
      <w:lvlJc w:val="left"/>
      <w:pPr>
        <w:ind w:left="4825" w:hanging="361"/>
      </w:pPr>
      <w:rPr>
        <w:rFonts w:hint="default"/>
        <w:lang w:val="en-US" w:eastAsia="en-US" w:bidi="en-US"/>
      </w:rPr>
    </w:lvl>
    <w:lvl w:ilvl="6" w:tplc="A73AE4C0">
      <w:numFmt w:val="bullet"/>
      <w:lvlText w:val="•"/>
      <w:lvlJc w:val="left"/>
      <w:pPr>
        <w:ind w:left="5626" w:hanging="361"/>
      </w:pPr>
      <w:rPr>
        <w:rFonts w:hint="default"/>
        <w:lang w:val="en-US" w:eastAsia="en-US" w:bidi="en-US"/>
      </w:rPr>
    </w:lvl>
    <w:lvl w:ilvl="7" w:tplc="23302F3C">
      <w:numFmt w:val="bullet"/>
      <w:lvlText w:val="•"/>
      <w:lvlJc w:val="left"/>
      <w:pPr>
        <w:ind w:left="6428" w:hanging="361"/>
      </w:pPr>
      <w:rPr>
        <w:rFonts w:hint="default"/>
        <w:lang w:val="en-US" w:eastAsia="en-US" w:bidi="en-US"/>
      </w:rPr>
    </w:lvl>
    <w:lvl w:ilvl="8" w:tplc="8D7E7CD0">
      <w:numFmt w:val="bullet"/>
      <w:lvlText w:val="•"/>
      <w:lvlJc w:val="left"/>
      <w:pPr>
        <w:ind w:left="7229" w:hanging="361"/>
      </w:pPr>
      <w:rPr>
        <w:rFonts w:hint="default"/>
        <w:lang w:val="en-US" w:eastAsia="en-US" w:bidi="en-US"/>
      </w:rPr>
    </w:lvl>
  </w:abstractNum>
  <w:abstractNum w:abstractNumId="33" w15:restartNumberingAfterBreak="0">
    <w:nsid w:val="407D3C9A"/>
    <w:multiLevelType w:val="hybridMultilevel"/>
    <w:tmpl w:val="022240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3E31F9"/>
    <w:multiLevelType w:val="hybridMultilevel"/>
    <w:tmpl w:val="D5D024C0"/>
    <w:lvl w:ilvl="0" w:tplc="489AA8EA">
      <w:numFmt w:val="bullet"/>
      <w:lvlText w:val="-"/>
      <w:lvlJc w:val="left"/>
      <w:pPr>
        <w:ind w:left="820" w:hanging="361"/>
      </w:pPr>
      <w:rPr>
        <w:rFonts w:ascii="Arial Narrow" w:eastAsia="Arial Narrow" w:hAnsi="Arial Narrow" w:cs="Arial Narrow" w:hint="default"/>
        <w:color w:val="175261"/>
        <w:w w:val="100"/>
        <w:sz w:val="22"/>
        <w:szCs w:val="22"/>
        <w:lang w:val="en-US" w:eastAsia="en-US" w:bidi="en-US"/>
      </w:rPr>
    </w:lvl>
    <w:lvl w:ilvl="1" w:tplc="C2109B26">
      <w:numFmt w:val="bullet"/>
      <w:lvlText w:val="•"/>
      <w:lvlJc w:val="left"/>
      <w:pPr>
        <w:ind w:left="1621" w:hanging="361"/>
      </w:pPr>
      <w:rPr>
        <w:rFonts w:hint="default"/>
        <w:lang w:val="en-US" w:eastAsia="en-US" w:bidi="en-US"/>
      </w:rPr>
    </w:lvl>
    <w:lvl w:ilvl="2" w:tplc="75DABE2C">
      <w:numFmt w:val="bullet"/>
      <w:lvlText w:val="•"/>
      <w:lvlJc w:val="left"/>
      <w:pPr>
        <w:ind w:left="2422" w:hanging="361"/>
      </w:pPr>
      <w:rPr>
        <w:rFonts w:hint="default"/>
        <w:lang w:val="en-US" w:eastAsia="en-US" w:bidi="en-US"/>
      </w:rPr>
    </w:lvl>
    <w:lvl w:ilvl="3" w:tplc="43765142">
      <w:numFmt w:val="bullet"/>
      <w:lvlText w:val="•"/>
      <w:lvlJc w:val="left"/>
      <w:pPr>
        <w:ind w:left="3223" w:hanging="361"/>
      </w:pPr>
      <w:rPr>
        <w:rFonts w:hint="default"/>
        <w:lang w:val="en-US" w:eastAsia="en-US" w:bidi="en-US"/>
      </w:rPr>
    </w:lvl>
    <w:lvl w:ilvl="4" w:tplc="A184DF3A">
      <w:numFmt w:val="bullet"/>
      <w:lvlText w:val="•"/>
      <w:lvlJc w:val="left"/>
      <w:pPr>
        <w:ind w:left="4024" w:hanging="361"/>
      </w:pPr>
      <w:rPr>
        <w:rFonts w:hint="default"/>
        <w:lang w:val="en-US" w:eastAsia="en-US" w:bidi="en-US"/>
      </w:rPr>
    </w:lvl>
    <w:lvl w:ilvl="5" w:tplc="511052A8">
      <w:numFmt w:val="bullet"/>
      <w:lvlText w:val="•"/>
      <w:lvlJc w:val="left"/>
      <w:pPr>
        <w:ind w:left="4825" w:hanging="361"/>
      </w:pPr>
      <w:rPr>
        <w:rFonts w:hint="default"/>
        <w:lang w:val="en-US" w:eastAsia="en-US" w:bidi="en-US"/>
      </w:rPr>
    </w:lvl>
    <w:lvl w:ilvl="6" w:tplc="81342EAE">
      <w:numFmt w:val="bullet"/>
      <w:lvlText w:val="•"/>
      <w:lvlJc w:val="left"/>
      <w:pPr>
        <w:ind w:left="5626" w:hanging="361"/>
      </w:pPr>
      <w:rPr>
        <w:rFonts w:hint="default"/>
        <w:lang w:val="en-US" w:eastAsia="en-US" w:bidi="en-US"/>
      </w:rPr>
    </w:lvl>
    <w:lvl w:ilvl="7" w:tplc="4B0A2134">
      <w:numFmt w:val="bullet"/>
      <w:lvlText w:val="•"/>
      <w:lvlJc w:val="left"/>
      <w:pPr>
        <w:ind w:left="6428" w:hanging="361"/>
      </w:pPr>
      <w:rPr>
        <w:rFonts w:hint="default"/>
        <w:lang w:val="en-US" w:eastAsia="en-US" w:bidi="en-US"/>
      </w:rPr>
    </w:lvl>
    <w:lvl w:ilvl="8" w:tplc="442CDBBE">
      <w:numFmt w:val="bullet"/>
      <w:lvlText w:val="•"/>
      <w:lvlJc w:val="left"/>
      <w:pPr>
        <w:ind w:left="7229" w:hanging="361"/>
      </w:pPr>
      <w:rPr>
        <w:rFonts w:hint="default"/>
        <w:lang w:val="en-US" w:eastAsia="en-US" w:bidi="en-US"/>
      </w:rPr>
    </w:lvl>
  </w:abstractNum>
  <w:abstractNum w:abstractNumId="35" w15:restartNumberingAfterBreak="0">
    <w:nsid w:val="45A51D6B"/>
    <w:multiLevelType w:val="hybridMultilevel"/>
    <w:tmpl w:val="9926D6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7BB277E"/>
    <w:multiLevelType w:val="hybridMultilevel"/>
    <w:tmpl w:val="02D63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2CE05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1F7200"/>
    <w:multiLevelType w:val="hybridMultilevel"/>
    <w:tmpl w:val="620E0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726C75"/>
    <w:multiLevelType w:val="hybridMultilevel"/>
    <w:tmpl w:val="091A7E2E"/>
    <w:lvl w:ilvl="0" w:tplc="143A3ED0">
      <w:numFmt w:val="bullet"/>
      <w:lvlText w:val="-"/>
      <w:lvlJc w:val="left"/>
      <w:pPr>
        <w:ind w:left="820" w:hanging="361"/>
      </w:pPr>
      <w:rPr>
        <w:rFonts w:ascii="Arial Narrow" w:eastAsia="Arial Narrow" w:hAnsi="Arial Narrow" w:cs="Arial Narrow" w:hint="default"/>
        <w:color w:val="175261"/>
        <w:w w:val="100"/>
        <w:sz w:val="22"/>
        <w:szCs w:val="22"/>
        <w:lang w:val="en-US" w:eastAsia="en-US" w:bidi="en-US"/>
      </w:rPr>
    </w:lvl>
    <w:lvl w:ilvl="1" w:tplc="0F9E94C6">
      <w:numFmt w:val="bullet"/>
      <w:lvlText w:val="•"/>
      <w:lvlJc w:val="left"/>
      <w:pPr>
        <w:ind w:left="1621" w:hanging="361"/>
      </w:pPr>
      <w:rPr>
        <w:rFonts w:hint="default"/>
        <w:lang w:val="en-US" w:eastAsia="en-US" w:bidi="en-US"/>
      </w:rPr>
    </w:lvl>
    <w:lvl w:ilvl="2" w:tplc="0D5CD5A6">
      <w:numFmt w:val="bullet"/>
      <w:lvlText w:val="•"/>
      <w:lvlJc w:val="left"/>
      <w:pPr>
        <w:ind w:left="2422" w:hanging="361"/>
      </w:pPr>
      <w:rPr>
        <w:rFonts w:hint="default"/>
        <w:lang w:val="en-US" w:eastAsia="en-US" w:bidi="en-US"/>
      </w:rPr>
    </w:lvl>
    <w:lvl w:ilvl="3" w:tplc="EFBC8D44">
      <w:numFmt w:val="bullet"/>
      <w:lvlText w:val="•"/>
      <w:lvlJc w:val="left"/>
      <w:pPr>
        <w:ind w:left="3223" w:hanging="361"/>
      </w:pPr>
      <w:rPr>
        <w:rFonts w:hint="default"/>
        <w:lang w:val="en-US" w:eastAsia="en-US" w:bidi="en-US"/>
      </w:rPr>
    </w:lvl>
    <w:lvl w:ilvl="4" w:tplc="FE42E3F2">
      <w:numFmt w:val="bullet"/>
      <w:lvlText w:val="•"/>
      <w:lvlJc w:val="left"/>
      <w:pPr>
        <w:ind w:left="4024" w:hanging="361"/>
      </w:pPr>
      <w:rPr>
        <w:rFonts w:hint="default"/>
        <w:lang w:val="en-US" w:eastAsia="en-US" w:bidi="en-US"/>
      </w:rPr>
    </w:lvl>
    <w:lvl w:ilvl="5" w:tplc="5994F71A">
      <w:numFmt w:val="bullet"/>
      <w:lvlText w:val="•"/>
      <w:lvlJc w:val="left"/>
      <w:pPr>
        <w:ind w:left="4825" w:hanging="361"/>
      </w:pPr>
      <w:rPr>
        <w:rFonts w:hint="default"/>
        <w:lang w:val="en-US" w:eastAsia="en-US" w:bidi="en-US"/>
      </w:rPr>
    </w:lvl>
    <w:lvl w:ilvl="6" w:tplc="22A206B6">
      <w:numFmt w:val="bullet"/>
      <w:lvlText w:val="•"/>
      <w:lvlJc w:val="left"/>
      <w:pPr>
        <w:ind w:left="5626" w:hanging="361"/>
      </w:pPr>
      <w:rPr>
        <w:rFonts w:hint="default"/>
        <w:lang w:val="en-US" w:eastAsia="en-US" w:bidi="en-US"/>
      </w:rPr>
    </w:lvl>
    <w:lvl w:ilvl="7" w:tplc="DF96F8DA">
      <w:numFmt w:val="bullet"/>
      <w:lvlText w:val="•"/>
      <w:lvlJc w:val="left"/>
      <w:pPr>
        <w:ind w:left="6428" w:hanging="361"/>
      </w:pPr>
      <w:rPr>
        <w:rFonts w:hint="default"/>
        <w:lang w:val="en-US" w:eastAsia="en-US" w:bidi="en-US"/>
      </w:rPr>
    </w:lvl>
    <w:lvl w:ilvl="8" w:tplc="8B80139A">
      <w:numFmt w:val="bullet"/>
      <w:lvlText w:val="•"/>
      <w:lvlJc w:val="left"/>
      <w:pPr>
        <w:ind w:left="7229" w:hanging="361"/>
      </w:pPr>
      <w:rPr>
        <w:rFonts w:hint="default"/>
        <w:lang w:val="en-US" w:eastAsia="en-US" w:bidi="en-US"/>
      </w:rPr>
    </w:lvl>
  </w:abstractNum>
  <w:abstractNum w:abstractNumId="39" w15:restartNumberingAfterBreak="0">
    <w:nsid w:val="49B6224B"/>
    <w:multiLevelType w:val="hybridMultilevel"/>
    <w:tmpl w:val="02B29F86"/>
    <w:lvl w:ilvl="0" w:tplc="4AF275C2">
      <w:start w:val="1"/>
      <w:numFmt w:val="decimal"/>
      <w:lvlText w:val="1.%1"/>
      <w:lvlJc w:val="left"/>
      <w:pPr>
        <w:ind w:left="770" w:hanging="360"/>
      </w:pPr>
      <w:rPr>
        <w:rFonts w:hint="default"/>
        <w:b w:val="0"/>
        <w:bCs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0" w15:restartNumberingAfterBreak="0">
    <w:nsid w:val="4A7247F7"/>
    <w:multiLevelType w:val="hybridMultilevel"/>
    <w:tmpl w:val="04F80F3C"/>
    <w:lvl w:ilvl="0" w:tplc="B76AEB6A">
      <w:numFmt w:val="bullet"/>
      <w:lvlText w:val="-"/>
      <w:lvlJc w:val="left"/>
      <w:pPr>
        <w:ind w:left="820" w:hanging="361"/>
      </w:pPr>
      <w:rPr>
        <w:rFonts w:ascii="Arial Narrow" w:eastAsia="Arial Narrow" w:hAnsi="Arial Narrow" w:cs="Arial Narrow" w:hint="default"/>
        <w:color w:val="175261"/>
        <w:w w:val="100"/>
        <w:sz w:val="22"/>
        <w:szCs w:val="22"/>
        <w:lang w:val="en-US" w:eastAsia="en-US" w:bidi="en-US"/>
      </w:rPr>
    </w:lvl>
    <w:lvl w:ilvl="1" w:tplc="0568AE4E">
      <w:numFmt w:val="bullet"/>
      <w:lvlText w:val="•"/>
      <w:lvlJc w:val="left"/>
      <w:pPr>
        <w:ind w:left="1621" w:hanging="361"/>
      </w:pPr>
      <w:rPr>
        <w:rFonts w:hint="default"/>
        <w:lang w:val="en-US" w:eastAsia="en-US" w:bidi="en-US"/>
      </w:rPr>
    </w:lvl>
    <w:lvl w:ilvl="2" w:tplc="9B7C8FEC">
      <w:numFmt w:val="bullet"/>
      <w:lvlText w:val="•"/>
      <w:lvlJc w:val="left"/>
      <w:pPr>
        <w:ind w:left="2422" w:hanging="361"/>
      </w:pPr>
      <w:rPr>
        <w:rFonts w:hint="default"/>
        <w:lang w:val="en-US" w:eastAsia="en-US" w:bidi="en-US"/>
      </w:rPr>
    </w:lvl>
    <w:lvl w:ilvl="3" w:tplc="E9FCF52E">
      <w:numFmt w:val="bullet"/>
      <w:lvlText w:val="•"/>
      <w:lvlJc w:val="left"/>
      <w:pPr>
        <w:ind w:left="3223" w:hanging="361"/>
      </w:pPr>
      <w:rPr>
        <w:rFonts w:hint="default"/>
        <w:lang w:val="en-US" w:eastAsia="en-US" w:bidi="en-US"/>
      </w:rPr>
    </w:lvl>
    <w:lvl w:ilvl="4" w:tplc="8048D4EA">
      <w:numFmt w:val="bullet"/>
      <w:lvlText w:val="•"/>
      <w:lvlJc w:val="left"/>
      <w:pPr>
        <w:ind w:left="4024" w:hanging="361"/>
      </w:pPr>
      <w:rPr>
        <w:rFonts w:hint="default"/>
        <w:lang w:val="en-US" w:eastAsia="en-US" w:bidi="en-US"/>
      </w:rPr>
    </w:lvl>
    <w:lvl w:ilvl="5" w:tplc="B7326C56">
      <w:numFmt w:val="bullet"/>
      <w:lvlText w:val="•"/>
      <w:lvlJc w:val="left"/>
      <w:pPr>
        <w:ind w:left="4825" w:hanging="361"/>
      </w:pPr>
      <w:rPr>
        <w:rFonts w:hint="default"/>
        <w:lang w:val="en-US" w:eastAsia="en-US" w:bidi="en-US"/>
      </w:rPr>
    </w:lvl>
    <w:lvl w:ilvl="6" w:tplc="B2D670C0">
      <w:numFmt w:val="bullet"/>
      <w:lvlText w:val="•"/>
      <w:lvlJc w:val="left"/>
      <w:pPr>
        <w:ind w:left="5626" w:hanging="361"/>
      </w:pPr>
      <w:rPr>
        <w:rFonts w:hint="default"/>
        <w:lang w:val="en-US" w:eastAsia="en-US" w:bidi="en-US"/>
      </w:rPr>
    </w:lvl>
    <w:lvl w:ilvl="7" w:tplc="DD7C81BA">
      <w:numFmt w:val="bullet"/>
      <w:lvlText w:val="•"/>
      <w:lvlJc w:val="left"/>
      <w:pPr>
        <w:ind w:left="6428" w:hanging="361"/>
      </w:pPr>
      <w:rPr>
        <w:rFonts w:hint="default"/>
        <w:lang w:val="en-US" w:eastAsia="en-US" w:bidi="en-US"/>
      </w:rPr>
    </w:lvl>
    <w:lvl w:ilvl="8" w:tplc="1AEAEAC8">
      <w:numFmt w:val="bullet"/>
      <w:lvlText w:val="•"/>
      <w:lvlJc w:val="left"/>
      <w:pPr>
        <w:ind w:left="7229" w:hanging="361"/>
      </w:pPr>
      <w:rPr>
        <w:rFonts w:hint="default"/>
        <w:lang w:val="en-US" w:eastAsia="en-US" w:bidi="en-US"/>
      </w:rPr>
    </w:lvl>
  </w:abstractNum>
  <w:abstractNum w:abstractNumId="41" w15:restartNumberingAfterBreak="0">
    <w:nsid w:val="4CFE60E6"/>
    <w:multiLevelType w:val="hybridMultilevel"/>
    <w:tmpl w:val="061E1F26"/>
    <w:lvl w:ilvl="0" w:tplc="617084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5268CD"/>
    <w:multiLevelType w:val="multilevel"/>
    <w:tmpl w:val="6B10BCB2"/>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F830CAD"/>
    <w:multiLevelType w:val="hybridMultilevel"/>
    <w:tmpl w:val="017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6B2883"/>
    <w:multiLevelType w:val="hybridMultilevel"/>
    <w:tmpl w:val="ECDA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A224F7"/>
    <w:multiLevelType w:val="hybridMultilevel"/>
    <w:tmpl w:val="EE6A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B24710"/>
    <w:multiLevelType w:val="hybridMultilevel"/>
    <w:tmpl w:val="0E202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B144DFB"/>
    <w:multiLevelType w:val="hybridMultilevel"/>
    <w:tmpl w:val="9176CAA2"/>
    <w:lvl w:ilvl="0" w:tplc="04090019">
      <w:start w:val="1"/>
      <w:numFmt w:val="lowerLetter"/>
      <w:lvlText w:val="%1."/>
      <w:lvlJc w:val="left"/>
      <w:pPr>
        <w:ind w:left="288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5F1E5133"/>
    <w:multiLevelType w:val="hybridMultilevel"/>
    <w:tmpl w:val="2FA2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BB7119"/>
    <w:multiLevelType w:val="hybridMultilevel"/>
    <w:tmpl w:val="7DDCD7C8"/>
    <w:lvl w:ilvl="0" w:tplc="0A1C57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296B86"/>
    <w:multiLevelType w:val="hybridMultilevel"/>
    <w:tmpl w:val="6C485E3A"/>
    <w:lvl w:ilvl="0" w:tplc="2C70106A">
      <w:numFmt w:val="bullet"/>
      <w:lvlText w:val="-"/>
      <w:lvlJc w:val="left"/>
      <w:pPr>
        <w:ind w:left="820" w:hanging="361"/>
      </w:pPr>
      <w:rPr>
        <w:rFonts w:ascii="Arial Narrow" w:eastAsia="Arial Narrow" w:hAnsi="Arial Narrow" w:cs="Arial Narrow" w:hint="default"/>
        <w:color w:val="175261"/>
        <w:w w:val="100"/>
        <w:sz w:val="22"/>
        <w:szCs w:val="22"/>
        <w:lang w:val="en-US" w:eastAsia="en-US" w:bidi="en-US"/>
      </w:rPr>
    </w:lvl>
    <w:lvl w:ilvl="1" w:tplc="01044068">
      <w:numFmt w:val="bullet"/>
      <w:lvlText w:val="•"/>
      <w:lvlJc w:val="left"/>
      <w:pPr>
        <w:ind w:left="1621" w:hanging="361"/>
      </w:pPr>
      <w:rPr>
        <w:rFonts w:hint="default"/>
        <w:lang w:val="en-US" w:eastAsia="en-US" w:bidi="en-US"/>
      </w:rPr>
    </w:lvl>
    <w:lvl w:ilvl="2" w:tplc="34B09BDA">
      <w:numFmt w:val="bullet"/>
      <w:lvlText w:val="•"/>
      <w:lvlJc w:val="left"/>
      <w:pPr>
        <w:ind w:left="2422" w:hanging="361"/>
      </w:pPr>
      <w:rPr>
        <w:rFonts w:hint="default"/>
        <w:lang w:val="en-US" w:eastAsia="en-US" w:bidi="en-US"/>
      </w:rPr>
    </w:lvl>
    <w:lvl w:ilvl="3" w:tplc="88688728">
      <w:numFmt w:val="bullet"/>
      <w:lvlText w:val="•"/>
      <w:lvlJc w:val="left"/>
      <w:pPr>
        <w:ind w:left="3223" w:hanging="361"/>
      </w:pPr>
      <w:rPr>
        <w:rFonts w:hint="default"/>
        <w:lang w:val="en-US" w:eastAsia="en-US" w:bidi="en-US"/>
      </w:rPr>
    </w:lvl>
    <w:lvl w:ilvl="4" w:tplc="84CE594E">
      <w:numFmt w:val="bullet"/>
      <w:lvlText w:val="•"/>
      <w:lvlJc w:val="left"/>
      <w:pPr>
        <w:ind w:left="4024" w:hanging="361"/>
      </w:pPr>
      <w:rPr>
        <w:rFonts w:hint="default"/>
        <w:lang w:val="en-US" w:eastAsia="en-US" w:bidi="en-US"/>
      </w:rPr>
    </w:lvl>
    <w:lvl w:ilvl="5" w:tplc="A26A4792">
      <w:numFmt w:val="bullet"/>
      <w:lvlText w:val="•"/>
      <w:lvlJc w:val="left"/>
      <w:pPr>
        <w:ind w:left="4825" w:hanging="361"/>
      </w:pPr>
      <w:rPr>
        <w:rFonts w:hint="default"/>
        <w:lang w:val="en-US" w:eastAsia="en-US" w:bidi="en-US"/>
      </w:rPr>
    </w:lvl>
    <w:lvl w:ilvl="6" w:tplc="10BC44DC">
      <w:numFmt w:val="bullet"/>
      <w:lvlText w:val="•"/>
      <w:lvlJc w:val="left"/>
      <w:pPr>
        <w:ind w:left="5626" w:hanging="361"/>
      </w:pPr>
      <w:rPr>
        <w:rFonts w:hint="default"/>
        <w:lang w:val="en-US" w:eastAsia="en-US" w:bidi="en-US"/>
      </w:rPr>
    </w:lvl>
    <w:lvl w:ilvl="7" w:tplc="FDC03840">
      <w:numFmt w:val="bullet"/>
      <w:lvlText w:val="•"/>
      <w:lvlJc w:val="left"/>
      <w:pPr>
        <w:ind w:left="6428" w:hanging="361"/>
      </w:pPr>
      <w:rPr>
        <w:rFonts w:hint="default"/>
        <w:lang w:val="en-US" w:eastAsia="en-US" w:bidi="en-US"/>
      </w:rPr>
    </w:lvl>
    <w:lvl w:ilvl="8" w:tplc="6CA46FDC">
      <w:numFmt w:val="bullet"/>
      <w:lvlText w:val="•"/>
      <w:lvlJc w:val="left"/>
      <w:pPr>
        <w:ind w:left="7229" w:hanging="361"/>
      </w:pPr>
      <w:rPr>
        <w:rFonts w:hint="default"/>
        <w:lang w:val="en-US" w:eastAsia="en-US" w:bidi="en-US"/>
      </w:rPr>
    </w:lvl>
  </w:abstractNum>
  <w:abstractNum w:abstractNumId="51" w15:restartNumberingAfterBreak="0">
    <w:nsid w:val="63BA178A"/>
    <w:multiLevelType w:val="hybridMultilevel"/>
    <w:tmpl w:val="8F30C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52" w15:restartNumberingAfterBreak="0">
    <w:nsid w:val="69357280"/>
    <w:multiLevelType w:val="hybridMultilevel"/>
    <w:tmpl w:val="BC06B25A"/>
    <w:lvl w:ilvl="0" w:tplc="D9AAEFAA">
      <w:numFmt w:val="bullet"/>
      <w:lvlText w:val="-"/>
      <w:lvlJc w:val="left"/>
      <w:pPr>
        <w:ind w:left="820" w:hanging="361"/>
      </w:pPr>
      <w:rPr>
        <w:rFonts w:ascii="Arial Narrow" w:eastAsia="Arial Narrow" w:hAnsi="Arial Narrow" w:cs="Arial Narrow" w:hint="default"/>
        <w:color w:val="175261"/>
        <w:w w:val="100"/>
        <w:sz w:val="22"/>
        <w:szCs w:val="22"/>
        <w:lang w:val="en-US" w:eastAsia="en-US" w:bidi="en-US"/>
      </w:rPr>
    </w:lvl>
    <w:lvl w:ilvl="1" w:tplc="CFBAAC8C">
      <w:numFmt w:val="bullet"/>
      <w:lvlText w:val="•"/>
      <w:lvlJc w:val="left"/>
      <w:pPr>
        <w:ind w:left="1656" w:hanging="361"/>
      </w:pPr>
      <w:rPr>
        <w:rFonts w:hint="default"/>
        <w:lang w:val="en-US" w:eastAsia="en-US" w:bidi="en-US"/>
      </w:rPr>
    </w:lvl>
    <w:lvl w:ilvl="2" w:tplc="10922084">
      <w:numFmt w:val="bullet"/>
      <w:lvlText w:val="•"/>
      <w:lvlJc w:val="left"/>
      <w:pPr>
        <w:ind w:left="2493" w:hanging="361"/>
      </w:pPr>
      <w:rPr>
        <w:rFonts w:hint="default"/>
        <w:lang w:val="en-US" w:eastAsia="en-US" w:bidi="en-US"/>
      </w:rPr>
    </w:lvl>
    <w:lvl w:ilvl="3" w:tplc="EB4A1898">
      <w:numFmt w:val="bullet"/>
      <w:lvlText w:val="•"/>
      <w:lvlJc w:val="left"/>
      <w:pPr>
        <w:ind w:left="3330" w:hanging="361"/>
      </w:pPr>
      <w:rPr>
        <w:rFonts w:hint="default"/>
        <w:lang w:val="en-US" w:eastAsia="en-US" w:bidi="en-US"/>
      </w:rPr>
    </w:lvl>
    <w:lvl w:ilvl="4" w:tplc="F6E6734C">
      <w:numFmt w:val="bullet"/>
      <w:lvlText w:val="•"/>
      <w:lvlJc w:val="left"/>
      <w:pPr>
        <w:ind w:left="4167" w:hanging="361"/>
      </w:pPr>
      <w:rPr>
        <w:rFonts w:hint="default"/>
        <w:lang w:val="en-US" w:eastAsia="en-US" w:bidi="en-US"/>
      </w:rPr>
    </w:lvl>
    <w:lvl w:ilvl="5" w:tplc="9C4A601C">
      <w:numFmt w:val="bullet"/>
      <w:lvlText w:val="•"/>
      <w:lvlJc w:val="left"/>
      <w:pPr>
        <w:ind w:left="5004" w:hanging="361"/>
      </w:pPr>
      <w:rPr>
        <w:rFonts w:hint="default"/>
        <w:lang w:val="en-US" w:eastAsia="en-US" w:bidi="en-US"/>
      </w:rPr>
    </w:lvl>
    <w:lvl w:ilvl="6" w:tplc="89B08B38">
      <w:numFmt w:val="bullet"/>
      <w:lvlText w:val="•"/>
      <w:lvlJc w:val="left"/>
      <w:pPr>
        <w:ind w:left="5841" w:hanging="361"/>
      </w:pPr>
      <w:rPr>
        <w:rFonts w:hint="default"/>
        <w:lang w:val="en-US" w:eastAsia="en-US" w:bidi="en-US"/>
      </w:rPr>
    </w:lvl>
    <w:lvl w:ilvl="7" w:tplc="8E108A3C">
      <w:numFmt w:val="bullet"/>
      <w:lvlText w:val="•"/>
      <w:lvlJc w:val="left"/>
      <w:pPr>
        <w:ind w:left="6677" w:hanging="361"/>
      </w:pPr>
      <w:rPr>
        <w:rFonts w:hint="default"/>
        <w:lang w:val="en-US" w:eastAsia="en-US" w:bidi="en-US"/>
      </w:rPr>
    </w:lvl>
    <w:lvl w:ilvl="8" w:tplc="B17C7BEA">
      <w:numFmt w:val="bullet"/>
      <w:lvlText w:val="•"/>
      <w:lvlJc w:val="left"/>
      <w:pPr>
        <w:ind w:left="7514" w:hanging="361"/>
      </w:pPr>
      <w:rPr>
        <w:rFonts w:hint="default"/>
        <w:lang w:val="en-US" w:eastAsia="en-US" w:bidi="en-US"/>
      </w:rPr>
    </w:lvl>
  </w:abstractNum>
  <w:abstractNum w:abstractNumId="53" w15:restartNumberingAfterBreak="0">
    <w:nsid w:val="6BA849F3"/>
    <w:multiLevelType w:val="hybridMultilevel"/>
    <w:tmpl w:val="2254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5362B7"/>
    <w:multiLevelType w:val="hybridMultilevel"/>
    <w:tmpl w:val="B4E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E1039B"/>
    <w:multiLevelType w:val="hybridMultilevel"/>
    <w:tmpl w:val="B616F81A"/>
    <w:lvl w:ilvl="0" w:tplc="8D4C03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6A79CE"/>
    <w:multiLevelType w:val="hybridMultilevel"/>
    <w:tmpl w:val="6278F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5C740C"/>
    <w:multiLevelType w:val="multilevel"/>
    <w:tmpl w:val="6B10BCB2"/>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7"/>
  </w:num>
  <w:num w:numId="2">
    <w:abstractNumId w:val="44"/>
  </w:num>
  <w:num w:numId="3">
    <w:abstractNumId w:val="13"/>
  </w:num>
  <w:num w:numId="4">
    <w:abstractNumId w:val="6"/>
  </w:num>
  <w:num w:numId="5">
    <w:abstractNumId w:val="36"/>
  </w:num>
  <w:num w:numId="6">
    <w:abstractNumId w:val="42"/>
  </w:num>
  <w:num w:numId="7">
    <w:abstractNumId w:val="29"/>
  </w:num>
  <w:num w:numId="8">
    <w:abstractNumId w:val="17"/>
  </w:num>
  <w:num w:numId="9">
    <w:abstractNumId w:val="55"/>
  </w:num>
  <w:num w:numId="10">
    <w:abstractNumId w:val="11"/>
  </w:num>
  <w:num w:numId="11">
    <w:abstractNumId w:val="54"/>
  </w:num>
  <w:num w:numId="12">
    <w:abstractNumId w:val="12"/>
  </w:num>
  <w:num w:numId="13">
    <w:abstractNumId w:val="30"/>
  </w:num>
  <w:num w:numId="14">
    <w:abstractNumId w:val="9"/>
  </w:num>
  <w:num w:numId="15">
    <w:abstractNumId w:val="51"/>
  </w:num>
  <w:num w:numId="16">
    <w:abstractNumId w:val="23"/>
  </w:num>
  <w:num w:numId="17">
    <w:abstractNumId w:val="49"/>
  </w:num>
  <w:num w:numId="18">
    <w:abstractNumId w:val="46"/>
  </w:num>
  <w:num w:numId="19">
    <w:abstractNumId w:val="45"/>
  </w:num>
  <w:num w:numId="20">
    <w:abstractNumId w:val="5"/>
  </w:num>
  <w:num w:numId="21">
    <w:abstractNumId w:val="25"/>
  </w:num>
  <w:num w:numId="22">
    <w:abstractNumId w:val="47"/>
  </w:num>
  <w:num w:numId="23">
    <w:abstractNumId w:val="15"/>
  </w:num>
  <w:num w:numId="24">
    <w:abstractNumId w:val="28"/>
  </w:num>
  <w:num w:numId="25">
    <w:abstractNumId w:val="33"/>
  </w:num>
  <w:num w:numId="26">
    <w:abstractNumId w:val="0"/>
  </w:num>
  <w:num w:numId="27">
    <w:abstractNumId w:val="1"/>
  </w:num>
  <w:num w:numId="28">
    <w:abstractNumId w:val="3"/>
  </w:num>
  <w:num w:numId="29">
    <w:abstractNumId w:val="16"/>
  </w:num>
  <w:num w:numId="30">
    <w:abstractNumId w:val="24"/>
  </w:num>
  <w:num w:numId="31">
    <w:abstractNumId w:val="41"/>
  </w:num>
  <w:num w:numId="32">
    <w:abstractNumId w:val="56"/>
  </w:num>
  <w:num w:numId="33">
    <w:abstractNumId w:val="21"/>
  </w:num>
  <w:num w:numId="34">
    <w:abstractNumId w:val="22"/>
  </w:num>
  <w:num w:numId="35">
    <w:abstractNumId w:val="35"/>
  </w:num>
  <w:num w:numId="36">
    <w:abstractNumId w:val="26"/>
  </w:num>
  <w:num w:numId="37">
    <w:abstractNumId w:val="38"/>
  </w:num>
  <w:num w:numId="38">
    <w:abstractNumId w:val="32"/>
  </w:num>
  <w:num w:numId="39">
    <w:abstractNumId w:val="50"/>
  </w:num>
  <w:num w:numId="40">
    <w:abstractNumId w:val="40"/>
  </w:num>
  <w:num w:numId="41">
    <w:abstractNumId w:val="34"/>
  </w:num>
  <w:num w:numId="42">
    <w:abstractNumId w:val="52"/>
  </w:num>
  <w:num w:numId="43">
    <w:abstractNumId w:val="14"/>
  </w:num>
  <w:num w:numId="44">
    <w:abstractNumId w:val="7"/>
  </w:num>
  <w:num w:numId="45">
    <w:abstractNumId w:val="37"/>
  </w:num>
  <w:num w:numId="46">
    <w:abstractNumId w:val="19"/>
  </w:num>
  <w:num w:numId="47">
    <w:abstractNumId w:val="4"/>
  </w:num>
  <w:num w:numId="48">
    <w:abstractNumId w:val="20"/>
  </w:num>
  <w:num w:numId="49">
    <w:abstractNumId w:val="27"/>
  </w:num>
  <w:num w:numId="50">
    <w:abstractNumId w:val="39"/>
  </w:num>
  <w:num w:numId="51">
    <w:abstractNumId w:val="8"/>
  </w:num>
  <w:num w:numId="52">
    <w:abstractNumId w:val="18"/>
  </w:num>
  <w:num w:numId="53">
    <w:abstractNumId w:val="53"/>
  </w:num>
  <w:num w:numId="54">
    <w:abstractNumId w:val="2"/>
  </w:num>
  <w:num w:numId="55">
    <w:abstractNumId w:val="43"/>
  </w:num>
  <w:num w:numId="56">
    <w:abstractNumId w:val="48"/>
  </w:num>
  <w:num w:numId="57">
    <w:abstractNumId w:val="31"/>
  </w:num>
  <w:num w:numId="58">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TYwtDABMk0NjJR0lIJTi4sz8/NACoxqAUmrHTgsAAAA"/>
  </w:docVars>
  <w:rsids>
    <w:rsidRoot w:val="00F415BB"/>
    <w:rsid w:val="00000448"/>
    <w:rsid w:val="000013BF"/>
    <w:rsid w:val="00002505"/>
    <w:rsid w:val="000046B5"/>
    <w:rsid w:val="000051D0"/>
    <w:rsid w:val="00006CED"/>
    <w:rsid w:val="000114B4"/>
    <w:rsid w:val="00011C68"/>
    <w:rsid w:val="0001268A"/>
    <w:rsid w:val="00012786"/>
    <w:rsid w:val="000179D7"/>
    <w:rsid w:val="00020F56"/>
    <w:rsid w:val="000236B5"/>
    <w:rsid w:val="00027B0E"/>
    <w:rsid w:val="0003072A"/>
    <w:rsid w:val="00031D7D"/>
    <w:rsid w:val="000330F7"/>
    <w:rsid w:val="0003486B"/>
    <w:rsid w:val="000413C0"/>
    <w:rsid w:val="0004271C"/>
    <w:rsid w:val="0004374F"/>
    <w:rsid w:val="00045DA6"/>
    <w:rsid w:val="00046393"/>
    <w:rsid w:val="000463CB"/>
    <w:rsid w:val="00050158"/>
    <w:rsid w:val="00051342"/>
    <w:rsid w:val="00052452"/>
    <w:rsid w:val="000544E8"/>
    <w:rsid w:val="000546F4"/>
    <w:rsid w:val="00056618"/>
    <w:rsid w:val="0006029D"/>
    <w:rsid w:val="00060CA7"/>
    <w:rsid w:val="000617CE"/>
    <w:rsid w:val="00062070"/>
    <w:rsid w:val="00066252"/>
    <w:rsid w:val="000735F1"/>
    <w:rsid w:val="000738EA"/>
    <w:rsid w:val="00073C58"/>
    <w:rsid w:val="00073E1E"/>
    <w:rsid w:val="000759FC"/>
    <w:rsid w:val="00077484"/>
    <w:rsid w:val="00077C4F"/>
    <w:rsid w:val="00077E9A"/>
    <w:rsid w:val="00077FCB"/>
    <w:rsid w:val="000820AA"/>
    <w:rsid w:val="00084967"/>
    <w:rsid w:val="00085542"/>
    <w:rsid w:val="00085A10"/>
    <w:rsid w:val="00087C7D"/>
    <w:rsid w:val="00090B4D"/>
    <w:rsid w:val="0009133B"/>
    <w:rsid w:val="000934F0"/>
    <w:rsid w:val="00093D70"/>
    <w:rsid w:val="000945A9"/>
    <w:rsid w:val="00094AE2"/>
    <w:rsid w:val="000A0191"/>
    <w:rsid w:val="000A137F"/>
    <w:rsid w:val="000A177A"/>
    <w:rsid w:val="000A3B94"/>
    <w:rsid w:val="000A45E6"/>
    <w:rsid w:val="000A4A00"/>
    <w:rsid w:val="000A5EB1"/>
    <w:rsid w:val="000A7361"/>
    <w:rsid w:val="000B0BE8"/>
    <w:rsid w:val="000B68A3"/>
    <w:rsid w:val="000B6EE9"/>
    <w:rsid w:val="000B6FF6"/>
    <w:rsid w:val="000C18E1"/>
    <w:rsid w:val="000C3CC0"/>
    <w:rsid w:val="000C4100"/>
    <w:rsid w:val="000C4B0A"/>
    <w:rsid w:val="000C66A2"/>
    <w:rsid w:val="000D1DD0"/>
    <w:rsid w:val="000D2426"/>
    <w:rsid w:val="000D2B23"/>
    <w:rsid w:val="000D414D"/>
    <w:rsid w:val="000D46C4"/>
    <w:rsid w:val="000D55D3"/>
    <w:rsid w:val="000D57F3"/>
    <w:rsid w:val="000D5E42"/>
    <w:rsid w:val="000D7548"/>
    <w:rsid w:val="000E03D6"/>
    <w:rsid w:val="000E1406"/>
    <w:rsid w:val="000E1AF9"/>
    <w:rsid w:val="000E22B9"/>
    <w:rsid w:val="000E2CCD"/>
    <w:rsid w:val="000E537F"/>
    <w:rsid w:val="000E6B2E"/>
    <w:rsid w:val="000F0369"/>
    <w:rsid w:val="000F1619"/>
    <w:rsid w:val="000F1EA5"/>
    <w:rsid w:val="000F2890"/>
    <w:rsid w:val="000F3524"/>
    <w:rsid w:val="000F77BE"/>
    <w:rsid w:val="00100220"/>
    <w:rsid w:val="0010130A"/>
    <w:rsid w:val="001028D1"/>
    <w:rsid w:val="0010307B"/>
    <w:rsid w:val="00103C63"/>
    <w:rsid w:val="00104CA6"/>
    <w:rsid w:val="00106728"/>
    <w:rsid w:val="00110906"/>
    <w:rsid w:val="00110C00"/>
    <w:rsid w:val="00111781"/>
    <w:rsid w:val="0011212B"/>
    <w:rsid w:val="0011457C"/>
    <w:rsid w:val="0011779E"/>
    <w:rsid w:val="0012381A"/>
    <w:rsid w:val="0012453B"/>
    <w:rsid w:val="00124BBF"/>
    <w:rsid w:val="0013032F"/>
    <w:rsid w:val="00131550"/>
    <w:rsid w:val="001320DC"/>
    <w:rsid w:val="001326A7"/>
    <w:rsid w:val="0013285A"/>
    <w:rsid w:val="00135CBD"/>
    <w:rsid w:val="00137580"/>
    <w:rsid w:val="0014460A"/>
    <w:rsid w:val="0014685A"/>
    <w:rsid w:val="0014705D"/>
    <w:rsid w:val="00150AC4"/>
    <w:rsid w:val="00150CB7"/>
    <w:rsid w:val="001516AC"/>
    <w:rsid w:val="0015268D"/>
    <w:rsid w:val="0015410A"/>
    <w:rsid w:val="00156546"/>
    <w:rsid w:val="001624D6"/>
    <w:rsid w:val="00162613"/>
    <w:rsid w:val="00162685"/>
    <w:rsid w:val="001633CB"/>
    <w:rsid w:val="00164A85"/>
    <w:rsid w:val="00164A8F"/>
    <w:rsid w:val="001661DD"/>
    <w:rsid w:val="001667E7"/>
    <w:rsid w:val="0016693F"/>
    <w:rsid w:val="00167432"/>
    <w:rsid w:val="00170D12"/>
    <w:rsid w:val="00171926"/>
    <w:rsid w:val="0017315E"/>
    <w:rsid w:val="00173C8C"/>
    <w:rsid w:val="00173C8E"/>
    <w:rsid w:val="0017438D"/>
    <w:rsid w:val="00175463"/>
    <w:rsid w:val="00175A1C"/>
    <w:rsid w:val="00175E37"/>
    <w:rsid w:val="00176198"/>
    <w:rsid w:val="00180358"/>
    <w:rsid w:val="00181DFD"/>
    <w:rsid w:val="001820D7"/>
    <w:rsid w:val="001820F8"/>
    <w:rsid w:val="0018236E"/>
    <w:rsid w:val="001823B3"/>
    <w:rsid w:val="00182B5D"/>
    <w:rsid w:val="001831B4"/>
    <w:rsid w:val="001861A1"/>
    <w:rsid w:val="00187413"/>
    <w:rsid w:val="00187FBD"/>
    <w:rsid w:val="0019053C"/>
    <w:rsid w:val="001906B7"/>
    <w:rsid w:val="00190B9E"/>
    <w:rsid w:val="00192955"/>
    <w:rsid w:val="001940A8"/>
    <w:rsid w:val="00197DDF"/>
    <w:rsid w:val="00197E4E"/>
    <w:rsid w:val="001A127C"/>
    <w:rsid w:val="001A17EE"/>
    <w:rsid w:val="001A1911"/>
    <w:rsid w:val="001A3A17"/>
    <w:rsid w:val="001A403A"/>
    <w:rsid w:val="001A55D2"/>
    <w:rsid w:val="001A58F1"/>
    <w:rsid w:val="001B0898"/>
    <w:rsid w:val="001B0C01"/>
    <w:rsid w:val="001B6AE0"/>
    <w:rsid w:val="001B740F"/>
    <w:rsid w:val="001B7585"/>
    <w:rsid w:val="001C11C8"/>
    <w:rsid w:val="001C3009"/>
    <w:rsid w:val="001C39E0"/>
    <w:rsid w:val="001C57B9"/>
    <w:rsid w:val="001C5D22"/>
    <w:rsid w:val="001C608A"/>
    <w:rsid w:val="001C71D6"/>
    <w:rsid w:val="001C778B"/>
    <w:rsid w:val="001C7D7B"/>
    <w:rsid w:val="001C7FBA"/>
    <w:rsid w:val="001D10F5"/>
    <w:rsid w:val="001D1403"/>
    <w:rsid w:val="001D3BDB"/>
    <w:rsid w:val="001D5BD0"/>
    <w:rsid w:val="001D60E7"/>
    <w:rsid w:val="001D6352"/>
    <w:rsid w:val="001E1B20"/>
    <w:rsid w:val="001E326A"/>
    <w:rsid w:val="001E3D19"/>
    <w:rsid w:val="001E5B5A"/>
    <w:rsid w:val="001E5F50"/>
    <w:rsid w:val="001F1C44"/>
    <w:rsid w:val="001F541E"/>
    <w:rsid w:val="001F60A5"/>
    <w:rsid w:val="001F694C"/>
    <w:rsid w:val="001F7B19"/>
    <w:rsid w:val="00200892"/>
    <w:rsid w:val="00204ACB"/>
    <w:rsid w:val="00204B5C"/>
    <w:rsid w:val="0020570F"/>
    <w:rsid w:val="0020686F"/>
    <w:rsid w:val="00206A10"/>
    <w:rsid w:val="002100B3"/>
    <w:rsid w:val="00211023"/>
    <w:rsid w:val="00212B20"/>
    <w:rsid w:val="00212FE9"/>
    <w:rsid w:val="00215484"/>
    <w:rsid w:val="00216B28"/>
    <w:rsid w:val="00217421"/>
    <w:rsid w:val="00217FAA"/>
    <w:rsid w:val="0022097A"/>
    <w:rsid w:val="00221803"/>
    <w:rsid w:val="00221D6B"/>
    <w:rsid w:val="00222569"/>
    <w:rsid w:val="00222DAB"/>
    <w:rsid w:val="002231E6"/>
    <w:rsid w:val="00223F43"/>
    <w:rsid w:val="002245FC"/>
    <w:rsid w:val="00225B0D"/>
    <w:rsid w:val="00227412"/>
    <w:rsid w:val="002274CE"/>
    <w:rsid w:val="0022771A"/>
    <w:rsid w:val="00227865"/>
    <w:rsid w:val="002310EA"/>
    <w:rsid w:val="002312FD"/>
    <w:rsid w:val="00232FCF"/>
    <w:rsid w:val="0023355C"/>
    <w:rsid w:val="00236C89"/>
    <w:rsid w:val="00240312"/>
    <w:rsid w:val="00242CCC"/>
    <w:rsid w:val="0024337F"/>
    <w:rsid w:val="002450B8"/>
    <w:rsid w:val="002451D9"/>
    <w:rsid w:val="002454BB"/>
    <w:rsid w:val="00246CEB"/>
    <w:rsid w:val="00251273"/>
    <w:rsid w:val="00254EB6"/>
    <w:rsid w:val="00255140"/>
    <w:rsid w:val="00255189"/>
    <w:rsid w:val="002554AE"/>
    <w:rsid w:val="00256EBF"/>
    <w:rsid w:val="00257988"/>
    <w:rsid w:val="00257F65"/>
    <w:rsid w:val="002612FB"/>
    <w:rsid w:val="0026328F"/>
    <w:rsid w:val="002700C1"/>
    <w:rsid w:val="0027042B"/>
    <w:rsid w:val="00271060"/>
    <w:rsid w:val="00272830"/>
    <w:rsid w:val="002728D9"/>
    <w:rsid w:val="00275184"/>
    <w:rsid w:val="002766FE"/>
    <w:rsid w:val="00276BD2"/>
    <w:rsid w:val="00286274"/>
    <w:rsid w:val="0028631C"/>
    <w:rsid w:val="00291DD6"/>
    <w:rsid w:val="00292EB7"/>
    <w:rsid w:val="002932A9"/>
    <w:rsid w:val="00294C4E"/>
    <w:rsid w:val="0029544A"/>
    <w:rsid w:val="00295BDA"/>
    <w:rsid w:val="00297257"/>
    <w:rsid w:val="002A001D"/>
    <w:rsid w:val="002A158B"/>
    <w:rsid w:val="002A17CA"/>
    <w:rsid w:val="002A2C87"/>
    <w:rsid w:val="002A4741"/>
    <w:rsid w:val="002B05FC"/>
    <w:rsid w:val="002B1149"/>
    <w:rsid w:val="002B1537"/>
    <w:rsid w:val="002B3C48"/>
    <w:rsid w:val="002B54A6"/>
    <w:rsid w:val="002B5A63"/>
    <w:rsid w:val="002B5DF1"/>
    <w:rsid w:val="002B7428"/>
    <w:rsid w:val="002B743E"/>
    <w:rsid w:val="002B79C3"/>
    <w:rsid w:val="002C2066"/>
    <w:rsid w:val="002C2663"/>
    <w:rsid w:val="002C3456"/>
    <w:rsid w:val="002C62D7"/>
    <w:rsid w:val="002C679D"/>
    <w:rsid w:val="002D0C7F"/>
    <w:rsid w:val="002D159C"/>
    <w:rsid w:val="002D35E5"/>
    <w:rsid w:val="002D5410"/>
    <w:rsid w:val="002D6CF0"/>
    <w:rsid w:val="002E0DAD"/>
    <w:rsid w:val="002E0F17"/>
    <w:rsid w:val="002E1B60"/>
    <w:rsid w:val="002E394E"/>
    <w:rsid w:val="002E5D56"/>
    <w:rsid w:val="002E7CF4"/>
    <w:rsid w:val="002F4182"/>
    <w:rsid w:val="002F5571"/>
    <w:rsid w:val="002F6215"/>
    <w:rsid w:val="002F6DD8"/>
    <w:rsid w:val="002F7A8B"/>
    <w:rsid w:val="00300013"/>
    <w:rsid w:val="00301F3A"/>
    <w:rsid w:val="00303D07"/>
    <w:rsid w:val="00305664"/>
    <w:rsid w:val="003058E8"/>
    <w:rsid w:val="003060EE"/>
    <w:rsid w:val="003114DC"/>
    <w:rsid w:val="00311F23"/>
    <w:rsid w:val="0031237A"/>
    <w:rsid w:val="00314E6C"/>
    <w:rsid w:val="00315A1C"/>
    <w:rsid w:val="00315EFE"/>
    <w:rsid w:val="003168D6"/>
    <w:rsid w:val="00316A7A"/>
    <w:rsid w:val="00320815"/>
    <w:rsid w:val="00320A3F"/>
    <w:rsid w:val="00320CBF"/>
    <w:rsid w:val="0032114C"/>
    <w:rsid w:val="0032297A"/>
    <w:rsid w:val="00323332"/>
    <w:rsid w:val="003240EC"/>
    <w:rsid w:val="003257EA"/>
    <w:rsid w:val="003266F1"/>
    <w:rsid w:val="00326891"/>
    <w:rsid w:val="00327666"/>
    <w:rsid w:val="00327EAF"/>
    <w:rsid w:val="00331423"/>
    <w:rsid w:val="003329DF"/>
    <w:rsid w:val="00332E76"/>
    <w:rsid w:val="0033323E"/>
    <w:rsid w:val="003341BB"/>
    <w:rsid w:val="003348A3"/>
    <w:rsid w:val="00334AFD"/>
    <w:rsid w:val="0033627B"/>
    <w:rsid w:val="00336C3A"/>
    <w:rsid w:val="00337CA3"/>
    <w:rsid w:val="003408D2"/>
    <w:rsid w:val="003409A9"/>
    <w:rsid w:val="00345040"/>
    <w:rsid w:val="00345EF4"/>
    <w:rsid w:val="00346B05"/>
    <w:rsid w:val="003477D9"/>
    <w:rsid w:val="00350748"/>
    <w:rsid w:val="00352522"/>
    <w:rsid w:val="0035641B"/>
    <w:rsid w:val="00356ACC"/>
    <w:rsid w:val="003575C0"/>
    <w:rsid w:val="00362B58"/>
    <w:rsid w:val="0036325B"/>
    <w:rsid w:val="003643D4"/>
    <w:rsid w:val="00365B8C"/>
    <w:rsid w:val="00366809"/>
    <w:rsid w:val="003674D5"/>
    <w:rsid w:val="00370176"/>
    <w:rsid w:val="00370740"/>
    <w:rsid w:val="00372417"/>
    <w:rsid w:val="00372503"/>
    <w:rsid w:val="00373670"/>
    <w:rsid w:val="00373BFC"/>
    <w:rsid w:val="00373C92"/>
    <w:rsid w:val="00380769"/>
    <w:rsid w:val="00381298"/>
    <w:rsid w:val="00382308"/>
    <w:rsid w:val="00382F70"/>
    <w:rsid w:val="00383BE7"/>
    <w:rsid w:val="00385E6C"/>
    <w:rsid w:val="0038751C"/>
    <w:rsid w:val="00391C22"/>
    <w:rsid w:val="00391E79"/>
    <w:rsid w:val="003921B2"/>
    <w:rsid w:val="00392E5D"/>
    <w:rsid w:val="00394126"/>
    <w:rsid w:val="00394B1C"/>
    <w:rsid w:val="00395132"/>
    <w:rsid w:val="003953BC"/>
    <w:rsid w:val="0039591B"/>
    <w:rsid w:val="003A00D0"/>
    <w:rsid w:val="003A04C2"/>
    <w:rsid w:val="003A07C9"/>
    <w:rsid w:val="003A31B1"/>
    <w:rsid w:val="003A36AA"/>
    <w:rsid w:val="003A7259"/>
    <w:rsid w:val="003B1E6A"/>
    <w:rsid w:val="003B28B8"/>
    <w:rsid w:val="003B3C2F"/>
    <w:rsid w:val="003B4827"/>
    <w:rsid w:val="003B4BF2"/>
    <w:rsid w:val="003B6EB2"/>
    <w:rsid w:val="003C1685"/>
    <w:rsid w:val="003C1ACD"/>
    <w:rsid w:val="003C2B67"/>
    <w:rsid w:val="003C376B"/>
    <w:rsid w:val="003C48F6"/>
    <w:rsid w:val="003D0122"/>
    <w:rsid w:val="003D1695"/>
    <w:rsid w:val="003D17EB"/>
    <w:rsid w:val="003D1E11"/>
    <w:rsid w:val="003D2082"/>
    <w:rsid w:val="003D3097"/>
    <w:rsid w:val="003D361E"/>
    <w:rsid w:val="003D390B"/>
    <w:rsid w:val="003D42D8"/>
    <w:rsid w:val="003D4E2A"/>
    <w:rsid w:val="003D4F41"/>
    <w:rsid w:val="003D5173"/>
    <w:rsid w:val="003D694B"/>
    <w:rsid w:val="003D6ECD"/>
    <w:rsid w:val="003D787D"/>
    <w:rsid w:val="003E0A06"/>
    <w:rsid w:val="003E16D2"/>
    <w:rsid w:val="003E2E7C"/>
    <w:rsid w:val="003E3D54"/>
    <w:rsid w:val="003E5136"/>
    <w:rsid w:val="003E7EE7"/>
    <w:rsid w:val="003F013F"/>
    <w:rsid w:val="003F128F"/>
    <w:rsid w:val="003F1413"/>
    <w:rsid w:val="003F2D70"/>
    <w:rsid w:val="003F2D8B"/>
    <w:rsid w:val="003F32BD"/>
    <w:rsid w:val="003F47C5"/>
    <w:rsid w:val="003F59D9"/>
    <w:rsid w:val="003F6CEE"/>
    <w:rsid w:val="003F7944"/>
    <w:rsid w:val="0040256F"/>
    <w:rsid w:val="0040538D"/>
    <w:rsid w:val="004075CC"/>
    <w:rsid w:val="0040798F"/>
    <w:rsid w:val="00413AF5"/>
    <w:rsid w:val="00414AE6"/>
    <w:rsid w:val="00421042"/>
    <w:rsid w:val="00421067"/>
    <w:rsid w:val="004214A2"/>
    <w:rsid w:val="00421650"/>
    <w:rsid w:val="0042233C"/>
    <w:rsid w:val="00425191"/>
    <w:rsid w:val="00425AF7"/>
    <w:rsid w:val="00426134"/>
    <w:rsid w:val="00426497"/>
    <w:rsid w:val="004278F7"/>
    <w:rsid w:val="00433A64"/>
    <w:rsid w:val="00433FF4"/>
    <w:rsid w:val="004340FC"/>
    <w:rsid w:val="0044031A"/>
    <w:rsid w:val="00441BA3"/>
    <w:rsid w:val="00441EC0"/>
    <w:rsid w:val="0044332D"/>
    <w:rsid w:val="004457B5"/>
    <w:rsid w:val="004458DA"/>
    <w:rsid w:val="00445A5F"/>
    <w:rsid w:val="004469D4"/>
    <w:rsid w:val="00446A46"/>
    <w:rsid w:val="004514D3"/>
    <w:rsid w:val="00451944"/>
    <w:rsid w:val="00455A07"/>
    <w:rsid w:val="00457895"/>
    <w:rsid w:val="00461BC5"/>
    <w:rsid w:val="0046259F"/>
    <w:rsid w:val="00462A8E"/>
    <w:rsid w:val="00462ED8"/>
    <w:rsid w:val="00463683"/>
    <w:rsid w:val="00467DCA"/>
    <w:rsid w:val="00470133"/>
    <w:rsid w:val="004703F8"/>
    <w:rsid w:val="00470472"/>
    <w:rsid w:val="00470D73"/>
    <w:rsid w:val="00471878"/>
    <w:rsid w:val="00472670"/>
    <w:rsid w:val="00473A0B"/>
    <w:rsid w:val="004764F7"/>
    <w:rsid w:val="004769F4"/>
    <w:rsid w:val="00476DF4"/>
    <w:rsid w:val="004776D3"/>
    <w:rsid w:val="00481C63"/>
    <w:rsid w:val="004834A2"/>
    <w:rsid w:val="00484010"/>
    <w:rsid w:val="004844F0"/>
    <w:rsid w:val="00486703"/>
    <w:rsid w:val="004876D7"/>
    <w:rsid w:val="00490197"/>
    <w:rsid w:val="0049137E"/>
    <w:rsid w:val="00492584"/>
    <w:rsid w:val="00492792"/>
    <w:rsid w:val="004933B7"/>
    <w:rsid w:val="00495F92"/>
    <w:rsid w:val="00496B41"/>
    <w:rsid w:val="00496C09"/>
    <w:rsid w:val="004970CF"/>
    <w:rsid w:val="004A065F"/>
    <w:rsid w:val="004A24C8"/>
    <w:rsid w:val="004A429A"/>
    <w:rsid w:val="004A46E9"/>
    <w:rsid w:val="004A5148"/>
    <w:rsid w:val="004A64F8"/>
    <w:rsid w:val="004A6766"/>
    <w:rsid w:val="004A6810"/>
    <w:rsid w:val="004A6CAA"/>
    <w:rsid w:val="004B559B"/>
    <w:rsid w:val="004B66A5"/>
    <w:rsid w:val="004B6C4F"/>
    <w:rsid w:val="004B6D80"/>
    <w:rsid w:val="004B754B"/>
    <w:rsid w:val="004C0407"/>
    <w:rsid w:val="004C1CA7"/>
    <w:rsid w:val="004C31C9"/>
    <w:rsid w:val="004C40A8"/>
    <w:rsid w:val="004C5367"/>
    <w:rsid w:val="004D0B79"/>
    <w:rsid w:val="004D2ED3"/>
    <w:rsid w:val="004D2ED7"/>
    <w:rsid w:val="004D3D9E"/>
    <w:rsid w:val="004D4ADA"/>
    <w:rsid w:val="004D682B"/>
    <w:rsid w:val="004D7700"/>
    <w:rsid w:val="004E1581"/>
    <w:rsid w:val="004E377F"/>
    <w:rsid w:val="004E3DD0"/>
    <w:rsid w:val="004E4D8F"/>
    <w:rsid w:val="004E7E4C"/>
    <w:rsid w:val="004F279D"/>
    <w:rsid w:val="004F5249"/>
    <w:rsid w:val="004F7211"/>
    <w:rsid w:val="005001A2"/>
    <w:rsid w:val="00501586"/>
    <w:rsid w:val="005028E9"/>
    <w:rsid w:val="00503AAC"/>
    <w:rsid w:val="00503E65"/>
    <w:rsid w:val="005042EC"/>
    <w:rsid w:val="005049F2"/>
    <w:rsid w:val="0050615D"/>
    <w:rsid w:val="00506E72"/>
    <w:rsid w:val="00507660"/>
    <w:rsid w:val="00510574"/>
    <w:rsid w:val="005107F7"/>
    <w:rsid w:val="00512CE8"/>
    <w:rsid w:val="00513B50"/>
    <w:rsid w:val="0051599B"/>
    <w:rsid w:val="0051628E"/>
    <w:rsid w:val="00520199"/>
    <w:rsid w:val="00521D41"/>
    <w:rsid w:val="00521DD3"/>
    <w:rsid w:val="0052266B"/>
    <w:rsid w:val="0052306C"/>
    <w:rsid w:val="00523951"/>
    <w:rsid w:val="00523BDB"/>
    <w:rsid w:val="00531A68"/>
    <w:rsid w:val="00533825"/>
    <w:rsid w:val="00534538"/>
    <w:rsid w:val="005347F6"/>
    <w:rsid w:val="00534B84"/>
    <w:rsid w:val="00535880"/>
    <w:rsid w:val="0054134F"/>
    <w:rsid w:val="00542C62"/>
    <w:rsid w:val="00543987"/>
    <w:rsid w:val="00545244"/>
    <w:rsid w:val="0054550C"/>
    <w:rsid w:val="00546359"/>
    <w:rsid w:val="00546E4E"/>
    <w:rsid w:val="00550B30"/>
    <w:rsid w:val="00550B3A"/>
    <w:rsid w:val="005514A4"/>
    <w:rsid w:val="00561759"/>
    <w:rsid w:val="00561C20"/>
    <w:rsid w:val="005627C8"/>
    <w:rsid w:val="00564E5B"/>
    <w:rsid w:val="0057035D"/>
    <w:rsid w:val="00570746"/>
    <w:rsid w:val="00571C68"/>
    <w:rsid w:val="0057658E"/>
    <w:rsid w:val="005769EE"/>
    <w:rsid w:val="00577DD0"/>
    <w:rsid w:val="005800C7"/>
    <w:rsid w:val="00582BDF"/>
    <w:rsid w:val="00583743"/>
    <w:rsid w:val="00584F0F"/>
    <w:rsid w:val="005851F1"/>
    <w:rsid w:val="00585B80"/>
    <w:rsid w:val="005872A1"/>
    <w:rsid w:val="00590048"/>
    <w:rsid w:val="00590FF9"/>
    <w:rsid w:val="005915DE"/>
    <w:rsid w:val="00592E1B"/>
    <w:rsid w:val="00593F0C"/>
    <w:rsid w:val="00593FE5"/>
    <w:rsid w:val="005949B4"/>
    <w:rsid w:val="00596AA9"/>
    <w:rsid w:val="005A1581"/>
    <w:rsid w:val="005A2937"/>
    <w:rsid w:val="005A4481"/>
    <w:rsid w:val="005A782F"/>
    <w:rsid w:val="005B0769"/>
    <w:rsid w:val="005B1F7E"/>
    <w:rsid w:val="005B2672"/>
    <w:rsid w:val="005B3776"/>
    <w:rsid w:val="005B52B6"/>
    <w:rsid w:val="005B55B7"/>
    <w:rsid w:val="005B7212"/>
    <w:rsid w:val="005B78B8"/>
    <w:rsid w:val="005C03F0"/>
    <w:rsid w:val="005C19FE"/>
    <w:rsid w:val="005C222E"/>
    <w:rsid w:val="005C2360"/>
    <w:rsid w:val="005C3113"/>
    <w:rsid w:val="005C316E"/>
    <w:rsid w:val="005C6A56"/>
    <w:rsid w:val="005D0536"/>
    <w:rsid w:val="005D0AD7"/>
    <w:rsid w:val="005D3F44"/>
    <w:rsid w:val="005D4C1E"/>
    <w:rsid w:val="005D6BC7"/>
    <w:rsid w:val="005E1337"/>
    <w:rsid w:val="005E1823"/>
    <w:rsid w:val="005E1E23"/>
    <w:rsid w:val="005E3A22"/>
    <w:rsid w:val="005E42D2"/>
    <w:rsid w:val="005E4750"/>
    <w:rsid w:val="005E5079"/>
    <w:rsid w:val="005E5318"/>
    <w:rsid w:val="005E594E"/>
    <w:rsid w:val="005E5C72"/>
    <w:rsid w:val="005E5CFD"/>
    <w:rsid w:val="005E64B0"/>
    <w:rsid w:val="005E687C"/>
    <w:rsid w:val="005E7887"/>
    <w:rsid w:val="005E7B73"/>
    <w:rsid w:val="005F00ED"/>
    <w:rsid w:val="005F1269"/>
    <w:rsid w:val="005F1BC3"/>
    <w:rsid w:val="005F1C41"/>
    <w:rsid w:val="005F4754"/>
    <w:rsid w:val="005F6C0D"/>
    <w:rsid w:val="005F709A"/>
    <w:rsid w:val="005F737B"/>
    <w:rsid w:val="005F790A"/>
    <w:rsid w:val="00600743"/>
    <w:rsid w:val="0060075F"/>
    <w:rsid w:val="006019B4"/>
    <w:rsid w:val="0060234A"/>
    <w:rsid w:val="00603A31"/>
    <w:rsid w:val="00604A51"/>
    <w:rsid w:val="00605C2E"/>
    <w:rsid w:val="006139DE"/>
    <w:rsid w:val="00613AC6"/>
    <w:rsid w:val="0061464C"/>
    <w:rsid w:val="0061464F"/>
    <w:rsid w:val="006161C3"/>
    <w:rsid w:val="00616B03"/>
    <w:rsid w:val="00616FE4"/>
    <w:rsid w:val="006175A4"/>
    <w:rsid w:val="00621527"/>
    <w:rsid w:val="00622A3E"/>
    <w:rsid w:val="006238AF"/>
    <w:rsid w:val="00623A53"/>
    <w:rsid w:val="00623B5B"/>
    <w:rsid w:val="00624256"/>
    <w:rsid w:val="00625DBE"/>
    <w:rsid w:val="00625EC4"/>
    <w:rsid w:val="006268DE"/>
    <w:rsid w:val="00626909"/>
    <w:rsid w:val="00627492"/>
    <w:rsid w:val="00627EC1"/>
    <w:rsid w:val="00631344"/>
    <w:rsid w:val="00633B6B"/>
    <w:rsid w:val="00635598"/>
    <w:rsid w:val="0063568B"/>
    <w:rsid w:val="0063586C"/>
    <w:rsid w:val="00640C27"/>
    <w:rsid w:val="006423E1"/>
    <w:rsid w:val="006429D2"/>
    <w:rsid w:val="0064319C"/>
    <w:rsid w:val="006442E9"/>
    <w:rsid w:val="00647BCC"/>
    <w:rsid w:val="0065020F"/>
    <w:rsid w:val="00650F95"/>
    <w:rsid w:val="0065129E"/>
    <w:rsid w:val="00651FD0"/>
    <w:rsid w:val="006539C8"/>
    <w:rsid w:val="0065508C"/>
    <w:rsid w:val="00655B76"/>
    <w:rsid w:val="00655E1A"/>
    <w:rsid w:val="006565F7"/>
    <w:rsid w:val="00656721"/>
    <w:rsid w:val="00660778"/>
    <w:rsid w:val="00660843"/>
    <w:rsid w:val="006612A3"/>
    <w:rsid w:val="00665562"/>
    <w:rsid w:val="00665693"/>
    <w:rsid w:val="00670112"/>
    <w:rsid w:val="0067373F"/>
    <w:rsid w:val="00676A14"/>
    <w:rsid w:val="00677012"/>
    <w:rsid w:val="00677DC0"/>
    <w:rsid w:val="0068074B"/>
    <w:rsid w:val="0068121A"/>
    <w:rsid w:val="00682E76"/>
    <w:rsid w:val="0068375F"/>
    <w:rsid w:val="00683A87"/>
    <w:rsid w:val="006846D1"/>
    <w:rsid w:val="0068735F"/>
    <w:rsid w:val="00690085"/>
    <w:rsid w:val="00690ADB"/>
    <w:rsid w:val="0069115F"/>
    <w:rsid w:val="006940FB"/>
    <w:rsid w:val="0069457A"/>
    <w:rsid w:val="00695C1E"/>
    <w:rsid w:val="00696693"/>
    <w:rsid w:val="006A0364"/>
    <w:rsid w:val="006A3265"/>
    <w:rsid w:val="006A74BE"/>
    <w:rsid w:val="006B04BD"/>
    <w:rsid w:val="006B070A"/>
    <w:rsid w:val="006B253B"/>
    <w:rsid w:val="006B32FC"/>
    <w:rsid w:val="006B3BF1"/>
    <w:rsid w:val="006B516D"/>
    <w:rsid w:val="006B5996"/>
    <w:rsid w:val="006B7BE1"/>
    <w:rsid w:val="006B7D7B"/>
    <w:rsid w:val="006C0072"/>
    <w:rsid w:val="006C0C7F"/>
    <w:rsid w:val="006C2459"/>
    <w:rsid w:val="006C3741"/>
    <w:rsid w:val="006C4231"/>
    <w:rsid w:val="006C5733"/>
    <w:rsid w:val="006C58B7"/>
    <w:rsid w:val="006C64D8"/>
    <w:rsid w:val="006D0BA8"/>
    <w:rsid w:val="006D1601"/>
    <w:rsid w:val="006D46E3"/>
    <w:rsid w:val="006D587F"/>
    <w:rsid w:val="006D6510"/>
    <w:rsid w:val="006D6AFD"/>
    <w:rsid w:val="006D6E3D"/>
    <w:rsid w:val="006D73B0"/>
    <w:rsid w:val="006D79FE"/>
    <w:rsid w:val="006E25BA"/>
    <w:rsid w:val="006E4AFC"/>
    <w:rsid w:val="006E6215"/>
    <w:rsid w:val="006E75CB"/>
    <w:rsid w:val="006E7F92"/>
    <w:rsid w:val="006F063E"/>
    <w:rsid w:val="006F082E"/>
    <w:rsid w:val="006F120B"/>
    <w:rsid w:val="006F2FE4"/>
    <w:rsid w:val="006F4333"/>
    <w:rsid w:val="006F5706"/>
    <w:rsid w:val="006F5B15"/>
    <w:rsid w:val="006F63CF"/>
    <w:rsid w:val="006F711A"/>
    <w:rsid w:val="0070121A"/>
    <w:rsid w:val="00701ABA"/>
    <w:rsid w:val="00701E6D"/>
    <w:rsid w:val="00703408"/>
    <w:rsid w:val="00703A33"/>
    <w:rsid w:val="00703D55"/>
    <w:rsid w:val="00703D83"/>
    <w:rsid w:val="00705245"/>
    <w:rsid w:val="007054C1"/>
    <w:rsid w:val="0070733D"/>
    <w:rsid w:val="0070796F"/>
    <w:rsid w:val="00707E08"/>
    <w:rsid w:val="00710300"/>
    <w:rsid w:val="007106CD"/>
    <w:rsid w:val="007129BC"/>
    <w:rsid w:val="00712F1C"/>
    <w:rsid w:val="00715337"/>
    <w:rsid w:val="007157DC"/>
    <w:rsid w:val="0071717E"/>
    <w:rsid w:val="0071751C"/>
    <w:rsid w:val="00721906"/>
    <w:rsid w:val="007240CF"/>
    <w:rsid w:val="00726B56"/>
    <w:rsid w:val="00726F63"/>
    <w:rsid w:val="007272B2"/>
    <w:rsid w:val="00727AA0"/>
    <w:rsid w:val="00732C37"/>
    <w:rsid w:val="00733DE1"/>
    <w:rsid w:val="00734612"/>
    <w:rsid w:val="00734C83"/>
    <w:rsid w:val="00734CAB"/>
    <w:rsid w:val="00734DEF"/>
    <w:rsid w:val="007352AE"/>
    <w:rsid w:val="007372AD"/>
    <w:rsid w:val="00740B36"/>
    <w:rsid w:val="00740F52"/>
    <w:rsid w:val="00741A3E"/>
    <w:rsid w:val="00742988"/>
    <w:rsid w:val="00742D92"/>
    <w:rsid w:val="00743770"/>
    <w:rsid w:val="00743ECB"/>
    <w:rsid w:val="007447D2"/>
    <w:rsid w:val="00746FE1"/>
    <w:rsid w:val="007475D4"/>
    <w:rsid w:val="007475FB"/>
    <w:rsid w:val="00751394"/>
    <w:rsid w:val="0075164F"/>
    <w:rsid w:val="0075178B"/>
    <w:rsid w:val="00752E43"/>
    <w:rsid w:val="007538D2"/>
    <w:rsid w:val="007562C1"/>
    <w:rsid w:val="0075670C"/>
    <w:rsid w:val="007576FC"/>
    <w:rsid w:val="007601EB"/>
    <w:rsid w:val="00761886"/>
    <w:rsid w:val="007622E7"/>
    <w:rsid w:val="00767020"/>
    <w:rsid w:val="00767F1E"/>
    <w:rsid w:val="00767FC1"/>
    <w:rsid w:val="00770302"/>
    <w:rsid w:val="0077169C"/>
    <w:rsid w:val="007727E7"/>
    <w:rsid w:val="00773526"/>
    <w:rsid w:val="00775149"/>
    <w:rsid w:val="00775EBF"/>
    <w:rsid w:val="007810F1"/>
    <w:rsid w:val="0078146C"/>
    <w:rsid w:val="0078172F"/>
    <w:rsid w:val="0078200A"/>
    <w:rsid w:val="00782064"/>
    <w:rsid w:val="00782353"/>
    <w:rsid w:val="00782BAA"/>
    <w:rsid w:val="0078417C"/>
    <w:rsid w:val="00784B96"/>
    <w:rsid w:val="00786D02"/>
    <w:rsid w:val="007903C2"/>
    <w:rsid w:val="007936DE"/>
    <w:rsid w:val="007947F8"/>
    <w:rsid w:val="00794932"/>
    <w:rsid w:val="00794A61"/>
    <w:rsid w:val="00794EBF"/>
    <w:rsid w:val="00795920"/>
    <w:rsid w:val="007959BF"/>
    <w:rsid w:val="007961FC"/>
    <w:rsid w:val="007A02B3"/>
    <w:rsid w:val="007A0752"/>
    <w:rsid w:val="007A0A0E"/>
    <w:rsid w:val="007A1420"/>
    <w:rsid w:val="007A276D"/>
    <w:rsid w:val="007A28D7"/>
    <w:rsid w:val="007A30B2"/>
    <w:rsid w:val="007A5A7B"/>
    <w:rsid w:val="007A63F3"/>
    <w:rsid w:val="007A6D93"/>
    <w:rsid w:val="007A765D"/>
    <w:rsid w:val="007B1C66"/>
    <w:rsid w:val="007B1F9F"/>
    <w:rsid w:val="007B23B0"/>
    <w:rsid w:val="007B2A4F"/>
    <w:rsid w:val="007B3C8A"/>
    <w:rsid w:val="007B45DE"/>
    <w:rsid w:val="007B4E28"/>
    <w:rsid w:val="007B72C5"/>
    <w:rsid w:val="007B7E7A"/>
    <w:rsid w:val="007C2541"/>
    <w:rsid w:val="007C6ADE"/>
    <w:rsid w:val="007C6FA4"/>
    <w:rsid w:val="007C7F47"/>
    <w:rsid w:val="007D23F4"/>
    <w:rsid w:val="007D2CEF"/>
    <w:rsid w:val="007D3B8E"/>
    <w:rsid w:val="007D42F3"/>
    <w:rsid w:val="007D6584"/>
    <w:rsid w:val="007D67D6"/>
    <w:rsid w:val="007E09DA"/>
    <w:rsid w:val="007E0B0E"/>
    <w:rsid w:val="007E1F25"/>
    <w:rsid w:val="007E21A8"/>
    <w:rsid w:val="007E2281"/>
    <w:rsid w:val="007E2D17"/>
    <w:rsid w:val="007E428D"/>
    <w:rsid w:val="007E4C9F"/>
    <w:rsid w:val="007E6067"/>
    <w:rsid w:val="007F05BD"/>
    <w:rsid w:val="007F575E"/>
    <w:rsid w:val="007F5CF8"/>
    <w:rsid w:val="007F6620"/>
    <w:rsid w:val="00800F6C"/>
    <w:rsid w:val="00802475"/>
    <w:rsid w:val="00802807"/>
    <w:rsid w:val="008047C6"/>
    <w:rsid w:val="00805188"/>
    <w:rsid w:val="00806D00"/>
    <w:rsid w:val="00810591"/>
    <w:rsid w:val="00810E0E"/>
    <w:rsid w:val="00811E18"/>
    <w:rsid w:val="00812932"/>
    <w:rsid w:val="00812D23"/>
    <w:rsid w:val="00813258"/>
    <w:rsid w:val="00814665"/>
    <w:rsid w:val="00815960"/>
    <w:rsid w:val="00816125"/>
    <w:rsid w:val="0081635D"/>
    <w:rsid w:val="00816E67"/>
    <w:rsid w:val="00817DBF"/>
    <w:rsid w:val="008211D8"/>
    <w:rsid w:val="008224CF"/>
    <w:rsid w:val="008250BE"/>
    <w:rsid w:val="00825A0A"/>
    <w:rsid w:val="00826247"/>
    <w:rsid w:val="008262D9"/>
    <w:rsid w:val="008266C0"/>
    <w:rsid w:val="00826F04"/>
    <w:rsid w:val="008316B7"/>
    <w:rsid w:val="008323B2"/>
    <w:rsid w:val="00832466"/>
    <w:rsid w:val="0083372B"/>
    <w:rsid w:val="00834565"/>
    <w:rsid w:val="0083480E"/>
    <w:rsid w:val="00835477"/>
    <w:rsid w:val="0083613C"/>
    <w:rsid w:val="008368E7"/>
    <w:rsid w:val="008376E9"/>
    <w:rsid w:val="00841ED3"/>
    <w:rsid w:val="0084299F"/>
    <w:rsid w:val="0084405C"/>
    <w:rsid w:val="00844874"/>
    <w:rsid w:val="00846859"/>
    <w:rsid w:val="00847D1A"/>
    <w:rsid w:val="0085062E"/>
    <w:rsid w:val="008510DC"/>
    <w:rsid w:val="0085273C"/>
    <w:rsid w:val="008563A9"/>
    <w:rsid w:val="0085663D"/>
    <w:rsid w:val="008569EC"/>
    <w:rsid w:val="00857E88"/>
    <w:rsid w:val="0086151E"/>
    <w:rsid w:val="00862DF4"/>
    <w:rsid w:val="00864618"/>
    <w:rsid w:val="00865DD5"/>
    <w:rsid w:val="00866F43"/>
    <w:rsid w:val="00870303"/>
    <w:rsid w:val="00870BC9"/>
    <w:rsid w:val="0087258E"/>
    <w:rsid w:val="00874B97"/>
    <w:rsid w:val="00874C5D"/>
    <w:rsid w:val="00875CC3"/>
    <w:rsid w:val="00876C71"/>
    <w:rsid w:val="00876E20"/>
    <w:rsid w:val="008775A6"/>
    <w:rsid w:val="00877FC6"/>
    <w:rsid w:val="008802B5"/>
    <w:rsid w:val="008815F3"/>
    <w:rsid w:val="008819A5"/>
    <w:rsid w:val="008859AF"/>
    <w:rsid w:val="00886C95"/>
    <w:rsid w:val="0089067D"/>
    <w:rsid w:val="00891897"/>
    <w:rsid w:val="0089280C"/>
    <w:rsid w:val="008954E2"/>
    <w:rsid w:val="008962D7"/>
    <w:rsid w:val="00897329"/>
    <w:rsid w:val="008A0585"/>
    <w:rsid w:val="008A0B6B"/>
    <w:rsid w:val="008A18E5"/>
    <w:rsid w:val="008A2DBD"/>
    <w:rsid w:val="008A5C91"/>
    <w:rsid w:val="008A6CBC"/>
    <w:rsid w:val="008B07AB"/>
    <w:rsid w:val="008B0AB5"/>
    <w:rsid w:val="008B17A0"/>
    <w:rsid w:val="008B3152"/>
    <w:rsid w:val="008B555A"/>
    <w:rsid w:val="008B5A8B"/>
    <w:rsid w:val="008B5F8C"/>
    <w:rsid w:val="008B7B64"/>
    <w:rsid w:val="008C0A97"/>
    <w:rsid w:val="008C1269"/>
    <w:rsid w:val="008C1E0E"/>
    <w:rsid w:val="008C2AE9"/>
    <w:rsid w:val="008C3963"/>
    <w:rsid w:val="008C6F1F"/>
    <w:rsid w:val="008C797A"/>
    <w:rsid w:val="008D01B9"/>
    <w:rsid w:val="008D10DB"/>
    <w:rsid w:val="008D1301"/>
    <w:rsid w:val="008D2225"/>
    <w:rsid w:val="008D2448"/>
    <w:rsid w:val="008D272D"/>
    <w:rsid w:val="008D41DD"/>
    <w:rsid w:val="008D43BC"/>
    <w:rsid w:val="008D4846"/>
    <w:rsid w:val="008D4F52"/>
    <w:rsid w:val="008D51AC"/>
    <w:rsid w:val="008D5741"/>
    <w:rsid w:val="008D6202"/>
    <w:rsid w:val="008D64FC"/>
    <w:rsid w:val="008D77F4"/>
    <w:rsid w:val="008D7C13"/>
    <w:rsid w:val="008E00BD"/>
    <w:rsid w:val="008E1410"/>
    <w:rsid w:val="008E2BF2"/>
    <w:rsid w:val="008E3017"/>
    <w:rsid w:val="008E3312"/>
    <w:rsid w:val="008E3A88"/>
    <w:rsid w:val="008E419B"/>
    <w:rsid w:val="008E60BC"/>
    <w:rsid w:val="008F0533"/>
    <w:rsid w:val="008F0A41"/>
    <w:rsid w:val="008F1587"/>
    <w:rsid w:val="008F2430"/>
    <w:rsid w:val="008F35C7"/>
    <w:rsid w:val="008F5885"/>
    <w:rsid w:val="008F6CCB"/>
    <w:rsid w:val="008F6F48"/>
    <w:rsid w:val="008F7B4C"/>
    <w:rsid w:val="00900064"/>
    <w:rsid w:val="009020FB"/>
    <w:rsid w:val="00902BF7"/>
    <w:rsid w:val="009033C3"/>
    <w:rsid w:val="0090407B"/>
    <w:rsid w:val="00904ABC"/>
    <w:rsid w:val="0090610E"/>
    <w:rsid w:val="009077B8"/>
    <w:rsid w:val="00911712"/>
    <w:rsid w:val="00913461"/>
    <w:rsid w:val="00917218"/>
    <w:rsid w:val="009176D2"/>
    <w:rsid w:val="00920EE5"/>
    <w:rsid w:val="00922C25"/>
    <w:rsid w:val="00923AA7"/>
    <w:rsid w:val="009246A8"/>
    <w:rsid w:val="00925A62"/>
    <w:rsid w:val="009312B9"/>
    <w:rsid w:val="00931612"/>
    <w:rsid w:val="00932F0E"/>
    <w:rsid w:val="0093405C"/>
    <w:rsid w:val="00934177"/>
    <w:rsid w:val="00934D70"/>
    <w:rsid w:val="0094243A"/>
    <w:rsid w:val="0094304C"/>
    <w:rsid w:val="0094430D"/>
    <w:rsid w:val="00944E61"/>
    <w:rsid w:val="009549C2"/>
    <w:rsid w:val="00956E6A"/>
    <w:rsid w:val="00961130"/>
    <w:rsid w:val="00962C42"/>
    <w:rsid w:val="009630FB"/>
    <w:rsid w:val="009641D4"/>
    <w:rsid w:val="00966745"/>
    <w:rsid w:val="0096792B"/>
    <w:rsid w:val="00971D6E"/>
    <w:rsid w:val="00972538"/>
    <w:rsid w:val="00972E00"/>
    <w:rsid w:val="00973786"/>
    <w:rsid w:val="009746D5"/>
    <w:rsid w:val="009759F5"/>
    <w:rsid w:val="00975C0A"/>
    <w:rsid w:val="009767ED"/>
    <w:rsid w:val="009776E6"/>
    <w:rsid w:val="00980633"/>
    <w:rsid w:val="00981F67"/>
    <w:rsid w:val="00983D29"/>
    <w:rsid w:val="009852DF"/>
    <w:rsid w:val="00985ABC"/>
    <w:rsid w:val="0098632F"/>
    <w:rsid w:val="009866CE"/>
    <w:rsid w:val="00991536"/>
    <w:rsid w:val="009915DA"/>
    <w:rsid w:val="00991C23"/>
    <w:rsid w:val="00991D5A"/>
    <w:rsid w:val="00993AC4"/>
    <w:rsid w:val="00993B5C"/>
    <w:rsid w:val="00995E30"/>
    <w:rsid w:val="009A00ED"/>
    <w:rsid w:val="009A416C"/>
    <w:rsid w:val="009A75A6"/>
    <w:rsid w:val="009A75CC"/>
    <w:rsid w:val="009A7B16"/>
    <w:rsid w:val="009B23BD"/>
    <w:rsid w:val="009B2469"/>
    <w:rsid w:val="009B40B0"/>
    <w:rsid w:val="009B4DBD"/>
    <w:rsid w:val="009B6398"/>
    <w:rsid w:val="009B7258"/>
    <w:rsid w:val="009B72BD"/>
    <w:rsid w:val="009B7475"/>
    <w:rsid w:val="009C09A8"/>
    <w:rsid w:val="009C4BD6"/>
    <w:rsid w:val="009C4EA4"/>
    <w:rsid w:val="009C65D9"/>
    <w:rsid w:val="009C6D0A"/>
    <w:rsid w:val="009C7C71"/>
    <w:rsid w:val="009C7D51"/>
    <w:rsid w:val="009D4032"/>
    <w:rsid w:val="009D7C03"/>
    <w:rsid w:val="009D7F52"/>
    <w:rsid w:val="009E0D7E"/>
    <w:rsid w:val="009E1B14"/>
    <w:rsid w:val="009E479F"/>
    <w:rsid w:val="009E4AC6"/>
    <w:rsid w:val="009E5AA0"/>
    <w:rsid w:val="009E6EDA"/>
    <w:rsid w:val="009E7EDE"/>
    <w:rsid w:val="009F22BF"/>
    <w:rsid w:val="009F3B53"/>
    <w:rsid w:val="009F3CB2"/>
    <w:rsid w:val="009F5DFA"/>
    <w:rsid w:val="009F6A7A"/>
    <w:rsid w:val="00A0020F"/>
    <w:rsid w:val="00A0068E"/>
    <w:rsid w:val="00A01B94"/>
    <w:rsid w:val="00A01E7B"/>
    <w:rsid w:val="00A05AA3"/>
    <w:rsid w:val="00A10010"/>
    <w:rsid w:val="00A103F2"/>
    <w:rsid w:val="00A1064F"/>
    <w:rsid w:val="00A111AF"/>
    <w:rsid w:val="00A11258"/>
    <w:rsid w:val="00A1184B"/>
    <w:rsid w:val="00A127EB"/>
    <w:rsid w:val="00A143AE"/>
    <w:rsid w:val="00A16277"/>
    <w:rsid w:val="00A168C5"/>
    <w:rsid w:val="00A17955"/>
    <w:rsid w:val="00A17F27"/>
    <w:rsid w:val="00A20D4A"/>
    <w:rsid w:val="00A21262"/>
    <w:rsid w:val="00A215AD"/>
    <w:rsid w:val="00A23E5A"/>
    <w:rsid w:val="00A249C9"/>
    <w:rsid w:val="00A261FD"/>
    <w:rsid w:val="00A274AD"/>
    <w:rsid w:val="00A27AF1"/>
    <w:rsid w:val="00A304AB"/>
    <w:rsid w:val="00A318D0"/>
    <w:rsid w:val="00A32192"/>
    <w:rsid w:val="00A3676A"/>
    <w:rsid w:val="00A369DD"/>
    <w:rsid w:val="00A378C2"/>
    <w:rsid w:val="00A3791C"/>
    <w:rsid w:val="00A404F0"/>
    <w:rsid w:val="00A40AC5"/>
    <w:rsid w:val="00A40BFB"/>
    <w:rsid w:val="00A40FD9"/>
    <w:rsid w:val="00A420B6"/>
    <w:rsid w:val="00A42406"/>
    <w:rsid w:val="00A45499"/>
    <w:rsid w:val="00A46AB0"/>
    <w:rsid w:val="00A4733F"/>
    <w:rsid w:val="00A47ABE"/>
    <w:rsid w:val="00A47B03"/>
    <w:rsid w:val="00A5072B"/>
    <w:rsid w:val="00A50DAB"/>
    <w:rsid w:val="00A52430"/>
    <w:rsid w:val="00A52F10"/>
    <w:rsid w:val="00A55121"/>
    <w:rsid w:val="00A566E3"/>
    <w:rsid w:val="00A57DF9"/>
    <w:rsid w:val="00A6158A"/>
    <w:rsid w:val="00A628DE"/>
    <w:rsid w:val="00A62B43"/>
    <w:rsid w:val="00A63397"/>
    <w:rsid w:val="00A63823"/>
    <w:rsid w:val="00A66E80"/>
    <w:rsid w:val="00A70F9A"/>
    <w:rsid w:val="00A72480"/>
    <w:rsid w:val="00A73465"/>
    <w:rsid w:val="00A73923"/>
    <w:rsid w:val="00A74113"/>
    <w:rsid w:val="00A75829"/>
    <w:rsid w:val="00A76444"/>
    <w:rsid w:val="00A76AFA"/>
    <w:rsid w:val="00A770F6"/>
    <w:rsid w:val="00A8068A"/>
    <w:rsid w:val="00A8276F"/>
    <w:rsid w:val="00A82910"/>
    <w:rsid w:val="00A848CD"/>
    <w:rsid w:val="00A859FF"/>
    <w:rsid w:val="00A85F3C"/>
    <w:rsid w:val="00A865C8"/>
    <w:rsid w:val="00A86865"/>
    <w:rsid w:val="00A874D7"/>
    <w:rsid w:val="00A87D3C"/>
    <w:rsid w:val="00A90698"/>
    <w:rsid w:val="00A90AA7"/>
    <w:rsid w:val="00A91749"/>
    <w:rsid w:val="00A92289"/>
    <w:rsid w:val="00A92474"/>
    <w:rsid w:val="00A924A6"/>
    <w:rsid w:val="00A9271C"/>
    <w:rsid w:val="00A92B90"/>
    <w:rsid w:val="00A92CF7"/>
    <w:rsid w:val="00A932FC"/>
    <w:rsid w:val="00A95775"/>
    <w:rsid w:val="00A96E7A"/>
    <w:rsid w:val="00A9739A"/>
    <w:rsid w:val="00AA2BBD"/>
    <w:rsid w:val="00AA34E1"/>
    <w:rsid w:val="00AA63B8"/>
    <w:rsid w:val="00AA66DD"/>
    <w:rsid w:val="00AA75AB"/>
    <w:rsid w:val="00AB12BD"/>
    <w:rsid w:val="00AB2A4C"/>
    <w:rsid w:val="00AB3CCE"/>
    <w:rsid w:val="00AB48B8"/>
    <w:rsid w:val="00AB5FA9"/>
    <w:rsid w:val="00AC08B5"/>
    <w:rsid w:val="00AC09C0"/>
    <w:rsid w:val="00AC18B9"/>
    <w:rsid w:val="00AC27C0"/>
    <w:rsid w:val="00AC3944"/>
    <w:rsid w:val="00AC5C01"/>
    <w:rsid w:val="00AC5FBE"/>
    <w:rsid w:val="00AC69D2"/>
    <w:rsid w:val="00AC7E2B"/>
    <w:rsid w:val="00AD06C1"/>
    <w:rsid w:val="00AD11DB"/>
    <w:rsid w:val="00AD1C8D"/>
    <w:rsid w:val="00AD2C71"/>
    <w:rsid w:val="00AD3823"/>
    <w:rsid w:val="00AD404F"/>
    <w:rsid w:val="00AD4CC5"/>
    <w:rsid w:val="00AD4CD1"/>
    <w:rsid w:val="00AD505A"/>
    <w:rsid w:val="00AD523B"/>
    <w:rsid w:val="00AE01B5"/>
    <w:rsid w:val="00AE0487"/>
    <w:rsid w:val="00AE1487"/>
    <w:rsid w:val="00AE26C4"/>
    <w:rsid w:val="00AE28A8"/>
    <w:rsid w:val="00AE2933"/>
    <w:rsid w:val="00AE58D0"/>
    <w:rsid w:val="00AE6387"/>
    <w:rsid w:val="00AE6565"/>
    <w:rsid w:val="00AF055B"/>
    <w:rsid w:val="00AF0CC8"/>
    <w:rsid w:val="00AF129C"/>
    <w:rsid w:val="00AF1EF3"/>
    <w:rsid w:val="00AF2466"/>
    <w:rsid w:val="00AF369A"/>
    <w:rsid w:val="00AF393E"/>
    <w:rsid w:val="00AF4AD0"/>
    <w:rsid w:val="00AF61F4"/>
    <w:rsid w:val="00AF628E"/>
    <w:rsid w:val="00AF6290"/>
    <w:rsid w:val="00AF64D6"/>
    <w:rsid w:val="00AF65DD"/>
    <w:rsid w:val="00B002F8"/>
    <w:rsid w:val="00B024AD"/>
    <w:rsid w:val="00B03A89"/>
    <w:rsid w:val="00B03E77"/>
    <w:rsid w:val="00B041DC"/>
    <w:rsid w:val="00B043A8"/>
    <w:rsid w:val="00B046C4"/>
    <w:rsid w:val="00B051E2"/>
    <w:rsid w:val="00B058D5"/>
    <w:rsid w:val="00B06803"/>
    <w:rsid w:val="00B06F1E"/>
    <w:rsid w:val="00B105BC"/>
    <w:rsid w:val="00B115B7"/>
    <w:rsid w:val="00B11A65"/>
    <w:rsid w:val="00B11B14"/>
    <w:rsid w:val="00B149EF"/>
    <w:rsid w:val="00B15346"/>
    <w:rsid w:val="00B20087"/>
    <w:rsid w:val="00B22028"/>
    <w:rsid w:val="00B2468D"/>
    <w:rsid w:val="00B25C16"/>
    <w:rsid w:val="00B2607E"/>
    <w:rsid w:val="00B2663B"/>
    <w:rsid w:val="00B30211"/>
    <w:rsid w:val="00B3088F"/>
    <w:rsid w:val="00B3106A"/>
    <w:rsid w:val="00B31CCA"/>
    <w:rsid w:val="00B353D7"/>
    <w:rsid w:val="00B36DFF"/>
    <w:rsid w:val="00B375A5"/>
    <w:rsid w:val="00B409EF"/>
    <w:rsid w:val="00B40C20"/>
    <w:rsid w:val="00B411B6"/>
    <w:rsid w:val="00B4201C"/>
    <w:rsid w:val="00B43437"/>
    <w:rsid w:val="00B4374E"/>
    <w:rsid w:val="00B46541"/>
    <w:rsid w:val="00B46996"/>
    <w:rsid w:val="00B4710A"/>
    <w:rsid w:val="00B4743B"/>
    <w:rsid w:val="00B47F5C"/>
    <w:rsid w:val="00B501B1"/>
    <w:rsid w:val="00B50341"/>
    <w:rsid w:val="00B511E8"/>
    <w:rsid w:val="00B51D6D"/>
    <w:rsid w:val="00B528F2"/>
    <w:rsid w:val="00B55BE0"/>
    <w:rsid w:val="00B60C6C"/>
    <w:rsid w:val="00B61BE3"/>
    <w:rsid w:val="00B61DC9"/>
    <w:rsid w:val="00B620F1"/>
    <w:rsid w:val="00B622E6"/>
    <w:rsid w:val="00B625B3"/>
    <w:rsid w:val="00B640CE"/>
    <w:rsid w:val="00B646F0"/>
    <w:rsid w:val="00B65598"/>
    <w:rsid w:val="00B6564F"/>
    <w:rsid w:val="00B6599F"/>
    <w:rsid w:val="00B65BB8"/>
    <w:rsid w:val="00B65FFB"/>
    <w:rsid w:val="00B670BD"/>
    <w:rsid w:val="00B67E58"/>
    <w:rsid w:val="00B70F10"/>
    <w:rsid w:val="00B71048"/>
    <w:rsid w:val="00B7215C"/>
    <w:rsid w:val="00B72957"/>
    <w:rsid w:val="00B75F17"/>
    <w:rsid w:val="00B7636C"/>
    <w:rsid w:val="00B816DB"/>
    <w:rsid w:val="00B81BA2"/>
    <w:rsid w:val="00B8255B"/>
    <w:rsid w:val="00B82EAF"/>
    <w:rsid w:val="00B82FC8"/>
    <w:rsid w:val="00B831B9"/>
    <w:rsid w:val="00B83DA5"/>
    <w:rsid w:val="00B8560A"/>
    <w:rsid w:val="00B86F59"/>
    <w:rsid w:val="00B874AE"/>
    <w:rsid w:val="00B87E53"/>
    <w:rsid w:val="00B943FD"/>
    <w:rsid w:val="00B94446"/>
    <w:rsid w:val="00B959B3"/>
    <w:rsid w:val="00B96876"/>
    <w:rsid w:val="00B972CA"/>
    <w:rsid w:val="00B97905"/>
    <w:rsid w:val="00B97F10"/>
    <w:rsid w:val="00BA01D5"/>
    <w:rsid w:val="00BA0E4E"/>
    <w:rsid w:val="00BA137B"/>
    <w:rsid w:val="00BA20D4"/>
    <w:rsid w:val="00BA2347"/>
    <w:rsid w:val="00BA279D"/>
    <w:rsid w:val="00BA6256"/>
    <w:rsid w:val="00BA660D"/>
    <w:rsid w:val="00BA6E35"/>
    <w:rsid w:val="00BB0109"/>
    <w:rsid w:val="00BB12D6"/>
    <w:rsid w:val="00BB1F95"/>
    <w:rsid w:val="00BB2FCB"/>
    <w:rsid w:val="00BB47F2"/>
    <w:rsid w:val="00BC0544"/>
    <w:rsid w:val="00BC172D"/>
    <w:rsid w:val="00BC2BE2"/>
    <w:rsid w:val="00BC67D3"/>
    <w:rsid w:val="00BC7344"/>
    <w:rsid w:val="00BC78E0"/>
    <w:rsid w:val="00BC7E5F"/>
    <w:rsid w:val="00BD0AB8"/>
    <w:rsid w:val="00BD1437"/>
    <w:rsid w:val="00BD576E"/>
    <w:rsid w:val="00BD6B6E"/>
    <w:rsid w:val="00BD7473"/>
    <w:rsid w:val="00BE02CB"/>
    <w:rsid w:val="00BE289E"/>
    <w:rsid w:val="00BE4222"/>
    <w:rsid w:val="00BE4C5D"/>
    <w:rsid w:val="00BE570A"/>
    <w:rsid w:val="00BE7550"/>
    <w:rsid w:val="00BF21F3"/>
    <w:rsid w:val="00BF2D36"/>
    <w:rsid w:val="00BF3D67"/>
    <w:rsid w:val="00BF3D72"/>
    <w:rsid w:val="00BF4535"/>
    <w:rsid w:val="00BF74B3"/>
    <w:rsid w:val="00BF7668"/>
    <w:rsid w:val="00C003DB"/>
    <w:rsid w:val="00C01568"/>
    <w:rsid w:val="00C02B81"/>
    <w:rsid w:val="00C034D6"/>
    <w:rsid w:val="00C03B27"/>
    <w:rsid w:val="00C045E3"/>
    <w:rsid w:val="00C04FFF"/>
    <w:rsid w:val="00C05A7B"/>
    <w:rsid w:val="00C10DF1"/>
    <w:rsid w:val="00C10DF8"/>
    <w:rsid w:val="00C1262F"/>
    <w:rsid w:val="00C13D18"/>
    <w:rsid w:val="00C14764"/>
    <w:rsid w:val="00C161FE"/>
    <w:rsid w:val="00C21390"/>
    <w:rsid w:val="00C21A43"/>
    <w:rsid w:val="00C22091"/>
    <w:rsid w:val="00C231D1"/>
    <w:rsid w:val="00C23D33"/>
    <w:rsid w:val="00C250C5"/>
    <w:rsid w:val="00C26547"/>
    <w:rsid w:val="00C26588"/>
    <w:rsid w:val="00C273B7"/>
    <w:rsid w:val="00C30612"/>
    <w:rsid w:val="00C3066C"/>
    <w:rsid w:val="00C30729"/>
    <w:rsid w:val="00C31457"/>
    <w:rsid w:val="00C31560"/>
    <w:rsid w:val="00C3166C"/>
    <w:rsid w:val="00C32748"/>
    <w:rsid w:val="00C335D4"/>
    <w:rsid w:val="00C33F96"/>
    <w:rsid w:val="00C34808"/>
    <w:rsid w:val="00C34A67"/>
    <w:rsid w:val="00C34D69"/>
    <w:rsid w:val="00C4458A"/>
    <w:rsid w:val="00C44E62"/>
    <w:rsid w:val="00C45E91"/>
    <w:rsid w:val="00C45FA6"/>
    <w:rsid w:val="00C47270"/>
    <w:rsid w:val="00C47CF4"/>
    <w:rsid w:val="00C50910"/>
    <w:rsid w:val="00C50B8C"/>
    <w:rsid w:val="00C50F8A"/>
    <w:rsid w:val="00C5396F"/>
    <w:rsid w:val="00C54A92"/>
    <w:rsid w:val="00C555B9"/>
    <w:rsid w:val="00C55893"/>
    <w:rsid w:val="00C60160"/>
    <w:rsid w:val="00C60714"/>
    <w:rsid w:val="00C60724"/>
    <w:rsid w:val="00C61874"/>
    <w:rsid w:val="00C62209"/>
    <w:rsid w:val="00C6270B"/>
    <w:rsid w:val="00C63D4B"/>
    <w:rsid w:val="00C651EC"/>
    <w:rsid w:val="00C66909"/>
    <w:rsid w:val="00C66BBC"/>
    <w:rsid w:val="00C66C9D"/>
    <w:rsid w:val="00C66F33"/>
    <w:rsid w:val="00C710C4"/>
    <w:rsid w:val="00C7128A"/>
    <w:rsid w:val="00C72809"/>
    <w:rsid w:val="00C7297A"/>
    <w:rsid w:val="00C7453B"/>
    <w:rsid w:val="00C80918"/>
    <w:rsid w:val="00C80E22"/>
    <w:rsid w:val="00C81D08"/>
    <w:rsid w:val="00C820D3"/>
    <w:rsid w:val="00C83BDF"/>
    <w:rsid w:val="00C857F4"/>
    <w:rsid w:val="00C859C8"/>
    <w:rsid w:val="00C87466"/>
    <w:rsid w:val="00C87B8F"/>
    <w:rsid w:val="00C90A3B"/>
    <w:rsid w:val="00C94A9E"/>
    <w:rsid w:val="00C9632E"/>
    <w:rsid w:val="00C9765E"/>
    <w:rsid w:val="00C979CD"/>
    <w:rsid w:val="00CA32CA"/>
    <w:rsid w:val="00CA38FC"/>
    <w:rsid w:val="00CA483C"/>
    <w:rsid w:val="00CA53C2"/>
    <w:rsid w:val="00CA5647"/>
    <w:rsid w:val="00CA60CA"/>
    <w:rsid w:val="00CA73A8"/>
    <w:rsid w:val="00CB057C"/>
    <w:rsid w:val="00CB1D2C"/>
    <w:rsid w:val="00CB2272"/>
    <w:rsid w:val="00CB24E5"/>
    <w:rsid w:val="00CB2C35"/>
    <w:rsid w:val="00CB747E"/>
    <w:rsid w:val="00CC00E5"/>
    <w:rsid w:val="00CC08D4"/>
    <w:rsid w:val="00CC0BBE"/>
    <w:rsid w:val="00CC1C6B"/>
    <w:rsid w:val="00CC276D"/>
    <w:rsid w:val="00CC359F"/>
    <w:rsid w:val="00CC548A"/>
    <w:rsid w:val="00CC6306"/>
    <w:rsid w:val="00CD1FE9"/>
    <w:rsid w:val="00CD6175"/>
    <w:rsid w:val="00CD77BE"/>
    <w:rsid w:val="00CE06EE"/>
    <w:rsid w:val="00CE0B8E"/>
    <w:rsid w:val="00CE0C0E"/>
    <w:rsid w:val="00CE0FEC"/>
    <w:rsid w:val="00CE13DE"/>
    <w:rsid w:val="00CE4E5B"/>
    <w:rsid w:val="00CE625B"/>
    <w:rsid w:val="00CE749C"/>
    <w:rsid w:val="00CF0115"/>
    <w:rsid w:val="00CF10D4"/>
    <w:rsid w:val="00CF1192"/>
    <w:rsid w:val="00CF2114"/>
    <w:rsid w:val="00CF233E"/>
    <w:rsid w:val="00CF2381"/>
    <w:rsid w:val="00CF785B"/>
    <w:rsid w:val="00D00890"/>
    <w:rsid w:val="00D01269"/>
    <w:rsid w:val="00D0186C"/>
    <w:rsid w:val="00D024CA"/>
    <w:rsid w:val="00D0263D"/>
    <w:rsid w:val="00D04646"/>
    <w:rsid w:val="00D110D4"/>
    <w:rsid w:val="00D1145F"/>
    <w:rsid w:val="00D1226D"/>
    <w:rsid w:val="00D14389"/>
    <w:rsid w:val="00D15D1C"/>
    <w:rsid w:val="00D1606C"/>
    <w:rsid w:val="00D17F68"/>
    <w:rsid w:val="00D2053E"/>
    <w:rsid w:val="00D226FE"/>
    <w:rsid w:val="00D23286"/>
    <w:rsid w:val="00D236D3"/>
    <w:rsid w:val="00D3102C"/>
    <w:rsid w:val="00D33164"/>
    <w:rsid w:val="00D34615"/>
    <w:rsid w:val="00D34B78"/>
    <w:rsid w:val="00D35E0B"/>
    <w:rsid w:val="00D362B1"/>
    <w:rsid w:val="00D37D87"/>
    <w:rsid w:val="00D40928"/>
    <w:rsid w:val="00D454F5"/>
    <w:rsid w:val="00D45E15"/>
    <w:rsid w:val="00D50008"/>
    <w:rsid w:val="00D50C87"/>
    <w:rsid w:val="00D52498"/>
    <w:rsid w:val="00D54B14"/>
    <w:rsid w:val="00D5549D"/>
    <w:rsid w:val="00D56FD1"/>
    <w:rsid w:val="00D60021"/>
    <w:rsid w:val="00D60305"/>
    <w:rsid w:val="00D60820"/>
    <w:rsid w:val="00D63906"/>
    <w:rsid w:val="00D63F04"/>
    <w:rsid w:val="00D649EB"/>
    <w:rsid w:val="00D65CA8"/>
    <w:rsid w:val="00D66985"/>
    <w:rsid w:val="00D71C70"/>
    <w:rsid w:val="00D76B01"/>
    <w:rsid w:val="00D77745"/>
    <w:rsid w:val="00D777C7"/>
    <w:rsid w:val="00D77B67"/>
    <w:rsid w:val="00D803FC"/>
    <w:rsid w:val="00D80E64"/>
    <w:rsid w:val="00D81AB4"/>
    <w:rsid w:val="00D8461E"/>
    <w:rsid w:val="00D87895"/>
    <w:rsid w:val="00D878EA"/>
    <w:rsid w:val="00D8791E"/>
    <w:rsid w:val="00D9079F"/>
    <w:rsid w:val="00D916EC"/>
    <w:rsid w:val="00D92555"/>
    <w:rsid w:val="00D92A11"/>
    <w:rsid w:val="00D937C0"/>
    <w:rsid w:val="00D96C2A"/>
    <w:rsid w:val="00D97E6E"/>
    <w:rsid w:val="00DA046D"/>
    <w:rsid w:val="00DA4DC6"/>
    <w:rsid w:val="00DA63E1"/>
    <w:rsid w:val="00DA6D76"/>
    <w:rsid w:val="00DA7915"/>
    <w:rsid w:val="00DB2EBC"/>
    <w:rsid w:val="00DB31D1"/>
    <w:rsid w:val="00DB329C"/>
    <w:rsid w:val="00DB376F"/>
    <w:rsid w:val="00DB3B57"/>
    <w:rsid w:val="00DB3FD7"/>
    <w:rsid w:val="00DB4538"/>
    <w:rsid w:val="00DB48CA"/>
    <w:rsid w:val="00DB5B0B"/>
    <w:rsid w:val="00DB6FD1"/>
    <w:rsid w:val="00DB73D8"/>
    <w:rsid w:val="00DB7FA5"/>
    <w:rsid w:val="00DC404B"/>
    <w:rsid w:val="00DC5735"/>
    <w:rsid w:val="00DC6F0F"/>
    <w:rsid w:val="00DC7057"/>
    <w:rsid w:val="00DD0856"/>
    <w:rsid w:val="00DD2AB3"/>
    <w:rsid w:val="00DD2BF8"/>
    <w:rsid w:val="00DD3247"/>
    <w:rsid w:val="00DD63B1"/>
    <w:rsid w:val="00DD6AD6"/>
    <w:rsid w:val="00DD70B2"/>
    <w:rsid w:val="00DD72E4"/>
    <w:rsid w:val="00DE23AB"/>
    <w:rsid w:val="00DE286D"/>
    <w:rsid w:val="00DE697F"/>
    <w:rsid w:val="00DE738C"/>
    <w:rsid w:val="00DF073C"/>
    <w:rsid w:val="00DF0B1A"/>
    <w:rsid w:val="00DF1472"/>
    <w:rsid w:val="00DF1A83"/>
    <w:rsid w:val="00DF1ABB"/>
    <w:rsid w:val="00DF3197"/>
    <w:rsid w:val="00DF3E2E"/>
    <w:rsid w:val="00DF4117"/>
    <w:rsid w:val="00DF6B5C"/>
    <w:rsid w:val="00DF6FDB"/>
    <w:rsid w:val="00DF76B8"/>
    <w:rsid w:val="00DF779F"/>
    <w:rsid w:val="00E01F32"/>
    <w:rsid w:val="00E07DC3"/>
    <w:rsid w:val="00E1108D"/>
    <w:rsid w:val="00E113CA"/>
    <w:rsid w:val="00E113DA"/>
    <w:rsid w:val="00E119D1"/>
    <w:rsid w:val="00E11A93"/>
    <w:rsid w:val="00E1206B"/>
    <w:rsid w:val="00E13CE5"/>
    <w:rsid w:val="00E14381"/>
    <w:rsid w:val="00E14686"/>
    <w:rsid w:val="00E15398"/>
    <w:rsid w:val="00E1545B"/>
    <w:rsid w:val="00E208B2"/>
    <w:rsid w:val="00E2194E"/>
    <w:rsid w:val="00E21C80"/>
    <w:rsid w:val="00E23595"/>
    <w:rsid w:val="00E23DEE"/>
    <w:rsid w:val="00E249B6"/>
    <w:rsid w:val="00E25EF9"/>
    <w:rsid w:val="00E30497"/>
    <w:rsid w:val="00E30ABF"/>
    <w:rsid w:val="00E31956"/>
    <w:rsid w:val="00E331C2"/>
    <w:rsid w:val="00E33E7E"/>
    <w:rsid w:val="00E3496F"/>
    <w:rsid w:val="00E35E6B"/>
    <w:rsid w:val="00E36339"/>
    <w:rsid w:val="00E3737D"/>
    <w:rsid w:val="00E40D87"/>
    <w:rsid w:val="00E44E14"/>
    <w:rsid w:val="00E455B2"/>
    <w:rsid w:val="00E45E23"/>
    <w:rsid w:val="00E501DE"/>
    <w:rsid w:val="00E5088B"/>
    <w:rsid w:val="00E532E0"/>
    <w:rsid w:val="00E537A5"/>
    <w:rsid w:val="00E538E8"/>
    <w:rsid w:val="00E573BA"/>
    <w:rsid w:val="00E60CA0"/>
    <w:rsid w:val="00E62DCD"/>
    <w:rsid w:val="00E64A4B"/>
    <w:rsid w:val="00E64D11"/>
    <w:rsid w:val="00E67B0B"/>
    <w:rsid w:val="00E67F05"/>
    <w:rsid w:val="00E7280C"/>
    <w:rsid w:val="00E753E3"/>
    <w:rsid w:val="00E755A0"/>
    <w:rsid w:val="00E762BA"/>
    <w:rsid w:val="00E8067E"/>
    <w:rsid w:val="00E81FA4"/>
    <w:rsid w:val="00E8321B"/>
    <w:rsid w:val="00E83509"/>
    <w:rsid w:val="00E83AD4"/>
    <w:rsid w:val="00E83FEA"/>
    <w:rsid w:val="00E85AFE"/>
    <w:rsid w:val="00E91C08"/>
    <w:rsid w:val="00E931B0"/>
    <w:rsid w:val="00EA1F4C"/>
    <w:rsid w:val="00EA2788"/>
    <w:rsid w:val="00EA31E4"/>
    <w:rsid w:val="00EA4EFA"/>
    <w:rsid w:val="00EA5847"/>
    <w:rsid w:val="00EA74B8"/>
    <w:rsid w:val="00EA78BB"/>
    <w:rsid w:val="00EA7B80"/>
    <w:rsid w:val="00EB2586"/>
    <w:rsid w:val="00EB2825"/>
    <w:rsid w:val="00EB3BB4"/>
    <w:rsid w:val="00EB4305"/>
    <w:rsid w:val="00EB4F1E"/>
    <w:rsid w:val="00EB6ADD"/>
    <w:rsid w:val="00EB743C"/>
    <w:rsid w:val="00EB7634"/>
    <w:rsid w:val="00EC0673"/>
    <w:rsid w:val="00EC0753"/>
    <w:rsid w:val="00EC1A65"/>
    <w:rsid w:val="00EC2911"/>
    <w:rsid w:val="00EC2E03"/>
    <w:rsid w:val="00EC40E0"/>
    <w:rsid w:val="00EC6080"/>
    <w:rsid w:val="00EC7F4B"/>
    <w:rsid w:val="00EC7F92"/>
    <w:rsid w:val="00ED0358"/>
    <w:rsid w:val="00ED189A"/>
    <w:rsid w:val="00ED1921"/>
    <w:rsid w:val="00ED210D"/>
    <w:rsid w:val="00ED5B2D"/>
    <w:rsid w:val="00ED60C8"/>
    <w:rsid w:val="00ED6226"/>
    <w:rsid w:val="00ED6E16"/>
    <w:rsid w:val="00EE2155"/>
    <w:rsid w:val="00EE2524"/>
    <w:rsid w:val="00EE35B0"/>
    <w:rsid w:val="00EE416C"/>
    <w:rsid w:val="00EE4F5E"/>
    <w:rsid w:val="00EE613E"/>
    <w:rsid w:val="00EE7A82"/>
    <w:rsid w:val="00EF01FF"/>
    <w:rsid w:val="00EF11E6"/>
    <w:rsid w:val="00EF141C"/>
    <w:rsid w:val="00EF28D8"/>
    <w:rsid w:val="00EF41F0"/>
    <w:rsid w:val="00EF633B"/>
    <w:rsid w:val="00EF6CCD"/>
    <w:rsid w:val="00EF7389"/>
    <w:rsid w:val="00F01751"/>
    <w:rsid w:val="00F0269B"/>
    <w:rsid w:val="00F0384D"/>
    <w:rsid w:val="00F041C5"/>
    <w:rsid w:val="00F045A4"/>
    <w:rsid w:val="00F0563B"/>
    <w:rsid w:val="00F05719"/>
    <w:rsid w:val="00F062C8"/>
    <w:rsid w:val="00F07698"/>
    <w:rsid w:val="00F1061E"/>
    <w:rsid w:val="00F1255E"/>
    <w:rsid w:val="00F142A8"/>
    <w:rsid w:val="00F144F3"/>
    <w:rsid w:val="00F21B2E"/>
    <w:rsid w:val="00F21E6B"/>
    <w:rsid w:val="00F2377A"/>
    <w:rsid w:val="00F23A9D"/>
    <w:rsid w:val="00F23F02"/>
    <w:rsid w:val="00F249FA"/>
    <w:rsid w:val="00F26E4D"/>
    <w:rsid w:val="00F311C1"/>
    <w:rsid w:val="00F31674"/>
    <w:rsid w:val="00F35505"/>
    <w:rsid w:val="00F368A0"/>
    <w:rsid w:val="00F41329"/>
    <w:rsid w:val="00F415BB"/>
    <w:rsid w:val="00F41799"/>
    <w:rsid w:val="00F51CB6"/>
    <w:rsid w:val="00F53274"/>
    <w:rsid w:val="00F5565E"/>
    <w:rsid w:val="00F56E29"/>
    <w:rsid w:val="00F60348"/>
    <w:rsid w:val="00F66269"/>
    <w:rsid w:val="00F66546"/>
    <w:rsid w:val="00F669C3"/>
    <w:rsid w:val="00F66BD6"/>
    <w:rsid w:val="00F67005"/>
    <w:rsid w:val="00F676B3"/>
    <w:rsid w:val="00F679C2"/>
    <w:rsid w:val="00F7129C"/>
    <w:rsid w:val="00F758CA"/>
    <w:rsid w:val="00F77C4A"/>
    <w:rsid w:val="00F80046"/>
    <w:rsid w:val="00F80555"/>
    <w:rsid w:val="00F80D02"/>
    <w:rsid w:val="00F80F52"/>
    <w:rsid w:val="00F8114E"/>
    <w:rsid w:val="00F81DD2"/>
    <w:rsid w:val="00F82EEB"/>
    <w:rsid w:val="00F84095"/>
    <w:rsid w:val="00F84830"/>
    <w:rsid w:val="00F85F0E"/>
    <w:rsid w:val="00F90989"/>
    <w:rsid w:val="00F94DA8"/>
    <w:rsid w:val="00FA13A8"/>
    <w:rsid w:val="00FA20AD"/>
    <w:rsid w:val="00FA2108"/>
    <w:rsid w:val="00FA7946"/>
    <w:rsid w:val="00FB1F96"/>
    <w:rsid w:val="00FB2A2A"/>
    <w:rsid w:val="00FB3F35"/>
    <w:rsid w:val="00FB3FDC"/>
    <w:rsid w:val="00FB4442"/>
    <w:rsid w:val="00FB4E46"/>
    <w:rsid w:val="00FB71AE"/>
    <w:rsid w:val="00FB7CD4"/>
    <w:rsid w:val="00FC00B3"/>
    <w:rsid w:val="00FC05DF"/>
    <w:rsid w:val="00FC0B80"/>
    <w:rsid w:val="00FC1EAB"/>
    <w:rsid w:val="00FC2B7F"/>
    <w:rsid w:val="00FC44E8"/>
    <w:rsid w:val="00FC55D5"/>
    <w:rsid w:val="00FC5873"/>
    <w:rsid w:val="00FC5B50"/>
    <w:rsid w:val="00FD00F3"/>
    <w:rsid w:val="00FD09B0"/>
    <w:rsid w:val="00FD173C"/>
    <w:rsid w:val="00FD233D"/>
    <w:rsid w:val="00FD3611"/>
    <w:rsid w:val="00FD36F3"/>
    <w:rsid w:val="00FD3EB8"/>
    <w:rsid w:val="00FD41E4"/>
    <w:rsid w:val="00FD7F0B"/>
    <w:rsid w:val="00FE1687"/>
    <w:rsid w:val="00FE2D51"/>
    <w:rsid w:val="00FE3A58"/>
    <w:rsid w:val="00FE48F6"/>
    <w:rsid w:val="00FE6A23"/>
    <w:rsid w:val="00FE6D80"/>
    <w:rsid w:val="00FE71FE"/>
    <w:rsid w:val="00FE7503"/>
    <w:rsid w:val="00FF0C93"/>
    <w:rsid w:val="00FF2C76"/>
    <w:rsid w:val="00FF363D"/>
    <w:rsid w:val="00FF409A"/>
    <w:rsid w:val="00FF40E9"/>
    <w:rsid w:val="00FF61D0"/>
    <w:rsid w:val="00FF682A"/>
    <w:rsid w:val="00FF697D"/>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6732D"/>
  <w15:docId w15:val="{13C86675-3C1C-4EC4-A882-B68EB41C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C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61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043A8"/>
    <w:pPr>
      <w:keepNext/>
      <w:jc w:val="both"/>
      <w:outlineLvl w:val="2"/>
    </w:pPr>
    <w:rPr>
      <w:rFonts w:ascii="Arial" w:eastAsia="Times New Roman" w:hAnsi="Arial" w:cs="Times New Roman"/>
      <w:b/>
      <w:i/>
      <w:sz w:val="20"/>
      <w:szCs w:val="20"/>
      <w:u w:val="single"/>
    </w:rPr>
  </w:style>
  <w:style w:type="paragraph" w:styleId="Heading4">
    <w:name w:val="heading 4"/>
    <w:basedOn w:val="Normal"/>
    <w:next w:val="Normal"/>
    <w:link w:val="Heading4Char"/>
    <w:uiPriority w:val="9"/>
    <w:unhideWhenUsed/>
    <w:qFormat/>
    <w:rsid w:val="00F0563B"/>
    <w:pPr>
      <w:keepNext/>
      <w:keepLines/>
      <w:spacing w:before="200"/>
      <w:outlineLvl w:val="3"/>
    </w:pPr>
    <w:rPr>
      <w:rFonts w:ascii="Arial" w:eastAsiaTheme="majorEastAsia" w:hAnsi="Arial"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C2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61C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43A8"/>
    <w:rPr>
      <w:rFonts w:ascii="Arial" w:eastAsia="Times New Roman" w:hAnsi="Arial" w:cs="Times New Roman"/>
      <w:b/>
      <w:i/>
      <w:sz w:val="20"/>
      <w:szCs w:val="20"/>
      <w:u w:val="single"/>
    </w:rPr>
  </w:style>
  <w:style w:type="character" w:customStyle="1" w:styleId="Heading4Char">
    <w:name w:val="Heading 4 Char"/>
    <w:basedOn w:val="DefaultParagraphFont"/>
    <w:link w:val="Heading4"/>
    <w:uiPriority w:val="9"/>
    <w:rsid w:val="00F0563B"/>
    <w:rPr>
      <w:rFonts w:ascii="Arial" w:eastAsiaTheme="majorEastAsia" w:hAnsi="Arial" w:cstheme="majorBidi"/>
      <w:b/>
      <w:bCs/>
      <w:i/>
      <w:iCs/>
      <w:color w:val="4F81BD" w:themeColor="accent1"/>
      <w:sz w:val="22"/>
      <w:szCs w:val="22"/>
    </w:rPr>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F415BB"/>
    <w:pPr>
      <w:ind w:left="720"/>
      <w:contextualSpacing/>
    </w:p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basedOn w:val="DefaultParagraphFont"/>
    <w:link w:val="ListParagraph"/>
    <w:uiPriority w:val="34"/>
    <w:qFormat/>
    <w:rsid w:val="00F062C8"/>
  </w:style>
  <w:style w:type="paragraph" w:styleId="FootnoteText">
    <w:name w:val="footnote text"/>
    <w:aliases w:val="fn,FOOTNOTES,single space Char Char,single space Char,Nbpage Moens,Footnote Text Char Char Char Char,Footnote Text Char Char,footnote text,single space,ft,Footnotes,Footnote ak,Footnote Text Char1 Char1 Char,ADB,Geneva 9 Char, Tegn1,Char"/>
    <w:basedOn w:val="Normal"/>
    <w:link w:val="FootnoteTextChar"/>
    <w:uiPriority w:val="99"/>
    <w:unhideWhenUsed/>
    <w:qFormat/>
    <w:rsid w:val="005800C7"/>
  </w:style>
  <w:style w:type="character" w:customStyle="1" w:styleId="FootnoteTextChar">
    <w:name w:val="Footnote Text Char"/>
    <w:aliases w:val="fn Char1,FOOTNOTES Char1,single space Char Char Char1,single space Char Char2,Nbpage Moens Char1,Footnote Text Char Char Char Char Char1,Footnote Text Char Char Char1,footnote text Char1,single space Char2,ft Char1,Footnotes Char1"/>
    <w:basedOn w:val="DefaultParagraphFont"/>
    <w:link w:val="FootnoteText"/>
    <w:uiPriority w:val="99"/>
    <w:rsid w:val="005800C7"/>
  </w:style>
  <w:style w:type="character" w:styleId="FootnoteReference">
    <w:name w:val="footnote reference"/>
    <w:aliases w:val="ftref,Ref,de nota al pie,16 Point,Superscript 6 Point,Footnote Reference Superscript,BVI fnr,Footnote Reference Char Char Char,Carattere Char Carattere Carattere Char Carattere Char Carattere Char Char Char1 Char,4_G,fr,ftref Char"/>
    <w:basedOn w:val="DefaultParagraphFont"/>
    <w:link w:val="footnotenumberCharChar"/>
    <w:uiPriority w:val="99"/>
    <w:unhideWhenUsed/>
    <w:qFormat/>
    <w:rsid w:val="005800C7"/>
    <w:rPr>
      <w:vertAlign w:val="superscript"/>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C90A3B"/>
    <w:pPr>
      <w:spacing w:after="160" w:line="240" w:lineRule="exact"/>
    </w:pPr>
    <w:rPr>
      <w:vertAlign w:val="superscript"/>
    </w:rPr>
  </w:style>
  <w:style w:type="paragraph" w:styleId="Header">
    <w:name w:val="header"/>
    <w:basedOn w:val="Normal"/>
    <w:link w:val="HeaderChar"/>
    <w:uiPriority w:val="99"/>
    <w:unhideWhenUsed/>
    <w:rsid w:val="00FA7946"/>
    <w:pPr>
      <w:tabs>
        <w:tab w:val="center" w:pos="4320"/>
        <w:tab w:val="right" w:pos="8640"/>
      </w:tabs>
    </w:pPr>
  </w:style>
  <w:style w:type="character" w:customStyle="1" w:styleId="HeaderChar">
    <w:name w:val="Header Char"/>
    <w:basedOn w:val="DefaultParagraphFont"/>
    <w:link w:val="Header"/>
    <w:uiPriority w:val="99"/>
    <w:rsid w:val="00FA7946"/>
  </w:style>
  <w:style w:type="paragraph" w:styleId="Footer">
    <w:name w:val="footer"/>
    <w:basedOn w:val="Normal"/>
    <w:link w:val="FooterChar"/>
    <w:uiPriority w:val="99"/>
    <w:unhideWhenUsed/>
    <w:qFormat/>
    <w:rsid w:val="00FA7946"/>
    <w:pPr>
      <w:tabs>
        <w:tab w:val="center" w:pos="4320"/>
        <w:tab w:val="right" w:pos="8640"/>
      </w:tabs>
    </w:pPr>
  </w:style>
  <w:style w:type="character" w:customStyle="1" w:styleId="FooterChar">
    <w:name w:val="Footer Char"/>
    <w:basedOn w:val="DefaultParagraphFont"/>
    <w:link w:val="Footer"/>
    <w:uiPriority w:val="99"/>
    <w:rsid w:val="00FA7946"/>
  </w:style>
  <w:style w:type="character" w:styleId="PageNumber">
    <w:name w:val="page number"/>
    <w:basedOn w:val="DefaultParagraphFont"/>
    <w:uiPriority w:val="99"/>
    <w:unhideWhenUsed/>
    <w:rsid w:val="00FA7946"/>
  </w:style>
  <w:style w:type="character" w:customStyle="1" w:styleId="Style1">
    <w:name w:val="Style1"/>
    <w:basedOn w:val="DefaultParagraphFont"/>
    <w:rsid w:val="00875CC3"/>
    <w:rPr>
      <w:rFonts w:ascii="Myriad Pro" w:hAnsi="Myriad Pro"/>
    </w:rPr>
  </w:style>
  <w:style w:type="paragraph" w:styleId="NoSpacing">
    <w:name w:val="No Spacing"/>
    <w:uiPriority w:val="1"/>
    <w:qFormat/>
    <w:rsid w:val="00875CC3"/>
    <w:rPr>
      <w:sz w:val="22"/>
      <w:szCs w:val="22"/>
    </w:rPr>
  </w:style>
  <w:style w:type="paragraph" w:styleId="NormalWeb">
    <w:name w:val="Normal (Web)"/>
    <w:basedOn w:val="Normal"/>
    <w:uiPriority w:val="99"/>
    <w:unhideWhenUsed/>
    <w:rsid w:val="00875CC3"/>
    <w:pPr>
      <w:spacing w:before="100" w:beforeAutospacing="1" w:after="100" w:afterAutospacing="1"/>
    </w:pPr>
    <w:rPr>
      <w:rFonts w:ascii="Times New Roman" w:eastAsia="Times New Roman" w:hAnsi="Times New Roman" w:cs="Times New Roman"/>
    </w:rPr>
  </w:style>
  <w:style w:type="table" w:customStyle="1" w:styleId="1">
    <w:name w:val="Сетка таблицы1"/>
    <w:basedOn w:val="TableNormal"/>
    <w:next w:val="TableGrid"/>
    <w:uiPriority w:val="59"/>
    <w:rsid w:val="00875CC3"/>
    <w:rPr>
      <w:rFonts w:eastAsia="Calibri"/>
      <w:sz w:val="22"/>
      <w:szCs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7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CC3"/>
    <w:rPr>
      <w:rFonts w:ascii="Lucida Grande" w:hAnsi="Lucida Grande" w:cs="Lucida Grande"/>
      <w:sz w:val="18"/>
      <w:szCs w:val="18"/>
    </w:rPr>
  </w:style>
  <w:style w:type="character" w:styleId="Hyperlink">
    <w:name w:val="Hyperlink"/>
    <w:basedOn w:val="DefaultParagraphFont"/>
    <w:uiPriority w:val="99"/>
    <w:unhideWhenUsed/>
    <w:rsid w:val="00D9079F"/>
    <w:rPr>
      <w:color w:val="0563C1"/>
      <w:u w:val="single"/>
    </w:rPr>
  </w:style>
  <w:style w:type="paragraph" w:styleId="TOCHeading">
    <w:name w:val="TOC Heading"/>
    <w:basedOn w:val="Heading1"/>
    <w:next w:val="Normal"/>
    <w:uiPriority w:val="39"/>
    <w:unhideWhenUsed/>
    <w:qFormat/>
    <w:rsid w:val="00561C2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61C20"/>
    <w:pPr>
      <w:spacing w:before="120"/>
    </w:pPr>
    <w:rPr>
      <w:b/>
      <w:caps/>
      <w:sz w:val="22"/>
      <w:szCs w:val="22"/>
    </w:rPr>
  </w:style>
  <w:style w:type="paragraph" w:styleId="TOC2">
    <w:name w:val="toc 2"/>
    <w:basedOn w:val="Normal"/>
    <w:next w:val="Normal"/>
    <w:autoRedefine/>
    <w:uiPriority w:val="39"/>
    <w:unhideWhenUsed/>
    <w:rsid w:val="00E81FA4"/>
    <w:pPr>
      <w:tabs>
        <w:tab w:val="left" w:pos="700"/>
        <w:tab w:val="right" w:leader="dot" w:pos="9350"/>
      </w:tabs>
      <w:ind w:left="630" w:hanging="390"/>
    </w:pPr>
    <w:rPr>
      <w:smallCaps/>
      <w:sz w:val="22"/>
      <w:szCs w:val="22"/>
    </w:rPr>
  </w:style>
  <w:style w:type="paragraph" w:styleId="TOC3">
    <w:name w:val="toc 3"/>
    <w:basedOn w:val="Normal"/>
    <w:next w:val="Normal"/>
    <w:autoRedefine/>
    <w:uiPriority w:val="39"/>
    <w:unhideWhenUsed/>
    <w:rsid w:val="00561C20"/>
    <w:pPr>
      <w:ind w:left="480"/>
    </w:pPr>
    <w:rPr>
      <w:i/>
      <w:sz w:val="22"/>
      <w:szCs w:val="22"/>
    </w:rPr>
  </w:style>
  <w:style w:type="paragraph" w:styleId="TOC4">
    <w:name w:val="toc 4"/>
    <w:basedOn w:val="Normal"/>
    <w:next w:val="Normal"/>
    <w:autoRedefine/>
    <w:uiPriority w:val="39"/>
    <w:unhideWhenUsed/>
    <w:rsid w:val="00534B84"/>
    <w:pPr>
      <w:tabs>
        <w:tab w:val="right" w:leader="dot" w:pos="8097"/>
      </w:tabs>
      <w:ind w:left="720"/>
    </w:pPr>
    <w:rPr>
      <w:sz w:val="18"/>
      <w:szCs w:val="18"/>
    </w:rPr>
  </w:style>
  <w:style w:type="paragraph" w:styleId="TOC5">
    <w:name w:val="toc 5"/>
    <w:basedOn w:val="Normal"/>
    <w:next w:val="Normal"/>
    <w:autoRedefine/>
    <w:uiPriority w:val="39"/>
    <w:unhideWhenUsed/>
    <w:rsid w:val="00561C20"/>
    <w:pPr>
      <w:ind w:left="960"/>
    </w:pPr>
    <w:rPr>
      <w:sz w:val="18"/>
      <w:szCs w:val="18"/>
    </w:rPr>
  </w:style>
  <w:style w:type="paragraph" w:styleId="TOC6">
    <w:name w:val="toc 6"/>
    <w:basedOn w:val="Normal"/>
    <w:next w:val="Normal"/>
    <w:autoRedefine/>
    <w:uiPriority w:val="39"/>
    <w:unhideWhenUsed/>
    <w:rsid w:val="00561C20"/>
    <w:pPr>
      <w:ind w:left="1200"/>
    </w:pPr>
    <w:rPr>
      <w:sz w:val="18"/>
      <w:szCs w:val="18"/>
    </w:rPr>
  </w:style>
  <w:style w:type="paragraph" w:styleId="TOC7">
    <w:name w:val="toc 7"/>
    <w:basedOn w:val="Normal"/>
    <w:next w:val="Normal"/>
    <w:autoRedefine/>
    <w:uiPriority w:val="39"/>
    <w:unhideWhenUsed/>
    <w:rsid w:val="00561C20"/>
    <w:pPr>
      <w:ind w:left="1440"/>
    </w:pPr>
    <w:rPr>
      <w:sz w:val="18"/>
      <w:szCs w:val="18"/>
    </w:rPr>
  </w:style>
  <w:style w:type="paragraph" w:styleId="TOC8">
    <w:name w:val="toc 8"/>
    <w:basedOn w:val="Normal"/>
    <w:next w:val="Normal"/>
    <w:autoRedefine/>
    <w:uiPriority w:val="39"/>
    <w:unhideWhenUsed/>
    <w:rsid w:val="00561C20"/>
    <w:pPr>
      <w:ind w:left="1680"/>
    </w:pPr>
    <w:rPr>
      <w:sz w:val="18"/>
      <w:szCs w:val="18"/>
    </w:rPr>
  </w:style>
  <w:style w:type="paragraph" w:styleId="TOC9">
    <w:name w:val="toc 9"/>
    <w:basedOn w:val="Normal"/>
    <w:next w:val="Normal"/>
    <w:autoRedefine/>
    <w:uiPriority w:val="39"/>
    <w:unhideWhenUsed/>
    <w:rsid w:val="00561C20"/>
    <w:pPr>
      <w:ind w:left="1920"/>
    </w:pPr>
    <w:rPr>
      <w:sz w:val="18"/>
      <w:szCs w:val="18"/>
    </w:rPr>
  </w:style>
  <w:style w:type="character" w:styleId="CommentReference">
    <w:name w:val="annotation reference"/>
    <w:basedOn w:val="DefaultParagraphFont"/>
    <w:uiPriority w:val="99"/>
    <w:semiHidden/>
    <w:unhideWhenUsed/>
    <w:rsid w:val="006429D2"/>
    <w:rPr>
      <w:sz w:val="16"/>
      <w:szCs w:val="16"/>
    </w:rPr>
  </w:style>
  <w:style w:type="paragraph" w:styleId="CommentText">
    <w:name w:val="annotation text"/>
    <w:basedOn w:val="Normal"/>
    <w:link w:val="CommentTextChar"/>
    <w:uiPriority w:val="99"/>
    <w:unhideWhenUsed/>
    <w:rsid w:val="006429D2"/>
    <w:rPr>
      <w:sz w:val="20"/>
      <w:szCs w:val="20"/>
    </w:rPr>
  </w:style>
  <w:style w:type="character" w:customStyle="1" w:styleId="CommentTextChar">
    <w:name w:val="Comment Text Char"/>
    <w:basedOn w:val="DefaultParagraphFont"/>
    <w:link w:val="CommentText"/>
    <w:uiPriority w:val="99"/>
    <w:rsid w:val="006429D2"/>
    <w:rPr>
      <w:sz w:val="20"/>
      <w:szCs w:val="20"/>
    </w:rPr>
  </w:style>
  <w:style w:type="paragraph" w:styleId="CommentSubject">
    <w:name w:val="annotation subject"/>
    <w:basedOn w:val="CommentText"/>
    <w:next w:val="CommentText"/>
    <w:link w:val="CommentSubjectChar"/>
    <w:uiPriority w:val="99"/>
    <w:semiHidden/>
    <w:unhideWhenUsed/>
    <w:rsid w:val="006429D2"/>
    <w:rPr>
      <w:b/>
      <w:bCs/>
    </w:rPr>
  </w:style>
  <w:style w:type="character" w:customStyle="1" w:styleId="CommentSubjectChar">
    <w:name w:val="Comment Subject Char"/>
    <w:basedOn w:val="CommentTextChar"/>
    <w:link w:val="CommentSubject"/>
    <w:uiPriority w:val="99"/>
    <w:semiHidden/>
    <w:rsid w:val="006429D2"/>
    <w:rPr>
      <w:b/>
      <w:bCs/>
      <w:sz w:val="20"/>
      <w:szCs w:val="20"/>
    </w:rPr>
  </w:style>
  <w:style w:type="paragraph" w:styleId="BodyText2">
    <w:name w:val="Body Text 2"/>
    <w:basedOn w:val="Normal"/>
    <w:link w:val="BodyText2Char"/>
    <w:rsid w:val="00084967"/>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084967"/>
    <w:rPr>
      <w:rFonts w:ascii="Times New Roman" w:eastAsia="Times New Roman" w:hAnsi="Times New Roman" w:cs="Times New Roman"/>
    </w:rPr>
  </w:style>
  <w:style w:type="character" w:styleId="Strong">
    <w:name w:val="Strong"/>
    <w:basedOn w:val="DefaultParagraphFont"/>
    <w:uiPriority w:val="99"/>
    <w:qFormat/>
    <w:rsid w:val="004457B5"/>
    <w:rPr>
      <w:rFonts w:cs="Times New Roman"/>
      <w:b/>
      <w:bCs/>
    </w:rPr>
  </w:style>
  <w:style w:type="paragraph" w:styleId="Title">
    <w:name w:val="Title"/>
    <w:aliases w:val="Section heading for GSSA/IAH"/>
    <w:basedOn w:val="Normal"/>
    <w:link w:val="TitleChar"/>
    <w:uiPriority w:val="10"/>
    <w:qFormat/>
    <w:rsid w:val="004457B5"/>
    <w:pPr>
      <w:jc w:val="center"/>
    </w:pPr>
    <w:rPr>
      <w:rFonts w:ascii="CG Times" w:eastAsia="Times New Roman" w:hAnsi="CG Times" w:cs="Times New Roman"/>
      <w:b/>
      <w:lang w:eastAsia="es-ES"/>
    </w:rPr>
  </w:style>
  <w:style w:type="character" w:customStyle="1" w:styleId="TitleChar">
    <w:name w:val="Title Char"/>
    <w:aliases w:val="Section heading for GSSA/IAH Char"/>
    <w:basedOn w:val="DefaultParagraphFont"/>
    <w:link w:val="Title"/>
    <w:uiPriority w:val="10"/>
    <w:rsid w:val="004457B5"/>
    <w:rPr>
      <w:rFonts w:ascii="CG Times" w:eastAsia="Times New Roman" w:hAnsi="CG Times" w:cs="Times New Roman"/>
      <w:b/>
      <w:lang w:eastAsia="es-ES"/>
    </w:rPr>
  </w:style>
  <w:style w:type="character" w:customStyle="1" w:styleId="FootnoteTextChar1">
    <w:name w:val="Footnote Text Char1"/>
    <w:aliases w:val="fn Char,FOOTNOTES Char,single space Char Char Char,single space Char Char1,Nbpage Moens Char,Footnote Text Char Char Char Char Char,Footnote Text Char Char Char,footnote text Char,single space Char1,ft Char,Footnotes Char,ADB Char"/>
    <w:basedOn w:val="DefaultParagraphFont"/>
    <w:semiHidden/>
    <w:rsid w:val="004457B5"/>
    <w:rPr>
      <w:rFonts w:ascii="Times New Roman" w:eastAsia="Times New Roman" w:hAnsi="Times New Roman" w:cs="Times New Roman"/>
      <w:sz w:val="20"/>
      <w:szCs w:val="20"/>
      <w:lang w:val="ru-RU" w:eastAsia="ru-RU"/>
    </w:rPr>
  </w:style>
  <w:style w:type="paragraph" w:customStyle="1" w:styleId="Default">
    <w:name w:val="Default"/>
    <w:rsid w:val="00DD70B2"/>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9759F5"/>
    <w:rPr>
      <w:color w:val="800080" w:themeColor="followedHyperlink"/>
      <w:u w:val="single"/>
    </w:rPr>
  </w:style>
  <w:style w:type="paragraph" w:styleId="BodyText">
    <w:name w:val="Body Text"/>
    <w:basedOn w:val="Normal"/>
    <w:link w:val="BodyTextChar"/>
    <w:uiPriority w:val="99"/>
    <w:semiHidden/>
    <w:unhideWhenUsed/>
    <w:rsid w:val="00B943FD"/>
    <w:pPr>
      <w:spacing w:after="120"/>
    </w:pPr>
  </w:style>
  <w:style w:type="character" w:customStyle="1" w:styleId="BodyTextChar">
    <w:name w:val="Body Text Char"/>
    <w:basedOn w:val="DefaultParagraphFont"/>
    <w:link w:val="BodyText"/>
    <w:uiPriority w:val="99"/>
    <w:semiHidden/>
    <w:rsid w:val="00B943FD"/>
  </w:style>
  <w:style w:type="paragraph" w:customStyle="1" w:styleId="TableParagraph">
    <w:name w:val="Table Paragraph"/>
    <w:basedOn w:val="Normal"/>
    <w:uiPriority w:val="1"/>
    <w:qFormat/>
    <w:rsid w:val="00B943FD"/>
    <w:pPr>
      <w:widowControl w:val="0"/>
      <w:autoSpaceDE w:val="0"/>
      <w:autoSpaceDN w:val="0"/>
      <w:adjustRightInd w:val="0"/>
    </w:pPr>
    <w:rPr>
      <w:rFonts w:ascii="Times New Roman" w:hAnsi="Times New Roman" w:cs="Times New Roman"/>
    </w:rPr>
  </w:style>
  <w:style w:type="paragraph" w:customStyle="1" w:styleId="Adresse">
    <w:name w:val="Adresse"/>
    <w:basedOn w:val="Normal"/>
    <w:qFormat/>
    <w:rsid w:val="00C80918"/>
    <w:pPr>
      <w:spacing w:line="240" w:lineRule="exact"/>
    </w:pPr>
    <w:rPr>
      <w:rFonts w:ascii="Arial" w:eastAsia="Arial" w:hAnsi="Arial" w:cs="Times New Roman"/>
      <w:noProof/>
      <w:color w:val="808080"/>
      <w:sz w:val="16"/>
      <w:szCs w:val="18"/>
      <w:lang w:val="en-GB" w:eastAsia="pt-PT"/>
    </w:rPr>
  </w:style>
  <w:style w:type="paragraph" w:styleId="BodyTextIndent2">
    <w:name w:val="Body Text Indent 2"/>
    <w:basedOn w:val="Normal"/>
    <w:link w:val="BodyTextIndent2Char"/>
    <w:unhideWhenUsed/>
    <w:rsid w:val="00AB12BD"/>
    <w:pPr>
      <w:spacing w:after="120" w:line="480" w:lineRule="auto"/>
      <w:ind w:left="360"/>
    </w:pPr>
  </w:style>
  <w:style w:type="character" w:customStyle="1" w:styleId="BodyTextIndent2Char">
    <w:name w:val="Body Text Indent 2 Char"/>
    <w:basedOn w:val="DefaultParagraphFont"/>
    <w:link w:val="BodyTextIndent2"/>
    <w:rsid w:val="00AB12BD"/>
  </w:style>
  <w:style w:type="paragraph" w:styleId="Caption">
    <w:name w:val="caption"/>
    <w:basedOn w:val="Normal"/>
    <w:next w:val="Normal"/>
    <w:unhideWhenUsed/>
    <w:qFormat/>
    <w:rsid w:val="00AB12BD"/>
    <w:pPr>
      <w:spacing w:after="200"/>
    </w:pPr>
    <w:rPr>
      <w:rFonts w:eastAsiaTheme="minorHAnsi"/>
      <w:i/>
      <w:iCs/>
      <w:color w:val="1F497D" w:themeColor="text2"/>
      <w:sz w:val="18"/>
      <w:szCs w:val="18"/>
      <w:lang w:val="en-GB"/>
    </w:rPr>
  </w:style>
  <w:style w:type="character" w:customStyle="1" w:styleId="tr">
    <w:name w:val="tr"/>
    <w:basedOn w:val="DefaultParagraphFont"/>
    <w:rsid w:val="00AB12BD"/>
  </w:style>
  <w:style w:type="paragraph" w:customStyle="1" w:styleId="p28">
    <w:name w:val="p28"/>
    <w:basedOn w:val="Normal"/>
    <w:rsid w:val="00AB12BD"/>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rPr>
  </w:style>
  <w:style w:type="character" w:customStyle="1" w:styleId="apple-converted-space">
    <w:name w:val="apple-converted-space"/>
    <w:basedOn w:val="DefaultParagraphFont"/>
    <w:rsid w:val="00EE416C"/>
  </w:style>
  <w:style w:type="character" w:customStyle="1" w:styleId="5yl5">
    <w:name w:val="_5yl5"/>
    <w:basedOn w:val="DefaultParagraphFont"/>
    <w:rsid w:val="00811E18"/>
  </w:style>
  <w:style w:type="table" w:customStyle="1" w:styleId="GridTable5Dark-Accent11">
    <w:name w:val="Grid Table 5 Dark - Accent 11"/>
    <w:basedOn w:val="TableNormal"/>
    <w:uiPriority w:val="50"/>
    <w:rsid w:val="005C3113"/>
    <w:rPr>
      <w:rFonts w:eastAsiaTheme="minorHAns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6F2FE4"/>
    <w:rPr>
      <w:rFonts w:eastAsiaTheme="minorHAnsi"/>
      <w:sz w:val="22"/>
      <w:szCs w:val="22"/>
      <w:lang w:val="ru-R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6">
    <w:name w:val="A6"/>
    <w:uiPriority w:val="99"/>
    <w:rsid w:val="00F82EEB"/>
    <w:rPr>
      <w:rFonts w:cs="GL Gordeziani"/>
      <w:color w:val="000000"/>
      <w:sz w:val="40"/>
      <w:szCs w:val="40"/>
    </w:rPr>
  </w:style>
  <w:style w:type="character" w:customStyle="1" w:styleId="A1">
    <w:name w:val="A1"/>
    <w:uiPriority w:val="99"/>
    <w:rsid w:val="00F82EEB"/>
    <w:rPr>
      <w:rFonts w:cs="Calibri"/>
      <w:color w:val="000000"/>
      <w:sz w:val="22"/>
      <w:szCs w:val="22"/>
    </w:rPr>
  </w:style>
  <w:style w:type="character" w:customStyle="1" w:styleId="A13">
    <w:name w:val="A13"/>
    <w:uiPriority w:val="99"/>
    <w:rsid w:val="00F82EEB"/>
    <w:rPr>
      <w:rFonts w:cs="Calibri"/>
      <w:color w:val="000000"/>
      <w:sz w:val="21"/>
      <w:szCs w:val="21"/>
    </w:rPr>
  </w:style>
  <w:style w:type="character" w:customStyle="1" w:styleId="A10">
    <w:name w:val="A10"/>
    <w:uiPriority w:val="99"/>
    <w:rsid w:val="00F82EEB"/>
    <w:rPr>
      <w:rFonts w:cs="Calibri"/>
      <w:color w:val="000000"/>
      <w:sz w:val="18"/>
      <w:szCs w:val="18"/>
    </w:rPr>
  </w:style>
  <w:style w:type="character" w:customStyle="1" w:styleId="A3">
    <w:name w:val="A3"/>
    <w:uiPriority w:val="99"/>
    <w:rsid w:val="00F82EEB"/>
    <w:rPr>
      <w:rFonts w:cs="DejaVu Sans Condensed"/>
      <w:color w:val="000000"/>
      <w:sz w:val="14"/>
      <w:szCs w:val="14"/>
    </w:rPr>
  </w:style>
  <w:style w:type="paragraph" w:customStyle="1" w:styleId="Normal1">
    <w:name w:val="Normal1"/>
    <w:rsid w:val="00812932"/>
    <w:pPr>
      <w:spacing w:after="200" w:line="276" w:lineRule="auto"/>
    </w:pPr>
    <w:rPr>
      <w:rFonts w:ascii="Calibri" w:eastAsia="Calibri" w:hAnsi="Calibri" w:cs="Calibri"/>
      <w:sz w:val="22"/>
      <w:szCs w:val="22"/>
    </w:rPr>
  </w:style>
  <w:style w:type="table" w:styleId="LightList-Accent1">
    <w:name w:val="Light List Accent 1"/>
    <w:basedOn w:val="TableNormal"/>
    <w:uiPriority w:val="61"/>
    <w:rsid w:val="00AF4A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AF4A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2225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3507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232FCF"/>
  </w:style>
  <w:style w:type="paragraph" w:customStyle="1" w:styleId="Pa5">
    <w:name w:val="Pa5"/>
    <w:basedOn w:val="Default"/>
    <w:next w:val="Default"/>
    <w:uiPriority w:val="99"/>
    <w:rsid w:val="00DB3B57"/>
    <w:pPr>
      <w:spacing w:line="241" w:lineRule="atLeast"/>
    </w:pPr>
    <w:rPr>
      <w:rFonts w:ascii="Roboto" w:hAnsi="Roboto"/>
      <w:color w:val="auto"/>
    </w:rPr>
  </w:style>
  <w:style w:type="character" w:customStyle="1" w:styleId="A0">
    <w:name w:val="A0"/>
    <w:uiPriority w:val="99"/>
    <w:rsid w:val="00DB3B57"/>
    <w:rPr>
      <w:rFonts w:cs="Robo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452415">
      <w:bodyDiv w:val="1"/>
      <w:marLeft w:val="0"/>
      <w:marRight w:val="0"/>
      <w:marTop w:val="0"/>
      <w:marBottom w:val="0"/>
      <w:divBdr>
        <w:top w:val="none" w:sz="0" w:space="0" w:color="auto"/>
        <w:left w:val="none" w:sz="0" w:space="0" w:color="auto"/>
        <w:bottom w:val="none" w:sz="0" w:space="0" w:color="auto"/>
        <w:right w:val="none" w:sz="0" w:space="0" w:color="auto"/>
      </w:divBdr>
    </w:div>
    <w:div w:id="282080890">
      <w:bodyDiv w:val="1"/>
      <w:marLeft w:val="0"/>
      <w:marRight w:val="0"/>
      <w:marTop w:val="0"/>
      <w:marBottom w:val="0"/>
      <w:divBdr>
        <w:top w:val="none" w:sz="0" w:space="0" w:color="auto"/>
        <w:left w:val="none" w:sz="0" w:space="0" w:color="auto"/>
        <w:bottom w:val="none" w:sz="0" w:space="0" w:color="auto"/>
        <w:right w:val="none" w:sz="0" w:space="0" w:color="auto"/>
      </w:divBdr>
    </w:div>
    <w:div w:id="387806613">
      <w:bodyDiv w:val="1"/>
      <w:marLeft w:val="0"/>
      <w:marRight w:val="0"/>
      <w:marTop w:val="0"/>
      <w:marBottom w:val="0"/>
      <w:divBdr>
        <w:top w:val="none" w:sz="0" w:space="0" w:color="auto"/>
        <w:left w:val="none" w:sz="0" w:space="0" w:color="auto"/>
        <w:bottom w:val="none" w:sz="0" w:space="0" w:color="auto"/>
        <w:right w:val="none" w:sz="0" w:space="0" w:color="auto"/>
      </w:divBdr>
      <w:divsChild>
        <w:div w:id="1396777970">
          <w:marLeft w:val="0"/>
          <w:marRight w:val="0"/>
          <w:marTop w:val="0"/>
          <w:marBottom w:val="0"/>
          <w:divBdr>
            <w:top w:val="none" w:sz="0" w:space="0" w:color="auto"/>
            <w:left w:val="none" w:sz="0" w:space="0" w:color="auto"/>
            <w:bottom w:val="none" w:sz="0" w:space="0" w:color="auto"/>
            <w:right w:val="none" w:sz="0" w:space="0" w:color="auto"/>
          </w:divBdr>
          <w:divsChild>
            <w:div w:id="1311520751">
              <w:marLeft w:val="0"/>
              <w:marRight w:val="0"/>
              <w:marTop w:val="0"/>
              <w:marBottom w:val="0"/>
              <w:divBdr>
                <w:top w:val="none" w:sz="0" w:space="0" w:color="auto"/>
                <w:left w:val="none" w:sz="0" w:space="0" w:color="auto"/>
                <w:bottom w:val="none" w:sz="0" w:space="0" w:color="auto"/>
                <w:right w:val="none" w:sz="0" w:space="0" w:color="auto"/>
              </w:divBdr>
              <w:divsChild>
                <w:div w:id="851453626">
                  <w:marLeft w:val="0"/>
                  <w:marRight w:val="0"/>
                  <w:marTop w:val="0"/>
                  <w:marBottom w:val="0"/>
                  <w:divBdr>
                    <w:top w:val="none" w:sz="0" w:space="0" w:color="auto"/>
                    <w:left w:val="none" w:sz="0" w:space="0" w:color="auto"/>
                    <w:bottom w:val="none" w:sz="0" w:space="0" w:color="auto"/>
                    <w:right w:val="none" w:sz="0" w:space="0" w:color="auto"/>
                  </w:divBdr>
                  <w:divsChild>
                    <w:div w:id="6652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43247">
      <w:bodyDiv w:val="1"/>
      <w:marLeft w:val="0"/>
      <w:marRight w:val="0"/>
      <w:marTop w:val="0"/>
      <w:marBottom w:val="0"/>
      <w:divBdr>
        <w:top w:val="none" w:sz="0" w:space="0" w:color="auto"/>
        <w:left w:val="none" w:sz="0" w:space="0" w:color="auto"/>
        <w:bottom w:val="none" w:sz="0" w:space="0" w:color="auto"/>
        <w:right w:val="none" w:sz="0" w:space="0" w:color="auto"/>
      </w:divBdr>
    </w:div>
    <w:div w:id="604308818">
      <w:bodyDiv w:val="1"/>
      <w:marLeft w:val="0"/>
      <w:marRight w:val="0"/>
      <w:marTop w:val="0"/>
      <w:marBottom w:val="0"/>
      <w:divBdr>
        <w:top w:val="none" w:sz="0" w:space="0" w:color="auto"/>
        <w:left w:val="none" w:sz="0" w:space="0" w:color="auto"/>
        <w:bottom w:val="none" w:sz="0" w:space="0" w:color="auto"/>
        <w:right w:val="none" w:sz="0" w:space="0" w:color="auto"/>
      </w:divBdr>
    </w:div>
    <w:div w:id="626401101">
      <w:bodyDiv w:val="1"/>
      <w:marLeft w:val="0"/>
      <w:marRight w:val="0"/>
      <w:marTop w:val="0"/>
      <w:marBottom w:val="0"/>
      <w:divBdr>
        <w:top w:val="none" w:sz="0" w:space="0" w:color="auto"/>
        <w:left w:val="none" w:sz="0" w:space="0" w:color="auto"/>
        <w:bottom w:val="none" w:sz="0" w:space="0" w:color="auto"/>
        <w:right w:val="none" w:sz="0" w:space="0" w:color="auto"/>
      </w:divBdr>
    </w:div>
    <w:div w:id="644968198">
      <w:bodyDiv w:val="1"/>
      <w:marLeft w:val="0"/>
      <w:marRight w:val="0"/>
      <w:marTop w:val="0"/>
      <w:marBottom w:val="0"/>
      <w:divBdr>
        <w:top w:val="none" w:sz="0" w:space="0" w:color="auto"/>
        <w:left w:val="none" w:sz="0" w:space="0" w:color="auto"/>
        <w:bottom w:val="none" w:sz="0" w:space="0" w:color="auto"/>
        <w:right w:val="none" w:sz="0" w:space="0" w:color="auto"/>
      </w:divBdr>
    </w:div>
    <w:div w:id="663704531">
      <w:bodyDiv w:val="1"/>
      <w:marLeft w:val="0"/>
      <w:marRight w:val="0"/>
      <w:marTop w:val="0"/>
      <w:marBottom w:val="0"/>
      <w:divBdr>
        <w:top w:val="none" w:sz="0" w:space="0" w:color="auto"/>
        <w:left w:val="none" w:sz="0" w:space="0" w:color="auto"/>
        <w:bottom w:val="none" w:sz="0" w:space="0" w:color="auto"/>
        <w:right w:val="none" w:sz="0" w:space="0" w:color="auto"/>
      </w:divBdr>
    </w:div>
    <w:div w:id="740635273">
      <w:bodyDiv w:val="1"/>
      <w:marLeft w:val="0"/>
      <w:marRight w:val="0"/>
      <w:marTop w:val="0"/>
      <w:marBottom w:val="0"/>
      <w:divBdr>
        <w:top w:val="none" w:sz="0" w:space="0" w:color="auto"/>
        <w:left w:val="none" w:sz="0" w:space="0" w:color="auto"/>
        <w:bottom w:val="none" w:sz="0" w:space="0" w:color="auto"/>
        <w:right w:val="none" w:sz="0" w:space="0" w:color="auto"/>
      </w:divBdr>
    </w:div>
    <w:div w:id="763115275">
      <w:bodyDiv w:val="1"/>
      <w:marLeft w:val="0"/>
      <w:marRight w:val="0"/>
      <w:marTop w:val="0"/>
      <w:marBottom w:val="0"/>
      <w:divBdr>
        <w:top w:val="none" w:sz="0" w:space="0" w:color="auto"/>
        <w:left w:val="none" w:sz="0" w:space="0" w:color="auto"/>
        <w:bottom w:val="none" w:sz="0" w:space="0" w:color="auto"/>
        <w:right w:val="none" w:sz="0" w:space="0" w:color="auto"/>
      </w:divBdr>
    </w:div>
    <w:div w:id="814030640">
      <w:bodyDiv w:val="1"/>
      <w:marLeft w:val="0"/>
      <w:marRight w:val="0"/>
      <w:marTop w:val="0"/>
      <w:marBottom w:val="0"/>
      <w:divBdr>
        <w:top w:val="none" w:sz="0" w:space="0" w:color="auto"/>
        <w:left w:val="none" w:sz="0" w:space="0" w:color="auto"/>
        <w:bottom w:val="none" w:sz="0" w:space="0" w:color="auto"/>
        <w:right w:val="none" w:sz="0" w:space="0" w:color="auto"/>
      </w:divBdr>
    </w:div>
    <w:div w:id="837040334">
      <w:bodyDiv w:val="1"/>
      <w:marLeft w:val="0"/>
      <w:marRight w:val="0"/>
      <w:marTop w:val="0"/>
      <w:marBottom w:val="0"/>
      <w:divBdr>
        <w:top w:val="none" w:sz="0" w:space="0" w:color="auto"/>
        <w:left w:val="none" w:sz="0" w:space="0" w:color="auto"/>
        <w:bottom w:val="none" w:sz="0" w:space="0" w:color="auto"/>
        <w:right w:val="none" w:sz="0" w:space="0" w:color="auto"/>
      </w:divBdr>
    </w:div>
    <w:div w:id="841160899">
      <w:bodyDiv w:val="1"/>
      <w:marLeft w:val="0"/>
      <w:marRight w:val="0"/>
      <w:marTop w:val="0"/>
      <w:marBottom w:val="0"/>
      <w:divBdr>
        <w:top w:val="none" w:sz="0" w:space="0" w:color="auto"/>
        <w:left w:val="none" w:sz="0" w:space="0" w:color="auto"/>
        <w:bottom w:val="none" w:sz="0" w:space="0" w:color="auto"/>
        <w:right w:val="none" w:sz="0" w:space="0" w:color="auto"/>
      </w:divBdr>
    </w:div>
    <w:div w:id="876042562">
      <w:bodyDiv w:val="1"/>
      <w:marLeft w:val="0"/>
      <w:marRight w:val="0"/>
      <w:marTop w:val="0"/>
      <w:marBottom w:val="0"/>
      <w:divBdr>
        <w:top w:val="none" w:sz="0" w:space="0" w:color="auto"/>
        <w:left w:val="none" w:sz="0" w:space="0" w:color="auto"/>
        <w:bottom w:val="none" w:sz="0" w:space="0" w:color="auto"/>
        <w:right w:val="none" w:sz="0" w:space="0" w:color="auto"/>
      </w:divBdr>
    </w:div>
    <w:div w:id="934947142">
      <w:bodyDiv w:val="1"/>
      <w:marLeft w:val="0"/>
      <w:marRight w:val="0"/>
      <w:marTop w:val="0"/>
      <w:marBottom w:val="0"/>
      <w:divBdr>
        <w:top w:val="none" w:sz="0" w:space="0" w:color="auto"/>
        <w:left w:val="none" w:sz="0" w:space="0" w:color="auto"/>
        <w:bottom w:val="none" w:sz="0" w:space="0" w:color="auto"/>
        <w:right w:val="none" w:sz="0" w:space="0" w:color="auto"/>
      </w:divBdr>
    </w:div>
    <w:div w:id="1013529620">
      <w:bodyDiv w:val="1"/>
      <w:marLeft w:val="0"/>
      <w:marRight w:val="0"/>
      <w:marTop w:val="0"/>
      <w:marBottom w:val="0"/>
      <w:divBdr>
        <w:top w:val="none" w:sz="0" w:space="0" w:color="auto"/>
        <w:left w:val="none" w:sz="0" w:space="0" w:color="auto"/>
        <w:bottom w:val="none" w:sz="0" w:space="0" w:color="auto"/>
        <w:right w:val="none" w:sz="0" w:space="0" w:color="auto"/>
      </w:divBdr>
    </w:div>
    <w:div w:id="1168518616">
      <w:bodyDiv w:val="1"/>
      <w:marLeft w:val="0"/>
      <w:marRight w:val="0"/>
      <w:marTop w:val="0"/>
      <w:marBottom w:val="0"/>
      <w:divBdr>
        <w:top w:val="none" w:sz="0" w:space="0" w:color="auto"/>
        <w:left w:val="none" w:sz="0" w:space="0" w:color="auto"/>
        <w:bottom w:val="none" w:sz="0" w:space="0" w:color="auto"/>
        <w:right w:val="none" w:sz="0" w:space="0" w:color="auto"/>
      </w:divBdr>
      <w:divsChild>
        <w:div w:id="1579050455">
          <w:marLeft w:val="0"/>
          <w:marRight w:val="0"/>
          <w:marTop w:val="0"/>
          <w:marBottom w:val="0"/>
          <w:divBdr>
            <w:top w:val="none" w:sz="0" w:space="0" w:color="auto"/>
            <w:left w:val="none" w:sz="0" w:space="0" w:color="auto"/>
            <w:bottom w:val="none" w:sz="0" w:space="0" w:color="auto"/>
            <w:right w:val="none" w:sz="0" w:space="0" w:color="auto"/>
          </w:divBdr>
          <w:divsChild>
            <w:div w:id="1794128423">
              <w:marLeft w:val="0"/>
              <w:marRight w:val="0"/>
              <w:marTop w:val="0"/>
              <w:marBottom w:val="0"/>
              <w:divBdr>
                <w:top w:val="none" w:sz="0" w:space="0" w:color="auto"/>
                <w:left w:val="none" w:sz="0" w:space="0" w:color="auto"/>
                <w:bottom w:val="none" w:sz="0" w:space="0" w:color="auto"/>
                <w:right w:val="none" w:sz="0" w:space="0" w:color="auto"/>
              </w:divBdr>
              <w:divsChild>
                <w:div w:id="972294995">
                  <w:marLeft w:val="0"/>
                  <w:marRight w:val="0"/>
                  <w:marTop w:val="0"/>
                  <w:marBottom w:val="0"/>
                  <w:divBdr>
                    <w:top w:val="none" w:sz="0" w:space="0" w:color="auto"/>
                    <w:left w:val="none" w:sz="0" w:space="0" w:color="auto"/>
                    <w:bottom w:val="none" w:sz="0" w:space="0" w:color="auto"/>
                    <w:right w:val="none" w:sz="0" w:space="0" w:color="auto"/>
                  </w:divBdr>
                  <w:divsChild>
                    <w:div w:id="648898308">
                      <w:marLeft w:val="0"/>
                      <w:marRight w:val="0"/>
                      <w:marTop w:val="0"/>
                      <w:marBottom w:val="0"/>
                      <w:divBdr>
                        <w:top w:val="none" w:sz="0" w:space="0" w:color="auto"/>
                        <w:left w:val="none" w:sz="0" w:space="0" w:color="auto"/>
                        <w:bottom w:val="none" w:sz="0" w:space="0" w:color="auto"/>
                        <w:right w:val="none" w:sz="0" w:space="0" w:color="auto"/>
                      </w:divBdr>
                    </w:div>
                  </w:divsChild>
                </w:div>
                <w:div w:id="1803304507">
                  <w:marLeft w:val="0"/>
                  <w:marRight w:val="0"/>
                  <w:marTop w:val="0"/>
                  <w:marBottom w:val="0"/>
                  <w:divBdr>
                    <w:top w:val="none" w:sz="0" w:space="0" w:color="auto"/>
                    <w:left w:val="none" w:sz="0" w:space="0" w:color="auto"/>
                    <w:bottom w:val="none" w:sz="0" w:space="0" w:color="auto"/>
                    <w:right w:val="none" w:sz="0" w:space="0" w:color="auto"/>
                  </w:divBdr>
                  <w:divsChild>
                    <w:div w:id="2064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9362">
              <w:marLeft w:val="0"/>
              <w:marRight w:val="0"/>
              <w:marTop w:val="0"/>
              <w:marBottom w:val="0"/>
              <w:divBdr>
                <w:top w:val="none" w:sz="0" w:space="0" w:color="auto"/>
                <w:left w:val="none" w:sz="0" w:space="0" w:color="auto"/>
                <w:bottom w:val="none" w:sz="0" w:space="0" w:color="auto"/>
                <w:right w:val="none" w:sz="0" w:space="0" w:color="auto"/>
              </w:divBdr>
              <w:divsChild>
                <w:div w:id="1258706734">
                  <w:marLeft w:val="0"/>
                  <w:marRight w:val="0"/>
                  <w:marTop w:val="0"/>
                  <w:marBottom w:val="0"/>
                  <w:divBdr>
                    <w:top w:val="none" w:sz="0" w:space="0" w:color="auto"/>
                    <w:left w:val="none" w:sz="0" w:space="0" w:color="auto"/>
                    <w:bottom w:val="none" w:sz="0" w:space="0" w:color="auto"/>
                    <w:right w:val="none" w:sz="0" w:space="0" w:color="auto"/>
                  </w:divBdr>
                  <w:divsChild>
                    <w:div w:id="1897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51792">
          <w:marLeft w:val="0"/>
          <w:marRight w:val="0"/>
          <w:marTop w:val="0"/>
          <w:marBottom w:val="0"/>
          <w:divBdr>
            <w:top w:val="none" w:sz="0" w:space="0" w:color="auto"/>
            <w:left w:val="none" w:sz="0" w:space="0" w:color="auto"/>
            <w:bottom w:val="none" w:sz="0" w:space="0" w:color="auto"/>
            <w:right w:val="none" w:sz="0" w:space="0" w:color="auto"/>
          </w:divBdr>
          <w:divsChild>
            <w:div w:id="844324437">
              <w:marLeft w:val="0"/>
              <w:marRight w:val="0"/>
              <w:marTop w:val="0"/>
              <w:marBottom w:val="0"/>
              <w:divBdr>
                <w:top w:val="none" w:sz="0" w:space="0" w:color="auto"/>
                <w:left w:val="none" w:sz="0" w:space="0" w:color="auto"/>
                <w:bottom w:val="none" w:sz="0" w:space="0" w:color="auto"/>
                <w:right w:val="none" w:sz="0" w:space="0" w:color="auto"/>
              </w:divBdr>
              <w:divsChild>
                <w:div w:id="1232614365">
                  <w:marLeft w:val="0"/>
                  <w:marRight w:val="0"/>
                  <w:marTop w:val="0"/>
                  <w:marBottom w:val="0"/>
                  <w:divBdr>
                    <w:top w:val="none" w:sz="0" w:space="0" w:color="auto"/>
                    <w:left w:val="none" w:sz="0" w:space="0" w:color="auto"/>
                    <w:bottom w:val="none" w:sz="0" w:space="0" w:color="auto"/>
                    <w:right w:val="none" w:sz="0" w:space="0" w:color="auto"/>
                  </w:divBdr>
                  <w:divsChild>
                    <w:div w:id="46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4959">
      <w:bodyDiv w:val="1"/>
      <w:marLeft w:val="0"/>
      <w:marRight w:val="0"/>
      <w:marTop w:val="0"/>
      <w:marBottom w:val="0"/>
      <w:divBdr>
        <w:top w:val="none" w:sz="0" w:space="0" w:color="auto"/>
        <w:left w:val="none" w:sz="0" w:space="0" w:color="auto"/>
        <w:bottom w:val="none" w:sz="0" w:space="0" w:color="auto"/>
        <w:right w:val="none" w:sz="0" w:space="0" w:color="auto"/>
      </w:divBdr>
    </w:div>
    <w:div w:id="1240599813">
      <w:bodyDiv w:val="1"/>
      <w:marLeft w:val="0"/>
      <w:marRight w:val="0"/>
      <w:marTop w:val="0"/>
      <w:marBottom w:val="0"/>
      <w:divBdr>
        <w:top w:val="none" w:sz="0" w:space="0" w:color="auto"/>
        <w:left w:val="none" w:sz="0" w:space="0" w:color="auto"/>
        <w:bottom w:val="none" w:sz="0" w:space="0" w:color="auto"/>
        <w:right w:val="none" w:sz="0" w:space="0" w:color="auto"/>
      </w:divBdr>
    </w:div>
    <w:div w:id="1316181596">
      <w:bodyDiv w:val="1"/>
      <w:marLeft w:val="0"/>
      <w:marRight w:val="0"/>
      <w:marTop w:val="0"/>
      <w:marBottom w:val="0"/>
      <w:divBdr>
        <w:top w:val="none" w:sz="0" w:space="0" w:color="auto"/>
        <w:left w:val="none" w:sz="0" w:space="0" w:color="auto"/>
        <w:bottom w:val="none" w:sz="0" w:space="0" w:color="auto"/>
        <w:right w:val="none" w:sz="0" w:space="0" w:color="auto"/>
      </w:divBdr>
      <w:divsChild>
        <w:div w:id="1062676679">
          <w:marLeft w:val="0"/>
          <w:marRight w:val="0"/>
          <w:marTop w:val="0"/>
          <w:marBottom w:val="0"/>
          <w:divBdr>
            <w:top w:val="none" w:sz="0" w:space="0" w:color="auto"/>
            <w:left w:val="none" w:sz="0" w:space="0" w:color="auto"/>
            <w:bottom w:val="none" w:sz="0" w:space="0" w:color="auto"/>
            <w:right w:val="none" w:sz="0" w:space="0" w:color="auto"/>
          </w:divBdr>
        </w:div>
        <w:div w:id="1696496393">
          <w:marLeft w:val="0"/>
          <w:marRight w:val="0"/>
          <w:marTop w:val="0"/>
          <w:marBottom w:val="0"/>
          <w:divBdr>
            <w:top w:val="none" w:sz="0" w:space="0" w:color="auto"/>
            <w:left w:val="none" w:sz="0" w:space="0" w:color="auto"/>
            <w:bottom w:val="none" w:sz="0" w:space="0" w:color="auto"/>
            <w:right w:val="none" w:sz="0" w:space="0" w:color="auto"/>
          </w:divBdr>
        </w:div>
        <w:div w:id="582227279">
          <w:marLeft w:val="0"/>
          <w:marRight w:val="0"/>
          <w:marTop w:val="0"/>
          <w:marBottom w:val="0"/>
          <w:divBdr>
            <w:top w:val="none" w:sz="0" w:space="0" w:color="auto"/>
            <w:left w:val="none" w:sz="0" w:space="0" w:color="auto"/>
            <w:bottom w:val="none" w:sz="0" w:space="0" w:color="auto"/>
            <w:right w:val="none" w:sz="0" w:space="0" w:color="auto"/>
          </w:divBdr>
        </w:div>
        <w:div w:id="360712860">
          <w:marLeft w:val="0"/>
          <w:marRight w:val="0"/>
          <w:marTop w:val="0"/>
          <w:marBottom w:val="0"/>
          <w:divBdr>
            <w:top w:val="none" w:sz="0" w:space="0" w:color="auto"/>
            <w:left w:val="none" w:sz="0" w:space="0" w:color="auto"/>
            <w:bottom w:val="none" w:sz="0" w:space="0" w:color="auto"/>
            <w:right w:val="none" w:sz="0" w:space="0" w:color="auto"/>
          </w:divBdr>
        </w:div>
        <w:div w:id="302274376">
          <w:marLeft w:val="0"/>
          <w:marRight w:val="0"/>
          <w:marTop w:val="0"/>
          <w:marBottom w:val="0"/>
          <w:divBdr>
            <w:top w:val="none" w:sz="0" w:space="0" w:color="auto"/>
            <w:left w:val="none" w:sz="0" w:space="0" w:color="auto"/>
            <w:bottom w:val="none" w:sz="0" w:space="0" w:color="auto"/>
            <w:right w:val="none" w:sz="0" w:space="0" w:color="auto"/>
          </w:divBdr>
        </w:div>
        <w:div w:id="441731067">
          <w:marLeft w:val="0"/>
          <w:marRight w:val="0"/>
          <w:marTop w:val="0"/>
          <w:marBottom w:val="0"/>
          <w:divBdr>
            <w:top w:val="none" w:sz="0" w:space="0" w:color="auto"/>
            <w:left w:val="none" w:sz="0" w:space="0" w:color="auto"/>
            <w:bottom w:val="none" w:sz="0" w:space="0" w:color="auto"/>
            <w:right w:val="none" w:sz="0" w:space="0" w:color="auto"/>
          </w:divBdr>
        </w:div>
        <w:div w:id="737895780">
          <w:marLeft w:val="0"/>
          <w:marRight w:val="0"/>
          <w:marTop w:val="0"/>
          <w:marBottom w:val="0"/>
          <w:divBdr>
            <w:top w:val="none" w:sz="0" w:space="0" w:color="auto"/>
            <w:left w:val="none" w:sz="0" w:space="0" w:color="auto"/>
            <w:bottom w:val="none" w:sz="0" w:space="0" w:color="auto"/>
            <w:right w:val="none" w:sz="0" w:space="0" w:color="auto"/>
          </w:divBdr>
          <w:divsChild>
            <w:div w:id="2916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3813">
      <w:bodyDiv w:val="1"/>
      <w:marLeft w:val="0"/>
      <w:marRight w:val="0"/>
      <w:marTop w:val="0"/>
      <w:marBottom w:val="0"/>
      <w:divBdr>
        <w:top w:val="none" w:sz="0" w:space="0" w:color="auto"/>
        <w:left w:val="none" w:sz="0" w:space="0" w:color="auto"/>
        <w:bottom w:val="none" w:sz="0" w:space="0" w:color="auto"/>
        <w:right w:val="none" w:sz="0" w:space="0" w:color="auto"/>
      </w:divBdr>
    </w:div>
    <w:div w:id="1408962720">
      <w:bodyDiv w:val="1"/>
      <w:marLeft w:val="0"/>
      <w:marRight w:val="0"/>
      <w:marTop w:val="0"/>
      <w:marBottom w:val="0"/>
      <w:divBdr>
        <w:top w:val="none" w:sz="0" w:space="0" w:color="auto"/>
        <w:left w:val="none" w:sz="0" w:space="0" w:color="auto"/>
        <w:bottom w:val="none" w:sz="0" w:space="0" w:color="auto"/>
        <w:right w:val="none" w:sz="0" w:space="0" w:color="auto"/>
      </w:divBdr>
      <w:divsChild>
        <w:div w:id="1315529074">
          <w:marLeft w:val="0"/>
          <w:marRight w:val="0"/>
          <w:marTop w:val="0"/>
          <w:marBottom w:val="0"/>
          <w:divBdr>
            <w:top w:val="none" w:sz="0" w:space="0" w:color="auto"/>
            <w:left w:val="none" w:sz="0" w:space="0" w:color="auto"/>
            <w:bottom w:val="none" w:sz="0" w:space="0" w:color="auto"/>
            <w:right w:val="none" w:sz="0" w:space="0" w:color="auto"/>
          </w:divBdr>
        </w:div>
        <w:div w:id="70582855">
          <w:marLeft w:val="0"/>
          <w:marRight w:val="0"/>
          <w:marTop w:val="0"/>
          <w:marBottom w:val="0"/>
          <w:divBdr>
            <w:top w:val="none" w:sz="0" w:space="0" w:color="auto"/>
            <w:left w:val="none" w:sz="0" w:space="0" w:color="auto"/>
            <w:bottom w:val="none" w:sz="0" w:space="0" w:color="auto"/>
            <w:right w:val="none" w:sz="0" w:space="0" w:color="auto"/>
          </w:divBdr>
        </w:div>
        <w:div w:id="1563638915">
          <w:marLeft w:val="0"/>
          <w:marRight w:val="0"/>
          <w:marTop w:val="0"/>
          <w:marBottom w:val="0"/>
          <w:divBdr>
            <w:top w:val="none" w:sz="0" w:space="0" w:color="auto"/>
            <w:left w:val="none" w:sz="0" w:space="0" w:color="auto"/>
            <w:bottom w:val="none" w:sz="0" w:space="0" w:color="auto"/>
            <w:right w:val="none" w:sz="0" w:space="0" w:color="auto"/>
          </w:divBdr>
        </w:div>
        <w:div w:id="399255140">
          <w:marLeft w:val="0"/>
          <w:marRight w:val="0"/>
          <w:marTop w:val="0"/>
          <w:marBottom w:val="0"/>
          <w:divBdr>
            <w:top w:val="none" w:sz="0" w:space="0" w:color="auto"/>
            <w:left w:val="none" w:sz="0" w:space="0" w:color="auto"/>
            <w:bottom w:val="none" w:sz="0" w:space="0" w:color="auto"/>
            <w:right w:val="none" w:sz="0" w:space="0" w:color="auto"/>
          </w:divBdr>
        </w:div>
        <w:div w:id="1711101660">
          <w:marLeft w:val="0"/>
          <w:marRight w:val="0"/>
          <w:marTop w:val="0"/>
          <w:marBottom w:val="0"/>
          <w:divBdr>
            <w:top w:val="none" w:sz="0" w:space="0" w:color="auto"/>
            <w:left w:val="none" w:sz="0" w:space="0" w:color="auto"/>
            <w:bottom w:val="none" w:sz="0" w:space="0" w:color="auto"/>
            <w:right w:val="none" w:sz="0" w:space="0" w:color="auto"/>
          </w:divBdr>
        </w:div>
        <w:div w:id="1520895822">
          <w:marLeft w:val="0"/>
          <w:marRight w:val="0"/>
          <w:marTop w:val="0"/>
          <w:marBottom w:val="0"/>
          <w:divBdr>
            <w:top w:val="none" w:sz="0" w:space="0" w:color="auto"/>
            <w:left w:val="none" w:sz="0" w:space="0" w:color="auto"/>
            <w:bottom w:val="none" w:sz="0" w:space="0" w:color="auto"/>
            <w:right w:val="none" w:sz="0" w:space="0" w:color="auto"/>
          </w:divBdr>
        </w:div>
        <w:div w:id="1063530549">
          <w:marLeft w:val="0"/>
          <w:marRight w:val="0"/>
          <w:marTop w:val="0"/>
          <w:marBottom w:val="0"/>
          <w:divBdr>
            <w:top w:val="none" w:sz="0" w:space="0" w:color="auto"/>
            <w:left w:val="none" w:sz="0" w:space="0" w:color="auto"/>
            <w:bottom w:val="none" w:sz="0" w:space="0" w:color="auto"/>
            <w:right w:val="none" w:sz="0" w:space="0" w:color="auto"/>
          </w:divBdr>
        </w:div>
        <w:div w:id="2085758570">
          <w:marLeft w:val="0"/>
          <w:marRight w:val="0"/>
          <w:marTop w:val="0"/>
          <w:marBottom w:val="0"/>
          <w:divBdr>
            <w:top w:val="none" w:sz="0" w:space="0" w:color="auto"/>
            <w:left w:val="none" w:sz="0" w:space="0" w:color="auto"/>
            <w:bottom w:val="none" w:sz="0" w:space="0" w:color="auto"/>
            <w:right w:val="none" w:sz="0" w:space="0" w:color="auto"/>
          </w:divBdr>
        </w:div>
        <w:div w:id="1218400046">
          <w:marLeft w:val="0"/>
          <w:marRight w:val="0"/>
          <w:marTop w:val="0"/>
          <w:marBottom w:val="0"/>
          <w:divBdr>
            <w:top w:val="none" w:sz="0" w:space="0" w:color="auto"/>
            <w:left w:val="none" w:sz="0" w:space="0" w:color="auto"/>
            <w:bottom w:val="none" w:sz="0" w:space="0" w:color="auto"/>
            <w:right w:val="none" w:sz="0" w:space="0" w:color="auto"/>
          </w:divBdr>
        </w:div>
        <w:div w:id="1028796513">
          <w:marLeft w:val="0"/>
          <w:marRight w:val="0"/>
          <w:marTop w:val="0"/>
          <w:marBottom w:val="0"/>
          <w:divBdr>
            <w:top w:val="none" w:sz="0" w:space="0" w:color="auto"/>
            <w:left w:val="none" w:sz="0" w:space="0" w:color="auto"/>
            <w:bottom w:val="none" w:sz="0" w:space="0" w:color="auto"/>
            <w:right w:val="none" w:sz="0" w:space="0" w:color="auto"/>
          </w:divBdr>
        </w:div>
        <w:div w:id="143203998">
          <w:marLeft w:val="0"/>
          <w:marRight w:val="0"/>
          <w:marTop w:val="0"/>
          <w:marBottom w:val="0"/>
          <w:divBdr>
            <w:top w:val="none" w:sz="0" w:space="0" w:color="auto"/>
            <w:left w:val="none" w:sz="0" w:space="0" w:color="auto"/>
            <w:bottom w:val="none" w:sz="0" w:space="0" w:color="auto"/>
            <w:right w:val="none" w:sz="0" w:space="0" w:color="auto"/>
          </w:divBdr>
        </w:div>
        <w:div w:id="774206900">
          <w:marLeft w:val="0"/>
          <w:marRight w:val="0"/>
          <w:marTop w:val="0"/>
          <w:marBottom w:val="0"/>
          <w:divBdr>
            <w:top w:val="none" w:sz="0" w:space="0" w:color="auto"/>
            <w:left w:val="none" w:sz="0" w:space="0" w:color="auto"/>
            <w:bottom w:val="none" w:sz="0" w:space="0" w:color="auto"/>
            <w:right w:val="none" w:sz="0" w:space="0" w:color="auto"/>
          </w:divBdr>
        </w:div>
        <w:div w:id="749815869">
          <w:marLeft w:val="0"/>
          <w:marRight w:val="0"/>
          <w:marTop w:val="0"/>
          <w:marBottom w:val="0"/>
          <w:divBdr>
            <w:top w:val="none" w:sz="0" w:space="0" w:color="auto"/>
            <w:left w:val="none" w:sz="0" w:space="0" w:color="auto"/>
            <w:bottom w:val="none" w:sz="0" w:space="0" w:color="auto"/>
            <w:right w:val="none" w:sz="0" w:space="0" w:color="auto"/>
          </w:divBdr>
        </w:div>
        <w:div w:id="1608999400">
          <w:marLeft w:val="0"/>
          <w:marRight w:val="0"/>
          <w:marTop w:val="0"/>
          <w:marBottom w:val="0"/>
          <w:divBdr>
            <w:top w:val="none" w:sz="0" w:space="0" w:color="auto"/>
            <w:left w:val="none" w:sz="0" w:space="0" w:color="auto"/>
            <w:bottom w:val="none" w:sz="0" w:space="0" w:color="auto"/>
            <w:right w:val="none" w:sz="0" w:space="0" w:color="auto"/>
          </w:divBdr>
        </w:div>
        <w:div w:id="873157195">
          <w:marLeft w:val="0"/>
          <w:marRight w:val="0"/>
          <w:marTop w:val="0"/>
          <w:marBottom w:val="0"/>
          <w:divBdr>
            <w:top w:val="none" w:sz="0" w:space="0" w:color="auto"/>
            <w:left w:val="none" w:sz="0" w:space="0" w:color="auto"/>
            <w:bottom w:val="none" w:sz="0" w:space="0" w:color="auto"/>
            <w:right w:val="none" w:sz="0" w:space="0" w:color="auto"/>
          </w:divBdr>
        </w:div>
        <w:div w:id="517891302">
          <w:marLeft w:val="0"/>
          <w:marRight w:val="0"/>
          <w:marTop w:val="0"/>
          <w:marBottom w:val="0"/>
          <w:divBdr>
            <w:top w:val="none" w:sz="0" w:space="0" w:color="auto"/>
            <w:left w:val="none" w:sz="0" w:space="0" w:color="auto"/>
            <w:bottom w:val="none" w:sz="0" w:space="0" w:color="auto"/>
            <w:right w:val="none" w:sz="0" w:space="0" w:color="auto"/>
          </w:divBdr>
        </w:div>
        <w:div w:id="2048331234">
          <w:marLeft w:val="0"/>
          <w:marRight w:val="0"/>
          <w:marTop w:val="0"/>
          <w:marBottom w:val="0"/>
          <w:divBdr>
            <w:top w:val="none" w:sz="0" w:space="0" w:color="auto"/>
            <w:left w:val="none" w:sz="0" w:space="0" w:color="auto"/>
            <w:bottom w:val="none" w:sz="0" w:space="0" w:color="auto"/>
            <w:right w:val="none" w:sz="0" w:space="0" w:color="auto"/>
          </w:divBdr>
        </w:div>
        <w:div w:id="765613252">
          <w:marLeft w:val="0"/>
          <w:marRight w:val="0"/>
          <w:marTop w:val="0"/>
          <w:marBottom w:val="0"/>
          <w:divBdr>
            <w:top w:val="none" w:sz="0" w:space="0" w:color="auto"/>
            <w:left w:val="none" w:sz="0" w:space="0" w:color="auto"/>
            <w:bottom w:val="none" w:sz="0" w:space="0" w:color="auto"/>
            <w:right w:val="none" w:sz="0" w:space="0" w:color="auto"/>
          </w:divBdr>
        </w:div>
        <w:div w:id="1909532992">
          <w:marLeft w:val="0"/>
          <w:marRight w:val="0"/>
          <w:marTop w:val="0"/>
          <w:marBottom w:val="0"/>
          <w:divBdr>
            <w:top w:val="none" w:sz="0" w:space="0" w:color="auto"/>
            <w:left w:val="none" w:sz="0" w:space="0" w:color="auto"/>
            <w:bottom w:val="none" w:sz="0" w:space="0" w:color="auto"/>
            <w:right w:val="none" w:sz="0" w:space="0" w:color="auto"/>
          </w:divBdr>
        </w:div>
        <w:div w:id="426317885">
          <w:marLeft w:val="0"/>
          <w:marRight w:val="0"/>
          <w:marTop w:val="0"/>
          <w:marBottom w:val="0"/>
          <w:divBdr>
            <w:top w:val="none" w:sz="0" w:space="0" w:color="auto"/>
            <w:left w:val="none" w:sz="0" w:space="0" w:color="auto"/>
            <w:bottom w:val="none" w:sz="0" w:space="0" w:color="auto"/>
            <w:right w:val="none" w:sz="0" w:space="0" w:color="auto"/>
          </w:divBdr>
        </w:div>
        <w:div w:id="2060392396">
          <w:marLeft w:val="0"/>
          <w:marRight w:val="0"/>
          <w:marTop w:val="0"/>
          <w:marBottom w:val="0"/>
          <w:divBdr>
            <w:top w:val="none" w:sz="0" w:space="0" w:color="auto"/>
            <w:left w:val="none" w:sz="0" w:space="0" w:color="auto"/>
            <w:bottom w:val="none" w:sz="0" w:space="0" w:color="auto"/>
            <w:right w:val="none" w:sz="0" w:space="0" w:color="auto"/>
          </w:divBdr>
        </w:div>
        <w:div w:id="1983146855">
          <w:marLeft w:val="0"/>
          <w:marRight w:val="0"/>
          <w:marTop w:val="0"/>
          <w:marBottom w:val="0"/>
          <w:divBdr>
            <w:top w:val="none" w:sz="0" w:space="0" w:color="auto"/>
            <w:left w:val="none" w:sz="0" w:space="0" w:color="auto"/>
            <w:bottom w:val="none" w:sz="0" w:space="0" w:color="auto"/>
            <w:right w:val="none" w:sz="0" w:space="0" w:color="auto"/>
          </w:divBdr>
        </w:div>
        <w:div w:id="1922526168">
          <w:marLeft w:val="0"/>
          <w:marRight w:val="0"/>
          <w:marTop w:val="0"/>
          <w:marBottom w:val="0"/>
          <w:divBdr>
            <w:top w:val="none" w:sz="0" w:space="0" w:color="auto"/>
            <w:left w:val="none" w:sz="0" w:space="0" w:color="auto"/>
            <w:bottom w:val="none" w:sz="0" w:space="0" w:color="auto"/>
            <w:right w:val="none" w:sz="0" w:space="0" w:color="auto"/>
          </w:divBdr>
        </w:div>
        <w:div w:id="1979022347">
          <w:marLeft w:val="0"/>
          <w:marRight w:val="0"/>
          <w:marTop w:val="0"/>
          <w:marBottom w:val="0"/>
          <w:divBdr>
            <w:top w:val="none" w:sz="0" w:space="0" w:color="auto"/>
            <w:left w:val="none" w:sz="0" w:space="0" w:color="auto"/>
            <w:bottom w:val="none" w:sz="0" w:space="0" w:color="auto"/>
            <w:right w:val="none" w:sz="0" w:space="0" w:color="auto"/>
          </w:divBdr>
        </w:div>
        <w:div w:id="1400907858">
          <w:marLeft w:val="0"/>
          <w:marRight w:val="0"/>
          <w:marTop w:val="0"/>
          <w:marBottom w:val="0"/>
          <w:divBdr>
            <w:top w:val="none" w:sz="0" w:space="0" w:color="auto"/>
            <w:left w:val="none" w:sz="0" w:space="0" w:color="auto"/>
            <w:bottom w:val="none" w:sz="0" w:space="0" w:color="auto"/>
            <w:right w:val="none" w:sz="0" w:space="0" w:color="auto"/>
          </w:divBdr>
        </w:div>
        <w:div w:id="1993170138">
          <w:marLeft w:val="0"/>
          <w:marRight w:val="0"/>
          <w:marTop w:val="0"/>
          <w:marBottom w:val="0"/>
          <w:divBdr>
            <w:top w:val="none" w:sz="0" w:space="0" w:color="auto"/>
            <w:left w:val="none" w:sz="0" w:space="0" w:color="auto"/>
            <w:bottom w:val="none" w:sz="0" w:space="0" w:color="auto"/>
            <w:right w:val="none" w:sz="0" w:space="0" w:color="auto"/>
          </w:divBdr>
        </w:div>
        <w:div w:id="843278148">
          <w:marLeft w:val="0"/>
          <w:marRight w:val="0"/>
          <w:marTop w:val="0"/>
          <w:marBottom w:val="0"/>
          <w:divBdr>
            <w:top w:val="none" w:sz="0" w:space="0" w:color="auto"/>
            <w:left w:val="none" w:sz="0" w:space="0" w:color="auto"/>
            <w:bottom w:val="none" w:sz="0" w:space="0" w:color="auto"/>
            <w:right w:val="none" w:sz="0" w:space="0" w:color="auto"/>
          </w:divBdr>
        </w:div>
        <w:div w:id="844435816">
          <w:marLeft w:val="0"/>
          <w:marRight w:val="0"/>
          <w:marTop w:val="0"/>
          <w:marBottom w:val="0"/>
          <w:divBdr>
            <w:top w:val="none" w:sz="0" w:space="0" w:color="auto"/>
            <w:left w:val="none" w:sz="0" w:space="0" w:color="auto"/>
            <w:bottom w:val="none" w:sz="0" w:space="0" w:color="auto"/>
            <w:right w:val="none" w:sz="0" w:space="0" w:color="auto"/>
          </w:divBdr>
        </w:div>
      </w:divsChild>
    </w:div>
    <w:div w:id="1438914095">
      <w:bodyDiv w:val="1"/>
      <w:marLeft w:val="0"/>
      <w:marRight w:val="0"/>
      <w:marTop w:val="0"/>
      <w:marBottom w:val="0"/>
      <w:divBdr>
        <w:top w:val="none" w:sz="0" w:space="0" w:color="auto"/>
        <w:left w:val="none" w:sz="0" w:space="0" w:color="auto"/>
        <w:bottom w:val="none" w:sz="0" w:space="0" w:color="auto"/>
        <w:right w:val="none" w:sz="0" w:space="0" w:color="auto"/>
      </w:divBdr>
    </w:div>
    <w:div w:id="1577133254">
      <w:bodyDiv w:val="1"/>
      <w:marLeft w:val="0"/>
      <w:marRight w:val="0"/>
      <w:marTop w:val="0"/>
      <w:marBottom w:val="0"/>
      <w:divBdr>
        <w:top w:val="none" w:sz="0" w:space="0" w:color="auto"/>
        <w:left w:val="none" w:sz="0" w:space="0" w:color="auto"/>
        <w:bottom w:val="none" w:sz="0" w:space="0" w:color="auto"/>
        <w:right w:val="none" w:sz="0" w:space="0" w:color="auto"/>
      </w:divBdr>
    </w:div>
    <w:div w:id="1672030165">
      <w:bodyDiv w:val="1"/>
      <w:marLeft w:val="0"/>
      <w:marRight w:val="0"/>
      <w:marTop w:val="0"/>
      <w:marBottom w:val="0"/>
      <w:divBdr>
        <w:top w:val="none" w:sz="0" w:space="0" w:color="auto"/>
        <w:left w:val="none" w:sz="0" w:space="0" w:color="auto"/>
        <w:bottom w:val="none" w:sz="0" w:space="0" w:color="auto"/>
        <w:right w:val="none" w:sz="0" w:space="0" w:color="auto"/>
      </w:divBdr>
    </w:div>
    <w:div w:id="1718360651">
      <w:bodyDiv w:val="1"/>
      <w:marLeft w:val="0"/>
      <w:marRight w:val="0"/>
      <w:marTop w:val="0"/>
      <w:marBottom w:val="0"/>
      <w:divBdr>
        <w:top w:val="none" w:sz="0" w:space="0" w:color="auto"/>
        <w:left w:val="none" w:sz="0" w:space="0" w:color="auto"/>
        <w:bottom w:val="none" w:sz="0" w:space="0" w:color="auto"/>
        <w:right w:val="none" w:sz="0" w:space="0" w:color="auto"/>
      </w:divBdr>
    </w:div>
    <w:div w:id="1830097340">
      <w:bodyDiv w:val="1"/>
      <w:marLeft w:val="0"/>
      <w:marRight w:val="0"/>
      <w:marTop w:val="0"/>
      <w:marBottom w:val="0"/>
      <w:divBdr>
        <w:top w:val="none" w:sz="0" w:space="0" w:color="auto"/>
        <w:left w:val="none" w:sz="0" w:space="0" w:color="auto"/>
        <w:bottom w:val="none" w:sz="0" w:space="0" w:color="auto"/>
        <w:right w:val="none" w:sz="0" w:space="0" w:color="auto"/>
      </w:divBdr>
    </w:div>
    <w:div w:id="1859733581">
      <w:bodyDiv w:val="1"/>
      <w:marLeft w:val="0"/>
      <w:marRight w:val="0"/>
      <w:marTop w:val="0"/>
      <w:marBottom w:val="0"/>
      <w:divBdr>
        <w:top w:val="none" w:sz="0" w:space="0" w:color="auto"/>
        <w:left w:val="none" w:sz="0" w:space="0" w:color="auto"/>
        <w:bottom w:val="none" w:sz="0" w:space="0" w:color="auto"/>
        <w:right w:val="none" w:sz="0" w:space="0" w:color="auto"/>
      </w:divBdr>
    </w:div>
    <w:div w:id="1866283334">
      <w:bodyDiv w:val="1"/>
      <w:marLeft w:val="0"/>
      <w:marRight w:val="0"/>
      <w:marTop w:val="0"/>
      <w:marBottom w:val="0"/>
      <w:divBdr>
        <w:top w:val="none" w:sz="0" w:space="0" w:color="auto"/>
        <w:left w:val="none" w:sz="0" w:space="0" w:color="auto"/>
        <w:bottom w:val="none" w:sz="0" w:space="0" w:color="auto"/>
        <w:right w:val="none" w:sz="0" w:space="0" w:color="auto"/>
      </w:divBdr>
    </w:div>
    <w:div w:id="1908756850">
      <w:bodyDiv w:val="1"/>
      <w:marLeft w:val="0"/>
      <w:marRight w:val="0"/>
      <w:marTop w:val="0"/>
      <w:marBottom w:val="0"/>
      <w:divBdr>
        <w:top w:val="none" w:sz="0" w:space="0" w:color="auto"/>
        <w:left w:val="none" w:sz="0" w:space="0" w:color="auto"/>
        <w:bottom w:val="none" w:sz="0" w:space="0" w:color="auto"/>
        <w:right w:val="none" w:sz="0" w:space="0" w:color="auto"/>
      </w:divBdr>
    </w:div>
    <w:div w:id="1914703033">
      <w:bodyDiv w:val="1"/>
      <w:marLeft w:val="0"/>
      <w:marRight w:val="0"/>
      <w:marTop w:val="0"/>
      <w:marBottom w:val="0"/>
      <w:divBdr>
        <w:top w:val="none" w:sz="0" w:space="0" w:color="auto"/>
        <w:left w:val="none" w:sz="0" w:space="0" w:color="auto"/>
        <w:bottom w:val="none" w:sz="0" w:space="0" w:color="auto"/>
        <w:right w:val="none" w:sz="0" w:space="0" w:color="auto"/>
      </w:divBdr>
    </w:div>
    <w:div w:id="2017228941">
      <w:bodyDiv w:val="1"/>
      <w:marLeft w:val="0"/>
      <w:marRight w:val="0"/>
      <w:marTop w:val="0"/>
      <w:marBottom w:val="0"/>
      <w:divBdr>
        <w:top w:val="none" w:sz="0" w:space="0" w:color="auto"/>
        <w:left w:val="none" w:sz="0" w:space="0" w:color="auto"/>
        <w:bottom w:val="none" w:sz="0" w:space="0" w:color="auto"/>
        <w:right w:val="none" w:sz="0" w:space="0" w:color="auto"/>
      </w:divBdr>
      <w:divsChild>
        <w:div w:id="611669638">
          <w:marLeft w:val="0"/>
          <w:marRight w:val="0"/>
          <w:marTop w:val="0"/>
          <w:marBottom w:val="0"/>
          <w:divBdr>
            <w:top w:val="none" w:sz="0" w:space="0" w:color="auto"/>
            <w:left w:val="none" w:sz="0" w:space="0" w:color="auto"/>
            <w:bottom w:val="none" w:sz="0" w:space="0" w:color="auto"/>
            <w:right w:val="none" w:sz="0" w:space="0" w:color="auto"/>
          </w:divBdr>
          <w:divsChild>
            <w:div w:id="399638919">
              <w:marLeft w:val="0"/>
              <w:marRight w:val="0"/>
              <w:marTop w:val="0"/>
              <w:marBottom w:val="0"/>
              <w:divBdr>
                <w:top w:val="none" w:sz="0" w:space="0" w:color="auto"/>
                <w:left w:val="none" w:sz="0" w:space="0" w:color="auto"/>
                <w:bottom w:val="none" w:sz="0" w:space="0" w:color="auto"/>
                <w:right w:val="none" w:sz="0" w:space="0" w:color="auto"/>
              </w:divBdr>
              <w:divsChild>
                <w:div w:id="1055473165">
                  <w:marLeft w:val="0"/>
                  <w:marRight w:val="0"/>
                  <w:marTop w:val="0"/>
                  <w:marBottom w:val="0"/>
                  <w:divBdr>
                    <w:top w:val="none" w:sz="0" w:space="0" w:color="auto"/>
                    <w:left w:val="none" w:sz="0" w:space="0" w:color="auto"/>
                    <w:bottom w:val="none" w:sz="0" w:space="0" w:color="auto"/>
                    <w:right w:val="none" w:sz="0" w:space="0" w:color="auto"/>
                  </w:divBdr>
                  <w:divsChild>
                    <w:div w:id="9493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undp.org/evaluation/guideline/" TargetMode="External"/><Relationship Id="rId18" Type="http://schemas.openxmlformats.org/officeDocument/2006/relationships/header" Target="header3.xml"/><Relationship Id="rId26" Type="http://schemas.openxmlformats.org/officeDocument/2006/relationships/hyperlink" Target="https://www.youtube.com/user/NCDCGeorgia/video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pcostanzo@bgsi.net" TargetMode="External"/><Relationship Id="rId17" Type="http://schemas.openxmlformats.org/officeDocument/2006/relationships/footer" Target="footer2.xml"/><Relationship Id="rId25" Type="http://schemas.openxmlformats.org/officeDocument/2006/relationships/hyperlink" Target="https://www.youtube.com/user/NCDCGeorgia/video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costanzo@bgsi.net"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sigmaweb.org/publications/Baseline-Measurement-Report-2018-Georgia.pdf" TargetMode="External"/><Relationship Id="rId2" Type="http://schemas.openxmlformats.org/officeDocument/2006/relationships/hyperlink" Target="https://www.transparency.org/en/cpi/2015/index/nzl" TargetMode="External"/><Relationship Id="rId1" Type="http://schemas.openxmlformats.org/officeDocument/2006/relationships/hyperlink" Target="http://hdr.undp.org/en/countries/profiles/GEO" TargetMode="External"/><Relationship Id="rId5" Type="http://schemas.openxmlformats.org/officeDocument/2006/relationships/hyperlink" Target="http://web.undp.org/evaluation/documents/policy/2019/DP_2019_29_E.pdf" TargetMode="External"/><Relationship Id="rId4" Type="http://schemas.openxmlformats.org/officeDocument/2006/relationships/hyperlink" Target="http://www.unevaluation.org/document/detail/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B7CC-EDC7-F942-B3A8-0CDE2FE8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178</Pages>
  <Words>69116</Words>
  <Characters>393963</Characters>
  <Application>Microsoft Office Word</Application>
  <DocSecurity>4</DocSecurity>
  <Lines>3283</Lines>
  <Paragraphs>924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Final Evaluation- Draft Report</vt:lpstr>
      <vt:lpstr>Mid Term Evaluation</vt:lpstr>
    </vt:vector>
  </TitlesOfParts>
  <Company>BGSI</Company>
  <LinksUpToDate>false</LinksUpToDate>
  <CharactersWithSpaces>462155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Final Report</dc:title>
  <dc:creator>For: UNDP Georgia and Government of the United Kingdom</dc:creator>
  <cp:lastModifiedBy>Khatuna Chanukvadze</cp:lastModifiedBy>
  <cp:revision>2</cp:revision>
  <cp:lastPrinted>2021-03-21T17:27:00Z</cp:lastPrinted>
  <dcterms:created xsi:type="dcterms:W3CDTF">2021-09-07T12:45:00Z</dcterms:created>
  <dcterms:modified xsi:type="dcterms:W3CDTF">2021-09-07T12:45:00Z</dcterms:modified>
</cp:coreProperties>
</file>